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CD0C94">
      <w:pPr>
        <w:tabs>
          <w:tab w:val="left" w:pos="1703"/>
        </w:tabs>
        <w:spacing w:line="360" w:lineRule="auto"/>
        <w:jc w:val="both"/>
        <w:rPr>
          <w:rFonts w:hint="default" w:ascii="Times New Roman" w:hAnsi="Times New Roman" w:cs="Times New Roman"/>
          <w:snapToGrid w:val="0"/>
          <w:color w:val="auto"/>
          <w:highlight w:val="none"/>
          <w:lang w:eastAsia="zh-CN"/>
        </w:rPr>
      </w:pPr>
      <w:bookmarkStart w:id="0" w:name="_Hlk534356917"/>
      <w:bookmarkEnd w:id="0"/>
    </w:p>
    <w:p w14:paraId="39D810BA">
      <w:pPr>
        <w:tabs>
          <w:tab w:val="left" w:pos="1703"/>
        </w:tabs>
        <w:spacing w:line="360" w:lineRule="auto"/>
        <w:jc w:val="both"/>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lang w:eastAsia="zh-CN"/>
        </w:rPr>
        <w:tab/>
      </w:r>
    </w:p>
    <w:p w14:paraId="5EE786A0">
      <w:pPr>
        <w:spacing w:line="360" w:lineRule="auto"/>
        <w:jc w:val="both"/>
        <w:rPr>
          <w:rFonts w:hint="default" w:ascii="Times New Roman" w:hAnsi="Times New Roman" w:eastAsia="宋体" w:cs="Times New Roman"/>
          <w:snapToGrid w:val="0"/>
          <w:color w:val="auto"/>
          <w:highlight w:val="none"/>
        </w:rPr>
      </w:pPr>
    </w:p>
    <w:p w14:paraId="5C959AB5">
      <w:pPr>
        <w:spacing w:line="360" w:lineRule="auto"/>
        <w:jc w:val="both"/>
        <w:rPr>
          <w:rFonts w:hint="default" w:ascii="Times New Roman" w:hAnsi="Times New Roman" w:eastAsia="宋体" w:cs="Times New Roman"/>
          <w:snapToGrid w:val="0"/>
          <w:color w:val="auto"/>
          <w:highlight w:val="none"/>
        </w:rPr>
      </w:pPr>
    </w:p>
    <w:p w14:paraId="6AE7D8EF">
      <w:pPr>
        <w:spacing w:line="360" w:lineRule="auto"/>
        <w:jc w:val="both"/>
        <w:rPr>
          <w:rFonts w:hint="default" w:ascii="Times New Roman" w:hAnsi="Times New Roman" w:eastAsia="宋体" w:cs="Times New Roman"/>
          <w:snapToGrid w:val="0"/>
          <w:color w:val="auto"/>
          <w:highlight w:val="none"/>
        </w:rPr>
      </w:pPr>
    </w:p>
    <w:p w14:paraId="759376F9">
      <w:pPr>
        <w:spacing w:line="360" w:lineRule="auto"/>
        <w:jc w:val="both"/>
        <w:rPr>
          <w:rFonts w:hint="default" w:ascii="Times New Roman" w:hAnsi="Times New Roman" w:eastAsia="宋体" w:cs="Times New Roman"/>
          <w:snapToGrid w:val="0"/>
          <w:color w:val="auto"/>
          <w:highlight w:val="none"/>
        </w:rPr>
      </w:pPr>
    </w:p>
    <w:p w14:paraId="74F2DB25">
      <w:pPr>
        <w:pStyle w:val="2"/>
        <w:rPr>
          <w:rFonts w:hint="default"/>
          <w:highlight w:val="none"/>
        </w:rPr>
      </w:pPr>
    </w:p>
    <w:p w14:paraId="105255D0">
      <w:pPr>
        <w:spacing w:line="360" w:lineRule="auto"/>
        <w:jc w:val="both"/>
        <w:rPr>
          <w:rFonts w:hint="default" w:ascii="Times New Roman" w:hAnsi="Times New Roman" w:eastAsia="宋体" w:cs="Times New Roman"/>
          <w:snapToGrid w:val="0"/>
          <w:color w:val="auto"/>
          <w:sz w:val="30"/>
          <w:highlight w:val="none"/>
        </w:rPr>
      </w:pPr>
    </w:p>
    <w:p w14:paraId="55DA6886">
      <w:pPr>
        <w:spacing w:line="720" w:lineRule="auto"/>
        <w:jc w:val="center"/>
        <w:rPr>
          <w:b/>
          <w:bCs/>
          <w:color w:val="auto"/>
          <w:spacing w:val="36"/>
          <w:sz w:val="52"/>
          <w:szCs w:val="52"/>
          <w:highlight w:val="none"/>
        </w:rPr>
      </w:pPr>
      <w:r>
        <w:rPr>
          <w:rFonts w:hint="eastAsia" w:ascii="Times New Roman" w:hAnsi="Times New Roman" w:cs="Times New Roman"/>
          <w:b/>
          <w:snapToGrid w:val="0"/>
          <w:color w:val="auto"/>
          <w:sz w:val="52"/>
          <w:szCs w:val="52"/>
          <w:highlight w:val="none"/>
          <w:lang w:eastAsia="zh-CN"/>
        </w:rPr>
        <w:t>黑龙江省鸡西市密山市青辉禽畜养殖专业合作社规模化猪场扩建项目</w:t>
      </w:r>
      <w:r>
        <w:rPr>
          <w:b/>
          <w:bCs/>
          <w:color w:val="auto"/>
          <w:spacing w:val="36"/>
          <w:sz w:val="52"/>
          <w:szCs w:val="52"/>
          <w:highlight w:val="none"/>
        </w:rPr>
        <w:t>环境影响报告书</w:t>
      </w:r>
    </w:p>
    <w:p w14:paraId="18AC05EC">
      <w:pPr>
        <w:spacing w:line="360" w:lineRule="auto"/>
        <w:jc w:val="both"/>
        <w:rPr>
          <w:rFonts w:hint="default" w:ascii="Times New Roman" w:hAnsi="Times New Roman" w:eastAsia="宋体" w:cs="Times New Roman"/>
          <w:snapToGrid w:val="0"/>
          <w:color w:val="auto"/>
          <w:sz w:val="28"/>
          <w:highlight w:val="none"/>
        </w:rPr>
      </w:pPr>
    </w:p>
    <w:p w14:paraId="2D27F113">
      <w:pPr>
        <w:spacing w:line="360" w:lineRule="auto"/>
        <w:jc w:val="both"/>
        <w:rPr>
          <w:rFonts w:hint="default" w:ascii="Times New Roman" w:hAnsi="Times New Roman" w:eastAsia="宋体" w:cs="Times New Roman"/>
          <w:snapToGrid w:val="0"/>
          <w:color w:val="auto"/>
          <w:sz w:val="28"/>
          <w:highlight w:val="none"/>
        </w:rPr>
      </w:pPr>
    </w:p>
    <w:p w14:paraId="2CCEA36B">
      <w:pPr>
        <w:spacing w:line="360" w:lineRule="auto"/>
        <w:jc w:val="both"/>
        <w:rPr>
          <w:rFonts w:hint="default" w:ascii="Times New Roman" w:hAnsi="Times New Roman" w:eastAsia="宋体" w:cs="Times New Roman"/>
          <w:snapToGrid w:val="0"/>
          <w:color w:val="auto"/>
          <w:sz w:val="28"/>
          <w:highlight w:val="none"/>
        </w:rPr>
      </w:pPr>
    </w:p>
    <w:p w14:paraId="1C9B893B">
      <w:pPr>
        <w:spacing w:line="360" w:lineRule="auto"/>
        <w:jc w:val="both"/>
        <w:rPr>
          <w:rFonts w:hint="default" w:ascii="Times New Roman" w:hAnsi="Times New Roman" w:eastAsia="宋体" w:cs="Times New Roman"/>
          <w:snapToGrid w:val="0"/>
          <w:color w:val="auto"/>
          <w:sz w:val="28"/>
          <w:highlight w:val="none"/>
        </w:rPr>
      </w:pPr>
    </w:p>
    <w:p w14:paraId="353F6C21">
      <w:pPr>
        <w:spacing w:line="360" w:lineRule="auto"/>
        <w:jc w:val="both"/>
        <w:rPr>
          <w:rFonts w:hint="default" w:ascii="Times New Roman" w:hAnsi="Times New Roman" w:eastAsia="宋体" w:cs="Times New Roman"/>
          <w:snapToGrid w:val="0"/>
          <w:color w:val="auto"/>
          <w:sz w:val="28"/>
          <w:highlight w:val="none"/>
        </w:rPr>
      </w:pPr>
    </w:p>
    <w:p w14:paraId="57BC02C3">
      <w:pPr>
        <w:spacing w:line="360" w:lineRule="auto"/>
        <w:jc w:val="both"/>
        <w:rPr>
          <w:rFonts w:hint="default" w:ascii="Times New Roman" w:hAnsi="Times New Roman" w:eastAsia="宋体" w:cs="Times New Roman"/>
          <w:snapToGrid w:val="0"/>
          <w:color w:val="auto"/>
          <w:sz w:val="28"/>
          <w:highlight w:val="none"/>
        </w:rPr>
      </w:pPr>
    </w:p>
    <w:p w14:paraId="65A54933">
      <w:pPr>
        <w:spacing w:line="360" w:lineRule="auto"/>
        <w:jc w:val="center"/>
        <w:rPr>
          <w:rFonts w:hint="default" w:ascii="Times New Roman" w:hAnsi="Times New Roman" w:eastAsia="宋体" w:cs="Times New Roman"/>
          <w:snapToGrid w:val="0"/>
          <w:color w:val="auto"/>
          <w:sz w:val="28"/>
          <w:highlight w:val="none"/>
        </w:rPr>
      </w:pPr>
    </w:p>
    <w:p w14:paraId="65C5A69A">
      <w:pPr>
        <w:pStyle w:val="2"/>
        <w:rPr>
          <w:rFonts w:hint="default"/>
          <w:highlight w:val="none"/>
        </w:rPr>
      </w:pPr>
    </w:p>
    <w:p w14:paraId="0E967B0E">
      <w:pPr>
        <w:pStyle w:val="2"/>
        <w:rPr>
          <w:rFonts w:hint="default"/>
          <w:highlight w:val="none"/>
        </w:rPr>
      </w:pPr>
    </w:p>
    <w:p w14:paraId="12B174FB">
      <w:pPr>
        <w:keepNext w:val="0"/>
        <w:keepLines w:val="0"/>
        <w:pageBreakBefore w:val="0"/>
        <w:widowControl/>
        <w:kinsoku/>
        <w:wordWrap/>
        <w:overflowPunct/>
        <w:topLinePunct w:val="0"/>
        <w:autoSpaceDE/>
        <w:autoSpaceDN/>
        <w:bidi w:val="0"/>
        <w:adjustRightInd/>
        <w:snapToGrid/>
        <w:spacing w:line="360" w:lineRule="auto"/>
        <w:ind w:leftChars="500"/>
        <w:jc w:val="left"/>
        <w:textAlignment w:val="auto"/>
        <w:rPr>
          <w:rFonts w:hint="eastAsia" w:ascii="Times New Roman" w:hAnsi="Times New Roman" w:eastAsia="宋体" w:cs="Times New Roman"/>
          <w:b/>
          <w:snapToGrid w:val="0"/>
          <w:color w:val="auto"/>
          <w:sz w:val="28"/>
          <w:szCs w:val="32"/>
          <w:highlight w:val="none"/>
          <w:lang w:eastAsia="zh-CN"/>
        </w:rPr>
      </w:pPr>
      <w:r>
        <w:rPr>
          <w:rFonts w:hint="default" w:ascii="Times New Roman" w:hAnsi="Times New Roman" w:eastAsia="宋体" w:cs="Times New Roman"/>
          <w:b/>
          <w:snapToGrid w:val="0"/>
          <w:color w:val="auto"/>
          <w:sz w:val="28"/>
          <w:szCs w:val="32"/>
          <w:highlight w:val="none"/>
        </w:rPr>
        <w:t>建设单位（盖章）：</w:t>
      </w:r>
      <w:r>
        <w:rPr>
          <w:rFonts w:hint="eastAsia" w:ascii="Times New Roman" w:hAnsi="Times New Roman" w:cs="Times New Roman"/>
          <w:b/>
          <w:snapToGrid w:val="0"/>
          <w:color w:val="auto"/>
          <w:sz w:val="28"/>
          <w:szCs w:val="32"/>
          <w:highlight w:val="none"/>
          <w:lang w:eastAsia="zh-CN"/>
        </w:rPr>
        <w:t>密山市青辉禽畜养殖专业合作社</w:t>
      </w:r>
    </w:p>
    <w:p w14:paraId="7A5C9803">
      <w:pPr>
        <w:keepNext w:val="0"/>
        <w:keepLines w:val="0"/>
        <w:pageBreakBefore w:val="0"/>
        <w:widowControl/>
        <w:kinsoku/>
        <w:wordWrap/>
        <w:overflowPunct/>
        <w:topLinePunct w:val="0"/>
        <w:autoSpaceDE/>
        <w:autoSpaceDN/>
        <w:bidi w:val="0"/>
        <w:adjustRightInd/>
        <w:snapToGrid/>
        <w:spacing w:line="360" w:lineRule="auto"/>
        <w:ind w:leftChars="500"/>
        <w:jc w:val="left"/>
        <w:textAlignment w:val="auto"/>
        <w:rPr>
          <w:rFonts w:hint="default" w:ascii="Times New Roman" w:hAnsi="Times New Roman" w:eastAsia="宋体" w:cs="Times New Roman"/>
          <w:b/>
          <w:snapToGrid w:val="0"/>
          <w:color w:val="auto"/>
          <w:sz w:val="28"/>
          <w:szCs w:val="32"/>
          <w:highlight w:val="none"/>
          <w:lang w:eastAsia="zh-CN"/>
        </w:rPr>
      </w:pPr>
      <w:r>
        <w:rPr>
          <w:rFonts w:hint="default" w:ascii="Times New Roman" w:hAnsi="Times New Roman" w:eastAsia="宋体" w:cs="Times New Roman"/>
          <w:b/>
          <w:snapToGrid w:val="0"/>
          <w:color w:val="auto"/>
          <w:sz w:val="28"/>
          <w:szCs w:val="32"/>
          <w:highlight w:val="none"/>
        </w:rPr>
        <w:t>编制单位：</w:t>
      </w:r>
      <w:r>
        <w:rPr>
          <w:rFonts w:hint="eastAsia" w:ascii="Times New Roman" w:hAnsi="Times New Roman" w:cs="Times New Roman"/>
          <w:b/>
          <w:snapToGrid w:val="0"/>
          <w:color w:val="auto"/>
          <w:sz w:val="28"/>
          <w:szCs w:val="32"/>
          <w:highlight w:val="none"/>
          <w:lang w:eastAsia="zh-CN"/>
        </w:rPr>
        <w:t>黑龙江克巽检测技术有限公司</w:t>
      </w:r>
    </w:p>
    <w:p w14:paraId="19364928">
      <w:pPr>
        <w:spacing w:line="360" w:lineRule="auto"/>
        <w:ind w:firstLine="562"/>
        <w:jc w:val="center"/>
        <w:rPr>
          <w:rFonts w:hint="default" w:ascii="Times New Roman" w:hAnsi="Times New Roman" w:eastAsia="宋体" w:cs="Times New Roman"/>
          <w:b/>
          <w:snapToGrid w:val="0"/>
          <w:color w:val="auto"/>
          <w:sz w:val="28"/>
          <w:szCs w:val="32"/>
          <w:highlight w:val="none"/>
        </w:rPr>
      </w:pPr>
      <w:r>
        <w:rPr>
          <w:rFonts w:hint="default" w:ascii="Times New Roman" w:hAnsi="Times New Roman" w:eastAsia="宋体" w:cs="Times New Roman"/>
          <w:b/>
          <w:snapToGrid w:val="0"/>
          <w:color w:val="auto"/>
          <w:sz w:val="28"/>
          <w:szCs w:val="32"/>
          <w:highlight w:val="none"/>
        </w:rPr>
        <w:t>编制日期：20</w:t>
      </w:r>
      <w:r>
        <w:rPr>
          <w:rFonts w:hint="default" w:ascii="Times New Roman" w:hAnsi="Times New Roman" w:eastAsia="宋体" w:cs="Times New Roman"/>
          <w:b/>
          <w:snapToGrid w:val="0"/>
          <w:color w:val="auto"/>
          <w:sz w:val="28"/>
          <w:szCs w:val="32"/>
          <w:highlight w:val="none"/>
          <w:lang w:val="en-US" w:eastAsia="zh-CN"/>
        </w:rPr>
        <w:t>2</w:t>
      </w:r>
      <w:r>
        <w:rPr>
          <w:rFonts w:hint="eastAsia" w:ascii="Times New Roman" w:hAnsi="Times New Roman" w:cs="Times New Roman"/>
          <w:b/>
          <w:snapToGrid w:val="0"/>
          <w:color w:val="auto"/>
          <w:sz w:val="28"/>
          <w:szCs w:val="32"/>
          <w:highlight w:val="none"/>
          <w:lang w:val="en-US" w:eastAsia="zh-CN"/>
        </w:rPr>
        <w:t>5</w:t>
      </w:r>
      <w:r>
        <w:rPr>
          <w:rFonts w:hint="default" w:ascii="Times New Roman" w:hAnsi="Times New Roman" w:eastAsia="宋体" w:cs="Times New Roman"/>
          <w:b/>
          <w:snapToGrid w:val="0"/>
          <w:color w:val="auto"/>
          <w:sz w:val="28"/>
          <w:szCs w:val="32"/>
          <w:highlight w:val="none"/>
        </w:rPr>
        <w:t>年</w:t>
      </w:r>
      <w:r>
        <w:rPr>
          <w:rFonts w:hint="eastAsia" w:ascii="Times New Roman" w:hAnsi="Times New Roman" w:cs="Times New Roman"/>
          <w:b/>
          <w:snapToGrid w:val="0"/>
          <w:color w:val="auto"/>
          <w:sz w:val="28"/>
          <w:szCs w:val="32"/>
          <w:highlight w:val="none"/>
          <w:lang w:val="en-US" w:eastAsia="zh-CN"/>
        </w:rPr>
        <w:t>11</w:t>
      </w:r>
      <w:r>
        <w:rPr>
          <w:rFonts w:hint="default" w:ascii="Times New Roman" w:hAnsi="Times New Roman" w:eastAsia="宋体" w:cs="Times New Roman"/>
          <w:b/>
          <w:snapToGrid w:val="0"/>
          <w:color w:val="auto"/>
          <w:sz w:val="28"/>
          <w:szCs w:val="32"/>
          <w:highlight w:val="none"/>
        </w:rPr>
        <w:t>月</w:t>
      </w:r>
    </w:p>
    <w:p w14:paraId="2B0095F8">
      <w:pPr>
        <w:pStyle w:val="2"/>
        <w:rPr>
          <w:rFonts w:hint="default" w:ascii="Times New Roman" w:hAnsi="Times New Roman" w:eastAsia="宋体" w:cs="Times New Roman"/>
          <w:b/>
          <w:snapToGrid w:val="0"/>
          <w:color w:val="auto"/>
          <w:sz w:val="28"/>
          <w:szCs w:val="32"/>
          <w:highlight w:val="none"/>
        </w:rPr>
      </w:pPr>
    </w:p>
    <w:p w14:paraId="356453B0">
      <w:pPr>
        <w:rPr>
          <w:rFonts w:hint="eastAsia" w:eastAsia="宋体"/>
          <w:highlight w:val="none"/>
          <w:lang w:eastAsia="zh-CN"/>
        </w:rPr>
        <w:sectPr>
          <w:headerReference r:id="rId4" w:type="first"/>
          <w:footerReference r:id="rId7" w:type="first"/>
          <w:footerReference r:id="rId5" w:type="default"/>
          <w:headerReference r:id="rId3" w:type="even"/>
          <w:footerReference r:id="rId6" w:type="even"/>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12" w:charSpace="0"/>
        </w:sectPr>
      </w:pPr>
    </w:p>
    <w:p w14:paraId="054D4144">
      <w:pPr>
        <w:rPr>
          <w:rFonts w:hint="eastAsia" w:eastAsia="宋体"/>
          <w:highlight w:val="none"/>
          <w:lang w:eastAsia="zh-CN"/>
        </w:rPr>
        <w:sectPr>
          <w:footerReference r:id="rId8"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425" w:num="1"/>
          <w:docGrid w:type="linesAndChars" w:linePitch="312" w:charSpace="0"/>
        </w:sectPr>
      </w:pPr>
      <w:r>
        <w:drawing>
          <wp:inline distT="0" distB="0" distL="114300" distR="114300">
            <wp:extent cx="5038725" cy="6686550"/>
            <wp:effectExtent l="0" t="0" r="9525" b="0"/>
            <wp:docPr id="1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5"/>
                    <pic:cNvPicPr>
                      <a:picLocks noChangeAspect="1"/>
                    </pic:cNvPicPr>
                  </pic:nvPicPr>
                  <pic:blipFill>
                    <a:blip r:embed="rId26"/>
                    <a:stretch>
                      <a:fillRect/>
                    </a:stretch>
                  </pic:blipFill>
                  <pic:spPr>
                    <a:xfrm>
                      <a:off x="0" y="0"/>
                      <a:ext cx="5038725" cy="6686550"/>
                    </a:xfrm>
                    <a:prstGeom prst="rect">
                      <a:avLst/>
                    </a:prstGeom>
                    <a:noFill/>
                    <a:ln>
                      <a:noFill/>
                    </a:ln>
                  </pic:spPr>
                </pic:pic>
              </a:graphicData>
            </a:graphic>
          </wp:inline>
        </w:drawing>
      </w:r>
      <w:r>
        <w:rPr>
          <w:rFonts w:hint="eastAsia" w:eastAsia="宋体"/>
          <w:highlight w:val="none"/>
          <w:lang w:eastAsia="zh-CN"/>
        </w:rPr>
        <w:drawing>
          <wp:inline distT="0" distB="0" distL="114300" distR="114300">
            <wp:extent cx="5274310" cy="7464425"/>
            <wp:effectExtent l="0" t="0" r="2540" b="3175"/>
            <wp:docPr id="185" name="图片 185" descr="环境影响报告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环境影响报告书_03"/>
                    <pic:cNvPicPr>
                      <a:picLocks noChangeAspect="1"/>
                    </pic:cNvPicPr>
                  </pic:nvPicPr>
                  <pic:blipFill>
                    <a:blip r:embed="rId27"/>
                    <a:stretch>
                      <a:fillRect/>
                    </a:stretch>
                  </pic:blipFill>
                  <pic:spPr>
                    <a:xfrm>
                      <a:off x="0" y="0"/>
                      <a:ext cx="5274310" cy="7464425"/>
                    </a:xfrm>
                    <a:prstGeom prst="rect">
                      <a:avLst/>
                    </a:prstGeom>
                  </pic:spPr>
                </pic:pic>
              </a:graphicData>
            </a:graphic>
          </wp:inline>
        </w:drawing>
      </w:r>
    </w:p>
    <w:p w14:paraId="58F82553">
      <w:pPr>
        <w:spacing w:line="360" w:lineRule="auto"/>
        <w:jc w:val="center"/>
        <w:rPr>
          <w:rFonts w:hint="default" w:ascii="Times New Roman" w:hAnsi="Times New Roman" w:eastAsia="宋体" w:cs="Times New Roman"/>
          <w:b/>
          <w:snapToGrid w:val="0"/>
          <w:color w:val="auto"/>
          <w:sz w:val="30"/>
          <w:szCs w:val="30"/>
          <w:highlight w:val="none"/>
        </w:rPr>
      </w:pPr>
      <w:r>
        <w:rPr>
          <w:rFonts w:hint="default" w:ascii="Times New Roman" w:hAnsi="Times New Roman" w:eastAsia="宋体" w:cs="Times New Roman"/>
          <w:b/>
          <w:snapToGrid w:val="0"/>
          <w:color w:val="auto"/>
          <w:sz w:val="30"/>
          <w:szCs w:val="30"/>
          <w:highlight w:val="none"/>
        </w:rPr>
        <w:t xml:space="preserve">目 </w:t>
      </w:r>
      <w:r>
        <w:rPr>
          <w:rFonts w:hint="eastAsia" w:ascii="Times New Roman" w:hAnsi="Times New Roman" w:cs="Times New Roman"/>
          <w:b/>
          <w:snapToGrid w:val="0"/>
          <w:color w:val="auto"/>
          <w:sz w:val="30"/>
          <w:szCs w:val="30"/>
          <w:highlight w:val="none"/>
          <w:lang w:val="en-US" w:eastAsia="zh-CN"/>
        </w:rPr>
        <w:t xml:space="preserve"> </w:t>
      </w:r>
      <w:r>
        <w:rPr>
          <w:rFonts w:hint="default" w:ascii="Times New Roman" w:hAnsi="Times New Roman" w:eastAsia="宋体" w:cs="Times New Roman"/>
          <w:b/>
          <w:snapToGrid w:val="0"/>
          <w:color w:val="auto"/>
          <w:sz w:val="30"/>
          <w:szCs w:val="30"/>
          <w:highlight w:val="none"/>
        </w:rPr>
        <w:t>录</w:t>
      </w:r>
      <w:bookmarkStart w:id="1371" w:name="_GoBack"/>
      <w:bookmarkEnd w:id="1371"/>
    </w:p>
    <w:p w14:paraId="449AD80A">
      <w:pPr>
        <w:pStyle w:val="31"/>
        <w:tabs>
          <w:tab w:val="right" w:leader="dot" w:pos="8306"/>
        </w:tabs>
        <w:rPr>
          <w:rFonts w:hint="default" w:ascii="Times New Roman" w:hAnsi="Times New Roman" w:eastAsia="宋体" w:cs="Times New Roman"/>
          <w:sz w:val="24"/>
          <w:szCs w:val="24"/>
        </w:rPr>
      </w:pPr>
      <w:bookmarkStart w:id="1" w:name="_Toc9513"/>
      <w:bookmarkStart w:id="2" w:name="_Toc475378597"/>
      <w:r>
        <w:rPr>
          <w:rFonts w:hint="default" w:ascii="Times New Roman" w:hAnsi="Times New Roman" w:eastAsia="宋体" w:cs="Times New Roman"/>
          <w:b w:val="0"/>
          <w:bCs/>
          <w:color w:val="auto"/>
          <w:sz w:val="21"/>
          <w:szCs w:val="21"/>
          <w:highlight w:val="none"/>
        </w:rPr>
        <w:fldChar w:fldCharType="begin"/>
      </w:r>
      <w:r>
        <w:rPr>
          <w:rFonts w:hint="default" w:ascii="Times New Roman" w:hAnsi="Times New Roman" w:eastAsia="宋体" w:cs="Times New Roman"/>
          <w:b w:val="0"/>
          <w:bCs/>
          <w:color w:val="auto"/>
          <w:sz w:val="21"/>
          <w:szCs w:val="21"/>
          <w:highlight w:val="none"/>
        </w:rPr>
        <w:instrText xml:space="preserve">TOC \o "1-2" \h \u </w:instrText>
      </w:r>
      <w:r>
        <w:rPr>
          <w:rFonts w:hint="default" w:ascii="Times New Roman" w:hAnsi="Times New Roman" w:eastAsia="宋体" w:cs="Times New Roman"/>
          <w:b w:val="0"/>
          <w:bCs/>
          <w:color w:val="auto"/>
          <w:sz w:val="21"/>
          <w:szCs w:val="21"/>
          <w:highlight w:val="none"/>
        </w:rPr>
        <w:fldChar w:fldCharType="separate"/>
      </w: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_Toc5439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1概述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_Toc5439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7751B8EF">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_Toc10900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1.1项目由来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_Toc10900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B9DAC0E">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_Toc30937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rPr>
        <w:t>1.2项目特点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_Toc30937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772C1B75">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_Toc27502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1.3环境影响评价工作过程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_Toc27502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72641F4D">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_Toc8947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1.4分析判定相关情况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_Toc8947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6B49BACC">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_Toc6209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1.5关注的主要环境问题</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_Toc6209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E3BCEB2">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_Toc18357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1.6环境影响评价主要结论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_Toc18357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7C3E996B">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_Toc8819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2总则</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_Toc8819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E19E174">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_Toc20821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2.1编制依据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_Toc20821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62CE49B">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_Toc22540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2.2环境影响因素识别与评价因子筛选</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_Toc22540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F14F897">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_Toc22471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2.3评价标准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_Toc22471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3C7BAF2A">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_Toc29479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2.4评价工作等级</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_Toc29479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6F0E2ECA">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_Toc3780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2.5评价范围及评价时段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_Toc3780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47DDED74">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_Toc31329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2.6相关规划及环境功能区划</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_Toc31329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67055C7">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_Toc9500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2.7主要环境保护目标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_Toc9500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38796576">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_Toc8556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3建设项目工程分析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_Toc8556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713DE730">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_Toc10087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3.</w:t>
      </w:r>
      <w:r>
        <w:rPr>
          <w:rFonts w:hint="default" w:ascii="Times New Roman" w:hAnsi="Times New Roman" w:eastAsia="宋体" w:cs="Times New Roman"/>
          <w:sz w:val="24"/>
          <w:szCs w:val="24"/>
          <w:highlight w:val="none"/>
          <w:lang w:val="en-US" w:eastAsia="zh-CN"/>
        </w:rPr>
        <w:t>1现有</w:t>
      </w:r>
      <w:r>
        <w:rPr>
          <w:rFonts w:hint="default" w:ascii="Times New Roman" w:hAnsi="Times New Roman" w:eastAsia="宋体" w:cs="Times New Roman"/>
          <w:sz w:val="24"/>
          <w:szCs w:val="24"/>
          <w:highlight w:val="none"/>
        </w:rPr>
        <w:t>项目概况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_Toc10087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4C19B0AA">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_Toc4961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3.</w:t>
      </w:r>
      <w:r>
        <w:rPr>
          <w:rFonts w:hint="default" w:ascii="Times New Roman" w:hAnsi="Times New Roman" w:eastAsia="宋体" w:cs="Times New Roman"/>
          <w:sz w:val="24"/>
          <w:szCs w:val="24"/>
          <w:highlight w:val="none"/>
          <w:lang w:val="en-US" w:eastAsia="zh-CN"/>
        </w:rPr>
        <w:t>2扩建</w:t>
      </w:r>
      <w:r>
        <w:rPr>
          <w:rFonts w:hint="default" w:ascii="Times New Roman" w:hAnsi="Times New Roman" w:eastAsia="宋体" w:cs="Times New Roman"/>
          <w:sz w:val="24"/>
          <w:szCs w:val="24"/>
          <w:highlight w:val="none"/>
        </w:rPr>
        <w:t>项目概况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_Toc4961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4D36745A">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_Toc18849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3.</w:t>
      </w: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公用及辅助工程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_Toc18849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046C9A7">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_Toc7311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3.</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项目生产工艺及产污环节</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_Toc7311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521E24B">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_Toc22058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3.</w:t>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工程污染源强分析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_Toc22058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05A15AD">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_Toc6103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3.</w:t>
      </w:r>
      <w:r>
        <w:rPr>
          <w:rFonts w:hint="default" w:ascii="Times New Roman" w:hAnsi="Times New Roman" w:eastAsia="宋体" w:cs="Times New Roman"/>
          <w:sz w:val="24"/>
          <w:szCs w:val="24"/>
          <w:highlight w:val="none"/>
          <w:lang w:val="en-US" w:eastAsia="zh-CN"/>
        </w:rPr>
        <w:t>6本项目污染物排放“三本帐”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_Toc6103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61003999">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_Toc13890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4环境现状调查与评价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_Toc13890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4BA637A1">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_Toc25560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4.1环境现状调查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_Toc25560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21E21112">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_Toc26371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4.2环境质量现状评价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_Toc26371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2AC4051C">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_Toc1646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4.3区域污染源调查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_Toc1646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36D569F7">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_Toc1876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5环境影响预测与评价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_Toc1876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4F6F32BD">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_Toc6495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rPr>
        <w:t>5.1施工期环境影响分析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_Toc6495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5F178B2">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_Toc20090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rPr>
        <w:t>5.2运行期环境影响预测评价</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_Toc20090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E597F87">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_Toc12578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6环境保护措施及其可行性论证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_Toc12578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839C71F">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_Toc30768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6.1施工期污染防治措施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_Toc30768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34C40AC">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_Toc14114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6.2运营期污染防治措施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_Toc14114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389C3934">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_Toc23144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6.3环境保护投资估算</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_Toc23144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B43DFEC">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_Toc15093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7环境影响经济损益分析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_Toc15093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0CC0E85">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_Toc14881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7.1 经济效益分析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_Toc14881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7C6CA9DD">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_Toc6741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7.2 社会效益分析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_Toc6741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7220343">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_Toc24575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7.3 环境效益分析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_Toc24575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76C39444">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_Toc7651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7.4 小结</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_Toc7651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271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2E9C9B85">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_Toc22777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8环境管理与监测计划</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_Toc22777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272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20C55BF">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_Toc2826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8.1环境管理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_Toc2826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272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363068C">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_Toc19735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8.2环境监测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_Toc19735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51543CD">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_Toc25630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8.3环境保护竣工验收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_Toc25630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3096C33E">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_Toc5552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lang w:val="en-US" w:eastAsia="zh-CN"/>
        </w:rPr>
        <w:t>8.4</w:t>
      </w:r>
      <w:r>
        <w:rPr>
          <w:rFonts w:hint="default" w:ascii="Times New Roman" w:hAnsi="Times New Roman" w:eastAsia="宋体" w:cs="Times New Roman"/>
          <w:sz w:val="24"/>
          <w:szCs w:val="24"/>
          <w:highlight w:val="none"/>
        </w:rPr>
        <w:t>排污许可证制度衔接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_Toc5552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37407C1A">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_Toc12918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lang w:val="en-US" w:eastAsia="zh-CN"/>
        </w:rPr>
        <w:t>8.5</w:t>
      </w:r>
      <w:r>
        <w:rPr>
          <w:rFonts w:hint="default" w:ascii="Times New Roman" w:hAnsi="Times New Roman" w:eastAsia="宋体" w:cs="Times New Roman"/>
          <w:sz w:val="24"/>
          <w:szCs w:val="24"/>
          <w:highlight w:val="none"/>
        </w:rPr>
        <w:t>污染物排放总量控制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_Toc12918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6A443485">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_Toc18271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9环境影响评价结论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_Toc18271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111A1F6">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_Toc2019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9.1评价结论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_Toc2019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EFA7A89">
      <w:pPr>
        <w:pStyle w:val="37"/>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_Toc17872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rPr>
        <w:t>9.2对策与建议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_Toc17872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259150A">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_Toc22034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rPr>
        <w:t>附图1</w:t>
      </w:r>
      <w:r>
        <w:rPr>
          <w:rFonts w:hint="default" w:ascii="Times New Roman" w:hAnsi="Times New Roman" w:eastAsia="宋体" w:cs="Times New Roman"/>
          <w:snapToGrid w:val="0"/>
          <w:sz w:val="24"/>
          <w:szCs w:val="24"/>
          <w:highlight w:val="none"/>
          <w:lang w:val="en-US" w:eastAsia="zh-CN"/>
        </w:rPr>
        <w:t xml:space="preserve">  项目</w:t>
      </w:r>
      <w:r>
        <w:rPr>
          <w:rFonts w:hint="default" w:ascii="Times New Roman" w:hAnsi="Times New Roman" w:eastAsia="宋体" w:cs="Times New Roman"/>
          <w:snapToGrid w:val="0"/>
          <w:sz w:val="24"/>
          <w:szCs w:val="24"/>
          <w:highlight w:val="none"/>
          <w:lang w:val="zh-CN"/>
        </w:rPr>
        <w:t>地理位置</w:t>
      </w:r>
      <w:r>
        <w:rPr>
          <w:rFonts w:hint="default" w:ascii="Times New Roman" w:hAnsi="Times New Roman" w:eastAsia="宋体" w:cs="Times New Roman"/>
          <w:snapToGrid w:val="0"/>
          <w:sz w:val="24"/>
          <w:szCs w:val="24"/>
          <w:highlight w:val="none"/>
          <w:lang w:val="en-US" w:eastAsia="zh-CN"/>
        </w:rPr>
        <w:t>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_Toc22034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24765093">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_Toc11742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z w:val="24"/>
          <w:szCs w:val="24"/>
          <w:highlight w:val="none"/>
          <w:lang w:val="zh-CN"/>
        </w:rPr>
        <w:t>附图</w:t>
      </w:r>
      <w:r>
        <w:rPr>
          <w:rFonts w:hint="default" w:ascii="Times New Roman" w:hAnsi="Times New Roman" w:eastAsia="宋体" w:cs="Times New Roman"/>
          <w:sz w:val="24"/>
          <w:szCs w:val="24"/>
          <w:highlight w:val="none"/>
          <w:lang w:val="en-US" w:eastAsia="zh-CN"/>
        </w:rPr>
        <w:t>2  现有厂区平面布置图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_Toc11742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80AECD4">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_Toc6324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rPr>
        <w:t>附图</w:t>
      </w:r>
      <w:r>
        <w:rPr>
          <w:rFonts w:hint="default" w:ascii="Times New Roman" w:hAnsi="Times New Roman" w:eastAsia="宋体" w:cs="Times New Roman"/>
          <w:snapToGrid w:val="0"/>
          <w:sz w:val="24"/>
          <w:szCs w:val="24"/>
          <w:highlight w:val="none"/>
          <w:lang w:val="en-US" w:eastAsia="zh-CN"/>
        </w:rPr>
        <w:t>3  扩建后厂区平面布置图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_Toc6324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44A00576">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_Toc7606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rPr>
        <w:t>附图</w:t>
      </w:r>
      <w:r>
        <w:rPr>
          <w:rFonts w:hint="default" w:ascii="Times New Roman" w:hAnsi="Times New Roman" w:eastAsia="宋体" w:cs="Times New Roman"/>
          <w:snapToGrid w:val="0"/>
          <w:sz w:val="24"/>
          <w:szCs w:val="24"/>
          <w:highlight w:val="none"/>
          <w:lang w:val="en-US" w:eastAsia="zh-CN"/>
        </w:rPr>
        <w:t>4  周边环境关系图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_Toc7606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62BCB06E">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_Toc10643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eastAsia="zh-CN"/>
        </w:rPr>
        <w:t>附图</w:t>
      </w:r>
      <w:r>
        <w:rPr>
          <w:rFonts w:hint="default" w:ascii="Times New Roman" w:hAnsi="Times New Roman" w:eastAsia="宋体" w:cs="Times New Roman"/>
          <w:snapToGrid w:val="0"/>
          <w:sz w:val="24"/>
          <w:szCs w:val="24"/>
          <w:highlight w:val="none"/>
          <w:lang w:val="en-US" w:eastAsia="zh-CN"/>
        </w:rPr>
        <w:t>5  项目在鸡西市土地利用中位置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_Toc10643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A61D3A7">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_Toc13057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rPr>
        <w:t>附件1</w:t>
      </w:r>
      <w:r>
        <w:rPr>
          <w:rFonts w:hint="default" w:ascii="Times New Roman" w:hAnsi="Times New Roman" w:eastAsia="宋体" w:cs="Times New Roman"/>
          <w:snapToGrid w:val="0"/>
          <w:sz w:val="24"/>
          <w:szCs w:val="24"/>
          <w:highlight w:val="none"/>
          <w:lang w:val="en-US"/>
        </w:rPr>
        <w:t xml:space="preserve"> </w:t>
      </w:r>
      <w:r>
        <w:rPr>
          <w:rFonts w:hint="default" w:ascii="Times New Roman" w:hAnsi="Times New Roman" w:eastAsia="宋体" w:cs="Times New Roman"/>
          <w:snapToGrid w:val="0"/>
          <w:sz w:val="24"/>
          <w:szCs w:val="24"/>
          <w:highlight w:val="none"/>
          <w:lang w:val="zh-CN"/>
        </w:rPr>
        <w:t>建设项目大气环境影响评价自查表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_Toc13057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0AD8715">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_Toc22169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rPr>
        <w:t>附件2</w:t>
      </w:r>
      <w:r>
        <w:rPr>
          <w:rFonts w:hint="default" w:ascii="Times New Roman" w:hAnsi="Times New Roman" w:eastAsia="宋体" w:cs="Times New Roman"/>
          <w:snapToGrid w:val="0"/>
          <w:sz w:val="24"/>
          <w:szCs w:val="24"/>
          <w:highlight w:val="none"/>
          <w:lang w:val="en-US"/>
        </w:rPr>
        <w:t xml:space="preserve"> </w:t>
      </w:r>
      <w:r>
        <w:rPr>
          <w:rFonts w:hint="default" w:ascii="Times New Roman" w:hAnsi="Times New Roman" w:eastAsia="宋体" w:cs="Times New Roman"/>
          <w:snapToGrid w:val="0"/>
          <w:sz w:val="24"/>
          <w:szCs w:val="24"/>
          <w:highlight w:val="none"/>
          <w:lang w:val="zh-CN"/>
        </w:rPr>
        <w:t>环境风险评价自查表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_Toc22169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4C8D2F9E">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_Toc5981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rPr>
        <w:t>附件3</w:t>
      </w:r>
      <w:r>
        <w:rPr>
          <w:rFonts w:hint="default" w:ascii="Times New Roman" w:hAnsi="Times New Roman" w:eastAsia="宋体" w:cs="Times New Roman"/>
          <w:snapToGrid w:val="0"/>
          <w:sz w:val="24"/>
          <w:szCs w:val="24"/>
          <w:highlight w:val="none"/>
          <w:lang w:val="en-US"/>
        </w:rPr>
        <w:t xml:space="preserve"> </w:t>
      </w:r>
      <w:r>
        <w:rPr>
          <w:rFonts w:hint="default" w:ascii="Times New Roman" w:hAnsi="Times New Roman" w:eastAsia="宋体" w:cs="Times New Roman"/>
          <w:snapToGrid w:val="0"/>
          <w:sz w:val="24"/>
          <w:szCs w:val="24"/>
          <w:highlight w:val="none"/>
          <w:lang w:val="zh-CN"/>
        </w:rPr>
        <w:t>土壤环境影响评价自查表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_Toc5981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27F227D9">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_Toc20699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rPr>
        <w:t>附件4</w:t>
      </w:r>
      <w:r>
        <w:rPr>
          <w:rFonts w:hint="default" w:ascii="Times New Roman" w:hAnsi="Times New Roman" w:eastAsia="宋体" w:cs="Times New Roman"/>
          <w:snapToGrid w:val="0"/>
          <w:sz w:val="24"/>
          <w:szCs w:val="24"/>
          <w:highlight w:val="none"/>
          <w:lang w:val="en-US"/>
        </w:rPr>
        <w:t xml:space="preserve"> </w:t>
      </w:r>
      <w:r>
        <w:rPr>
          <w:rFonts w:hint="default" w:ascii="Times New Roman" w:hAnsi="Times New Roman" w:eastAsia="宋体" w:cs="Times New Roman"/>
          <w:snapToGrid w:val="0"/>
          <w:sz w:val="24"/>
          <w:szCs w:val="24"/>
          <w:highlight w:val="none"/>
          <w:lang w:val="zh-CN"/>
        </w:rPr>
        <w:t>地表水环境影响评价自查表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_Toc20699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6F6722C9">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_Toc30132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rPr>
        <w:t>附件5</w:t>
      </w:r>
      <w:r>
        <w:rPr>
          <w:rFonts w:hint="default" w:ascii="Times New Roman" w:hAnsi="Times New Roman" w:eastAsia="宋体" w:cs="Times New Roman"/>
          <w:snapToGrid w:val="0"/>
          <w:sz w:val="24"/>
          <w:szCs w:val="24"/>
          <w:highlight w:val="none"/>
          <w:lang w:val="en-US"/>
        </w:rPr>
        <w:t xml:space="preserve"> </w:t>
      </w:r>
      <w:r>
        <w:rPr>
          <w:rFonts w:hint="default" w:ascii="Times New Roman" w:hAnsi="Times New Roman" w:eastAsia="宋体" w:cs="Times New Roman"/>
          <w:snapToGrid w:val="0"/>
          <w:sz w:val="24"/>
          <w:szCs w:val="24"/>
          <w:highlight w:val="none"/>
          <w:lang w:val="zh-CN"/>
        </w:rPr>
        <w:t>声环境影响评价自查表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_Toc30132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6AC8729A">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_Toc1311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zh-CN"/>
        </w:rPr>
        <w:t>附件6</w:t>
      </w:r>
      <w:r>
        <w:rPr>
          <w:rFonts w:hint="default" w:ascii="Times New Roman" w:hAnsi="Times New Roman" w:eastAsia="宋体" w:cs="Times New Roman"/>
          <w:snapToGrid w:val="0"/>
          <w:sz w:val="24"/>
          <w:szCs w:val="24"/>
          <w:highlight w:val="none"/>
          <w:lang w:val="en-US"/>
        </w:rPr>
        <w:t xml:space="preserve"> </w:t>
      </w:r>
      <w:r>
        <w:rPr>
          <w:rFonts w:hint="default" w:ascii="Times New Roman" w:hAnsi="Times New Roman" w:eastAsia="宋体" w:cs="Times New Roman"/>
          <w:snapToGrid w:val="0"/>
          <w:sz w:val="24"/>
          <w:szCs w:val="24"/>
          <w:highlight w:val="none"/>
          <w:lang w:val="zh-CN"/>
        </w:rPr>
        <w:t>生态影响评价自查表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_Toc1311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C9C7A50">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_Toc12667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附件7 营业执照</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_Toc12667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60599525">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_Toc7381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附件8 立项备案承诺书</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_Toc7381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4D3A7456">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_Toc26875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附件9 土地文件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_Toc26875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476C50F">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_Toc29466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附件10 委托协议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_Toc29466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7C9CE83E">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_Toc32118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附件11 粪污消纳土地协议书</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_Toc32118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36CF059D">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_Toc18152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附件12 病死畜禽无害化处理合作协议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_Toc18152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25AA250">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_Toc18673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附件13 鸡西鑫农源固废处理有限公司相关资料</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_Toc18673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D446FD3">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_Toc8167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附件14 原有环保手续</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_Toc8167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512E86F0">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_Toc23368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附件15 监测报告</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_Toc23368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352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06749004">
      <w:pPr>
        <w:pStyle w:val="31"/>
        <w:tabs>
          <w:tab w:val="right" w:leader="dot" w:pos="8306"/>
        </w:tabs>
        <w:rPr>
          <w:rFonts w:hint="default" w:ascii="Times New Roman" w:hAnsi="Times New Roman" w:eastAsia="宋体" w:cs="Times New Roman"/>
          <w:sz w:val="24"/>
          <w:szCs w:val="24"/>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_Toc8717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附件16 生态环境分区管控分析报告</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_Toc8717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387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110AAD24">
      <w:pPr>
        <w:pStyle w:val="31"/>
        <w:tabs>
          <w:tab w:val="right" w:leader="dot" w:pos="8306"/>
        </w:tabs>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sz w:val="24"/>
          <w:szCs w:val="24"/>
          <w:highlight w:val="none"/>
        </w:rPr>
        <w:instrText xml:space="preserve"> HYPERLINK \l _Toc30196 </w:instrText>
      </w:r>
      <w:r>
        <w:rPr>
          <w:rFonts w:hint="default" w:ascii="Times New Roman" w:hAnsi="Times New Roman" w:eastAsia="宋体" w:cs="Times New Roman"/>
          <w:bCs/>
          <w:sz w:val="24"/>
          <w:szCs w:val="24"/>
          <w:highlight w:val="none"/>
        </w:rPr>
        <w:fldChar w:fldCharType="separate"/>
      </w:r>
      <w:r>
        <w:rPr>
          <w:rFonts w:hint="default" w:ascii="Times New Roman" w:hAnsi="Times New Roman" w:eastAsia="宋体" w:cs="Times New Roman"/>
          <w:snapToGrid w:val="0"/>
          <w:sz w:val="24"/>
          <w:szCs w:val="24"/>
          <w:highlight w:val="none"/>
          <w:lang w:val="en-US" w:eastAsia="zh-CN"/>
        </w:rPr>
        <w:t>附件17 动物防疫条件合格证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_Toc30196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397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color w:val="auto"/>
          <w:sz w:val="24"/>
          <w:szCs w:val="24"/>
          <w:highlight w:val="none"/>
        </w:rPr>
        <w:fldChar w:fldCharType="end"/>
      </w:r>
    </w:p>
    <w:p w14:paraId="287CDC5D">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b/>
          <w:bCs/>
          <w:color w:val="auto"/>
          <w:kern w:val="0"/>
          <w:sz w:val="32"/>
          <w:szCs w:val="32"/>
          <w:highlight w:val="none"/>
        </w:rPr>
      </w:pPr>
      <w:r>
        <w:rPr>
          <w:rFonts w:hint="default" w:ascii="Times New Roman" w:hAnsi="Times New Roman" w:eastAsia="宋体" w:cs="Times New Roman"/>
          <w:bCs/>
          <w:color w:val="auto"/>
          <w:szCs w:val="21"/>
          <w:highlight w:val="none"/>
        </w:rPr>
        <w:fldChar w:fldCharType="end"/>
      </w:r>
      <w:bookmarkStart w:id="3" w:name="_Toc27305"/>
    </w:p>
    <w:p w14:paraId="14F5AFB1">
      <w:pPr>
        <w:widowControl/>
        <w:tabs>
          <w:tab w:val="left" w:leader="middleDot" w:pos="7371"/>
        </w:tabs>
        <w:spacing w:line="360" w:lineRule="auto"/>
        <w:contextualSpacing/>
        <w:jc w:val="left"/>
        <w:outlineLvl w:val="0"/>
        <w:rPr>
          <w:rFonts w:hint="default" w:ascii="Times New Roman" w:hAnsi="Times New Roman" w:eastAsia="宋体" w:cs="Times New Roman"/>
          <w:b/>
          <w:bCs/>
          <w:color w:val="auto"/>
          <w:kern w:val="0"/>
          <w:sz w:val="32"/>
          <w:szCs w:val="32"/>
          <w:highlight w:val="none"/>
        </w:rPr>
        <w:sectPr>
          <w:headerReference r:id="rId9" w:type="default"/>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4" w:name="_Toc9177"/>
      <w:bookmarkStart w:id="5" w:name="_Toc799"/>
    </w:p>
    <w:p w14:paraId="6678F286">
      <w:pPr>
        <w:pStyle w:val="4"/>
        <w:bidi w:val="0"/>
        <w:rPr>
          <w:rFonts w:hint="default"/>
          <w:highlight w:val="none"/>
        </w:rPr>
      </w:pPr>
      <w:bookmarkStart w:id="6" w:name="_Toc5439"/>
      <w:r>
        <w:rPr>
          <w:rFonts w:hint="default"/>
          <w:highlight w:val="none"/>
        </w:rPr>
        <w:t>1概述</w:t>
      </w:r>
      <w:bookmarkEnd w:id="1"/>
      <w:bookmarkEnd w:id="3"/>
      <w:bookmarkEnd w:id="4"/>
      <w:bookmarkEnd w:id="5"/>
      <w:bookmarkEnd w:id="6"/>
    </w:p>
    <w:p w14:paraId="5AD50A56">
      <w:pPr>
        <w:pStyle w:val="5"/>
        <w:bidi w:val="0"/>
        <w:rPr>
          <w:rFonts w:hint="default"/>
          <w:highlight w:val="none"/>
        </w:rPr>
      </w:pPr>
      <w:bookmarkStart w:id="7" w:name="_Toc19811"/>
      <w:bookmarkStart w:id="8" w:name="_Toc4875"/>
      <w:bookmarkStart w:id="9" w:name="_Toc4172"/>
      <w:bookmarkStart w:id="10" w:name="_Toc29242"/>
      <w:bookmarkStart w:id="11" w:name="_Toc11098"/>
      <w:bookmarkStart w:id="12" w:name="_Toc10900"/>
      <w:r>
        <w:rPr>
          <w:rFonts w:hint="default"/>
          <w:highlight w:val="none"/>
        </w:rPr>
        <w:t>1.1项目由来</w:t>
      </w:r>
      <w:bookmarkEnd w:id="7"/>
      <w:bookmarkEnd w:id="8"/>
      <w:bookmarkEnd w:id="9"/>
      <w:bookmarkEnd w:id="10"/>
      <w:bookmarkEnd w:id="11"/>
      <w:bookmarkEnd w:id="12"/>
    </w:p>
    <w:p w14:paraId="5C658F0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bookmarkStart w:id="13" w:name="_Toc479252798"/>
      <w:r>
        <w:rPr>
          <w:rFonts w:hint="default" w:ascii="Times New Roman" w:hAnsi="Times New Roman" w:eastAsia="宋体" w:cs="Times New Roman"/>
          <w:snapToGrid w:val="0"/>
          <w:color w:val="auto"/>
          <w:kern w:val="0"/>
          <w:sz w:val="24"/>
          <w:highlight w:val="none"/>
        </w:rPr>
        <w:t>畜牧业是中国农业和农村经济的支柱产业。当前，我国畜牧业在农业和农村经济的地位非常突出。畜牧业产值占农业总产值的比重逐年增加，随着人民生活水平的逐步提高，畜牧业生产将步入高增长期。</w:t>
      </w:r>
    </w:p>
    <w:p w14:paraId="64A03B5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中国畜牧业已进入新的发展阶段，正由传统畜牧业向现代畜牧业转变，畜牧业生产水平不断提高，综合生产能力显著增强。畜牧业的发展对于建设现代农业，促进农民增收和加快社会主义新农村建设，促进国民经济和社会发展，提高人民群众生活水平都具有十分重要的意义。</w:t>
      </w:r>
    </w:p>
    <w:p w14:paraId="4AA7E49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随着农村经济的发展，畜牧业在农业中的地位越发突出，农村经济能否持续快速、健康发展，某种程度上取决于畜牧业的大发展。因此必须打破传统的畜牧养殖风格，加快畜牧业结构调整，采用新的科学技术，引进优良品种，推广新科技，加速品种的更新换代，优化结构，提高品质，增强市场竞争力。</w:t>
      </w:r>
    </w:p>
    <w:p w14:paraId="3DB4F2E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全国两会三农政策指出，脱贫攻坚取得胜利后，要</w:t>
      </w:r>
      <w:r>
        <w:rPr>
          <w:rFonts w:hint="eastAsia" w:ascii="Times New Roman" w:hAnsi="Times New Roman" w:cs="Times New Roman"/>
          <w:snapToGrid w:val="0"/>
          <w:color w:val="auto"/>
          <w:kern w:val="0"/>
          <w:sz w:val="24"/>
          <w:highlight w:val="none"/>
          <w:lang w:eastAsia="zh-CN"/>
        </w:rPr>
        <w:t>推进</w:t>
      </w:r>
      <w:r>
        <w:rPr>
          <w:rFonts w:hint="default" w:ascii="Times New Roman" w:hAnsi="Times New Roman" w:eastAsia="宋体" w:cs="Times New Roman"/>
          <w:snapToGrid w:val="0"/>
          <w:color w:val="auto"/>
          <w:kern w:val="0"/>
          <w:sz w:val="24"/>
          <w:highlight w:val="none"/>
        </w:rPr>
        <w:t>乡村振兴，是三农工作重心的转移，而现在国家乡村振兴局正式挂牌，对于乡村振兴实施，国家势在必行。中央已经确定，对脱贫县设立5年过渡期，保持主要帮扶政策总体稳定，逐步实现资源支持向乡村振兴平稳过渡。这是稳健、科学的执政理念，将顺畅推进脱贫攻坚成果同乡村振兴的无缝对接。而从目前已公布的政策文件和学者分析来看，平稳过渡至少要从三方面共同发力。巩固脱贫成果，为平稳过渡“夯实地基”。拓展脱贫成果，为平稳过渡“添砖加瓦”。建立衔接机制，为平稳过渡“搭桥铺路”。</w:t>
      </w:r>
    </w:p>
    <w:p w14:paraId="69DF128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黑龙江省传统的畜牧养殖业经营模式已经没有竞争力，要在更高层次上体现黑龙江省的优势产业和市场竞争力，必须大力发展精品畜牧养殖业、良种畜牧养殖业、深加工畜牧养殖业、创汇畜牧养殖业，推动畜牧养殖业向“高、精、强”转变，尽快把养殖业由“大”做“强”，促进我国畜牧养殖业的结构调整。</w:t>
      </w:r>
    </w:p>
    <w:p w14:paraId="0DC40DA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lang w:eastAsia="zh-CN"/>
        </w:rPr>
      </w:pPr>
      <w:r>
        <w:rPr>
          <w:rFonts w:hint="eastAsia" w:ascii="Times New Roman" w:hAnsi="Times New Roman" w:cs="Times New Roman"/>
          <w:snapToGrid w:val="0"/>
          <w:color w:val="auto"/>
          <w:kern w:val="0"/>
          <w:sz w:val="24"/>
          <w:highlight w:val="none"/>
          <w:lang w:val="en-US" w:eastAsia="zh-CN"/>
        </w:rPr>
        <w:t>为了响应市委市政府“1421”工程和发展“一村一品”特色经济，经村（团结村）两委研究决定，引进大雁养殖项目，利用团结村四组西山的荒山荒地引进张怀成、谢亚军（兴凯湖乡兴凯湖村）投资建设大雁养殖繁育基地，在2017年1月1日甲方密山市柳毛乡团结村民委员会与乙方张怀成、谢亚军（兴凯湖乡兴凯湖村）二人签订了特色养殖协议（详见附件9）；2018年8月2日密山市国土资源局备案密山市柳毛乡团结村雁留升大雁养殖项目用地，出具了密山市柳毛乡团结村雁留升大雁养殖设施农用地备案通知书，编号密国土设农备字[2028]第（06）号（详见附件9）土地面积：39186.54平方米：生产设施用地23000平方米、附属设施用地1100平方米；由于新冠肺炎疫情原因，国家禁止人工养殖大雁，乙方：张怀成于2020年11月份遵照国家政策停止养殖大雁，2021年4月乙方向甲方提出转生产生猪养殖申请，经团结村经济合作社“理事会、监事会”商议，成员代表大会决议，同意乙方转产申请，甲乙双方于2021年7月29日签订《关于《团结村特色养殖协议》的补充合同》（详见附件9），2022年11月2日，经甲方：张怀成与乙方：孙明友好协商签订《特色养殖协议》和《关于《团结村特色养殖协议》的补充合同》的合同及建筑物转让协议（详见附件9）。</w:t>
      </w:r>
    </w:p>
    <w:p w14:paraId="36032FCD">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highlight w:val="none"/>
          <w:lang w:val="en-US" w:eastAsia="zh-CN"/>
        </w:rPr>
        <w:t>密山市青辉禽畜养殖专业合作社成立于2021年9月22日，注册地址位于黑龙江省鸡西市密山市柳毛乡团结村四组</w:t>
      </w:r>
      <w:r>
        <w:rPr>
          <w:rFonts w:hint="eastAsia" w:ascii="Times New Roman" w:hAnsi="Times New Roman" w:cs="Times New Roman"/>
          <w:highlight w:val="none"/>
          <w:lang w:val="en-US" w:eastAsia="zh-CN"/>
        </w:rPr>
        <w:t>。经营范围为许可项目：家禽饲养；牲畜饲养；食品销售。一般项目：鲜肉零售、鲜蛋零售、食品互联网镇售(仅销售预包装食品)；食用农产品销售。密山市青辉禽畜养殖专业合作社于2023年在</w:t>
      </w:r>
      <w:r>
        <w:rPr>
          <w:rFonts w:hint="eastAsia" w:ascii="Times New Roman" w:hAnsi="Times New Roman" w:cs="Times New Roman"/>
          <w:snapToGrid w:val="0"/>
          <w:color w:val="auto"/>
          <w:highlight w:val="none"/>
          <w:lang w:eastAsia="zh-CN"/>
        </w:rPr>
        <w:t>鸡西市密山市柳毛乡团结村4组</w:t>
      </w:r>
      <w:r>
        <w:rPr>
          <w:rFonts w:hint="eastAsia" w:ascii="Times New Roman" w:hAnsi="Times New Roman" w:cs="Times New Roman"/>
          <w:snapToGrid w:val="0"/>
          <w:color w:val="auto"/>
          <w:highlight w:val="none"/>
          <w:lang w:val="en-US" w:eastAsia="zh-CN"/>
        </w:rPr>
        <w:t>建设了猪舍6栋并配备了相应的污染处置设施，规模为年存栏生猪2400头，年出栏生猪4500头。根据《建设项目环境影响评价分类管理名录》（2021年版），密山市青辉禽畜养殖专业合作社仅需办理环评登记表即可。密山市青辉禽畜养殖专业合作社于2024年10月办理了环评登记表，备案号为：202423038200000029。于2024年7月办理了固定污染源排污登记回执，2024年11月完成固定污染源排污登记回执变更，登记编号：93230382MA1F6LNA0M001W。该项目于2024年11月投入运营。原生产规模为年存栏生猪2400头，年出栏生猪4500头。扩建后年存栏8000头（母猪950头，公猪50头，哺乳仔猪1700头，保育仔猪3300头，后备猪2000头），年出栏商品猪（仔猪）16000头。</w:t>
      </w:r>
    </w:p>
    <w:p w14:paraId="181CB28D">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根据黑龙江克巽检测技术有限公司于2025年7月19日~2025年7月25日</w:t>
      </w:r>
      <w:r>
        <w:rPr>
          <w:rFonts w:hint="eastAsia" w:ascii="Times New Roman" w:hAnsi="Times New Roman" w:eastAsia="宋体" w:cs="Times New Roman"/>
          <w:color w:val="auto"/>
          <w:kern w:val="0"/>
          <w:sz w:val="24"/>
          <w:szCs w:val="24"/>
          <w:highlight w:val="none"/>
          <w:lang w:val="en-US" w:eastAsia="zh-CN" w:bidi="ar-SA"/>
        </w:rPr>
        <w:t>实际监测结果可知</w:t>
      </w:r>
      <w:r>
        <w:rPr>
          <w:rFonts w:hint="default" w:ascii="Times New Roman" w:hAnsi="Times New Roman" w:eastAsia="宋体" w:cs="Times New Roman"/>
          <w:color w:val="auto"/>
          <w:kern w:val="0"/>
          <w:sz w:val="24"/>
          <w:szCs w:val="24"/>
          <w:highlight w:val="none"/>
          <w:lang w:val="en-US" w:eastAsia="zh-CN" w:bidi="ar-SA"/>
        </w:rPr>
        <w:t>，1#厂区内监测点</w:t>
      </w:r>
      <w:r>
        <w:rPr>
          <w:rFonts w:hint="eastAsia" w:ascii="Times New Roman" w:hAnsi="Times New Roman" w:eastAsia="宋体" w:cs="Times New Roman"/>
          <w:color w:val="auto"/>
          <w:kern w:val="0"/>
          <w:sz w:val="24"/>
          <w:szCs w:val="24"/>
          <w:highlight w:val="none"/>
          <w:lang w:val="en-US" w:eastAsia="zh-CN" w:bidi="ar-SA"/>
        </w:rPr>
        <w:t>颗粒物的排放浓度为0.189~0.226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，氨的排放浓度为0.02~0.06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，硫化氢的排放浓度为0.002~0.007</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，臭气浓度排放值为11-15（无量纲）。1#厂区内监测点颗粒物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0BA1716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w:t>
      </w:r>
      <w:r>
        <w:rPr>
          <w:rFonts w:hint="default" w:ascii="Times New Roman" w:hAnsi="Times New Roman" w:eastAsia="宋体" w:cs="Times New Roman"/>
          <w:snapToGrid w:val="0"/>
          <w:color w:val="auto"/>
          <w:highlight w:val="none"/>
          <w:lang w:eastAsia="zh-CN"/>
        </w:rPr>
        <w:t>黑龙江克巽检测技术有限公司</w:t>
      </w:r>
      <w:r>
        <w:rPr>
          <w:rFonts w:hint="default" w:ascii="Times New Roman" w:hAnsi="Times New Roman" w:eastAsia="宋体" w:cs="Times New Roman"/>
          <w:snapToGrid w:val="0"/>
          <w:color w:val="auto"/>
          <w:highlight w:val="none"/>
        </w:rPr>
        <w:t>于20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19</w:t>
      </w:r>
      <w:r>
        <w:rPr>
          <w:rFonts w:hint="default" w:ascii="Times New Roman" w:hAnsi="Times New Roman" w:eastAsia="宋体" w:cs="Times New Roman"/>
          <w:snapToGrid w:val="0"/>
          <w:color w:val="auto"/>
          <w:highlight w:val="none"/>
        </w:rPr>
        <w:t>日~20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25</w:t>
      </w:r>
      <w:r>
        <w:rPr>
          <w:rFonts w:hint="default" w:ascii="Times New Roman" w:hAnsi="Times New Roman" w:eastAsia="宋体" w:cs="Times New Roman"/>
          <w:snapToGrid w:val="0"/>
          <w:color w:val="auto"/>
          <w:highlight w:val="none"/>
        </w:rPr>
        <w:t>日</w:t>
      </w:r>
      <w:r>
        <w:rPr>
          <w:rFonts w:hint="default" w:ascii="Times New Roman" w:hAnsi="Times New Roman" w:eastAsia="宋体" w:cs="Times New Roman"/>
          <w:color w:val="auto"/>
          <w:kern w:val="0"/>
          <w:sz w:val="24"/>
          <w:szCs w:val="24"/>
          <w:highlight w:val="none"/>
          <w:lang w:val="en-US" w:eastAsia="zh-CN" w:bidi="ar-SA"/>
        </w:rPr>
        <w:t>实际监测结果可知，2#厂区下风向监测点</w:t>
      </w:r>
      <w:r>
        <w:rPr>
          <w:rFonts w:hint="eastAsia" w:ascii="Times New Roman" w:hAnsi="Times New Roman" w:eastAsia="宋体" w:cs="Times New Roman"/>
          <w:color w:val="auto"/>
          <w:kern w:val="0"/>
          <w:sz w:val="24"/>
          <w:szCs w:val="24"/>
          <w:highlight w:val="none"/>
          <w:lang w:val="en-US" w:eastAsia="zh-CN" w:bidi="ar-SA"/>
        </w:rPr>
        <w:t>颗粒物的排放浓度为0.198~0.24</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，氨、硫化氢的排放浓度未检出，均在检出限线以下。臭气浓度排放值为&lt;10（无量纲）。2#厂区下风向监测点颗粒物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00BC640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在此背景下，密山市青辉禽畜养殖专业合作社拟在密山市柳毛乡团结村4组建设</w:t>
      </w:r>
      <w:r>
        <w:rPr>
          <w:rFonts w:hint="eastAsia" w:ascii="Times New Roman" w:hAnsi="Times New Roman" w:cs="Times New Roman"/>
          <w:snapToGrid w:val="0"/>
          <w:color w:val="auto"/>
          <w:kern w:val="0"/>
          <w:sz w:val="24"/>
          <w:highlight w:val="none"/>
          <w:lang w:eastAsia="zh-CN"/>
        </w:rPr>
        <w:t>黑龙江省鸡西市密山市青辉禽畜养殖专业合作社规模化猪场扩建项目</w:t>
      </w:r>
      <w:r>
        <w:rPr>
          <w:rFonts w:hint="default" w:ascii="Times New Roman" w:hAnsi="Times New Roman" w:eastAsia="宋体" w:cs="Times New Roman"/>
          <w:snapToGrid w:val="0"/>
          <w:color w:val="auto"/>
          <w:kern w:val="0"/>
          <w:sz w:val="24"/>
          <w:highlight w:val="none"/>
          <w:lang w:eastAsia="zh-CN"/>
        </w:rPr>
        <w:t>。</w:t>
      </w:r>
    </w:p>
    <w:p w14:paraId="2BEC52E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kern w:val="0"/>
          <w:sz w:val="24"/>
          <w:highlight w:val="none"/>
          <w:lang w:eastAsia="zh-CN"/>
        </w:rPr>
        <w:t>根据《中华人民共和国环境保护法》、《中华人民共和国环境影响评价法》、《建设项目环境保护管理条例》等有关规定，密山市青辉禽畜养殖专业合作社委托黑龙江克巽检测技术有限公司承担该项目的环境影响评价工作。对</w:t>
      </w:r>
      <w:r>
        <w:rPr>
          <w:rFonts w:hint="eastAsia" w:ascii="Times New Roman" w:hAnsi="Times New Roman" w:cs="Times New Roman"/>
          <w:snapToGrid w:val="0"/>
          <w:color w:val="auto"/>
          <w:kern w:val="0"/>
          <w:sz w:val="24"/>
          <w:highlight w:val="none"/>
          <w:lang w:eastAsia="zh-CN"/>
        </w:rPr>
        <w:t>黑龙江省鸡西市密山市青辉禽畜养殖专业合作社规模化猪场扩建项目</w:t>
      </w:r>
      <w:r>
        <w:rPr>
          <w:rFonts w:hint="default" w:ascii="Times New Roman" w:hAnsi="Times New Roman" w:eastAsia="宋体" w:cs="Times New Roman"/>
          <w:snapToGrid w:val="0"/>
          <w:color w:val="auto"/>
          <w:kern w:val="0"/>
          <w:sz w:val="24"/>
          <w:highlight w:val="none"/>
          <w:lang w:eastAsia="zh-CN"/>
        </w:rPr>
        <w:t>的建设与运营可能产生的环境影响进行分析、预测与评估，提出减缓不利环境影响的对策与措施，从环境保护角度论证项目建设的可行性，给出明确的环境影响评价结论。评价单位组成项目组，项目组评价人员对现场进行了实地踏查并收集了相关资料，委托相关单位进行现状监测，经资料整理、模式计算及统计分析，编制出该项目的环境影响报告书，现提交主管部门审查</w:t>
      </w:r>
      <w:r>
        <w:rPr>
          <w:rFonts w:hint="default" w:ascii="Times New Roman" w:hAnsi="Times New Roman" w:eastAsia="宋体" w:cs="Times New Roman"/>
          <w:snapToGrid w:val="0"/>
          <w:color w:val="auto"/>
          <w:kern w:val="0"/>
          <w:sz w:val="24"/>
          <w:highlight w:val="none"/>
        </w:rPr>
        <w:t>。</w:t>
      </w:r>
      <w:bookmarkEnd w:id="13"/>
    </w:p>
    <w:p w14:paraId="2A58F192">
      <w:pPr>
        <w:pStyle w:val="5"/>
        <w:rPr>
          <w:rFonts w:hint="default" w:ascii="Times New Roman" w:hAnsi="Times New Roman" w:eastAsia="宋体" w:cs="Times New Roman"/>
          <w:snapToGrid w:val="0"/>
          <w:color w:val="auto"/>
          <w:highlight w:val="none"/>
        </w:rPr>
      </w:pPr>
      <w:bookmarkStart w:id="14" w:name="_Toc4363"/>
      <w:bookmarkStart w:id="15" w:name="_Toc23601"/>
      <w:bookmarkStart w:id="16" w:name="_Toc27729"/>
      <w:bookmarkStart w:id="17" w:name="_Toc19359"/>
      <w:bookmarkStart w:id="18" w:name="_Toc30937"/>
      <w:r>
        <w:rPr>
          <w:rFonts w:hint="default" w:ascii="Times New Roman" w:hAnsi="Times New Roman" w:eastAsia="宋体" w:cs="Times New Roman"/>
          <w:snapToGrid w:val="0"/>
          <w:color w:val="auto"/>
          <w:highlight w:val="none"/>
        </w:rPr>
        <w:t>1.2项目特点</w:t>
      </w:r>
      <w:bookmarkEnd w:id="14"/>
      <w:bookmarkEnd w:id="15"/>
      <w:bookmarkEnd w:id="16"/>
      <w:bookmarkEnd w:id="17"/>
      <w:bookmarkEnd w:id="18"/>
    </w:p>
    <w:p w14:paraId="320CBE7F">
      <w:pPr>
        <w:spacing w:line="360" w:lineRule="auto"/>
        <w:ind w:firstLine="480" w:firstLineChars="200"/>
        <w:rPr>
          <w:rFonts w:hint="default" w:ascii="Times New Roman" w:hAnsi="Times New Roman" w:eastAsia="宋体" w:cs="Times New Roman"/>
          <w:color w:val="auto"/>
          <w:sz w:val="24"/>
          <w:highlight w:val="none"/>
          <w:lang w:val="en-US" w:eastAsia="zh-CN"/>
        </w:rPr>
      </w:pPr>
      <w:bookmarkStart w:id="19" w:name="_Toc479252799"/>
      <w:bookmarkStart w:id="20" w:name="_Toc13693"/>
      <w:r>
        <w:rPr>
          <w:rFonts w:hint="eastAsia" w:ascii="Times New Roman" w:hAnsi="Times New Roman" w:cs="Times New Roman"/>
          <w:color w:val="auto"/>
          <w:sz w:val="24"/>
          <w:highlight w:val="none"/>
          <w:lang w:val="en-US" w:eastAsia="zh-CN"/>
        </w:rPr>
        <w:t>1、生产特点</w:t>
      </w:r>
    </w:p>
    <w:p w14:paraId="17B18FD0">
      <w:pPr>
        <w:spacing w:line="360" w:lineRule="auto"/>
        <w:ind w:firstLine="480" w:firstLineChars="200"/>
        <w:rPr>
          <w:rFonts w:hint="default" w:ascii="Times New Roman" w:hAnsi="Times New Roman" w:cs="Times New Roman"/>
          <w:color w:val="auto"/>
          <w:sz w:val="24"/>
          <w:highlight w:val="none"/>
        </w:rPr>
      </w:pPr>
      <w:r>
        <w:rPr>
          <w:rFonts w:hint="eastAsia" w:ascii="Times New Roman" w:hAnsi="Times New Roman" w:cs="Times New Roman"/>
          <w:snapToGrid w:val="0"/>
          <w:color w:val="auto"/>
          <w:kern w:val="0"/>
          <w:sz w:val="24"/>
          <w:highlight w:val="none"/>
          <w:lang w:val="en-US" w:eastAsia="zh-CN"/>
        </w:rPr>
        <w:t>为了响应市委市政府“1421”工程和发展“一村一品”特色经济，经村（团结村）两委研究决定，引进大雁养殖项目，利用团结村四组西山的荒山荒地引进张怀成、谢亚军（兴凯湖乡兴凯湖村）投资建设大雁养殖繁育基地，在2017年1月1日甲方密山市柳毛乡团结村民委员会与乙方张怀成、谢亚军（兴凯湖乡兴凯湖村）二人签订了特色养殖协议（详见附件9）；2018年8月2日密山市国土资源局备案密山市柳毛乡团结村雁留升大雁养殖项目用地，出具了密山市柳毛乡团结村雁留升大雁养殖设施农用地备案通知书，编号密国土设农备字[2028]第（06）号（详见附件9）土地面积：39186.54平方米：生产设施用地23000平方米、附属设施用地1100平方米；由于新冠肺炎疫情原因，国家禁止人工养殖大雁，乙方：张怀成于2020年11月份遵照国家政策停止养殖大雁，2021年4月乙方向甲方提出转生产生猪养殖申请，经团结村经济合作社“理事会、监事会”商议，成员代表大会决议，同意乙方转产申请，甲乙双方于2021年7月29日签订《关于《团结村特色养殖协议》的补充合同》（详见附件9），2022年11月2日，经甲方：张怀成与乙方：孙明友好协商签订《特色养殖协议》和《关于《团结村特色养殖协议》的补充合同》的合同及建筑物转让协议（详见附件9）。</w:t>
      </w:r>
    </w:p>
    <w:p w14:paraId="0E6D7FA5">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highlight w:val="none"/>
          <w:lang w:val="en-US" w:eastAsia="zh-CN"/>
        </w:rPr>
        <w:t>建设单位密山市青辉禽畜养殖专业合作社利用项目场地于2023年在</w:t>
      </w:r>
      <w:r>
        <w:rPr>
          <w:rFonts w:hint="eastAsia" w:ascii="Times New Roman" w:hAnsi="Times New Roman" w:cs="Times New Roman"/>
          <w:snapToGrid w:val="0"/>
          <w:color w:val="auto"/>
          <w:highlight w:val="none"/>
          <w:lang w:eastAsia="zh-CN"/>
        </w:rPr>
        <w:t>鸡西市密山市柳毛乡团结村4组</w:t>
      </w:r>
      <w:r>
        <w:rPr>
          <w:rFonts w:hint="eastAsia" w:ascii="Times New Roman" w:hAnsi="Times New Roman" w:cs="Times New Roman"/>
          <w:snapToGrid w:val="0"/>
          <w:color w:val="auto"/>
          <w:highlight w:val="none"/>
          <w:lang w:val="en-US" w:eastAsia="zh-CN"/>
        </w:rPr>
        <w:t>建设了猪舍6栋并配备了相应的污染处置设施，规模为年存栏生猪2400头，年出栏生猪4500头。根据《建设项目环境影响评价分类管理名录》（2021年版），密山市青辉禽畜养殖专业合作社仅需办理环评登记表即可。密山市青辉禽畜养殖专业合作社于2024年10月办理了环评登记表，备案号为：202423038200000029。于2024年7月办理了固定污染源排污登记回执，2024年11月完成固定污染源排污登记回执变更，登记编号：93230382MA1F6LNA0M001W。该项目于2024年11月投入运营。原生产规模为年存栏生猪2400头，年出栏生猪4500头。扩建后年存栏8000头（母猪950头，公猪50头，哺乳仔猪1700头，保育仔猪3300头，后备猪2000头），年出栏商品猪（仔猪）16000头。根据现场调查，猪舍、综合用房、兽医室、洗消车间、配电室、固液分离间、干粪堆积场、医疗废物暂存间、饲料塔、污水处理设施均已经建成，现阶段厂区正常运行，存栏生猪2400头，年出栏生猪4500头。</w:t>
      </w:r>
    </w:p>
    <w:p w14:paraId="1AB1A51A">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为</w:t>
      </w:r>
      <w:r>
        <w:rPr>
          <w:rFonts w:hint="eastAsia" w:ascii="Times New Roman" w:hAnsi="Times New Roman" w:cs="Times New Roman"/>
          <w:color w:val="auto"/>
          <w:sz w:val="24"/>
          <w:highlight w:val="none"/>
          <w:lang w:val="en-US" w:eastAsia="zh-CN"/>
        </w:rPr>
        <w:t>扩</w:t>
      </w:r>
      <w:r>
        <w:rPr>
          <w:rFonts w:hint="default" w:ascii="Times New Roman" w:hAnsi="Times New Roman" w:cs="Times New Roman"/>
          <w:color w:val="auto"/>
          <w:sz w:val="24"/>
          <w:highlight w:val="none"/>
          <w:lang w:val="en-US" w:eastAsia="zh-CN"/>
        </w:rPr>
        <w:t>建项目，</w:t>
      </w:r>
      <w:r>
        <w:rPr>
          <w:rFonts w:hint="default" w:ascii="Times New Roman" w:hAnsi="Times New Roman" w:cs="Times New Roman"/>
          <w:color w:val="auto"/>
          <w:sz w:val="24"/>
          <w:highlight w:val="none"/>
        </w:rPr>
        <w:t>属于</w:t>
      </w:r>
      <w:r>
        <w:rPr>
          <w:rFonts w:hint="default" w:ascii="Times New Roman" w:hAnsi="Times New Roman" w:cs="Times New Roman"/>
          <w:color w:val="auto"/>
          <w:sz w:val="24"/>
          <w:highlight w:val="none"/>
          <w:lang w:val="en-US" w:eastAsia="zh-CN"/>
        </w:rPr>
        <w:t>畜禽标准化规模养殖技术开发与应用项目</w:t>
      </w:r>
      <w:r>
        <w:rPr>
          <w:rFonts w:hint="default" w:ascii="Times New Roman" w:hAnsi="Times New Roman" w:cs="Times New Roman"/>
          <w:color w:val="auto"/>
          <w:sz w:val="24"/>
          <w:highlight w:val="none"/>
        </w:rPr>
        <w:t>。属于《国民经济行业分类》（GB/T4754-2017）中A0313猪的饲养</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中心地理坐标：</w:t>
      </w:r>
      <w:r>
        <w:rPr>
          <w:rFonts w:hint="default" w:ascii="Times New Roman" w:hAnsi="Times New Roman" w:cs="Times New Roman"/>
          <w:color w:val="auto"/>
          <w:sz w:val="24"/>
          <w:highlight w:val="none"/>
          <w:lang w:val="zh-CN"/>
        </w:rPr>
        <w:t>东经132°10′34.521″，北纬45°34′7.14</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val="zh-CN"/>
        </w:rPr>
        <w:t>″</w:t>
      </w:r>
      <w:r>
        <w:rPr>
          <w:rFonts w:hint="default" w:ascii="Times New Roman" w:hAnsi="Times New Roman" w:cs="Times New Roman"/>
          <w:color w:val="auto"/>
          <w:sz w:val="24"/>
          <w:highlight w:val="none"/>
        </w:rPr>
        <w:t>，项目地理位置见附图1。</w:t>
      </w:r>
      <w:r>
        <w:rPr>
          <w:rFonts w:hint="eastAsia" w:ascii="Times New Roman" w:cs="Times New Roman"/>
          <w:color w:val="auto"/>
          <w:sz w:val="24"/>
          <w:highlight w:val="none"/>
          <w:lang w:val="en-US" w:eastAsia="zh-CN"/>
        </w:rPr>
        <w:t>项目</w:t>
      </w:r>
      <w:r>
        <w:rPr>
          <w:rFonts w:hint="eastAsia" w:ascii="Times New Roman" w:hAnsi="Times New Roman" w:cs="Times New Roman"/>
          <w:color w:val="auto"/>
          <w:sz w:val="24"/>
          <w:highlight w:val="none"/>
          <w:lang w:val="en-US" w:eastAsia="zh-CN"/>
        </w:rPr>
        <w:t>总</w:t>
      </w:r>
      <w:r>
        <w:rPr>
          <w:rFonts w:hint="default" w:ascii="Times New Roman" w:hAnsi="Times New Roman" w:cs="Times New Roman"/>
          <w:color w:val="auto"/>
          <w:sz w:val="24"/>
          <w:highlight w:val="none"/>
          <w:lang w:val="en-US" w:eastAsia="zh-CN"/>
        </w:rPr>
        <w:t>占地面积为</w:t>
      </w:r>
      <w:r>
        <w:rPr>
          <w:rFonts w:hint="eastAsia" w:ascii="Times New Roman" w:hAnsi="Times New Roman" w:cs="Times New Roman"/>
          <w:color w:val="auto"/>
          <w:sz w:val="24"/>
          <w:highlight w:val="none"/>
          <w:lang w:val="en-US" w:eastAsia="zh-CN"/>
        </w:rPr>
        <w:t>27000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vertAlign w:val="baseline"/>
          <w:lang w:eastAsia="zh-CN"/>
        </w:rPr>
        <w:t>，</w:t>
      </w:r>
      <w:r>
        <w:rPr>
          <w:rFonts w:hint="eastAsia" w:ascii="Times New Roman" w:hAnsi="Times New Roman" w:cs="Times New Roman"/>
          <w:color w:val="auto"/>
          <w:highlight w:val="none"/>
          <w:vertAlign w:val="baseline"/>
          <w:lang w:val="en-US" w:eastAsia="zh-CN"/>
        </w:rPr>
        <w:t>建设区域占地为9690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vertAlign w:val="baseline"/>
          <w:lang w:eastAsia="zh-CN"/>
        </w:rPr>
        <w:t>，</w:t>
      </w:r>
      <w:r>
        <w:rPr>
          <w:rFonts w:hint="default" w:ascii="Times New Roman" w:hAnsi="Times New Roman" w:eastAsia="宋体" w:cs="Times New Roman"/>
          <w:color w:val="auto"/>
          <w:sz w:val="24"/>
          <w:highlight w:val="none"/>
          <w:lang w:val="en-US" w:eastAsia="zh-CN"/>
        </w:rPr>
        <w:t>本次扩建项目</w:t>
      </w:r>
      <w:r>
        <w:rPr>
          <w:rFonts w:hint="eastAsia" w:ascii="Times New Roman" w:eastAsia="宋体" w:cs="Times New Roman"/>
          <w:color w:val="auto"/>
          <w:sz w:val="24"/>
          <w:highlight w:val="none"/>
          <w:lang w:val="en-US" w:eastAsia="zh-CN"/>
        </w:rPr>
        <w:t>内容为新建2栋配种舍，2栋分娩舍和2栋保育舍；扩建干粪堆积场面积原占地面积245m</w:t>
      </w:r>
      <w:r>
        <w:rPr>
          <w:rFonts w:hint="eastAsia" w:ascii="Times New Roman" w:eastAsia="宋体" w:cs="Times New Roman"/>
          <w:color w:val="auto"/>
          <w:sz w:val="24"/>
          <w:highlight w:val="none"/>
          <w:vertAlign w:val="superscript"/>
          <w:lang w:val="en-US" w:eastAsia="zh-CN"/>
        </w:rPr>
        <w:t>2</w:t>
      </w:r>
      <w:r>
        <w:rPr>
          <w:rFonts w:hint="eastAsia" w:ascii="Times New Roman" w:eastAsia="宋体" w:cs="Times New Roman"/>
          <w:color w:val="auto"/>
          <w:sz w:val="24"/>
          <w:highlight w:val="none"/>
          <w:lang w:val="en-US" w:eastAsia="zh-CN"/>
        </w:rPr>
        <w:t>，建筑面积245m</w:t>
      </w:r>
      <w:r>
        <w:rPr>
          <w:rFonts w:hint="eastAsia" w:ascii="Times New Roman" w:eastAsia="宋体" w:cs="Times New Roman"/>
          <w:color w:val="auto"/>
          <w:sz w:val="24"/>
          <w:highlight w:val="none"/>
          <w:vertAlign w:val="superscript"/>
          <w:lang w:val="en-US" w:eastAsia="zh-CN"/>
        </w:rPr>
        <w:t>2</w:t>
      </w:r>
      <w:r>
        <w:rPr>
          <w:rFonts w:hint="eastAsia" w:ascii="Times New Roman" w:eastAsia="宋体" w:cs="Times New Roman"/>
          <w:color w:val="auto"/>
          <w:sz w:val="24"/>
          <w:highlight w:val="none"/>
          <w:lang w:val="en-US" w:eastAsia="zh-CN"/>
        </w:rPr>
        <w:t>，容积为490m</w:t>
      </w:r>
      <w:r>
        <w:rPr>
          <w:rFonts w:hint="eastAsia" w:ascii="Times New Roman" w:eastAsia="宋体" w:cs="Times New Roman"/>
          <w:color w:val="auto"/>
          <w:sz w:val="24"/>
          <w:highlight w:val="none"/>
          <w:vertAlign w:val="superscript"/>
          <w:lang w:val="en-US" w:eastAsia="zh-CN"/>
        </w:rPr>
        <w:t>3</w:t>
      </w:r>
      <w:r>
        <w:rPr>
          <w:rFonts w:hint="eastAsia" w:ascii="Times New Roman" w:eastAsia="宋体" w:cs="Times New Roman"/>
          <w:color w:val="auto"/>
          <w:sz w:val="24"/>
          <w:highlight w:val="none"/>
          <w:lang w:val="en-US" w:eastAsia="zh-CN"/>
        </w:rPr>
        <w:t>，现扩建至占地面积450m</w:t>
      </w:r>
      <w:r>
        <w:rPr>
          <w:rFonts w:hint="eastAsia" w:ascii="Times New Roman" w:eastAsia="宋体" w:cs="Times New Roman"/>
          <w:color w:val="auto"/>
          <w:sz w:val="24"/>
          <w:highlight w:val="none"/>
          <w:vertAlign w:val="superscript"/>
          <w:lang w:val="en-US" w:eastAsia="zh-CN"/>
        </w:rPr>
        <w:t>2</w:t>
      </w:r>
      <w:r>
        <w:rPr>
          <w:rFonts w:hint="eastAsia" w:ascii="Times New Roman" w:eastAsia="宋体" w:cs="Times New Roman"/>
          <w:color w:val="auto"/>
          <w:sz w:val="24"/>
          <w:highlight w:val="none"/>
          <w:lang w:val="en-US" w:eastAsia="zh-CN"/>
        </w:rPr>
        <w:t>，建筑面积450m</w:t>
      </w:r>
      <w:r>
        <w:rPr>
          <w:rFonts w:hint="eastAsia" w:ascii="Times New Roman" w:eastAsia="宋体" w:cs="Times New Roman"/>
          <w:color w:val="auto"/>
          <w:sz w:val="24"/>
          <w:highlight w:val="none"/>
          <w:vertAlign w:val="superscript"/>
          <w:lang w:val="en-US" w:eastAsia="zh-CN"/>
        </w:rPr>
        <w:t>2</w:t>
      </w:r>
      <w:r>
        <w:rPr>
          <w:rFonts w:hint="eastAsia" w:ascii="Times New Roman" w:eastAsia="宋体" w:cs="Times New Roman"/>
          <w:color w:val="auto"/>
          <w:sz w:val="24"/>
          <w:highlight w:val="none"/>
          <w:lang w:val="en-US" w:eastAsia="zh-CN"/>
        </w:rPr>
        <w:t>，容积为900m</w:t>
      </w:r>
      <w:r>
        <w:rPr>
          <w:rFonts w:hint="eastAsia" w:ascii="Times New Roman" w:eastAsia="宋体" w:cs="Times New Roman"/>
          <w:color w:val="auto"/>
          <w:sz w:val="24"/>
          <w:highlight w:val="none"/>
          <w:vertAlign w:val="superscript"/>
          <w:lang w:val="en-US" w:eastAsia="zh-CN"/>
        </w:rPr>
        <w:t>3</w:t>
      </w:r>
      <w:r>
        <w:rPr>
          <w:rFonts w:hint="eastAsia" w:ascii="Times New Roman" w:eastAsia="宋体" w:cs="Times New Roman"/>
          <w:color w:val="auto"/>
          <w:sz w:val="24"/>
          <w:highlight w:val="none"/>
          <w:lang w:val="en-US" w:eastAsia="zh-CN"/>
        </w:rPr>
        <w:t>；扩建洗消车间，新增50m</w:t>
      </w:r>
      <w:r>
        <w:rPr>
          <w:rFonts w:hint="eastAsia" w:ascii="Times New Roman" w:eastAsia="宋体" w:cs="Times New Roman"/>
          <w:color w:val="auto"/>
          <w:sz w:val="24"/>
          <w:highlight w:val="none"/>
          <w:vertAlign w:val="superscript"/>
          <w:lang w:val="en-US" w:eastAsia="zh-CN"/>
        </w:rPr>
        <w:t>2</w:t>
      </w:r>
      <w:r>
        <w:rPr>
          <w:rFonts w:hint="eastAsia" w:ascii="Times New Roman" w:eastAsia="宋体" w:cs="Times New Roman"/>
          <w:color w:val="auto"/>
          <w:sz w:val="24"/>
          <w:highlight w:val="none"/>
          <w:lang w:val="en-US" w:eastAsia="zh-CN"/>
        </w:rPr>
        <w:t>；新建黑膜厌氧池沼气燃烧系统。</w:t>
      </w:r>
      <w:r>
        <w:rPr>
          <w:rFonts w:hint="default" w:ascii="Times New Roman" w:hAnsi="Times New Roman" w:eastAsia="宋体" w:cs="Times New Roman"/>
          <w:color w:val="auto"/>
          <w:sz w:val="24"/>
          <w:highlight w:val="none"/>
          <w:lang w:val="en-US" w:eastAsia="zh-CN"/>
        </w:rPr>
        <w:t>其他工程均依托现有项目。</w:t>
      </w:r>
      <w:r>
        <w:rPr>
          <w:rFonts w:hint="eastAsia" w:ascii="Times New Roman" w:eastAsia="宋体" w:cs="Times New Roman"/>
          <w:color w:val="auto"/>
          <w:sz w:val="24"/>
          <w:highlight w:val="none"/>
          <w:lang w:val="en-US" w:eastAsia="zh-CN"/>
        </w:rPr>
        <w:t>原生产规</w:t>
      </w:r>
      <w:r>
        <w:rPr>
          <w:rFonts w:hint="default" w:ascii="Times New Roman" w:hAnsi="Times New Roman" w:eastAsia="宋体" w:cs="Times New Roman"/>
          <w:color w:val="auto"/>
          <w:sz w:val="24"/>
          <w:highlight w:val="none"/>
          <w:lang w:val="en-US" w:eastAsia="zh-CN"/>
        </w:rPr>
        <w:t>模为年存栏生猪2400头，年出栏生猪4500头。</w:t>
      </w:r>
      <w:r>
        <w:rPr>
          <w:rFonts w:hint="eastAsia" w:ascii="Times New Roman" w:eastAsia="宋体" w:cs="Times New Roman"/>
          <w:color w:val="auto"/>
          <w:sz w:val="24"/>
          <w:highlight w:val="none"/>
          <w:lang w:val="en-US" w:eastAsia="zh-CN"/>
        </w:rPr>
        <w:t>扩建</w:t>
      </w:r>
      <w:r>
        <w:rPr>
          <w:rFonts w:hint="eastAsia" w:ascii="Times New Roman" w:hAnsi="Times New Roman" w:eastAsia="宋体" w:cs="Times New Roman"/>
          <w:color w:val="auto"/>
          <w:sz w:val="24"/>
          <w:highlight w:val="none"/>
          <w:lang w:val="en-US" w:eastAsia="zh-CN"/>
        </w:rPr>
        <w:t>后年存栏8000头（母猪950头，公猪50头，哺乳仔猪1700头，保育仔猪3300头，后备猪2000头），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eastAsia="宋体" w:cs="Times New Roman"/>
          <w:color w:val="auto"/>
          <w:sz w:val="24"/>
          <w:highlight w:val="none"/>
          <w:lang w:val="en-US" w:eastAsia="zh-CN"/>
        </w:rPr>
        <w:t>商品猪（仔猪）</w:t>
      </w:r>
      <w:r>
        <w:rPr>
          <w:rFonts w:hint="eastAsia" w:ascii="Times New Roman" w:hAnsi="Times New Roman" w:eastAsia="宋体" w:cs="Times New Roman"/>
          <w:color w:val="auto"/>
          <w:sz w:val="24"/>
          <w:highlight w:val="none"/>
          <w:lang w:val="en-US" w:eastAsia="zh-CN"/>
        </w:rPr>
        <w:t>16000</w:t>
      </w:r>
      <w:r>
        <w:rPr>
          <w:rFonts w:hint="default" w:ascii="Times New Roman" w:hAnsi="Times New Roman" w:eastAsia="宋体" w:cs="Times New Roman"/>
          <w:color w:val="auto"/>
          <w:sz w:val="24"/>
          <w:highlight w:val="none"/>
          <w:lang w:val="en-US" w:eastAsia="zh-CN"/>
        </w:rPr>
        <w:t>头。</w:t>
      </w:r>
    </w:p>
    <w:p w14:paraId="29F9709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eastAsia="zh-CN"/>
        </w:rPr>
        <w:t>与周围环境关系特点</w:t>
      </w:r>
    </w:p>
    <w:p w14:paraId="014647DD">
      <w:pPr>
        <w:spacing w:line="360" w:lineRule="auto"/>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本项目位于黑龙江省</w:t>
      </w:r>
      <w:r>
        <w:rPr>
          <w:rFonts w:hint="eastAsia" w:ascii="Times New Roman" w:hAnsi="Times New Roman" w:cs="Times New Roman"/>
          <w:snapToGrid w:val="0"/>
          <w:color w:val="auto"/>
          <w:highlight w:val="none"/>
          <w:lang w:eastAsia="zh-CN"/>
        </w:rPr>
        <w:t>鸡西市密山市柳毛乡团结村4组。</w:t>
      </w:r>
      <w:r>
        <w:rPr>
          <w:rFonts w:hint="eastAsia" w:ascii="Times New Roman" w:hAnsi="Times New Roman" w:cs="Times New Roman"/>
          <w:color w:val="auto"/>
          <w:sz w:val="24"/>
          <w:highlight w:val="none"/>
          <w:lang w:val="en-US" w:eastAsia="zh-CN"/>
        </w:rPr>
        <w:t>项目总</w:t>
      </w:r>
      <w:r>
        <w:rPr>
          <w:rFonts w:hint="default" w:ascii="Times New Roman" w:hAnsi="Times New Roman" w:cs="Times New Roman"/>
          <w:color w:val="auto"/>
          <w:sz w:val="24"/>
          <w:highlight w:val="none"/>
          <w:lang w:val="en-US" w:eastAsia="zh-CN"/>
        </w:rPr>
        <w:t>占地面积为</w:t>
      </w:r>
      <w:r>
        <w:rPr>
          <w:rFonts w:hint="eastAsia" w:ascii="Times New Roman" w:hAnsi="Times New Roman" w:cs="Times New Roman"/>
          <w:color w:val="auto"/>
          <w:sz w:val="24"/>
          <w:highlight w:val="none"/>
          <w:lang w:val="en-US" w:eastAsia="zh-CN"/>
        </w:rPr>
        <w:t>27000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vertAlign w:val="baseline"/>
          <w:lang w:eastAsia="zh-CN"/>
        </w:rPr>
        <w:t>，</w:t>
      </w:r>
      <w:r>
        <w:rPr>
          <w:rFonts w:hint="eastAsia" w:ascii="Times New Roman" w:hAnsi="Times New Roman" w:cs="Times New Roman"/>
          <w:color w:val="auto"/>
          <w:highlight w:val="none"/>
          <w:vertAlign w:val="baseline"/>
          <w:lang w:val="en-US" w:eastAsia="zh-CN"/>
        </w:rPr>
        <w:t>建设区域占地为9690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eastAsia" w:ascii="Times New Roman" w:hAnsi="Times New Roman" w:eastAsia="宋体" w:cs="Times New Roman"/>
          <w:color w:val="auto"/>
          <w:highlight w:val="none"/>
          <w:vertAlign w:val="baseline"/>
          <w:lang w:eastAsia="zh-CN"/>
        </w:rPr>
        <w:t>，</w:t>
      </w:r>
      <w:r>
        <w:rPr>
          <w:rFonts w:hint="eastAsia" w:ascii="Times New Roman" w:hAnsi="Times New Roman" w:cs="Times New Roman"/>
          <w:color w:val="auto"/>
          <w:sz w:val="24"/>
          <w:highlight w:val="none"/>
          <w:lang w:val="en-US" w:eastAsia="zh-CN"/>
        </w:rPr>
        <w:t>占地</w:t>
      </w:r>
      <w:r>
        <w:rPr>
          <w:rFonts w:hint="default" w:ascii="Times New Roman" w:hAnsi="Times New Roman" w:cs="Times New Roman"/>
          <w:color w:val="auto"/>
          <w:sz w:val="24"/>
          <w:highlight w:val="none"/>
        </w:rPr>
        <w:t>类型为</w:t>
      </w:r>
      <w:r>
        <w:rPr>
          <w:rFonts w:hint="eastAsia" w:ascii="Times New Roman" w:hAnsi="Times New Roman" w:cs="Times New Roman"/>
          <w:color w:val="auto"/>
          <w:sz w:val="24"/>
          <w:highlight w:val="none"/>
          <w:lang w:val="en-US" w:eastAsia="zh-CN"/>
        </w:rPr>
        <w:t>设施农用地。</w:t>
      </w:r>
      <w:r>
        <w:rPr>
          <w:rFonts w:hint="default" w:ascii="Times New Roman" w:hAnsi="Times New Roman" w:eastAsia="宋体" w:cs="Times New Roman"/>
          <w:color w:val="auto"/>
          <w:highlight w:val="none"/>
          <w:lang w:val="en-US" w:eastAsia="zh-CN"/>
        </w:rPr>
        <w:t>项目四周均为</w:t>
      </w:r>
      <w:r>
        <w:rPr>
          <w:rFonts w:hint="eastAsia" w:ascii="Times New Roman" w:hAnsi="Times New Roman" w:eastAsia="宋体" w:cs="Times New Roman"/>
          <w:color w:val="auto"/>
          <w:highlight w:val="none"/>
          <w:lang w:val="en-US" w:eastAsia="zh-CN"/>
        </w:rPr>
        <w:t>农田，400m范围内无地表功能性水体。根据测绘文件，距本项目最近的敏感点为厂界东南侧578m团结村四组居民，根据生态环境部2018年2月26日关于《关于畜禽养殖业选址问题的回复》，村屯居民区不属于城市和城镇居民区，不属于禁建区。本项目的建设满足《畜禽养殖业污染防治技术规范》（HJ/T81-2001）中规定的“场界与禁建区域边界的最小距离不得小于500m”和“贮存设施的位置必须远离各类功能地表水体（距离不得小于400m）”的要求。</w:t>
      </w:r>
      <w:r>
        <w:rPr>
          <w:rFonts w:hint="eastAsia" w:ascii="Times New Roman" w:hAnsi="Times New Roman" w:cs="Times New Roman"/>
          <w:color w:val="auto"/>
          <w:sz w:val="24"/>
          <w:highlight w:val="none"/>
          <w:lang w:val="en-US" w:eastAsia="zh-CN"/>
        </w:rPr>
        <w:t>项目选址</w:t>
      </w:r>
      <w:r>
        <w:rPr>
          <w:rFonts w:hint="default" w:ascii="Times New Roman" w:hAnsi="Times New Roman" w:cs="Times New Roman"/>
          <w:color w:val="auto"/>
          <w:sz w:val="24"/>
          <w:highlight w:val="none"/>
        </w:rPr>
        <w:t>不在禁养区内，不涉及饮用水水源保护区，不占用基本农田，符合环保法、畜牧法、安全生产法等相关法律法规要求，符合养殖业产业政策。</w:t>
      </w:r>
    </w:p>
    <w:p w14:paraId="11B44596">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3、养殖方式</w:t>
      </w:r>
    </w:p>
    <w:p w14:paraId="4605A49D">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采用全进全出工厂化养猪饲养工艺进行养殖，猪群的配种怀孕、分娩、保育将使用工程流水线，生产周期以周为节拍进行全进全出的转栏饲养。养殖工艺共分为三个阶段：配种妊娠阶段、产仔哺乳阶段、断奶仔猪培育阶段，各阶段的主要工作如下：</w:t>
      </w:r>
    </w:p>
    <w:p w14:paraId="4E37118A">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①</w:t>
      </w:r>
      <w:r>
        <w:rPr>
          <w:rFonts w:hint="default" w:ascii="Times New Roman" w:hAnsi="Times New Roman" w:eastAsia="宋体" w:cs="Times New Roman"/>
          <w:snapToGrid w:val="0"/>
          <w:color w:val="auto"/>
          <w:kern w:val="0"/>
          <w:sz w:val="24"/>
          <w:szCs w:val="24"/>
          <w:highlight w:val="none"/>
          <w:lang w:val="en-US" w:eastAsia="zh-CN" w:bidi="ar-SA"/>
        </w:rPr>
        <w:t>配种妊娠阶段</w:t>
      </w:r>
    </w:p>
    <w:p w14:paraId="2E291E4F">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在此阶段母猪要</w:t>
      </w:r>
      <w:r>
        <w:rPr>
          <w:rFonts w:hint="eastAsia" w:ascii="Times New Roman" w:hAnsi="Times New Roman" w:eastAsia="宋体" w:cs="Times New Roman"/>
          <w:snapToGrid w:val="0"/>
          <w:color w:val="auto"/>
          <w:kern w:val="0"/>
          <w:sz w:val="24"/>
          <w:szCs w:val="24"/>
          <w:highlight w:val="none"/>
          <w:lang w:val="en-US" w:eastAsia="zh-CN" w:bidi="ar-SA"/>
        </w:rPr>
        <w:t>在配种舍</w:t>
      </w:r>
      <w:r>
        <w:rPr>
          <w:rFonts w:hint="default" w:ascii="Times New Roman" w:hAnsi="Times New Roman" w:eastAsia="宋体" w:cs="Times New Roman"/>
          <w:snapToGrid w:val="0"/>
          <w:color w:val="auto"/>
          <w:kern w:val="0"/>
          <w:sz w:val="24"/>
          <w:szCs w:val="24"/>
          <w:highlight w:val="none"/>
          <w:lang w:val="en-US" w:eastAsia="zh-CN" w:bidi="ar-SA"/>
        </w:rPr>
        <w:t>完成配种并度过妊娠期。单栏饲养待配母猪，配种期约需4周。空怀母猪在一周左右时间完成配种，没有配准的猪转入下批继续参加配种。妊娠期14周，母猪产前提前一周进入分娩舍。</w:t>
      </w:r>
    </w:p>
    <w:p w14:paraId="4FDB88CF">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②</w:t>
      </w:r>
      <w:r>
        <w:rPr>
          <w:rFonts w:hint="default" w:ascii="Times New Roman" w:hAnsi="Times New Roman" w:eastAsia="宋体" w:cs="Times New Roman"/>
          <w:snapToGrid w:val="0"/>
          <w:color w:val="auto"/>
          <w:kern w:val="0"/>
          <w:sz w:val="24"/>
          <w:szCs w:val="24"/>
          <w:highlight w:val="none"/>
          <w:lang w:val="en-US" w:eastAsia="zh-CN" w:bidi="ar-SA"/>
        </w:rPr>
        <w:t>产仔哺乳阶段</w:t>
      </w:r>
    </w:p>
    <w:p w14:paraId="43D2CCFF">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同一周配种的母猪，要按预产期最早的母猪，提前一周同批进入分娩舍，在此阶段要完成分娩和对仔猪的哺育，约5周，断奶后仔猪转入下一阶段饲养，母猪回到</w:t>
      </w:r>
      <w:r>
        <w:rPr>
          <w:rFonts w:hint="eastAsia" w:ascii="Times New Roman" w:hAnsi="Times New Roman" w:eastAsia="宋体" w:cs="Times New Roman"/>
          <w:snapToGrid w:val="0"/>
          <w:color w:val="auto"/>
          <w:kern w:val="0"/>
          <w:sz w:val="24"/>
          <w:szCs w:val="24"/>
          <w:highlight w:val="none"/>
          <w:lang w:val="en-US" w:eastAsia="zh-CN" w:bidi="ar-SA"/>
        </w:rPr>
        <w:t>后备舍</w:t>
      </w:r>
      <w:r>
        <w:rPr>
          <w:rFonts w:hint="default" w:ascii="Times New Roman" w:hAnsi="Times New Roman" w:eastAsia="宋体" w:cs="Times New Roman"/>
          <w:snapToGrid w:val="0"/>
          <w:color w:val="auto"/>
          <w:kern w:val="0"/>
          <w:sz w:val="24"/>
          <w:szCs w:val="24"/>
          <w:highlight w:val="none"/>
          <w:lang w:val="en-US" w:eastAsia="zh-CN" w:bidi="ar-SA"/>
        </w:rPr>
        <w:t>参加下一个繁殖周期的配种。</w:t>
      </w:r>
    </w:p>
    <w:p w14:paraId="4D1AF67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③</w:t>
      </w:r>
      <w:r>
        <w:rPr>
          <w:rFonts w:hint="default" w:ascii="Times New Roman" w:hAnsi="Times New Roman" w:eastAsia="宋体" w:cs="Times New Roman"/>
          <w:color w:val="auto"/>
          <w:kern w:val="0"/>
          <w:sz w:val="24"/>
          <w:szCs w:val="24"/>
          <w:highlight w:val="none"/>
          <w:lang w:val="en-US" w:eastAsia="zh-CN" w:bidi="ar-SA"/>
        </w:rPr>
        <w:t>断奶仔猪培育阶段</w:t>
      </w:r>
    </w:p>
    <w:p w14:paraId="78C9AC52">
      <w:pPr>
        <w:spacing w:line="360" w:lineRule="auto"/>
        <w:ind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仔猪断奶后，同批转入</w:t>
      </w:r>
      <w:r>
        <w:rPr>
          <w:rFonts w:hint="eastAsia" w:ascii="Times New Roman" w:hAnsi="Times New Roman" w:eastAsia="宋体" w:cs="Times New Roman"/>
          <w:color w:val="auto"/>
          <w:kern w:val="0"/>
          <w:sz w:val="24"/>
          <w:szCs w:val="24"/>
          <w:highlight w:val="none"/>
          <w:lang w:val="en-US" w:eastAsia="zh-CN" w:bidi="ar-SA"/>
        </w:rPr>
        <w:t>保育</w:t>
      </w:r>
      <w:r>
        <w:rPr>
          <w:rFonts w:hint="default" w:ascii="Times New Roman" w:hAnsi="Times New Roman" w:eastAsia="宋体" w:cs="Times New Roman"/>
          <w:color w:val="auto"/>
          <w:kern w:val="0"/>
          <w:sz w:val="24"/>
          <w:szCs w:val="24"/>
          <w:highlight w:val="none"/>
          <w:lang w:val="en-US" w:eastAsia="zh-CN" w:bidi="ar-SA"/>
        </w:rPr>
        <w:t>舍，在</w:t>
      </w:r>
      <w:r>
        <w:rPr>
          <w:rFonts w:hint="eastAsia" w:ascii="Times New Roman" w:hAnsi="Times New Roman" w:eastAsia="宋体" w:cs="Times New Roman"/>
          <w:color w:val="auto"/>
          <w:kern w:val="0"/>
          <w:sz w:val="24"/>
          <w:szCs w:val="24"/>
          <w:highlight w:val="none"/>
          <w:lang w:val="en-US" w:eastAsia="zh-CN" w:bidi="ar-SA"/>
        </w:rPr>
        <w:t>保育舍</w:t>
      </w:r>
      <w:r>
        <w:rPr>
          <w:rFonts w:hint="default" w:ascii="Times New Roman" w:hAnsi="Times New Roman" w:eastAsia="宋体" w:cs="Times New Roman"/>
          <w:color w:val="auto"/>
          <w:kern w:val="0"/>
          <w:sz w:val="24"/>
          <w:szCs w:val="24"/>
          <w:highlight w:val="none"/>
          <w:lang w:val="en-US" w:eastAsia="zh-CN" w:bidi="ar-SA"/>
        </w:rPr>
        <w:t>饲养</w:t>
      </w:r>
      <w:r>
        <w:rPr>
          <w:rFonts w:hint="eastAsia" w:ascii="Times New Roman" w:hAnsi="Times New Roman" w:eastAsia="宋体" w:cs="Times New Roman"/>
          <w:color w:val="auto"/>
          <w:kern w:val="0"/>
          <w:sz w:val="24"/>
          <w:szCs w:val="24"/>
          <w:highlight w:val="none"/>
          <w:lang w:val="en-US" w:eastAsia="zh-CN" w:bidi="ar-SA"/>
        </w:rPr>
        <w:t>6</w:t>
      </w:r>
      <w:r>
        <w:rPr>
          <w:rFonts w:hint="default" w:ascii="Times New Roman" w:hAnsi="Times New Roman" w:eastAsia="宋体" w:cs="Times New Roman"/>
          <w:color w:val="auto"/>
          <w:kern w:val="0"/>
          <w:sz w:val="24"/>
          <w:szCs w:val="24"/>
          <w:highlight w:val="none"/>
          <w:lang w:val="en-US" w:eastAsia="zh-CN" w:bidi="ar-SA"/>
        </w:rPr>
        <w:t>周左右，这时幼猪已对外界环境条件有了相当的适应能力，仔猪作为</w:t>
      </w:r>
      <w:r>
        <w:rPr>
          <w:rFonts w:hint="eastAsia" w:ascii="Times New Roman" w:hAnsi="Times New Roman" w:eastAsia="宋体" w:cs="Times New Roman"/>
          <w:color w:val="auto"/>
          <w:kern w:val="0"/>
          <w:sz w:val="24"/>
          <w:szCs w:val="24"/>
          <w:highlight w:val="none"/>
          <w:lang w:val="en-US" w:eastAsia="zh-CN" w:bidi="ar-SA"/>
        </w:rPr>
        <w:t>商品</w:t>
      </w:r>
      <w:r>
        <w:rPr>
          <w:rFonts w:hint="default" w:ascii="Times New Roman" w:hAnsi="Times New Roman" w:eastAsia="宋体" w:cs="Times New Roman"/>
          <w:color w:val="auto"/>
          <w:kern w:val="0"/>
          <w:sz w:val="24"/>
          <w:szCs w:val="24"/>
          <w:highlight w:val="none"/>
          <w:lang w:val="en-US" w:eastAsia="zh-CN" w:bidi="ar-SA"/>
        </w:rPr>
        <w:t>猪外售</w:t>
      </w:r>
      <w:r>
        <w:rPr>
          <w:rFonts w:hint="eastAsia" w:ascii="Times New Roman" w:hAnsi="Times New Roman" w:eastAsia="宋体" w:cs="Times New Roman"/>
          <w:color w:val="auto"/>
          <w:kern w:val="0"/>
          <w:sz w:val="24"/>
          <w:szCs w:val="24"/>
          <w:highlight w:val="none"/>
          <w:lang w:val="en-US" w:eastAsia="zh-CN" w:bidi="ar-SA"/>
        </w:rPr>
        <w:t>。</w:t>
      </w:r>
    </w:p>
    <w:p w14:paraId="7742A18C">
      <w:pPr>
        <w:numPr>
          <w:ilvl w:val="0"/>
          <w:numId w:val="0"/>
        </w:numPr>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4、</w:t>
      </w:r>
      <w:r>
        <w:rPr>
          <w:rFonts w:hint="eastAsia" w:ascii="Times New Roman" w:hAnsi="Times New Roman" w:cs="Times New Roman"/>
          <w:color w:val="auto"/>
          <w:sz w:val="24"/>
          <w:highlight w:val="none"/>
          <w:lang w:val="en-US" w:eastAsia="zh-CN"/>
        </w:rPr>
        <w:t>饲料储存设施</w:t>
      </w:r>
    </w:p>
    <w:p w14:paraId="37E20195">
      <w:pPr>
        <w:numPr>
          <w:ilvl w:val="0"/>
          <w:numId w:val="0"/>
        </w:num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cs="Times New Roman"/>
          <w:color w:val="auto"/>
          <w:kern w:val="0"/>
          <w:sz w:val="24"/>
          <w:szCs w:val="24"/>
          <w:highlight w:val="none"/>
          <w:lang w:val="en-US" w:eastAsia="zh-CN" w:bidi="ar-SA"/>
        </w:rPr>
        <w:t>本项目</w:t>
      </w:r>
      <w:r>
        <w:rPr>
          <w:rFonts w:hint="eastAsia" w:ascii="Times New Roman" w:hAnsi="Times New Roman" w:cs="Times New Roman"/>
          <w:color w:val="auto"/>
          <w:sz w:val="24"/>
          <w:highlight w:val="none"/>
          <w:lang w:val="en-US" w:eastAsia="zh-CN"/>
        </w:rPr>
        <w:t>饲料储存于饲料塔中，外购全价饲料，外购饲料直接管道密闭输送至饲料塔，饲料投料采用密闭管道投加，无粉尘排放。扩建后厂区内设置饲料塔7座，饲料储量为130t，满负荷运行情况能够满足15天饲料用量，厂区内不设饲料储存区及饲料加工区。</w:t>
      </w:r>
    </w:p>
    <w:p w14:paraId="582DFEC0">
      <w:pPr>
        <w:numPr>
          <w:ilvl w:val="0"/>
          <w:numId w:val="0"/>
        </w:numPr>
        <w:spacing w:line="360" w:lineRule="auto"/>
        <w:ind w:firstLine="480" w:firstLineChars="20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5、供暖方式</w:t>
      </w:r>
    </w:p>
    <w:p w14:paraId="70C39195">
      <w:pPr>
        <w:numPr>
          <w:ilvl w:val="0"/>
          <w:numId w:val="0"/>
        </w:numPr>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本项目猪舍、办公区供暖采用电暖气取暖。</w:t>
      </w:r>
    </w:p>
    <w:p w14:paraId="299D6931">
      <w:pPr>
        <w:numPr>
          <w:ilvl w:val="0"/>
          <w:numId w:val="0"/>
        </w:num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6、堆肥工艺</w:t>
      </w:r>
    </w:p>
    <w:p w14:paraId="3597FFD9">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方式进行清粪，</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w:t>
      </w:r>
    </w:p>
    <w:p w14:paraId="0C09745E">
      <w:pPr>
        <w:pStyle w:val="94"/>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本项目运营期猪舍采用</w:t>
      </w:r>
      <w:r>
        <w:rPr>
          <w:rFonts w:hint="eastAsia" w:ascii="Times New Roman" w:hAnsi="Times New Roman" w:cs="Times New Roman"/>
          <w:color w:val="auto"/>
          <w:highlight w:val="none"/>
          <w:lang w:eastAsia="zh-CN"/>
        </w:rPr>
        <w:t>尿泡粪—干清粪</w:t>
      </w:r>
      <w:r>
        <w:rPr>
          <w:rFonts w:hint="default" w:ascii="Times New Roman" w:hAnsi="Times New Roman" w:cs="Times New Roman"/>
          <w:color w:val="auto"/>
          <w:highlight w:val="none"/>
        </w:rPr>
        <w:t>的清粪方式，及时清运粪污；在日粮中添加EM菌；定期喷洒生物除臭剂；</w:t>
      </w:r>
      <w:r>
        <w:rPr>
          <w:rFonts w:hint="eastAsia" w:ascii="Times New Roman" w:hAnsi="Times New Roman" w:cs="Times New Roman"/>
          <w:color w:val="auto"/>
          <w:highlight w:val="none"/>
          <w:lang w:eastAsia="zh-CN"/>
        </w:rPr>
        <w:t>干粪堆积场</w:t>
      </w:r>
      <w:r>
        <w:rPr>
          <w:rFonts w:hint="eastAsia" w:ascii="Times New Roman"/>
          <w:color w:val="auto"/>
          <w:highlight w:val="none"/>
          <w:lang w:val="en-US" w:eastAsia="zh-CN"/>
        </w:rPr>
        <w:t>臭气</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bCs/>
          <w:snapToGrid w:val="0"/>
          <w:color w:val="auto"/>
          <w:sz w:val="24"/>
          <w:szCs w:val="24"/>
          <w:highlight w:val="none"/>
          <w:lang w:eastAsia="zh-CN"/>
        </w:rPr>
        <w:t>；</w:t>
      </w:r>
      <w:r>
        <w:rPr>
          <w:rFonts w:hint="default" w:ascii="Times New Roman" w:hAnsi="Times New Roman" w:cs="Times New Roman"/>
          <w:snapToGrid w:val="0"/>
          <w:color w:val="auto"/>
          <w:sz w:val="24"/>
          <w:szCs w:val="24"/>
          <w:highlight w:val="none"/>
          <w:lang w:val="en-US" w:eastAsia="zh-CN"/>
        </w:rPr>
        <w:t>及时清运固体粪污</w:t>
      </w:r>
      <w:r>
        <w:rPr>
          <w:rFonts w:hint="eastAsia" w:ascii="Times New Roman" w:hAnsi="Times New Roman" w:cs="Times New Roman"/>
          <w:snapToGrid w:val="0"/>
          <w:color w:val="auto"/>
          <w:sz w:val="24"/>
          <w:szCs w:val="24"/>
          <w:highlight w:val="none"/>
          <w:lang w:val="en-US" w:eastAsia="zh-CN"/>
        </w:rPr>
        <w:t>，</w:t>
      </w:r>
      <w:r>
        <w:rPr>
          <w:rFonts w:hint="default" w:ascii="Times New Roman" w:hAnsi="Times New Roman" w:cs="Times New Roman"/>
          <w:snapToGrid w:val="0"/>
          <w:color w:val="auto"/>
          <w:sz w:val="24"/>
          <w:szCs w:val="24"/>
          <w:highlight w:val="none"/>
          <w:lang w:val="en-US" w:eastAsia="zh-CN"/>
        </w:rPr>
        <w:t>采用好氧堆肥方式；</w:t>
      </w:r>
      <w:r>
        <w:rPr>
          <w:rFonts w:hint="default" w:ascii="Times New Roman" w:hAnsi="Times New Roman" w:eastAsia="宋体" w:cs="Times New Roman"/>
          <w:color w:val="auto"/>
          <w:kern w:val="2"/>
          <w:sz w:val="24"/>
          <w:highlight w:val="none"/>
        </w:rPr>
        <w:t>恶臭</w:t>
      </w:r>
      <w:r>
        <w:rPr>
          <w:rFonts w:hint="eastAsia" w:ascii="Times New Roman" w:hAnsi="Times New Roman" w:eastAsia="宋体" w:cs="Times New Roman"/>
          <w:color w:val="auto"/>
          <w:kern w:val="2"/>
          <w:sz w:val="24"/>
          <w:highlight w:val="none"/>
          <w:lang w:val="en-US" w:eastAsia="zh-CN"/>
        </w:rPr>
        <w:t>气体</w:t>
      </w:r>
      <w:r>
        <w:rPr>
          <w:rFonts w:hint="default" w:ascii="Times New Roman" w:hAnsi="Times New Roman" w:eastAsia="宋体" w:cs="Times New Roman"/>
          <w:color w:val="auto"/>
          <w:kern w:val="2"/>
          <w:sz w:val="24"/>
          <w:highlight w:val="none"/>
        </w:rPr>
        <w:t>采用负压收集后（收集效率90%）进入活性炭吸附装置净化处理后（处理效率90%）经15米高排气筒排放，废气量为</w:t>
      </w:r>
      <w:r>
        <w:rPr>
          <w:rFonts w:hint="eastAsia" w:ascii="Times New Roman" w:hAnsi="Times New Roman" w:cs="Times New Roman"/>
          <w:color w:val="auto"/>
          <w:kern w:val="2"/>
          <w:sz w:val="24"/>
          <w:highlight w:val="none"/>
          <w:lang w:eastAsia="zh-CN"/>
        </w:rPr>
        <w:t>5000</w:t>
      </w:r>
      <w:r>
        <w:rPr>
          <w:rFonts w:hint="default" w:ascii="Times New Roman" w:hAnsi="Times New Roman" w:eastAsia="宋体" w:cs="Times New Roman"/>
          <w:color w:val="auto"/>
          <w:kern w:val="2"/>
          <w:sz w:val="24"/>
          <w:highlight w:val="none"/>
        </w:rPr>
        <w:t>m</w:t>
      </w:r>
      <w:r>
        <w:rPr>
          <w:rFonts w:hint="default" w:ascii="Times New Roman" w:hAnsi="Times New Roman" w:eastAsia="宋体" w:cs="Times New Roman"/>
          <w:color w:val="auto"/>
          <w:kern w:val="2"/>
          <w:sz w:val="24"/>
          <w:highlight w:val="none"/>
          <w:vertAlign w:val="superscript"/>
        </w:rPr>
        <w:t>3</w:t>
      </w:r>
      <w:r>
        <w:rPr>
          <w:rFonts w:hint="default" w:ascii="Times New Roman" w:hAnsi="Times New Roman" w:eastAsia="宋体" w:cs="Times New Roman"/>
          <w:color w:val="auto"/>
          <w:kern w:val="2"/>
          <w:sz w:val="24"/>
          <w:highlight w:val="none"/>
        </w:rPr>
        <w:t>/h</w:t>
      </w:r>
      <w:r>
        <w:rPr>
          <w:rFonts w:hint="default" w:ascii="Times New Roman" w:hAnsi="Times New Roman" w:eastAsia="宋体" w:cs="Times New Roman"/>
          <w:snapToGrid w:val="0"/>
          <w:color w:val="auto"/>
          <w:sz w:val="24"/>
          <w:szCs w:val="24"/>
          <w:highlight w:val="none"/>
          <w:lang w:val="en-US" w:eastAsia="zh-CN" w:bidi="ar"/>
        </w:rPr>
        <w:t>。对固液分离间处理设施进行封闭</w:t>
      </w:r>
      <w:r>
        <w:rPr>
          <w:rFonts w:hint="eastAsia" w:ascii="Times New Roman" w:hAnsi="Times New Roman" w:cs="Times New Roman"/>
          <w:snapToGrid w:val="0"/>
          <w:color w:val="auto"/>
          <w:sz w:val="24"/>
          <w:szCs w:val="24"/>
          <w:highlight w:val="none"/>
          <w:lang w:val="en-US" w:eastAsia="zh-CN" w:bidi="ar"/>
        </w:rPr>
        <w:t>，</w:t>
      </w:r>
      <w:r>
        <w:rPr>
          <w:rFonts w:hint="eastAsia" w:ascii="Times New Roman"/>
          <w:color w:val="auto"/>
          <w:highlight w:val="none"/>
          <w:lang w:val="en-US" w:eastAsia="zh-CN"/>
        </w:rPr>
        <w:t>臭气定期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eastAsia="宋体" w:cs="Times New Roman"/>
          <w:snapToGrid w:val="0"/>
          <w:color w:val="auto"/>
          <w:sz w:val="24"/>
          <w:szCs w:val="24"/>
          <w:highlight w:val="none"/>
          <w:lang w:val="en-US" w:eastAsia="zh-CN" w:bidi="ar"/>
        </w:rPr>
        <w:t>。</w:t>
      </w:r>
      <w:r>
        <w:rPr>
          <w:rFonts w:hint="default" w:ascii="Times New Roman" w:hAnsi="Times New Roman" w:cs="Times New Roman"/>
          <w:snapToGrid w:val="0"/>
          <w:color w:val="auto"/>
          <w:sz w:val="24"/>
          <w:szCs w:val="24"/>
          <w:highlight w:val="none"/>
          <w:lang w:val="en-US" w:eastAsia="zh-CN" w:bidi="ar"/>
        </w:rPr>
        <w:t>全场</w:t>
      </w:r>
      <w:r>
        <w:rPr>
          <w:rFonts w:hint="default" w:ascii="Times New Roman" w:hAnsi="Times New Roman" w:eastAsia="宋体" w:cs="Times New Roman"/>
          <w:snapToGrid w:val="0"/>
          <w:color w:val="auto"/>
          <w:kern w:val="0"/>
          <w:sz w:val="24"/>
          <w:szCs w:val="24"/>
          <w:highlight w:val="none"/>
          <w:lang w:val="en-US" w:eastAsia="zh-CN" w:bidi="ar"/>
        </w:rPr>
        <w:t>固体粪污规范还田利用；场区运输道路全硬化、及时清扫、无积灰扬尘、定期洒水抑尘。</w:t>
      </w:r>
      <w:r>
        <w:rPr>
          <w:rFonts w:hint="default" w:ascii="Times New Roman" w:hAnsi="Times New Roman" w:eastAsia="宋体" w:cs="Times New Roman"/>
          <w:snapToGrid w:val="0"/>
          <w:color w:val="auto"/>
          <w:sz w:val="24"/>
          <w:szCs w:val="24"/>
          <w:highlight w:val="none"/>
          <w:lang w:val="en-US" w:eastAsia="zh-CN" w:bidi="ar"/>
        </w:rPr>
        <w:t>黑膜厌氧池</w:t>
      </w:r>
      <w:r>
        <w:rPr>
          <w:rFonts w:hint="default" w:ascii="Times New Roman" w:hAnsi="Times New Roman" w:eastAsia="宋体" w:cs="Times New Roman"/>
          <w:snapToGrid w:val="0"/>
          <w:color w:val="auto"/>
          <w:kern w:val="0"/>
          <w:sz w:val="24"/>
          <w:szCs w:val="24"/>
          <w:highlight w:val="none"/>
          <w:lang w:val="en-US" w:eastAsia="zh-CN" w:bidi="ar"/>
        </w:rPr>
        <w:t>定期喷洒除臭剂</w:t>
      </w:r>
      <w:r>
        <w:rPr>
          <w:rFonts w:hint="default" w:ascii="Times New Roman" w:hAnsi="Times New Roman"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kern w:val="0"/>
          <w:sz w:val="24"/>
          <w:szCs w:val="24"/>
          <w:highlight w:val="none"/>
          <w:lang w:val="en-US" w:eastAsia="zh-CN" w:bidi="ar"/>
        </w:rPr>
        <w:t>黑膜厌氧池</w:t>
      </w:r>
      <w:r>
        <w:rPr>
          <w:rFonts w:hint="default" w:ascii="Times New Roman" w:hAnsi="Times New Roman" w:cs="Times New Roman"/>
          <w:snapToGrid w:val="0"/>
          <w:color w:val="auto"/>
          <w:kern w:val="0"/>
          <w:sz w:val="24"/>
          <w:szCs w:val="24"/>
          <w:highlight w:val="none"/>
          <w:lang w:val="en-US" w:eastAsia="zh-CN" w:bidi="ar"/>
        </w:rPr>
        <w:t>全封闭</w:t>
      </w:r>
      <w:r>
        <w:rPr>
          <w:rFonts w:hint="default" w:ascii="Times New Roman" w:hAnsi="Times New Roman" w:eastAsia="宋体" w:cs="Times New Roman"/>
          <w:snapToGrid w:val="0"/>
          <w:color w:val="auto"/>
          <w:kern w:val="0"/>
          <w:sz w:val="24"/>
          <w:szCs w:val="24"/>
          <w:highlight w:val="none"/>
          <w:lang w:val="en-US" w:eastAsia="zh-CN" w:bidi="ar"/>
        </w:rPr>
        <w:t>；</w:t>
      </w:r>
      <w:r>
        <w:rPr>
          <w:rFonts w:hint="default" w:ascii="Times New Roman" w:hAnsi="Times New Roman" w:cs="Times New Roman"/>
          <w:color w:val="auto"/>
          <w:highlight w:val="none"/>
        </w:rPr>
        <w:t>养殖废水</w:t>
      </w:r>
      <w:r>
        <w:rPr>
          <w:rFonts w:hint="default" w:ascii="Times New Roman" w:hAnsi="Times New Roman" w:cs="Times New Roman"/>
          <w:color w:val="auto"/>
          <w:highlight w:val="none"/>
          <w:lang w:val="en-US" w:eastAsia="zh-CN"/>
        </w:rPr>
        <w:t>和生活污水</w:t>
      </w:r>
      <w:r>
        <w:rPr>
          <w:rFonts w:hint="default" w:ascii="Times New Roman" w:hAnsi="Times New Roman" w:cs="Times New Roman"/>
          <w:color w:val="auto"/>
          <w:highlight w:val="none"/>
        </w:rPr>
        <w:t>经</w:t>
      </w:r>
      <w:r>
        <w:rPr>
          <w:rFonts w:hint="default" w:ascii="Times New Roman" w:hAnsi="Times New Roman" w:cs="Times New Roman"/>
          <w:color w:val="auto"/>
          <w:highlight w:val="none"/>
          <w:lang w:val="en-US" w:eastAsia="zh-CN"/>
        </w:rPr>
        <w:t>黑膜</w:t>
      </w:r>
      <w:r>
        <w:rPr>
          <w:rFonts w:hint="default" w:ascii="Times New Roman" w:hAnsi="Times New Roman" w:cs="Times New Roman"/>
          <w:color w:val="auto"/>
          <w:highlight w:val="none"/>
        </w:rPr>
        <w:t>厌氧池发酵处理后</w:t>
      </w:r>
      <w:r>
        <w:rPr>
          <w:rFonts w:hint="default" w:ascii="Times New Roman" w:hAnsi="Times New Roman" w:cs="Times New Roman"/>
          <w:color w:val="auto"/>
          <w:kern w:val="24"/>
          <w:highlight w:val="none"/>
        </w:rPr>
        <w:t>在施肥季节用于农田施肥，冬季暂存于</w:t>
      </w:r>
      <w:r>
        <w:rPr>
          <w:rFonts w:hint="default" w:ascii="Times New Roman" w:hAnsi="Times New Roman" w:cs="Times New Roman"/>
          <w:color w:val="auto"/>
          <w:kern w:val="24"/>
          <w:highlight w:val="none"/>
          <w:lang w:val="en-US" w:eastAsia="zh-CN"/>
        </w:rPr>
        <w:t>沼液贮存池</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猪粪、沼渣</w:t>
      </w:r>
      <w:r>
        <w:rPr>
          <w:rFonts w:hint="default" w:ascii="Times New Roman" w:hAnsi="Times New Roman" w:cs="Times New Roman"/>
          <w:color w:val="auto"/>
          <w:highlight w:val="none"/>
        </w:rPr>
        <w:t>送至</w:t>
      </w:r>
      <w:r>
        <w:rPr>
          <w:rFonts w:hint="eastAsia" w:ascii="Times New Roman" w:hAnsi="Times New Roman" w:cs="Times New Roman"/>
          <w:color w:val="auto"/>
          <w:highlight w:val="none"/>
          <w:lang w:val="en-US" w:eastAsia="zh-CN"/>
        </w:rPr>
        <w:t>干粪堆积场</w:t>
      </w:r>
      <w:r>
        <w:rPr>
          <w:rFonts w:hint="default" w:ascii="Times New Roman" w:hAnsi="Times New Roman" w:cs="Times New Roman"/>
          <w:color w:val="auto"/>
          <w:highlight w:val="none"/>
        </w:rPr>
        <w:t>堆肥发酵后还田，粪污</w:t>
      </w:r>
      <w:r>
        <w:rPr>
          <w:rFonts w:hint="eastAsia" w:ascii="Times New Roman" w:hAnsi="Times New Roman" w:cs="Times New Roman"/>
          <w:color w:val="auto"/>
          <w:highlight w:val="none"/>
          <w:lang w:eastAsia="zh-CN"/>
        </w:rPr>
        <w:t>不外排</w:t>
      </w:r>
      <w:r>
        <w:rPr>
          <w:rFonts w:hint="default" w:ascii="Times New Roman" w:hAnsi="Times New Roman" w:cs="Times New Roman"/>
          <w:color w:val="auto"/>
          <w:highlight w:val="none"/>
        </w:rPr>
        <w:t>；</w:t>
      </w:r>
      <w:r>
        <w:rPr>
          <w:rFonts w:hint="default" w:ascii="Times New Roman" w:hAnsi="Times New Roman" w:cs="Times New Roman"/>
          <w:color w:val="auto"/>
          <w:sz w:val="24"/>
          <w:highlight w:val="none"/>
          <w:lang w:val="en-US" w:eastAsia="zh-CN" w:bidi="ar"/>
        </w:rPr>
        <w:t>病死猪及胎盘</w:t>
      </w:r>
      <w:r>
        <w:rPr>
          <w:rFonts w:hint="eastAsia" w:ascii="Times New Roman" w:hAnsi="Times New Roman" w:cs="Times New Roman"/>
          <w:color w:val="auto"/>
          <w:sz w:val="24"/>
          <w:highlight w:val="none"/>
          <w:lang w:val="en-US" w:eastAsia="zh-CN" w:bidi="ar"/>
        </w:rPr>
        <w:t>冷冻（冰箱）保存后交由鸡西市鑫农源固废处理有限公司处置</w:t>
      </w:r>
      <w:r>
        <w:rPr>
          <w:rFonts w:hint="default" w:ascii="Times New Roman" w:hAnsi="Times New Roman" w:eastAsia="宋体" w:cs="Times New Roman"/>
          <w:color w:val="auto"/>
          <w:highlight w:val="none"/>
          <w:lang w:val="en-US" w:eastAsia="zh-CN"/>
        </w:rPr>
        <w:t>；生</w:t>
      </w:r>
      <w:r>
        <w:rPr>
          <w:rFonts w:hint="default" w:ascii="Times New Roman" w:hAnsi="Times New Roman" w:cs="Times New Roman"/>
          <w:color w:val="auto"/>
          <w:highlight w:val="none"/>
          <w:lang w:val="en-US" w:eastAsia="zh-CN"/>
        </w:rPr>
        <w:t>活垃圾单独收集，由环卫部门定期清运；废脱硫剂、</w:t>
      </w:r>
      <w:r>
        <w:rPr>
          <w:rFonts w:hint="eastAsia" w:ascii="Times New Roman" w:hAnsi="Times New Roman" w:cs="Times New Roman"/>
          <w:color w:val="auto"/>
          <w:highlight w:val="none"/>
          <w:lang w:val="en-US" w:eastAsia="zh-CN"/>
        </w:rPr>
        <w:t>废活性炭、</w:t>
      </w:r>
      <w:r>
        <w:rPr>
          <w:rFonts w:hint="default" w:ascii="Times New Roman" w:hAnsi="Times New Roman" w:cs="Times New Roman"/>
          <w:color w:val="auto"/>
          <w:highlight w:val="none"/>
          <w:lang w:val="en-US" w:eastAsia="zh-CN"/>
        </w:rPr>
        <w:t>废除臭剂桶由厂家回收；</w:t>
      </w:r>
      <w:r>
        <w:rPr>
          <w:rFonts w:hint="eastAsia" w:ascii="Times New Roman" w:hAnsi="Times New Roman" w:cs="Times New Roman"/>
          <w:color w:val="auto"/>
          <w:highlight w:val="none"/>
          <w:lang w:val="en-US" w:eastAsia="zh-CN"/>
        </w:rPr>
        <w:t>动物医疗废物</w:t>
      </w:r>
      <w:r>
        <w:rPr>
          <w:rFonts w:hint="default" w:ascii="Times New Roman" w:hAnsi="Times New Roman" w:cs="Times New Roman"/>
          <w:color w:val="auto"/>
          <w:highlight w:val="none"/>
          <w:lang w:val="en-US" w:eastAsia="zh-CN"/>
        </w:rPr>
        <w:t>暂存于医疗废物暂存间，交由有资质单位处置；</w:t>
      </w:r>
      <w:r>
        <w:rPr>
          <w:rFonts w:hint="default" w:ascii="Times New Roman" w:hAnsi="Times New Roman" w:cs="Times New Roman"/>
          <w:color w:val="auto"/>
          <w:highlight w:val="none"/>
        </w:rPr>
        <w:t>固体废弃物处置率可达到100%。经采取相应的处理措施后，项目运营期污染物均能实现达标排放，对周围环境及周边敏感点影响较小。</w:t>
      </w:r>
    </w:p>
    <w:p w14:paraId="5C5DE7AF">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发酵堆肥是指在有氧条件下，微生物通过自身的生物代谢活动，对一部分有机物进行分解代谢，以获得生物生长、活动所需要的能量，把另一部分有机物转化合成新的细胞物质，使微生物生长繁殖，产生更多的生物体；同时好氧反应释放的生物热形成高温（＞55℃）杀灭肠道寄生虫卵及病原微生物，从而实现畜禽粪便减量化、稳定化和无害化的过程，满足粪便无害化、资源化再利用的技术要求。</w:t>
      </w:r>
    </w:p>
    <w:p w14:paraId="35B26EAB">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发酵是无害化的处理环节，通过高温（55～65℃）发酵（堆肥过程产热，温度可升至75℃），冬春季每4天翻料1次、夏秋季每2天翻料1次，采用翻堆机进行翻料，使物料发酵温度控制在55～70℃之间为宜。发酵温度可用棒式数显温度计测控。</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粪如在夏秋季节发酵，时间控制在20天左右，冬春季节为</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天左右，发酵周期大约为</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天。经上述发酵过程，</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粪已基本腐熟，然后出发酵槽，在</w:t>
      </w:r>
      <w:r>
        <w:rPr>
          <w:rFonts w:hint="eastAsia" w:ascii="Times New Roman" w:hAnsi="Times New Roman" w:eastAsia="宋体" w:cs="Times New Roman"/>
          <w:color w:val="auto"/>
          <w:sz w:val="24"/>
          <w:szCs w:val="24"/>
          <w:highlight w:val="none"/>
          <w:lang w:eastAsia="zh-CN"/>
        </w:rPr>
        <w:t>干粪堆积场</w:t>
      </w:r>
      <w:r>
        <w:rPr>
          <w:rFonts w:hint="default" w:ascii="Times New Roman" w:hAnsi="Times New Roman" w:eastAsia="宋体" w:cs="Times New Roman"/>
          <w:color w:val="auto"/>
          <w:sz w:val="24"/>
          <w:szCs w:val="24"/>
          <w:highlight w:val="none"/>
        </w:rPr>
        <w:t>内堆置10天左右完成后熟。</w:t>
      </w:r>
    </w:p>
    <w:p w14:paraId="45D54C6C">
      <w:pPr>
        <w:adjustRightInd w:val="0"/>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snapToGrid w:val="0"/>
          <w:color w:val="auto"/>
          <w:sz w:val="24"/>
          <w:szCs w:val="24"/>
          <w:highlight w:val="none"/>
        </w:rPr>
        <w:t>本项目通过翻堆对</w:t>
      </w:r>
      <w:r>
        <w:rPr>
          <w:rFonts w:hint="default" w:ascii="Times New Roman" w:hAnsi="Times New Roman" w:eastAsia="宋体" w:cs="Times New Roman"/>
          <w:snapToGrid w:val="0"/>
          <w:color w:val="auto"/>
          <w:sz w:val="24"/>
          <w:szCs w:val="24"/>
          <w:highlight w:val="none"/>
          <w:lang w:eastAsia="zh-CN"/>
        </w:rPr>
        <w:t>猪</w:t>
      </w:r>
      <w:r>
        <w:rPr>
          <w:rFonts w:hint="default" w:ascii="Times New Roman" w:hAnsi="Times New Roman" w:eastAsia="宋体" w:cs="Times New Roman"/>
          <w:snapToGrid w:val="0"/>
          <w:color w:val="auto"/>
          <w:sz w:val="24"/>
          <w:szCs w:val="24"/>
          <w:highlight w:val="none"/>
        </w:rPr>
        <w:t>粪进行通风排湿，使粪污均匀接触空气，堆肥物料利用好氧菌进行发酵，并使堆肥物料迅速分解，以减少或防止肥堆厌氧条件下的臭气产生。本项目采用好氧堆肥技术，无可燃废气产生，无爆炸风险。</w:t>
      </w:r>
    </w:p>
    <w:p w14:paraId="2FE42E7E">
      <w:pPr>
        <w:pStyle w:val="94"/>
        <w:ind w:firstLine="48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7、原有项目存在的环境问题及“以新带老”措施</w:t>
      </w:r>
    </w:p>
    <w:p w14:paraId="26D317A2">
      <w:pPr>
        <w:pStyle w:val="94"/>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1、现有工程粪污贮存区干粪堆积场存放过程中恶臭污染物以无组织形式排放。对周围环境空气影响较大。</w:t>
      </w:r>
    </w:p>
    <w:p w14:paraId="37B4103B">
      <w:pPr>
        <w:pStyle w:val="94"/>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“以新带老”措施：干粪堆积场设置微负压粪污贮存区，将猪粪存放过程中产生的废气引至活性炭吸附装置，将恶臭污染物由无组织排放改为有组织排放，减小对周围环境空气的影响。</w:t>
      </w:r>
    </w:p>
    <w:p w14:paraId="78F8B540">
      <w:pPr>
        <w:pStyle w:val="94"/>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2、厂区未建设黑膜厌氧池沼气燃烧装置。</w:t>
      </w:r>
    </w:p>
    <w:p w14:paraId="6B1DFB2D">
      <w:pPr>
        <w:pStyle w:val="94"/>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“以新带老”措施：建设黑膜厌氧池沼气燃烧装置。</w:t>
      </w:r>
    </w:p>
    <w:p w14:paraId="304FD94D">
      <w:pPr>
        <w:pStyle w:val="94"/>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3、厂区未进行例行监测</w:t>
      </w:r>
    </w:p>
    <w:p w14:paraId="40875380">
      <w:pPr>
        <w:pStyle w:val="94"/>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“以新带老”措施：厂区运行至今未进行例行监测，待项目建成后应根据国家相关规定进行例行监测。</w:t>
      </w:r>
    </w:p>
    <w:p w14:paraId="71200CFD">
      <w:pPr>
        <w:pStyle w:val="5"/>
        <w:bidi w:val="0"/>
        <w:rPr>
          <w:rFonts w:hint="default"/>
          <w:highlight w:val="none"/>
        </w:rPr>
      </w:pPr>
      <w:bookmarkStart w:id="21" w:name="_Toc5723"/>
      <w:bookmarkStart w:id="22" w:name="_Toc16655"/>
      <w:bookmarkStart w:id="23" w:name="_Toc10633"/>
      <w:bookmarkStart w:id="24" w:name="_Toc3149"/>
      <w:bookmarkStart w:id="25" w:name="_Toc27502"/>
      <w:r>
        <w:rPr>
          <w:rFonts w:hint="default"/>
          <w:highlight w:val="none"/>
        </w:rPr>
        <w:t>1.3</w:t>
      </w:r>
      <w:bookmarkEnd w:id="19"/>
      <w:r>
        <w:rPr>
          <w:rFonts w:hint="default"/>
          <w:highlight w:val="none"/>
        </w:rPr>
        <w:t>环境影响评价工作过程</w:t>
      </w:r>
      <w:bookmarkEnd w:id="20"/>
      <w:bookmarkEnd w:id="21"/>
      <w:bookmarkEnd w:id="22"/>
      <w:bookmarkEnd w:id="23"/>
      <w:bookmarkEnd w:id="24"/>
      <w:bookmarkEnd w:id="25"/>
    </w:p>
    <w:p w14:paraId="689F618B">
      <w:pPr>
        <w:spacing w:line="360" w:lineRule="auto"/>
        <w:ind w:firstLine="480" w:firstLineChars="200"/>
        <w:contextualSpacing/>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依据《建设项目环境影响评价技术导则 总纲》（HJ2.1-2016）要求，本次环评工作分为三个阶段进行。</w:t>
      </w:r>
    </w:p>
    <w:p w14:paraId="7B4E07DB">
      <w:pPr>
        <w:pStyle w:val="94"/>
        <w:adjustRightInd/>
        <w:snapToGrid/>
        <w:jc w:val="both"/>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kern w:val="0"/>
          <w:highlight w:val="none"/>
        </w:rPr>
        <w:t>一、</w:t>
      </w:r>
      <w:r>
        <w:rPr>
          <w:rFonts w:hint="default" w:ascii="Times New Roman" w:hAnsi="Times New Roman" w:eastAsia="宋体" w:cs="Times New Roman"/>
          <w:color w:val="auto"/>
          <w:highlight w:val="none"/>
        </w:rPr>
        <w:t>依据《建设项目环境影响评价分类管理名录》（2021年版）规定：“二、畜牧业03，3、牲畜饲养031；家禽饲养032；其他畜牧业039：年出栏生猪5000头（其他畜禽种类折合猪的养殖量）及以上的规模化畜禽养殖；存栏生猪2500头（其他畜禽种类折合猪的养殖规模）及以上无出栏量的规模化畜禽养殖；涉及环境敏感区的规模化畜禽养殖，应编制环境影响报告书；“其他”为环境影响登记表。”</w:t>
      </w:r>
    </w:p>
    <w:p w14:paraId="4AE79C5F">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eastAsia" w:ascii="Times New Roman" w:hAnsi="Times New Roman" w:cs="Times New Roman"/>
          <w:color w:val="auto"/>
          <w:highlight w:val="none"/>
          <w:lang w:val="en-US" w:eastAsia="zh-CN"/>
        </w:rPr>
        <w:t>扩</w:t>
      </w:r>
      <w:r>
        <w:rPr>
          <w:rFonts w:hint="eastAsia" w:ascii="Times New Roman" w:hAnsi="Times New Roman" w:cs="Times New Roman"/>
          <w:color w:val="auto"/>
          <w:highlight w:val="none"/>
          <w:lang w:eastAsia="zh-CN"/>
        </w:rPr>
        <w:t>建项目</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建成后</w:t>
      </w:r>
      <w:r>
        <w:rPr>
          <w:rFonts w:hint="eastAsia" w:ascii="Times New Roman" w:hAnsi="Times New Roman" w:cs="Times New Roman"/>
          <w:color w:val="auto"/>
          <w:sz w:val="24"/>
          <w:highlight w:val="none"/>
          <w:lang w:val="en-US" w:eastAsia="zh-CN"/>
        </w:rPr>
        <w:t>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r>
        <w:rPr>
          <w:rFonts w:hint="default" w:ascii="Times New Roman" w:hAnsi="Times New Roman" w:eastAsia="宋体" w:cs="Times New Roman"/>
          <w:color w:val="auto"/>
          <w:highlight w:val="none"/>
        </w:rPr>
        <w:t>，故应编制环境影响报告书。在研究相关技术及其他有关文件基础上进行初步工程分析，开展了初步环境现状调查，进行了环境影响识别和评价因子筛选。明确了评价重点为大气环境影响及水环境影响，确定了保护目标，进一步确定评价工作等级、范围及评价标准，制定出相应工作方案。</w:t>
      </w:r>
    </w:p>
    <w:p w14:paraId="34E482AA">
      <w:pPr>
        <w:pStyle w:val="94"/>
        <w:adjustRightInd/>
        <w:snapToGrid/>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二、根据第一阶段工作成果，对环境现状进行了监测与评价，详细进行工程分析。对各环境要素影响进行了预测与评价。</w:t>
      </w:r>
    </w:p>
    <w:p w14:paraId="43A38501">
      <w:pPr>
        <w:pStyle w:val="94"/>
        <w:adjustRightInd/>
        <w:snapToGrid/>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三、提出环境保护措施，进行经济技术可行性论证，给出污染物排放清单及评价结论。根据《建设项目环境影响评价技术导则 总纲》（HJ2.1-2016）等相关技术规范的要求，本项目环评影响评价的工作程序见图1.3-1。</w:t>
      </w:r>
    </w:p>
    <w:p w14:paraId="7C10FE2C">
      <w:pPr>
        <w:pStyle w:val="94"/>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snapToGrid w:val="0"/>
          <w:color w:val="auto"/>
          <w:highlight w:val="none"/>
        </w:rPr>
      </w:pPr>
      <w:r>
        <w:rPr>
          <w:rFonts w:eastAsia="宋体"/>
          <w:highlight w:val="none"/>
        </w:rPr>
        <w:drawing>
          <wp:inline distT="0" distB="0" distL="0" distR="0">
            <wp:extent cx="5218430" cy="5226050"/>
            <wp:effectExtent l="0" t="0" r="1270" b="12700"/>
            <wp:docPr id="228" name="图片 65" descr="环境影响评价工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65" descr="环境影响评价工作图"/>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18430" cy="5226050"/>
                    </a:xfrm>
                    <a:prstGeom prst="rect">
                      <a:avLst/>
                    </a:prstGeom>
                    <a:noFill/>
                    <a:ln>
                      <a:noFill/>
                    </a:ln>
                    <a:effectLst/>
                  </pic:spPr>
                </pic:pic>
              </a:graphicData>
            </a:graphic>
          </wp:inline>
        </w:drawing>
      </w:r>
    </w:p>
    <w:p w14:paraId="03F2796A">
      <w:pPr>
        <w:widowControl w:val="0"/>
        <w:autoSpaceDE w:val="0"/>
        <w:autoSpaceDN w:val="0"/>
        <w:adjustRightInd w:val="0"/>
        <w:snapToGrid w:val="0"/>
        <w:jc w:val="center"/>
        <w:rPr>
          <w:rFonts w:hint="default" w:ascii="Times New Roman" w:hAnsi="Times New Roman" w:eastAsia="黑体" w:cs="Times New Roman"/>
          <w:bCs/>
          <w:kern w:val="2"/>
          <w:sz w:val="21"/>
          <w:highlight w:val="none"/>
        </w:rPr>
      </w:pPr>
      <w:r>
        <w:rPr>
          <w:rFonts w:hint="default" w:ascii="Times New Roman" w:hAnsi="Times New Roman" w:eastAsia="黑体" w:cs="Times New Roman"/>
          <w:bCs/>
          <w:kern w:val="2"/>
          <w:sz w:val="21"/>
          <w:highlight w:val="none"/>
        </w:rPr>
        <w:t>图</w:t>
      </w:r>
      <w:r>
        <w:rPr>
          <w:rFonts w:hint="eastAsia" w:ascii="Times New Roman" w:hAnsi="Times New Roman" w:eastAsia="黑体" w:cs="Times New Roman"/>
          <w:bCs/>
          <w:kern w:val="2"/>
          <w:sz w:val="21"/>
          <w:highlight w:val="none"/>
          <w:lang w:val="en-US"/>
        </w:rPr>
        <w:t>1.3</w:t>
      </w:r>
      <w:r>
        <w:rPr>
          <w:rFonts w:hint="default" w:ascii="Times New Roman" w:hAnsi="Times New Roman" w:eastAsia="黑体" w:cs="Times New Roman"/>
          <w:bCs/>
          <w:kern w:val="2"/>
          <w:sz w:val="21"/>
          <w:highlight w:val="none"/>
        </w:rPr>
        <w:t>-1 环境影响评价工作程序</w:t>
      </w:r>
    </w:p>
    <w:p w14:paraId="6EA11BFF">
      <w:pPr>
        <w:pStyle w:val="5"/>
        <w:bidi w:val="0"/>
        <w:rPr>
          <w:rFonts w:hint="default"/>
          <w:highlight w:val="none"/>
        </w:rPr>
      </w:pPr>
      <w:bookmarkStart w:id="26" w:name="_Toc28185"/>
      <w:bookmarkStart w:id="27" w:name="_Toc486932294"/>
      <w:bookmarkStart w:id="28" w:name="_Toc11338"/>
      <w:bookmarkStart w:id="29" w:name="_Toc488072911"/>
      <w:bookmarkStart w:id="30" w:name="_Toc4509"/>
      <w:bookmarkStart w:id="31" w:name="_Toc20859"/>
      <w:bookmarkStart w:id="32" w:name="_Toc21584"/>
      <w:bookmarkStart w:id="33" w:name="_Toc8947"/>
      <w:r>
        <w:rPr>
          <w:rFonts w:hint="default"/>
          <w:highlight w:val="none"/>
        </w:rPr>
        <w:t>1.4分析判定相关情况</w:t>
      </w:r>
      <w:bookmarkEnd w:id="26"/>
      <w:bookmarkEnd w:id="27"/>
      <w:bookmarkEnd w:id="28"/>
      <w:bookmarkEnd w:id="29"/>
      <w:bookmarkEnd w:id="30"/>
      <w:bookmarkEnd w:id="31"/>
      <w:bookmarkEnd w:id="32"/>
      <w:bookmarkEnd w:id="33"/>
    </w:p>
    <w:p w14:paraId="3A2201F1">
      <w:pPr>
        <w:pStyle w:val="7"/>
        <w:bidi w:val="0"/>
        <w:rPr>
          <w:rFonts w:hint="default"/>
          <w:highlight w:val="none"/>
        </w:rPr>
      </w:pPr>
      <w:bookmarkStart w:id="34" w:name="_Toc15964"/>
      <w:bookmarkStart w:id="35" w:name="_Toc10759"/>
      <w:bookmarkStart w:id="36" w:name="_Toc27025"/>
      <w:bookmarkStart w:id="37" w:name="_Toc13357"/>
      <w:r>
        <w:rPr>
          <w:rFonts w:hint="default"/>
          <w:highlight w:val="none"/>
        </w:rPr>
        <w:t>1.4.1产业政策符合性分析</w:t>
      </w:r>
      <w:bookmarkEnd w:id="34"/>
      <w:bookmarkEnd w:id="35"/>
      <w:bookmarkEnd w:id="36"/>
      <w:bookmarkEnd w:id="37"/>
    </w:p>
    <w:p w14:paraId="39238126">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本项目生猪养殖规模</w:t>
      </w:r>
      <w:r>
        <w:rPr>
          <w:rFonts w:hint="default" w:ascii="Times New Roman" w:hAnsi="Times New Roman" w:eastAsia="宋体" w:cs="Times New Roman"/>
          <w:color w:val="auto"/>
          <w:highlight w:val="none"/>
          <w:lang w:val="en-US" w:eastAsia="zh-CN"/>
        </w:rPr>
        <w:t>年存栏8000头（母猪950头，公猪50头，哺乳仔猪1700头，保育仔猪3300头，后备猪2000头），年出栏</w:t>
      </w:r>
      <w:r>
        <w:rPr>
          <w:rFonts w:hint="eastAsia" w:ascii="Times New Roman" w:hAnsi="Times New Roman" w:cs="Times New Roman"/>
          <w:color w:val="auto"/>
          <w:highlight w:val="none"/>
          <w:lang w:val="en-US" w:eastAsia="zh-CN"/>
        </w:rPr>
        <w:t>商品猪（仔猪）</w:t>
      </w:r>
      <w:r>
        <w:rPr>
          <w:rFonts w:hint="default" w:ascii="Times New Roman" w:hAnsi="Times New Roman" w:eastAsia="宋体" w:cs="Times New Roman"/>
          <w:color w:val="auto"/>
          <w:highlight w:val="none"/>
          <w:lang w:val="en-US" w:eastAsia="zh-CN"/>
        </w:rPr>
        <w:t>1</w:t>
      </w:r>
      <w:r>
        <w:rPr>
          <w:rFonts w:hint="eastAsia"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000头</w:t>
      </w:r>
      <w:r>
        <w:rPr>
          <w:rFonts w:hint="default" w:ascii="Times New Roman" w:hAnsi="Times New Roman" w:eastAsia="宋体" w:cs="Times New Roman"/>
          <w:color w:val="auto"/>
          <w:highlight w:val="none"/>
        </w:rPr>
        <w:t>，属</w:t>
      </w:r>
      <w:r>
        <w:rPr>
          <w:rFonts w:hint="default" w:ascii="Times New Roman" w:hAnsi="Times New Roman" w:eastAsia="宋体" w:cs="Times New Roman"/>
          <w:color w:val="auto"/>
          <w:highlight w:val="none"/>
          <w:lang w:val="en-US" w:eastAsia="zh-CN"/>
        </w:rPr>
        <w:t>畜禽标准化规模养殖技术开发与应用项目</w:t>
      </w:r>
      <w:r>
        <w:rPr>
          <w:rFonts w:hint="default" w:ascii="Times New Roman" w:hAnsi="Times New Roman" w:eastAsia="宋体" w:cs="Times New Roman"/>
          <w:color w:val="auto"/>
          <w:highlight w:val="none"/>
        </w:rPr>
        <w:t>，根据国家发改委发布的《产业结构调整指导目录（</w:t>
      </w:r>
      <w:r>
        <w:rPr>
          <w:rFonts w:hint="default" w:ascii="Times New Roman" w:hAnsi="Times New Roman" w:eastAsia="宋体" w:cs="Times New Roman"/>
          <w:color w:val="auto"/>
          <w:highlight w:val="none"/>
          <w:lang w:val="en-US" w:eastAsia="zh-CN"/>
        </w:rPr>
        <w:t>2024</w:t>
      </w:r>
      <w:r>
        <w:rPr>
          <w:rFonts w:hint="default" w:ascii="Times New Roman" w:hAnsi="Times New Roman" w:eastAsia="宋体" w:cs="Times New Roman"/>
          <w:color w:val="auto"/>
          <w:highlight w:val="none"/>
        </w:rPr>
        <w:t>年本）》，</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属于目录中第一类鼓励类</w:t>
      </w:r>
      <w:r>
        <w:rPr>
          <w:rFonts w:hint="default" w:ascii="Times New Roman" w:hAnsi="Times New Roman" w:eastAsia="宋体" w:cs="Times New Roman"/>
          <w:color w:val="auto"/>
          <w:highlight w:val="none"/>
          <w:lang w:val="en-US" w:eastAsia="zh-CN"/>
        </w:rPr>
        <w:t>农林牧渔业</w:t>
      </w:r>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val="en-US" w:eastAsia="zh-CN"/>
        </w:rPr>
        <w:t>14</w:t>
      </w:r>
      <w:r>
        <w:rPr>
          <w:rFonts w:hint="default" w:ascii="Times New Roman" w:hAnsi="Times New Roman" w:eastAsia="宋体" w:cs="Times New Roman"/>
          <w:color w:val="auto"/>
          <w:highlight w:val="none"/>
        </w:rPr>
        <w:t>条规定：</w:t>
      </w:r>
      <w:r>
        <w:rPr>
          <w:rFonts w:hint="default" w:ascii="Times New Roman" w:hAnsi="Times New Roman" w:eastAsia="宋体" w:cs="Times New Roman"/>
          <w:color w:val="auto"/>
          <w:highlight w:val="none"/>
          <w:lang w:val="en-US" w:eastAsia="zh-CN"/>
        </w:rPr>
        <w:t>现代畜牧业及水产生态健康养殖：畜禽标准化规模养殖技术开发与应用，属于</w:t>
      </w:r>
      <w:r>
        <w:rPr>
          <w:rFonts w:hint="default" w:ascii="Times New Roman" w:hAnsi="Times New Roman" w:eastAsia="宋体" w:cs="Times New Roman"/>
          <w:color w:val="auto"/>
          <w:highlight w:val="none"/>
        </w:rPr>
        <w:t>国家鼓励类项目，因此，符合国家产业政策要求。</w:t>
      </w:r>
    </w:p>
    <w:p w14:paraId="2E92B2B6">
      <w:pPr>
        <w:pStyle w:val="7"/>
        <w:bidi w:val="0"/>
        <w:rPr>
          <w:rFonts w:hint="default"/>
          <w:highlight w:val="none"/>
        </w:rPr>
      </w:pPr>
      <w:bookmarkStart w:id="38" w:name="_Toc11758453"/>
      <w:bookmarkStart w:id="39" w:name="_Toc32668"/>
      <w:bookmarkStart w:id="40" w:name="_Toc7874"/>
      <w:bookmarkStart w:id="41" w:name="_Toc31707"/>
      <w:bookmarkStart w:id="42" w:name="_Toc7443"/>
      <w:r>
        <w:rPr>
          <w:rFonts w:hint="default"/>
          <w:highlight w:val="none"/>
        </w:rPr>
        <w:t>1.4.2</w:t>
      </w:r>
      <w:bookmarkEnd w:id="38"/>
      <w:r>
        <w:rPr>
          <w:rFonts w:hint="default"/>
          <w:highlight w:val="none"/>
        </w:rPr>
        <w:t>与相关条列、规范的符合性分析</w:t>
      </w:r>
      <w:bookmarkEnd w:id="39"/>
      <w:bookmarkEnd w:id="40"/>
      <w:bookmarkEnd w:id="41"/>
      <w:bookmarkEnd w:id="42"/>
    </w:p>
    <w:p w14:paraId="78AFF3FE">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1.4.2.1与《黑龙江省“十四五”生态环境保护规划》符合性分析</w:t>
      </w:r>
    </w:p>
    <w:p w14:paraId="4E97D45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黑龙江省“十四五”生态环境保护规划》中明确要求，推广清洁养殖方式。推进养殖生产清洁化和产业模式生态化，优化调整养殖业空间布局，积极发展健康养殖方式，带动养殖业绿色可持续发展。推广节水、节料等清洁养殖工艺和</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、微生物发酵等实用技术，实现源头减量。</w:t>
      </w:r>
    </w:p>
    <w:p w14:paraId="5D05061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加强养殖污染管控。推进县域畜禽养殖污染防治，规范畜禽养殖禁养区调整。对设有固定排污口的畜禽规模养殖场实施排污许可制度。严格畜禽规模养殖环境监管执法，将规模以上畜禽养殖场纳入重点污染源管理，确保畜禽粪污处理设施正常运转。</w:t>
      </w:r>
    </w:p>
    <w:p w14:paraId="2FE6C08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推进畜禽粪污资源化利用。开展整县推进畜禽粪污资源化利用试点，推广粪污就地就近全量还田模式。鼓励和引导第三方处理企业将养殖场（户）畜禽粪污进行专业化集中处理。在散养密集区支持建立粪污集中处理中心，鼓励规模以下畜禽养殖户采用“种养结合”“截污建池、收运还田”等模式。到2025年，全省畜禽粪污综合利用率达到85%以上，规模养殖场粪污处理设施装备配套率保持在97%以上。</w:t>
      </w:r>
    </w:p>
    <w:p w14:paraId="2BDF2C8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eastAsia" w:ascii="Times New Roman" w:hAnsi="Times New Roman" w:cs="Times New Roman"/>
          <w:color w:val="auto"/>
          <w:sz w:val="24"/>
          <w:highlight w:val="none"/>
          <w:lang w:val="en-US" w:eastAsia="zh-CN"/>
        </w:rPr>
        <w:t>投</w:t>
      </w:r>
      <w:r>
        <w:rPr>
          <w:rFonts w:hint="default" w:ascii="Times New Roman" w:hAnsi="Times New Roman" w:eastAsia="宋体" w:cs="Times New Roman"/>
          <w:color w:val="auto"/>
          <w:sz w:val="24"/>
          <w:highlight w:val="none"/>
        </w:rPr>
        <w:t>产后</w:t>
      </w:r>
      <w:r>
        <w:rPr>
          <w:rFonts w:hint="eastAsia" w:ascii="Times New Roman" w:hAnsi="Times New Roman" w:cs="Times New Roman"/>
          <w:color w:val="auto"/>
          <w:sz w:val="24"/>
          <w:highlight w:val="none"/>
          <w:lang w:val="en-US" w:eastAsia="zh-CN"/>
        </w:rPr>
        <w:t>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r>
        <w:rPr>
          <w:rFonts w:hint="default" w:ascii="Times New Roman" w:hAnsi="Times New Roman" w:eastAsia="宋体" w:cs="Times New Roman"/>
          <w:color w:val="auto"/>
          <w:sz w:val="24"/>
          <w:highlight w:val="none"/>
        </w:rPr>
        <w:t>。本项目猪舍产生的猪粪、沼渣</w:t>
      </w:r>
      <w:r>
        <w:rPr>
          <w:rFonts w:hint="eastAsia" w:ascii="Times New Roman" w:hAnsi="Times New Roman" w:cs="Times New Roman"/>
          <w:color w:val="auto"/>
          <w:sz w:val="24"/>
          <w:highlight w:val="none"/>
          <w:lang w:eastAsia="zh-CN"/>
        </w:rPr>
        <w:t>干粪堆积场</w:t>
      </w:r>
      <w:r>
        <w:rPr>
          <w:rFonts w:hint="default" w:ascii="Times New Roman" w:hAnsi="Times New Roman" w:eastAsia="宋体" w:cs="Times New Roman"/>
          <w:color w:val="auto"/>
          <w:sz w:val="24"/>
          <w:highlight w:val="none"/>
        </w:rPr>
        <w:t>堆肥发酵后，作为肥料施用于项目周边区域的农田，实现资源化利用</w:t>
      </w:r>
      <w:r>
        <w:rPr>
          <w:rFonts w:hint="default" w:ascii="Times New Roman" w:hAnsi="Times New Roman" w:cs="Times New Roman"/>
          <w:color w:val="auto"/>
          <w:sz w:val="24"/>
          <w:highlight w:val="none"/>
          <w:lang w:eastAsia="zh-CN"/>
        </w:rPr>
        <w:t>。</w:t>
      </w:r>
      <w:r>
        <w:rPr>
          <w:rFonts w:hint="default" w:ascii="Times New Roman" w:hAnsi="Times New Roman" w:cs="Times New Roman"/>
          <w:snapToGrid w:val="0"/>
          <w:color w:val="auto"/>
          <w:highlight w:val="none"/>
          <w:lang w:val="zh-CN"/>
        </w:rPr>
        <w:t>运营期生活污水经</w:t>
      </w:r>
      <w:r>
        <w:rPr>
          <w:rFonts w:hint="eastAsia" w:ascii="Times New Roman" w:hAnsi="Times New Roman" w:cs="Times New Roman"/>
          <w:snapToGrid w:val="0"/>
          <w:color w:val="auto"/>
          <w:highlight w:val="none"/>
          <w:lang w:val="zh-CN"/>
        </w:rPr>
        <w:t>化粪池</w:t>
      </w:r>
      <w:r>
        <w:rPr>
          <w:rFonts w:hint="default" w:ascii="Times New Roman" w:hAnsi="Times New Roman" w:cs="Times New Roman"/>
          <w:snapToGrid w:val="0"/>
          <w:color w:val="auto"/>
          <w:highlight w:val="none"/>
          <w:lang w:val="zh-CN"/>
        </w:rPr>
        <w:t>后泵入黑膜厌氧池处理，生产废水分别集中收集后进入黑膜厌氧池发酵处理，处理后的沼液满足《畜禽粪便无害化处理技术规范》（GB/T36195-2018）表2标准，在施肥季节用于农田施肥，冬季暂存于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cs="Times New Roman"/>
          <w:snapToGrid w:val="0"/>
          <w:color w:val="auto"/>
          <w:highlight w:val="none"/>
          <w:lang w:val="zh-CN" w:eastAsia="zh-CN"/>
        </w:rPr>
        <w:t>沼液贮存池</w:t>
      </w:r>
      <w:r>
        <w:rPr>
          <w:rFonts w:hint="default" w:ascii="Times New Roman" w:hAnsi="Times New Roman" w:cs="Times New Roman"/>
          <w:color w:val="auto"/>
          <w:highlight w:val="none"/>
        </w:rPr>
        <w:t>。</w:t>
      </w:r>
      <w:r>
        <w:rPr>
          <w:rFonts w:hint="default" w:ascii="Times New Roman" w:hAnsi="Times New Roman" w:eastAsia="宋体" w:cs="Times New Roman"/>
          <w:color w:val="auto"/>
          <w:sz w:val="24"/>
          <w:highlight w:val="none"/>
        </w:rPr>
        <w:t>因此，本项目的建设符合《黑龙江省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十四五</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生态环境保护规划》的要求。</w:t>
      </w:r>
    </w:p>
    <w:p w14:paraId="3C4B95FD">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1.4.2.2与</w:t>
      </w:r>
      <w:r>
        <w:rPr>
          <w:rFonts w:hint="default" w:ascii="Times New Roman" w:hAnsi="Times New Roman" w:eastAsia="宋体" w:cs="Times New Roman"/>
          <w:b/>
          <w:bCs/>
          <w:color w:val="auto"/>
          <w:highlight w:val="none"/>
          <w:lang w:val="zh-CN"/>
        </w:rPr>
        <w:t>《黑龙江省国民经济和社会发展第十四个五年规划和二〇三五年远景目标纲要》的符合性分析</w:t>
      </w:r>
    </w:p>
    <w:p w14:paraId="4810D314">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《黑龙江省国民经济和社会发展第十四个五年规划和二〇三五年远景目标纲要》中指出，构建现代畜牧产业体系。实施“两</w:t>
      </w:r>
      <w:r>
        <w:rPr>
          <w:rFonts w:hint="default" w:ascii="Times New Roman" w:hAnsi="Times New Roman" w:eastAsia="宋体" w:cs="Times New Roman"/>
          <w:color w:val="auto"/>
          <w:highlight w:val="none"/>
          <w:lang w:eastAsia="zh-CN"/>
        </w:rPr>
        <w:t>猪</w:t>
      </w:r>
      <w:r>
        <w:rPr>
          <w:rFonts w:hint="default" w:ascii="Times New Roman" w:hAnsi="Times New Roman" w:eastAsia="宋体" w:cs="Times New Roman"/>
          <w:color w:val="auto"/>
          <w:highlight w:val="none"/>
        </w:rPr>
        <w:t>一猪一禽”工程，推进畜牧业全产业链发展，进一步提高畜牧业产值占农业总产值比重，建设国家级高品质乳制品、肉制品加工基地。大力推进奶业振兴，加强优质奶源基地建设，构建高产奶</w:t>
      </w:r>
      <w:r>
        <w:rPr>
          <w:rFonts w:hint="default" w:ascii="Times New Roman" w:hAnsi="Times New Roman" w:eastAsia="宋体" w:cs="Times New Roman"/>
          <w:color w:val="auto"/>
          <w:highlight w:val="none"/>
          <w:lang w:eastAsia="zh-CN"/>
        </w:rPr>
        <w:t>猪</w:t>
      </w:r>
      <w:r>
        <w:rPr>
          <w:rFonts w:hint="default" w:ascii="Times New Roman" w:hAnsi="Times New Roman" w:eastAsia="宋体" w:cs="Times New Roman"/>
          <w:color w:val="auto"/>
          <w:highlight w:val="none"/>
        </w:rPr>
        <w:t>核心群，发展绿色全营养体饲草料产业，提高奶</w:t>
      </w:r>
      <w:r>
        <w:rPr>
          <w:rFonts w:hint="default" w:ascii="Times New Roman" w:hAnsi="Times New Roman" w:eastAsia="宋体" w:cs="Times New Roman"/>
          <w:color w:val="auto"/>
          <w:highlight w:val="none"/>
          <w:lang w:eastAsia="zh-CN"/>
        </w:rPr>
        <w:t>猪</w:t>
      </w:r>
      <w:r>
        <w:rPr>
          <w:rFonts w:hint="default" w:ascii="Times New Roman" w:hAnsi="Times New Roman" w:eastAsia="宋体" w:cs="Times New Roman"/>
          <w:color w:val="auto"/>
          <w:highlight w:val="none"/>
        </w:rPr>
        <w:t>单产和鲜奶品质。加快标准化规模养殖基地建设，布局建设肉</w:t>
      </w:r>
      <w:r>
        <w:rPr>
          <w:rFonts w:hint="default" w:ascii="Times New Roman" w:hAnsi="Times New Roman" w:eastAsia="宋体" w:cs="Times New Roman"/>
          <w:color w:val="auto"/>
          <w:highlight w:val="none"/>
          <w:lang w:eastAsia="zh-CN"/>
        </w:rPr>
        <w:t>猪</w:t>
      </w:r>
      <w:r>
        <w:rPr>
          <w:rFonts w:hint="default" w:ascii="Times New Roman" w:hAnsi="Times New Roman" w:eastAsia="宋体" w:cs="Times New Roman"/>
          <w:color w:val="auto"/>
          <w:highlight w:val="none"/>
        </w:rPr>
        <w:t>、生猪、肉鸡、肉鹅大型养殖项目，肉畜禽养殖规模化比重达到75%以上。开展重大动物疫病防控，完善病死动物无害化收集处理体系，加强肉类产品监管能力建设。壮大生态渔业规模。</w:t>
      </w:r>
    </w:p>
    <w:p w14:paraId="74C5F33B">
      <w:pPr>
        <w:pStyle w:val="268"/>
        <w:adjustRightInd/>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szCs w:val="32"/>
          <w:highlight w:val="none"/>
        </w:rPr>
        <w:t>本项目</w:t>
      </w:r>
      <w:r>
        <w:rPr>
          <w:rFonts w:hint="default" w:ascii="Times New Roman" w:hAnsi="Times New Roman" w:eastAsia="宋体" w:cs="Times New Roman"/>
          <w:color w:val="auto"/>
          <w:highlight w:val="none"/>
        </w:rPr>
        <w:t>位于</w:t>
      </w:r>
      <w:r>
        <w:rPr>
          <w:rFonts w:hint="eastAsia" w:asci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w:t>
      </w:r>
      <w:r>
        <w:rPr>
          <w:rFonts w:hint="eastAsia" w:ascii="Times New Roman" w:cs="Times New Roman"/>
          <w:color w:val="auto"/>
          <w:highlight w:val="none"/>
          <w:lang w:val="en-US" w:eastAsia="zh-CN"/>
        </w:rPr>
        <w:t>投</w:t>
      </w:r>
      <w:r>
        <w:rPr>
          <w:rFonts w:hint="default" w:ascii="Times New Roman" w:hAnsi="Times New Roman" w:eastAsia="宋体" w:cs="Times New Roman"/>
          <w:color w:val="auto"/>
          <w:highlight w:val="none"/>
        </w:rPr>
        <w:t>产</w:t>
      </w:r>
      <w:r>
        <w:rPr>
          <w:rFonts w:hint="default" w:ascii="Times New Roman" w:hAnsi="Times New Roman" w:eastAsia="宋体" w:cs="Times New Roman"/>
          <w:color w:val="auto"/>
          <w:highlight w:val="none"/>
          <w:lang w:val="en-US" w:eastAsia="zh-CN"/>
        </w:rPr>
        <w:t>后年存栏8000头（母猪950头，公猪50头，哺乳仔猪1700头，保育仔猪3300头，后备猪2000头），年出栏</w:t>
      </w:r>
      <w:r>
        <w:rPr>
          <w:rFonts w:hint="eastAsia" w:ascii="Times New Roman" w:cs="Times New Roman"/>
          <w:color w:val="auto"/>
          <w:highlight w:val="none"/>
          <w:lang w:val="en-US" w:eastAsia="zh-CN"/>
        </w:rPr>
        <w:t>商品猪（仔猪）</w:t>
      </w:r>
      <w:r>
        <w:rPr>
          <w:rFonts w:hint="default" w:ascii="Times New Roman" w:hAnsi="Times New Roman" w:eastAsia="宋体" w:cs="Times New Roman"/>
          <w:color w:val="auto"/>
          <w:highlight w:val="none"/>
          <w:lang w:val="en-US" w:eastAsia="zh-CN"/>
        </w:rPr>
        <w:t>16000头</w:t>
      </w:r>
      <w:r>
        <w:rPr>
          <w:rFonts w:hint="default" w:ascii="Times New Roman" w:hAnsi="Times New Roman" w:eastAsia="宋体" w:cs="Times New Roman"/>
          <w:color w:val="auto"/>
          <w:highlight w:val="none"/>
        </w:rPr>
        <w:t>。本项目的建设大力推进畜牧业全产业链发展，进一步提高畜牧业产值占农业总产值比重，建设国家级高品质肉制品加工基地，符合《黑龙江省国民经济和社会发展第十四个五年规划和二〇三五年远景目标纲要》的要求。</w:t>
      </w:r>
    </w:p>
    <w:p w14:paraId="249DEB2F">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1.4.2.3与《畜禽规模养殖污染防治条例》（国务院令第643号）的符合性分析</w:t>
      </w:r>
    </w:p>
    <w:p w14:paraId="0BBE2CF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《畜禽规模养殖污染防治条例》（国务院令第643号）：“鼓励和支持畜禽养殖污染防治以及畜禽养殖废弃物综合利用。国家鼓励和支持采取</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还田、制取沼气、制造肥料等方法，对畜禽养殖废物进行综合利用”。“染疫畜禽以及染疫畜禽排泄物、染疫畜禽产品、病死或者死因不明的畜禽尸体等病害畜禽养殖废弃物，应当按照有关法律、法规和国务院农牧主管部门的规定，进行深埋、化制、焚烧等无害化处理，不得随意处置。”</w:t>
      </w:r>
    </w:p>
    <w:p w14:paraId="0069FAB3">
      <w:pPr>
        <w:pStyle w:val="2"/>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ascii="Times New Roman" w:cs="Times New Roman"/>
          <w:color w:val="auto"/>
          <w:highlight w:val="none"/>
          <w:lang w:val="en-US" w:eastAsia="zh-CN"/>
        </w:rPr>
        <w:t>投</w:t>
      </w:r>
      <w:r>
        <w:rPr>
          <w:rFonts w:hint="default" w:ascii="Times New Roman" w:hAnsi="Times New Roman" w:eastAsia="宋体" w:cs="Times New Roman"/>
          <w:color w:val="auto"/>
          <w:highlight w:val="none"/>
        </w:rPr>
        <w:t>产后</w:t>
      </w:r>
      <w:r>
        <w:rPr>
          <w:rFonts w:hint="default" w:ascii="Times New Roman" w:hAnsi="Times New Roman" w:eastAsia="宋体" w:cs="Times New Roman"/>
          <w:color w:val="auto"/>
          <w:highlight w:val="none"/>
          <w:lang w:val="en-US" w:eastAsia="zh-CN"/>
        </w:rPr>
        <w:t>年存栏8000头（母猪950头，公猪50头，哺乳仔猪1700头，保育仔猪3300头，后备猪2000头），年出栏</w:t>
      </w:r>
      <w:r>
        <w:rPr>
          <w:rFonts w:hint="eastAsia" w:ascii="Times New Roman" w:cs="Times New Roman"/>
          <w:color w:val="auto"/>
          <w:highlight w:val="none"/>
          <w:lang w:val="en-US" w:eastAsia="zh-CN"/>
        </w:rPr>
        <w:t>商品猪（仔猪）</w:t>
      </w:r>
      <w:r>
        <w:rPr>
          <w:rFonts w:hint="default" w:ascii="Times New Roman" w:hAnsi="Times New Roman" w:eastAsia="宋体" w:cs="Times New Roman"/>
          <w:color w:val="auto"/>
          <w:highlight w:val="none"/>
          <w:lang w:val="en-US" w:eastAsia="zh-CN"/>
        </w:rPr>
        <w:t>16000头</w:t>
      </w:r>
      <w:r>
        <w:rPr>
          <w:rFonts w:hint="default" w:ascii="Times New Roman" w:hAnsi="Times New Roman" w:eastAsia="宋体" w:cs="Times New Roman"/>
          <w:color w:val="auto"/>
          <w:highlight w:val="none"/>
        </w:rPr>
        <w:t>。</w:t>
      </w:r>
      <w:r>
        <w:rPr>
          <w:rFonts w:hint="default" w:ascii="Times New Roman" w:hAnsi="Times New Roman" w:cs="Times New Roman"/>
          <w:snapToGrid w:val="0"/>
          <w:color w:val="auto"/>
          <w:highlight w:val="none"/>
          <w:lang w:val="zh-CN"/>
        </w:rPr>
        <w:t>运营期生活污水经</w:t>
      </w:r>
      <w:r>
        <w:rPr>
          <w:rFonts w:hint="eastAsia" w:ascii="Times New Roman" w:cs="Times New Roman"/>
          <w:snapToGrid w:val="0"/>
          <w:color w:val="auto"/>
          <w:highlight w:val="none"/>
          <w:lang w:val="zh-CN"/>
        </w:rPr>
        <w:t>化粪池</w:t>
      </w:r>
      <w:r>
        <w:rPr>
          <w:rFonts w:hint="default" w:ascii="Times New Roman" w:hAnsi="Times New Roman" w:cs="Times New Roman"/>
          <w:snapToGrid w:val="0"/>
          <w:color w:val="auto"/>
          <w:highlight w:val="none"/>
          <w:lang w:val="zh-CN"/>
        </w:rPr>
        <w:t>后泵入黑膜厌氧池处理，生产废水分别集中收集后进入黑膜厌氧池发酵处理，处理后的沼液满足《畜禽粪便无害化处理技术规范（GB/T36195-2018）表2标准，在施肥季节用于农田施肥，冬季暂存于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cs="Times New Roman"/>
          <w:snapToGrid w:val="0"/>
          <w:color w:val="auto"/>
          <w:highlight w:val="none"/>
          <w:lang w:val="zh-CN" w:eastAsia="zh-CN"/>
        </w:rPr>
        <w:t>沼液贮存池</w:t>
      </w:r>
      <w:r>
        <w:rPr>
          <w:rFonts w:hint="default" w:ascii="Times New Roman" w:hAnsi="Times New Roman" w:cs="Times New Roman"/>
          <w:snapToGrid w:val="0"/>
          <w:color w:val="auto"/>
          <w:highlight w:val="none"/>
          <w:lang w:val="zh-CN"/>
        </w:rPr>
        <w:t>。</w:t>
      </w:r>
      <w:r>
        <w:rPr>
          <w:rFonts w:hint="default" w:ascii="Times New Roman" w:hAnsi="Times New Roman" w:cs="Times New Roman"/>
          <w:color w:val="auto"/>
          <w:highlight w:val="none"/>
          <w:lang w:val="en-US" w:eastAsia="zh-CN"/>
        </w:rPr>
        <w:t>病死猪及胎盘冷冻（冰箱）保存后</w:t>
      </w:r>
      <w:r>
        <w:rPr>
          <w:rFonts w:hint="eastAsia" w:ascii="Times New Roman" w:cs="Times New Roman"/>
          <w:color w:val="auto"/>
          <w:highlight w:val="none"/>
          <w:lang w:val="en-US" w:eastAsia="zh-CN"/>
        </w:rPr>
        <w:t>交</w:t>
      </w:r>
      <w:r>
        <w:rPr>
          <w:rFonts w:hint="eastAsia" w:ascii="Times New Roman" w:hAnsi="Times New Roman" w:eastAsia="宋体" w:cs="Times New Roman"/>
          <w:color w:val="auto"/>
          <w:kern w:val="0"/>
          <w:sz w:val="24"/>
          <w:szCs w:val="24"/>
          <w:highlight w:val="none"/>
          <w:lang w:val="en-US" w:eastAsia="zh-CN" w:bidi="ar"/>
        </w:rPr>
        <w:t>由鸡西市鑫农源固废处理有限公司处置</w:t>
      </w:r>
      <w:r>
        <w:rPr>
          <w:rFonts w:hint="default" w:ascii="Times New Roman" w:hAnsi="Times New Roman" w:eastAsia="宋体" w:cs="Times New Roman"/>
          <w:color w:val="auto"/>
          <w:highlight w:val="none"/>
        </w:rPr>
        <w:t>。因此，本项目的建设符合《畜禽规模养殖污染防治条例》（国务院令第643号）中相关条例。</w:t>
      </w:r>
    </w:p>
    <w:p w14:paraId="5FC148D0">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1.4.2.4与《畜禽养殖业污染治理工程技术规范》（HJ497-2009）的符合性分析</w:t>
      </w:r>
    </w:p>
    <w:p w14:paraId="29E0BF4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一、畜禽养殖业污染治理应从源头控制，严格执行雨污分离，通过优化饲料配方、提高饲养技术、管理水平、改善畜舍结构和通风供暖工艺、改进清粪工艺等措施减少养殖场环境污染。</w:t>
      </w:r>
    </w:p>
    <w:p w14:paraId="26D67EA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二、畜禽养殖业污染治理应按照资源化、减量化、无害化的原则，以综合利用为出发点，提高资源化利用率。</w:t>
      </w:r>
    </w:p>
    <w:p w14:paraId="578A4D1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三、经无害化处理后进行还田综合利用的，</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用量不能超过作物当年生长所需的养分量。在确定</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的最佳施用量时，应对土壤肥力和</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肥效进行测试评价，并符合当地环境容量的要求。同时应有一倍以上的土地用于轮作施肥，不得长期施肥于同一土地。</w:t>
      </w:r>
    </w:p>
    <w:p w14:paraId="46A74E0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本项目拟采取治理措施如下：①本项目严格执行雨污分离，采用合理的饲料配方和饲养技术，减少养殖场环境污染。②本项目按照资源化、减量化、无害化的原则，以综合利用为出发点，以提高资源化利用率。</w:t>
      </w:r>
    </w:p>
    <w:p w14:paraId="6DF0C37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综上所述，本项目的建设符合《畜禽养殖业污染治理工程技术规范》（HJ497-2009）的相关规定。</w:t>
      </w:r>
    </w:p>
    <w:p w14:paraId="71FF55C9">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rPr>
        <w:t>与《关于进一步做好当前生猪规模养殖环评管理相关工作的通知》（环办环评函〔2019〕872号）的符合性分析</w:t>
      </w:r>
    </w:p>
    <w:p w14:paraId="11B7864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《关于进一步做好当前生猪规模养殖环评管理相关工作的通知》（环办环评函〔2019〕872号）中要求：</w:t>
      </w:r>
    </w:p>
    <w:p w14:paraId="7FA6C1F2">
      <w:pPr>
        <w:numPr>
          <w:ilvl w:val="0"/>
          <w:numId w:val="0"/>
        </w:num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kern w:val="0"/>
          <w:sz w:val="24"/>
          <w:szCs w:val="24"/>
          <w:highlight w:val="none"/>
          <w:lang w:val="en-US" w:eastAsia="zh-CN" w:bidi="ar-SA"/>
        </w:rPr>
        <w:t>三、</w:t>
      </w:r>
      <w:r>
        <w:rPr>
          <w:rFonts w:hint="default" w:ascii="Times New Roman" w:hAnsi="Times New Roman" w:eastAsia="宋体" w:cs="Times New Roman"/>
          <w:color w:val="auto"/>
          <w:sz w:val="24"/>
          <w:highlight w:val="none"/>
        </w:rPr>
        <w:t>统筹做好生猪养殖项目环评服务和指导。各地生态环境、农业农村部门应建立部门协作机制，做好政策解读和宣传，加强服务和指导，形成政策合力。各级生态环境部门应加强对试点工作的组织，进一步提高服务意识，提前介入，指导告知承诺书和环境影响报告书编制。做好环评与排污许可、主要污染物排放总量管理的衔接，对规模以下生猪养殖项目和不设置污水排放口的规模以上生猪养殖项目，不得要求申领排污许可证和取得总量指标。粪污经过无害化处理用作肥料还田，符合法律法规以及国家和地方相关标准规范要求且不造成环境污染的，不属于排放污染物，不宜执行相关污染物排放标准和农田灌溉水质标准。各级农业农村部门要加强指导和督促，落实粪污资源化利用措施，推进</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养分平衡管理。完善粪污肥料化标准体系，加强</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还田技术指导，促进科学合理施用。</w:t>
      </w:r>
    </w:p>
    <w:p w14:paraId="52CADC1C">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本项目不设置排污口，无总量控制要求，</w:t>
      </w:r>
      <w:r>
        <w:rPr>
          <w:rFonts w:hint="default" w:ascii="Times New Roman" w:hAnsi="Times New Roman" w:eastAsia="宋体" w:cs="Times New Roman"/>
          <w:color w:val="auto"/>
          <w:sz w:val="24"/>
          <w:highlight w:val="none"/>
        </w:rPr>
        <w:t>粪污经过无害化处理用作肥料还田</w:t>
      </w:r>
      <w:r>
        <w:rPr>
          <w:rFonts w:hint="eastAsia" w:ascii="Times New Roman" w:hAnsi="Times New Roman" w:cs="Times New Roman"/>
          <w:color w:val="auto"/>
          <w:sz w:val="24"/>
          <w:highlight w:val="none"/>
          <w:lang w:val="en-US" w:eastAsia="zh-CN"/>
        </w:rPr>
        <w:t>不执行</w:t>
      </w:r>
      <w:r>
        <w:rPr>
          <w:rFonts w:hint="default" w:ascii="Times New Roman" w:hAnsi="Times New Roman" w:eastAsia="宋体" w:cs="Times New Roman"/>
          <w:color w:val="auto"/>
          <w:sz w:val="24"/>
          <w:highlight w:val="none"/>
        </w:rPr>
        <w:t>污染物排放标准和农田灌溉水质标准</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科学合理</w:t>
      </w:r>
      <w:r>
        <w:rPr>
          <w:rFonts w:hint="eastAsia" w:ascii="Times New Roman" w:hAnsi="Times New Roman" w:cs="Times New Roman"/>
          <w:color w:val="auto"/>
          <w:sz w:val="24"/>
          <w:highlight w:val="none"/>
          <w:lang w:val="en-US" w:eastAsia="zh-CN"/>
        </w:rPr>
        <w:t>施肥，粪污无害化处理后还田综合利用。</w:t>
      </w:r>
    </w:p>
    <w:p w14:paraId="6D6176D7">
      <w:pPr>
        <w:numPr>
          <w:ilvl w:val="0"/>
          <w:numId w:val="0"/>
        </w:numPr>
        <w:spacing w:line="360" w:lineRule="auto"/>
        <w:ind w:left="0" w:leftChars="0"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kern w:val="0"/>
          <w:sz w:val="24"/>
          <w:szCs w:val="24"/>
          <w:highlight w:val="none"/>
          <w:lang w:val="en-US" w:eastAsia="zh-CN" w:bidi="ar-SA"/>
        </w:rPr>
        <w:t>四、</w:t>
      </w:r>
      <w:r>
        <w:rPr>
          <w:rFonts w:hint="default" w:ascii="Times New Roman" w:hAnsi="Times New Roman" w:eastAsia="宋体" w:cs="Times New Roman"/>
          <w:color w:val="auto"/>
          <w:sz w:val="24"/>
          <w:highlight w:val="none"/>
        </w:rPr>
        <w:t>强化建设单位生态环境保护主体责任。生猪养殖项目建设单位应严格遵守生态环境保护法律法规及标准要求，不得占用法律法规明文规定禁止开发的区域。参照《畜禽养殖业污染防治技术规范》，根据环评技术导则要求，科学确定环境防护距离，作为项目选址以及规划控制的依据。严格落实各项生态环境保护措施，新（改、扩）建生猪养殖项目，应同步建设配套的粪污资源化利用设施，落实与养殖规模相匹配的还田土地。粪污无法资源化利用的，应明确污染处理措施，按照国家和地方规定达标排放。</w:t>
      </w:r>
    </w:p>
    <w:p w14:paraId="3748AB55">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snapToGrid w:val="0"/>
          <w:color w:val="auto"/>
          <w:szCs w:val="32"/>
          <w:highlight w:val="none"/>
        </w:rPr>
        <w:t>本项目</w:t>
      </w:r>
      <w:r>
        <w:rPr>
          <w:rFonts w:hint="default" w:ascii="Times New Roman" w:hAnsi="Times New Roman" w:eastAsia="宋体" w:cs="Times New Roman"/>
          <w:color w:val="auto"/>
          <w:highlight w:val="none"/>
        </w:rPr>
        <w:t>位于</w:t>
      </w:r>
      <w:r>
        <w:rPr>
          <w:rFonts w:hint="eastAsia" w:asci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项目所在地远离水源地、禁养区，养殖场配套</w:t>
      </w:r>
      <w:r>
        <w:rPr>
          <w:rFonts w:hint="default" w:ascii="Times New Roman" w:hAnsi="Times New Roman" w:eastAsia="宋体" w:cs="Times New Roman"/>
          <w:color w:val="auto"/>
          <w:sz w:val="24"/>
          <w:highlight w:val="none"/>
        </w:rPr>
        <w:t>建设粪污资源化利用设施</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科学合理</w:t>
      </w:r>
      <w:r>
        <w:rPr>
          <w:rFonts w:hint="eastAsia" w:ascii="Times New Roman" w:hAnsi="Times New Roman" w:cs="Times New Roman"/>
          <w:color w:val="auto"/>
          <w:sz w:val="24"/>
          <w:highlight w:val="none"/>
          <w:lang w:val="en-US" w:eastAsia="zh-CN"/>
        </w:rPr>
        <w:t>施肥，粪污无害化处理后还田综合利用。</w:t>
      </w:r>
    </w:p>
    <w:p w14:paraId="007BE9F8">
      <w:pPr>
        <w:numPr>
          <w:ilvl w:val="0"/>
          <w:numId w:val="0"/>
        </w:numPr>
        <w:spacing w:line="360" w:lineRule="auto"/>
        <w:ind w:left="0" w:leftChars="0"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kern w:val="0"/>
          <w:sz w:val="24"/>
          <w:szCs w:val="24"/>
          <w:highlight w:val="none"/>
          <w:lang w:val="en-US" w:eastAsia="zh-CN" w:bidi="ar-SA"/>
        </w:rPr>
        <w:t>五、</w:t>
      </w:r>
      <w:r>
        <w:rPr>
          <w:rFonts w:hint="default" w:ascii="Times New Roman" w:hAnsi="Times New Roman" w:eastAsia="宋体" w:cs="Times New Roman"/>
          <w:color w:val="auto"/>
          <w:sz w:val="24"/>
          <w:highlight w:val="none"/>
        </w:rPr>
        <w:t>强化事中事后监管。将生猪养殖项目纳入“双随机、一公开”环境执法范围，监督其严格落实生态环境保护措施和承诺事项。对在告知承诺书中弄虚作假或不落实承诺内容的，依法查处，并向社会公开，将失信企业纳入相关诚信体系。对守法意识强、管理规范、守法记录良好的，减少现场执法监管频次。规范适用环境行政处罚自由裁量权，对违法情节轻微并主动纠正、未造成环境污染后果的，依法从轻、减轻或者免除处罚。依法依规做好公众参与和信息公开，接受公众监督，维护公众环境权益。</w:t>
      </w:r>
    </w:p>
    <w:p w14:paraId="491628D5">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建设单位已进行公众参与，公众参与采取网上公示、报纸公示以及张贴公告等方式公开项目环境信息，建设单位已充分采纳公众参与意见。并在报告初稿完成后在</w:t>
      </w:r>
      <w:r>
        <w:rPr>
          <w:rFonts w:hint="default" w:ascii="Times New Roman" w:hAnsi="Times New Roman" w:eastAsia="宋体" w:cs="Times New Roman"/>
          <w:color w:val="auto"/>
          <w:sz w:val="24"/>
          <w:highlight w:val="none"/>
          <w:lang w:val="en-US" w:eastAsia="zh-CN"/>
        </w:rPr>
        <w:t>相关网站及报纸</w:t>
      </w:r>
      <w:r>
        <w:rPr>
          <w:rFonts w:hint="default" w:ascii="Times New Roman" w:hAnsi="Times New Roman" w:eastAsia="宋体" w:cs="Times New Roman"/>
          <w:color w:val="auto"/>
          <w:sz w:val="24"/>
          <w:highlight w:val="none"/>
        </w:rPr>
        <w:t>进行了全本公示。</w:t>
      </w:r>
    </w:p>
    <w:p w14:paraId="770031B6">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综上所述，本项目的建设符合《关于进一步做好当前生猪规模养殖环评管理相关工作的通知》（环办环评函〔2019〕872号）</w:t>
      </w:r>
      <w:r>
        <w:rPr>
          <w:rFonts w:hint="default" w:ascii="Times New Roman" w:hAnsi="Times New Roman" w:eastAsia="宋体" w:cs="Times New Roman"/>
          <w:color w:val="auto"/>
          <w:sz w:val="24"/>
          <w:highlight w:val="none"/>
          <w:lang w:eastAsia="zh-CN"/>
        </w:rPr>
        <w:t>。</w:t>
      </w:r>
    </w:p>
    <w:p w14:paraId="4E69E04E">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6与《关于做好畜禽规模养殖项目环境影响评价管理工作的通知》（环办环评[2018]31号）符合性分析</w:t>
      </w:r>
    </w:p>
    <w:p w14:paraId="04B93F18">
      <w:pPr>
        <w:widowControl/>
        <w:adjustRightInd w:val="0"/>
        <w:snapToGrid w:val="0"/>
        <w:spacing w:line="360" w:lineRule="auto"/>
        <w:ind w:firstLine="480" w:firstLineChars="200"/>
        <w:jc w:val="left"/>
        <w:rPr>
          <w:rFonts w:hint="default" w:ascii="Times New Roman" w:hAnsi="Times New Roman" w:cs="Times New Roman"/>
          <w:b/>
          <w:bCs/>
          <w:kern w:val="0"/>
          <w:sz w:val="24"/>
          <w:highlight w:val="none"/>
          <w:lang w:bidi="ar"/>
        </w:rPr>
      </w:pPr>
      <w:r>
        <w:rPr>
          <w:rFonts w:hint="default" w:ascii="Times New Roman" w:hAnsi="Times New Roman" w:cs="Times New Roman"/>
          <w:kern w:val="0"/>
          <w:sz w:val="24"/>
          <w:highlight w:val="none"/>
          <w:lang w:bidi="ar"/>
        </w:rPr>
        <w:t>本项目与《关于做好畜禽规模养殖项目环境影响评价管理工作的通知》（环办环评[2018]31号）符合性分析见下表。</w:t>
      </w:r>
    </w:p>
    <w:p w14:paraId="0E7219FF">
      <w:pPr>
        <w:widowControl w:val="0"/>
        <w:autoSpaceDE w:val="0"/>
        <w:autoSpaceDN w:val="0"/>
        <w:adjustRightInd w:val="0"/>
        <w:snapToGrid w:val="0"/>
        <w:jc w:val="center"/>
        <w:rPr>
          <w:rFonts w:hint="default" w:ascii="Times New Roman" w:hAnsi="Times New Roman" w:eastAsia="黑体" w:cs="Times New Roman"/>
          <w:bCs/>
          <w:kern w:val="2"/>
          <w:sz w:val="21"/>
          <w:highlight w:val="none"/>
        </w:rPr>
      </w:pPr>
      <w:r>
        <w:rPr>
          <w:rFonts w:hint="default" w:ascii="Times New Roman" w:hAnsi="Times New Roman" w:eastAsia="黑体" w:cs="Times New Roman"/>
          <w:bCs/>
          <w:kern w:val="2"/>
          <w:sz w:val="21"/>
          <w:highlight w:val="none"/>
        </w:rPr>
        <w:t>表1.</w:t>
      </w:r>
      <w:r>
        <w:rPr>
          <w:rFonts w:hint="default" w:ascii="Times New Roman" w:hAnsi="Times New Roman" w:eastAsia="黑体" w:cs="Times New Roman"/>
          <w:bCs/>
          <w:kern w:val="2"/>
          <w:sz w:val="21"/>
          <w:highlight w:val="none"/>
          <w:lang w:val="en-US" w:eastAsia="zh-CN"/>
        </w:rPr>
        <w:t>4</w:t>
      </w:r>
      <w:r>
        <w:rPr>
          <w:rFonts w:hint="default" w:ascii="Times New Roman" w:hAnsi="Times New Roman" w:eastAsia="黑体" w:cs="Times New Roman"/>
          <w:bCs/>
          <w:kern w:val="2"/>
          <w:sz w:val="21"/>
          <w:highlight w:val="none"/>
        </w:rPr>
        <w:t>-</w:t>
      </w:r>
      <w:r>
        <w:rPr>
          <w:rFonts w:hint="default" w:ascii="Times New Roman" w:hAnsi="Times New Roman" w:eastAsia="黑体" w:cs="Times New Roman"/>
          <w:bCs/>
          <w:kern w:val="2"/>
          <w:sz w:val="21"/>
          <w:highlight w:val="none"/>
          <w:lang w:val="en-US" w:eastAsia="zh-CN"/>
        </w:rPr>
        <w:t>1</w:t>
      </w:r>
      <w:r>
        <w:rPr>
          <w:rFonts w:hint="default" w:ascii="Times New Roman" w:hAnsi="Times New Roman" w:eastAsia="黑体" w:cs="Times New Roman"/>
          <w:bCs/>
          <w:kern w:val="2"/>
          <w:sz w:val="21"/>
          <w:highlight w:val="none"/>
        </w:rPr>
        <w:t xml:space="preserve"> 与《关于做好畜禽规模养殖项目环境影响评价管理工作的通知》符合性</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3425"/>
        <w:gridCol w:w="3265"/>
        <w:gridCol w:w="934"/>
      </w:tblGrid>
      <w:tr w14:paraId="18EB24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44F83D6C">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项目</w:t>
            </w:r>
          </w:p>
        </w:tc>
        <w:tc>
          <w:tcPr>
            <w:tcW w:w="2010" w:type="pct"/>
            <w:noWrap w:val="0"/>
            <w:vAlign w:val="center"/>
          </w:tcPr>
          <w:p w14:paraId="439DEB7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《关于做好畜禽规模养殖项目环境影响评价管理工作的通知》要求</w:t>
            </w:r>
          </w:p>
        </w:tc>
        <w:tc>
          <w:tcPr>
            <w:tcW w:w="1916" w:type="pct"/>
            <w:noWrap w:val="0"/>
            <w:vAlign w:val="center"/>
          </w:tcPr>
          <w:p w14:paraId="1B6EF924">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本项目</w:t>
            </w:r>
          </w:p>
        </w:tc>
        <w:tc>
          <w:tcPr>
            <w:tcW w:w="548" w:type="pct"/>
            <w:noWrap w:val="0"/>
            <w:vAlign w:val="center"/>
          </w:tcPr>
          <w:p w14:paraId="70F5914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符合性</w:t>
            </w:r>
          </w:p>
        </w:tc>
      </w:tr>
      <w:tr w14:paraId="10210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38C4797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一、优化项目选址，合理布置养殖厂区</w:t>
            </w:r>
          </w:p>
        </w:tc>
        <w:tc>
          <w:tcPr>
            <w:tcW w:w="2010" w:type="pct"/>
            <w:noWrap w:val="0"/>
            <w:vAlign w:val="center"/>
          </w:tcPr>
          <w:p w14:paraId="5CED220F">
            <w:pPr>
              <w:numPr>
                <w:ilvl w:val="0"/>
                <w:numId w:val="0"/>
              </w:num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r>
              <w:rPr>
                <w:rFonts w:hint="default" w:ascii="Times New Roman" w:hAnsi="Times New Roman" w:eastAsia="宋体" w:cs="Times New Roman"/>
                <w:sz w:val="21"/>
                <w:szCs w:val="21"/>
                <w:highlight w:val="none"/>
              </w:rPr>
              <w:t>选址应避开当地划定的禁止养殖区域，并与区域主体功能区规划、环境功能区划、土地利用规划等相协调。当地未划定禁止养殖区域的，应避开饮用水水源保护区、风景名胜区自然保护区、村镇人口集中区域等。</w:t>
            </w:r>
          </w:p>
          <w:p w14:paraId="2F776957">
            <w:pPr>
              <w:numPr>
                <w:ilvl w:val="0"/>
                <w:numId w:val="0"/>
              </w:num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2、</w:t>
            </w:r>
            <w:r>
              <w:rPr>
                <w:rFonts w:hint="default" w:ascii="Times New Roman" w:hAnsi="Times New Roman" w:eastAsia="宋体" w:cs="Times New Roman"/>
                <w:sz w:val="21"/>
                <w:szCs w:val="21"/>
                <w:highlight w:val="none"/>
              </w:rPr>
              <w:t>项目环评应结合环境保护要求优化养殖场区内部布置。</w:t>
            </w:r>
            <w:bookmarkStart w:id="43" w:name="_Hlk116911960"/>
            <w:r>
              <w:rPr>
                <w:rFonts w:hint="default" w:ascii="Times New Roman" w:hAnsi="Times New Roman" w:eastAsia="宋体" w:cs="Times New Roman"/>
                <w:sz w:val="21"/>
                <w:szCs w:val="21"/>
                <w:highlight w:val="none"/>
              </w:rPr>
              <w:t>产生恶臭影响的设施，应位于养殖厂区主导风向的下风向位置。</w:t>
            </w:r>
            <w:bookmarkEnd w:id="43"/>
            <w:r>
              <w:rPr>
                <w:rFonts w:hint="default" w:ascii="Times New Roman" w:hAnsi="Times New Roman" w:eastAsia="宋体" w:cs="Times New Roman"/>
                <w:sz w:val="21"/>
                <w:szCs w:val="21"/>
                <w:highlight w:val="none"/>
              </w:rPr>
              <w:t>按照要求设定大气防护距离。</w:t>
            </w:r>
          </w:p>
        </w:tc>
        <w:tc>
          <w:tcPr>
            <w:tcW w:w="1916" w:type="pct"/>
            <w:noWrap w:val="0"/>
            <w:vAlign w:val="center"/>
          </w:tcPr>
          <w:p w14:paraId="17558122">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1、本项目不位于当地禁养区内，符合当地主体功能区规划；不位于饮水水源保护区、风景名胜区自然保护区、村镇人口集中区域等，距离本项目距离本项目最近的敏感点为本项目</w:t>
            </w:r>
            <w:r>
              <w:rPr>
                <w:rFonts w:hint="eastAsia" w:ascii="Times New Roman" w:hAnsi="Times New Roman" w:cs="Times New Roman"/>
                <w:sz w:val="21"/>
                <w:szCs w:val="21"/>
                <w:highlight w:val="none"/>
                <w:lang w:val="en-US" w:eastAsia="zh-CN"/>
              </w:rPr>
              <w:t>东南</w:t>
            </w:r>
            <w:r>
              <w:rPr>
                <w:rFonts w:hint="default" w:ascii="Times New Roman" w:hAnsi="Times New Roman" w:eastAsia="宋体" w:cs="Times New Roman"/>
                <w:sz w:val="21"/>
                <w:szCs w:val="21"/>
                <w:highlight w:val="none"/>
              </w:rPr>
              <w:t>侧</w:t>
            </w:r>
            <w:r>
              <w:rPr>
                <w:rFonts w:hint="eastAsia" w:ascii="Times New Roman" w:hAnsi="Times New Roman" w:cs="Times New Roman"/>
                <w:sz w:val="21"/>
                <w:szCs w:val="21"/>
                <w:highlight w:val="none"/>
                <w:lang w:val="en-US" w:eastAsia="zh-CN"/>
              </w:rPr>
              <w:t>578</w:t>
            </w:r>
            <w:r>
              <w:rPr>
                <w:rFonts w:hint="default" w:ascii="Times New Roman" w:hAnsi="Times New Roman" w:eastAsia="宋体" w:cs="Times New Roman"/>
                <w:sz w:val="21"/>
                <w:szCs w:val="21"/>
                <w:highlight w:val="none"/>
              </w:rPr>
              <w:t>m处的</w:t>
            </w:r>
            <w:r>
              <w:rPr>
                <w:rFonts w:hint="eastAsia" w:ascii="Times New Roman" w:hAnsi="Times New Roman" w:cs="Times New Roman"/>
                <w:sz w:val="21"/>
                <w:szCs w:val="21"/>
                <w:highlight w:val="none"/>
                <w:lang w:val="en-US" w:eastAsia="zh-CN"/>
              </w:rPr>
              <w:t>团结村四组</w:t>
            </w:r>
            <w:r>
              <w:rPr>
                <w:rFonts w:hint="default" w:ascii="Times New Roman" w:hAnsi="Times New Roman" w:eastAsia="宋体" w:cs="Times New Roman"/>
                <w:sz w:val="21"/>
                <w:szCs w:val="21"/>
                <w:highlight w:val="none"/>
              </w:rPr>
              <w:t>。</w:t>
            </w:r>
          </w:p>
          <w:p w14:paraId="44154612">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z w:val="21"/>
                <w:szCs w:val="21"/>
                <w:highlight w:val="none"/>
              </w:rPr>
              <w:t>2、养殖场区内办公区位于生产区</w:t>
            </w:r>
            <w:r>
              <w:rPr>
                <w:rFonts w:hint="eastAsia" w:ascii="Times New Roman" w:hAnsi="Times New Roman" w:cs="Times New Roman"/>
                <w:color w:val="auto"/>
                <w:sz w:val="21"/>
                <w:szCs w:val="21"/>
                <w:highlight w:val="none"/>
                <w:lang w:val="en-US" w:eastAsia="zh-CN"/>
              </w:rPr>
              <w:t>侧</w:t>
            </w:r>
            <w:r>
              <w:rPr>
                <w:rFonts w:hint="default" w:ascii="Times New Roman" w:hAnsi="Times New Roman" w:eastAsia="宋体" w:cs="Times New Roman"/>
                <w:color w:val="auto"/>
                <w:sz w:val="21"/>
                <w:szCs w:val="21"/>
                <w:highlight w:val="none"/>
              </w:rPr>
              <w:t>风向，</w:t>
            </w:r>
            <w:r>
              <w:rPr>
                <w:rFonts w:hint="eastAsia" w:ascii="Times New Roman" w:hAnsi="Times New Roman" w:cs="Times New Roman"/>
                <w:color w:val="auto"/>
                <w:sz w:val="21"/>
                <w:szCs w:val="21"/>
                <w:highlight w:val="none"/>
                <w:lang w:eastAsia="zh-CN"/>
              </w:rPr>
              <w:t>固液分离间</w:t>
            </w:r>
            <w:r>
              <w:rPr>
                <w:rFonts w:hint="default" w:ascii="Times New Roman" w:hAnsi="Times New Roman" w:eastAsia="宋体" w:cs="Times New Roman"/>
                <w:color w:val="auto"/>
                <w:sz w:val="21"/>
                <w:szCs w:val="21"/>
                <w:highlight w:val="none"/>
              </w:rPr>
              <w:t>、</w:t>
            </w:r>
            <w:r>
              <w:rPr>
                <w:rFonts w:hint="eastAsia" w:ascii="Times New Roman" w:hAnsi="Times New Roman" w:cs="Times New Roman"/>
                <w:color w:val="auto"/>
                <w:sz w:val="21"/>
                <w:szCs w:val="21"/>
                <w:highlight w:val="none"/>
                <w:lang w:eastAsia="zh-CN"/>
              </w:rPr>
              <w:t>黑膜厌氧池</w:t>
            </w:r>
            <w:r>
              <w:rPr>
                <w:rFonts w:hint="default" w:ascii="Times New Roman" w:hAnsi="Times New Roman" w:eastAsia="宋体" w:cs="Times New Roman"/>
                <w:color w:val="auto"/>
                <w:sz w:val="21"/>
                <w:szCs w:val="21"/>
                <w:highlight w:val="none"/>
              </w:rPr>
              <w:t>等产臭单元均位于所在地主导风向的下风向、侧风向，场区内布局合理；根据《环境影响评价技术导则 大气环境》要求，本项目不需设计大气环境防护距离。</w:t>
            </w:r>
          </w:p>
        </w:tc>
        <w:tc>
          <w:tcPr>
            <w:tcW w:w="548" w:type="pct"/>
            <w:noWrap w:val="0"/>
            <w:vAlign w:val="center"/>
          </w:tcPr>
          <w:p w14:paraId="159B3F66">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1F7718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3A1C1C51">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二、加强粪污减量控制，促进畜禽养殖粪污资源化利用</w:t>
            </w:r>
          </w:p>
        </w:tc>
        <w:tc>
          <w:tcPr>
            <w:tcW w:w="2010" w:type="pct"/>
            <w:noWrap w:val="0"/>
            <w:vAlign w:val="center"/>
          </w:tcPr>
          <w:p w14:paraId="549F29CC">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1、以农业绿色发展为导向，优化工艺，通过采取优化饲料配方、提高饲料技术等措施，从源头减少粪污的产生量；鼓励采取</w:t>
            </w:r>
            <w:r>
              <w:rPr>
                <w:rFonts w:hint="eastAsia" w:ascii="Times New Roman" w:hAnsi="Times New Roman" w:cs="Times New Roman"/>
                <w:sz w:val="21"/>
                <w:szCs w:val="21"/>
                <w:highlight w:val="none"/>
                <w:lang w:eastAsia="zh-CN"/>
              </w:rPr>
              <w:t>尿泡粪—干清粪</w:t>
            </w:r>
            <w:r>
              <w:rPr>
                <w:rFonts w:hint="default" w:ascii="Times New Roman" w:hAnsi="Times New Roman" w:eastAsia="宋体" w:cs="Times New Roman"/>
                <w:sz w:val="21"/>
                <w:szCs w:val="21"/>
                <w:highlight w:val="none"/>
              </w:rPr>
              <w:t>方式。厂区应采取雨污分流措施，防止雨水进入粪污收集系统。</w:t>
            </w:r>
          </w:p>
          <w:p w14:paraId="7D2ABA52">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2、应结合地域、畜种、规模等特点以及地方相关部门制定的畜禽粪污综合利用目标等要求，加强畜禽养殖粪污资源化利用，因地制宜选址经济高效使用的处理利用模式。</w:t>
            </w:r>
          </w:p>
          <w:p w14:paraId="62001A60">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3、鼓励根据土地承载能力确定畜禽养殖场的事宜养殖规模。</w:t>
            </w:r>
          </w:p>
        </w:tc>
        <w:tc>
          <w:tcPr>
            <w:tcW w:w="1916" w:type="pct"/>
            <w:noWrap w:val="0"/>
            <w:vAlign w:val="center"/>
          </w:tcPr>
          <w:p w14:paraId="10F90F6F">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1、本项目饲料采用</w:t>
            </w:r>
            <w:r>
              <w:rPr>
                <w:rFonts w:hint="eastAsia" w:ascii="Times New Roman" w:hAnsi="Times New Roman" w:eastAsia="宋体" w:cs="Times New Roman"/>
                <w:sz w:val="21"/>
                <w:szCs w:val="21"/>
                <w:highlight w:val="none"/>
                <w:lang w:val="en-US" w:eastAsia="zh-CN"/>
              </w:rPr>
              <w:t>全价饲料</w:t>
            </w:r>
            <w:r>
              <w:rPr>
                <w:rFonts w:hint="default" w:ascii="Times New Roman" w:hAnsi="Times New Roman" w:eastAsia="宋体" w:cs="Times New Roman"/>
                <w:sz w:val="21"/>
                <w:szCs w:val="21"/>
                <w:highlight w:val="none"/>
              </w:rPr>
              <w:t>；采取</w:t>
            </w:r>
            <w:r>
              <w:rPr>
                <w:rFonts w:hint="eastAsia" w:ascii="Times New Roman" w:hAnsi="Times New Roman" w:cs="Times New Roman"/>
                <w:sz w:val="21"/>
                <w:szCs w:val="21"/>
                <w:highlight w:val="none"/>
                <w:lang w:eastAsia="zh-CN"/>
              </w:rPr>
              <w:t>尿泡粪—干清粪</w:t>
            </w:r>
            <w:r>
              <w:rPr>
                <w:rFonts w:hint="default" w:ascii="Times New Roman" w:hAnsi="Times New Roman" w:eastAsia="宋体" w:cs="Times New Roman"/>
                <w:sz w:val="21"/>
                <w:szCs w:val="21"/>
                <w:highlight w:val="none"/>
              </w:rPr>
              <w:t>方式，降低舍内有害气体浓度；场区采取雨污分流措施。</w:t>
            </w:r>
          </w:p>
          <w:p w14:paraId="716940B1">
            <w:pPr>
              <w:pStyle w:val="37"/>
              <w:adjustRightInd w:val="0"/>
              <w:snapToGrid w:val="0"/>
              <w:ind w:left="0" w:firstLine="420" w:firstLineChars="200"/>
              <w:jc w:val="both"/>
              <w:rPr>
                <w:rFonts w:hint="default" w:ascii="Times New Roman" w:hAnsi="Times New Roman" w:eastAsia="宋体" w:cs="Times New Roman"/>
                <w:smallCaps w:val="0"/>
                <w:sz w:val="21"/>
                <w:szCs w:val="21"/>
                <w:highlight w:val="none"/>
              </w:rPr>
            </w:pPr>
            <w:r>
              <w:rPr>
                <w:rFonts w:hint="default" w:ascii="Times New Roman" w:hAnsi="Times New Roman" w:eastAsia="宋体" w:cs="Times New Roman"/>
                <w:smallCaps w:val="0"/>
                <w:sz w:val="21"/>
                <w:szCs w:val="21"/>
                <w:highlight w:val="none"/>
              </w:rPr>
              <w:t>2、项目猪粪固液分离后的固体粪便及沼渣封闭运输至场区</w:t>
            </w:r>
            <w:r>
              <w:rPr>
                <w:rFonts w:hint="eastAsia" w:ascii="Times New Roman" w:hAnsi="Times New Roman" w:cs="Times New Roman"/>
                <w:smallCaps w:val="0"/>
                <w:sz w:val="21"/>
                <w:szCs w:val="21"/>
                <w:highlight w:val="none"/>
                <w:lang w:eastAsia="zh-CN"/>
              </w:rPr>
              <w:t>干粪堆积场</w:t>
            </w:r>
            <w:r>
              <w:rPr>
                <w:rFonts w:hint="default" w:ascii="Times New Roman" w:hAnsi="Times New Roman" w:eastAsia="宋体" w:cs="Times New Roman"/>
                <w:smallCaps w:val="0"/>
                <w:sz w:val="21"/>
                <w:szCs w:val="21"/>
                <w:highlight w:val="none"/>
              </w:rPr>
              <w:t>进行发酵，堆肥后作为农肥还田；沼液用于配套消纳地进行施肥。</w:t>
            </w:r>
          </w:p>
          <w:p w14:paraId="6A44FB49">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3、本次评价根据农业部办公厅关于印发《畜禽粪污土地承载力测算技术指南》的通知测算土地承载力和畜禽规模养殖场粪污消纳配套土地面积。</w:t>
            </w:r>
          </w:p>
        </w:tc>
        <w:tc>
          <w:tcPr>
            <w:tcW w:w="548" w:type="pct"/>
            <w:noWrap w:val="0"/>
            <w:vAlign w:val="center"/>
          </w:tcPr>
          <w:p w14:paraId="0D29B370">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7B4C4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2E05C95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三、强化粪污治理措施，做好污染防治</w:t>
            </w:r>
          </w:p>
        </w:tc>
        <w:tc>
          <w:tcPr>
            <w:tcW w:w="2010" w:type="pct"/>
            <w:noWrap w:val="0"/>
            <w:vAlign w:val="center"/>
          </w:tcPr>
          <w:p w14:paraId="2E7F548B">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应强化对粪污的治理措施，加强畜禽养殖粪污资源化利用过程中的污染控制，推进粪污资源的良性利用，应对无法资源化利用的粪污采取治理措施确保达标排放；应配套建设与养殖规模相匹配的雨污分离设施，以及粪污贮存、处理和利用设施等。</w:t>
            </w:r>
          </w:p>
          <w:p w14:paraId="25F1640C">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2、贮存池应采取有效的防雨、防渗和防溢流措施；贮存池总容积应根据贮存期确定。</w:t>
            </w:r>
          </w:p>
          <w:p w14:paraId="5F4BCAFC">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依据相关法律法规和技术规范，制定明确的病死畜禽处理、处置方案，及时处理病死畜禽；针对畜禽规模养殖项目的恶臭影响，可采取控制饲料密度，改善舍内通风、及时清粪、采用除臭剂、集中收集处理等措施，确保项目恶臭污染物达标排放。</w:t>
            </w:r>
          </w:p>
        </w:tc>
        <w:tc>
          <w:tcPr>
            <w:tcW w:w="1916" w:type="pct"/>
            <w:noWrap w:val="0"/>
            <w:vAlign w:val="center"/>
          </w:tcPr>
          <w:p w14:paraId="0EEC32ED">
            <w:pPr>
              <w:pStyle w:val="37"/>
              <w:adjustRightInd w:val="0"/>
              <w:snapToGrid w:val="0"/>
              <w:ind w:left="0" w:firstLine="420" w:firstLineChars="200"/>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1、项目猪粪固液分离后的固体粪便及沼渣封闭运输至场区</w:t>
            </w:r>
            <w:r>
              <w:rPr>
                <w:rFonts w:hint="eastAsia" w:ascii="Times New Roman" w:hAnsi="Times New Roman" w:cs="Times New Roman"/>
                <w:sz w:val="21"/>
                <w:szCs w:val="21"/>
                <w:highlight w:val="none"/>
                <w:lang w:eastAsia="zh-CN"/>
              </w:rPr>
              <w:t>干粪堆积场</w:t>
            </w:r>
            <w:r>
              <w:rPr>
                <w:rFonts w:hint="default" w:ascii="Times New Roman" w:hAnsi="Times New Roman" w:eastAsia="宋体" w:cs="Times New Roman"/>
                <w:sz w:val="21"/>
                <w:szCs w:val="21"/>
                <w:highlight w:val="none"/>
              </w:rPr>
              <w:t>进行发酵，堆肥后作为农肥还田；沼液用于配套消纳地进行施肥。配套与养殖规模匹配的雨污分流设施，以及</w:t>
            </w:r>
            <w:r>
              <w:rPr>
                <w:rFonts w:hint="eastAsia" w:ascii="Times New Roman" w:hAnsi="Times New Roman" w:cs="Times New Roman"/>
                <w:sz w:val="21"/>
                <w:szCs w:val="21"/>
                <w:highlight w:val="none"/>
                <w:lang w:val="en-US" w:eastAsia="zh-CN"/>
              </w:rPr>
              <w:t>集</w:t>
            </w:r>
            <w:r>
              <w:rPr>
                <w:rFonts w:hint="default" w:ascii="Times New Roman" w:hAnsi="Times New Roman" w:eastAsia="宋体" w:cs="Times New Roman"/>
                <w:sz w:val="21"/>
                <w:szCs w:val="21"/>
                <w:highlight w:val="none"/>
              </w:rPr>
              <w:t>粪池、黑膜</w:t>
            </w:r>
            <w:r>
              <w:rPr>
                <w:rFonts w:hint="eastAsia" w:ascii="Times New Roman" w:hAnsi="Times New Roman" w:cs="Times New Roman"/>
                <w:sz w:val="21"/>
                <w:szCs w:val="21"/>
                <w:highlight w:val="none"/>
                <w:lang w:val="en-US" w:eastAsia="zh-CN"/>
              </w:rPr>
              <w:t>厌氧</w:t>
            </w:r>
            <w:r>
              <w:rPr>
                <w:rFonts w:hint="default" w:ascii="Times New Roman" w:hAnsi="Times New Roman" w:eastAsia="宋体" w:cs="Times New Roman"/>
                <w:sz w:val="21"/>
                <w:szCs w:val="21"/>
                <w:highlight w:val="none"/>
              </w:rPr>
              <w:t>池。</w:t>
            </w:r>
          </w:p>
          <w:p w14:paraId="02ABED1E">
            <w:pPr>
              <w:pStyle w:val="37"/>
              <w:adjustRightInd w:val="0"/>
              <w:ind w:left="0" w:firstLine="420" w:firstLineChars="200"/>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2、本项目病死猪及胎盘委托</w:t>
            </w:r>
            <w:r>
              <w:rPr>
                <w:rFonts w:hint="default" w:ascii="Times New Roman" w:hAnsi="Times New Roman" w:eastAsia="宋体" w:cs="Times New Roman"/>
                <w:sz w:val="21"/>
                <w:szCs w:val="21"/>
                <w:highlight w:val="none"/>
                <w:lang w:val="en-US" w:eastAsia="zh-CN"/>
              </w:rPr>
              <w:t>鸡西市鑫农源固废处理有限公司</w:t>
            </w:r>
            <w:r>
              <w:rPr>
                <w:rFonts w:hint="default" w:ascii="Times New Roman" w:hAnsi="Times New Roman" w:eastAsia="宋体" w:cs="Times New Roman"/>
                <w:sz w:val="21"/>
                <w:szCs w:val="21"/>
                <w:highlight w:val="none"/>
              </w:rPr>
              <w:t>处理；本项目采取有效的恶臭污染防治措施，包括控制饲料密度，改善舍内通风、及时</w:t>
            </w:r>
            <w:r>
              <w:rPr>
                <w:rFonts w:hint="eastAsia" w:ascii="Times New Roman" w:hAnsi="Times New Roman" w:cs="Times New Roman"/>
                <w:sz w:val="21"/>
                <w:szCs w:val="21"/>
                <w:highlight w:val="none"/>
                <w:lang w:eastAsia="zh-CN"/>
              </w:rPr>
              <w:t>尿泡粪—干清粪</w:t>
            </w:r>
            <w:r>
              <w:rPr>
                <w:rFonts w:hint="default" w:ascii="Times New Roman" w:hAnsi="Times New Roman" w:eastAsia="宋体" w:cs="Times New Roman"/>
                <w:sz w:val="21"/>
                <w:szCs w:val="21"/>
                <w:highlight w:val="none"/>
              </w:rPr>
              <w:t>、采用除臭剂，可保证恶臭污染物达标排放。</w:t>
            </w:r>
          </w:p>
        </w:tc>
        <w:tc>
          <w:tcPr>
            <w:tcW w:w="548" w:type="pct"/>
            <w:noWrap w:val="0"/>
            <w:vAlign w:val="center"/>
          </w:tcPr>
          <w:p w14:paraId="1E6E627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13433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69DE6F5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四、落实环评信息公开要求，发挥公众参与的监督作用</w:t>
            </w:r>
          </w:p>
        </w:tc>
        <w:tc>
          <w:tcPr>
            <w:tcW w:w="2010" w:type="pct"/>
            <w:noWrap w:val="0"/>
            <w:vAlign w:val="center"/>
          </w:tcPr>
          <w:p w14:paraId="0F1D1D36">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1、建设单位在项目环评报告报送审批前，应采取适当形式，遵循依法、有序、公开、便利的原则，公开征求意见并对真实性的结果负责。</w:t>
            </w:r>
          </w:p>
        </w:tc>
        <w:tc>
          <w:tcPr>
            <w:tcW w:w="1916" w:type="pct"/>
            <w:noWrap w:val="0"/>
            <w:vAlign w:val="center"/>
          </w:tcPr>
          <w:p w14:paraId="1EA93FD3">
            <w:pPr>
              <w:pStyle w:val="17"/>
              <w:adjustRightInd w:val="0"/>
              <w:snapToGrid w:val="0"/>
              <w:ind w:firstLine="420" w:firstLineChars="200"/>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1、建设单位已进行公众参与，公众参与采取网上公示、报纸公示以及张贴公告等方式公开项目环境信息，建设单位已充分采纳公众参与意见。并在报告初稿完成后在</w:t>
            </w:r>
            <w:r>
              <w:rPr>
                <w:rFonts w:hint="eastAsia" w:ascii="Times New Roman" w:hAnsi="Times New Roman" w:eastAsia="宋体" w:cs="Times New Roman"/>
                <w:sz w:val="21"/>
                <w:szCs w:val="21"/>
                <w:highlight w:val="none"/>
                <w:lang w:val="en-US" w:eastAsia="zh-CN"/>
              </w:rPr>
              <w:t>相关网站及报纸</w:t>
            </w:r>
            <w:r>
              <w:rPr>
                <w:rFonts w:hint="default" w:ascii="Times New Roman" w:hAnsi="Times New Roman" w:eastAsia="宋体" w:cs="Times New Roman"/>
                <w:sz w:val="21"/>
                <w:szCs w:val="21"/>
                <w:highlight w:val="none"/>
              </w:rPr>
              <w:t>进行了全本公示。</w:t>
            </w:r>
          </w:p>
        </w:tc>
        <w:tc>
          <w:tcPr>
            <w:tcW w:w="548" w:type="pct"/>
            <w:noWrap w:val="0"/>
            <w:vAlign w:val="center"/>
          </w:tcPr>
          <w:p w14:paraId="6594AC37">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bl>
    <w:p w14:paraId="51614BE3">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sz w:val="24"/>
          <w:szCs w:val="24"/>
          <w:highlight w:val="none"/>
        </w:rPr>
        <w:t>由上表分析可知，本项目符合《关于做好畜禽规模养殖项目环境影响评价管理工作的通知》（环办环评[2018]31号）。</w:t>
      </w:r>
    </w:p>
    <w:p w14:paraId="3A5D3887">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7与《农业农村部办公厅 生态环境部办公厅关于进一步明确畜禽粪污还田利用要求强化养殖污染监管的通知》（农办牧〔2020〕23号）符合性分析</w:t>
      </w:r>
    </w:p>
    <w:p w14:paraId="3191E86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《农业农村部办公厅 生态环境部办公厅关于进一步明确畜禽粪污还田利用要求强化养殖污染监管的通知》（农办牧〔2020〕23号）中</w:t>
      </w:r>
      <w:r>
        <w:rPr>
          <w:rFonts w:hint="default" w:ascii="Times New Roman" w:hAnsi="Times New Roman" w:eastAsia="宋体" w:cs="Times New Roman"/>
          <w:color w:val="auto"/>
          <w:sz w:val="24"/>
          <w:highlight w:val="none"/>
        </w:rPr>
        <w:t>要求：</w:t>
      </w:r>
    </w:p>
    <w:p w14:paraId="629D17D1">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一、畅通还田利用渠道</w:t>
      </w:r>
    </w:p>
    <w:p w14:paraId="5A7901BC">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（一）鼓励畜禽粪污还田利用。国家支持畜禽养殖场户建设畜禽粪污无害化处理和资源化利用设施，鼓励采取</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还田、制取沼气、生产有机肥等方式进行资源化利用。已获得环评批复的规模养殖场在建设和运营过程中，如需将粪污处理由达标排放（含按农田灌溉水标准排放）变更为资源化利用（不含商业化沼气工程和商品有机肥生产），在项目竣工环保验收前变更的，按照非重大变动纳入竣工环境保护验收管理；在竣工环保验收后变更的，按照改建项目依法开展环评。</w:t>
      </w:r>
    </w:p>
    <w:p w14:paraId="6B71934E">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二）明确还田利用标准规范。畜禽粪污的处理应根据排放去向或利用方式的不同执行相应的标准规范。对配套土地充足的养殖场户，粪污经无害化处理后还田利用具体要求及限量应符合《畜禽粪便无害化处理技术规范》（GB/T 36195）和《畜禽粪便还田技术规范》（GB/T25246-2025），配套土地面积应达到《畜禽粪污土地承载力测算技术指南》（以下简称《指南》）要求的最小面积。对配套土地不足的养殖场户，粪污经处理后向环境排放的，应符合《畜禽养殖业污染物排放标准》（GB 18596）和地方有关排放标准。用于农田灌溉的，应符合《农田灌溉水质标准》（GB5084）。</w:t>
      </w:r>
    </w:p>
    <w:p w14:paraId="4E4DD11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二、加强事中事后监管</w:t>
      </w:r>
    </w:p>
    <w:p w14:paraId="070031A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一）落实养殖场户主体责任。养殖场户应当切实履行粪污利用和污染防治主体责任，采取措施，对畜禽粪污进行科学处理和资源化利用，防止污染环境。从事畜禽规模养殖要严格落实《中华人民共和国固体废物污染环境防治法》《中华人民共和国水污染防治法》《畜禽规模养殖污染防治条例》要求，建设粪污无害化处理和资源化利用设施并确保其正常运行，或委托第三方代为实现粪污无害化处理和资源化利用。对畜禽规模养殖污染防治设施配套不到位，粪污未经无害化处理直接还田或向环境排放，不符合国家和地方排放标准的，农业农村部门要加强技术指导和服务，生态环境部门要依法查处。</w:t>
      </w:r>
    </w:p>
    <w:p w14:paraId="295F8C7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二）强化粪污还田利用过程监管。养殖场户应依法配置粪污贮存设施，设施总容积不得低于当地农林作物生产用肥的最大间隔时间内产生粪污的总量，配套土地面积不得小于《指南》要求的最小面积；配套土地面积不足的，应委托第三方代为实现粪污资源化。达不到前述要求且无法证明粪污去向的，视同超出土地消纳能力。</w:t>
      </w:r>
    </w:p>
    <w:p w14:paraId="4CF8C3A0">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三、强化保障和支撑</w:t>
      </w:r>
    </w:p>
    <w:p w14:paraId="2E4826C0">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（一）完善</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还田管理制度。督促指导规模养殖场制定畜禽</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还田利用计划，根据养殖规模明确配套农田面积、农田类型、种植制度、</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使用时间及使用量等。推动建立畜禽粪污处理和</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利用台账，避免施用超量或时间不合理，并作为监督执法的重要依据。加强日常监测，及时掌握粪污养分和有害物质含量，严防还田环境风险。</w:t>
      </w:r>
    </w:p>
    <w:p w14:paraId="011B855F">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二）加强技术和装备支撑。加快畜禽粪污资源化利用先进工艺、技术和装备研发，着力破除粪污资源化利用过程中的技术和成本障碍。鼓励养殖场户全量收集和利用畜禽粪污，根据实际情况选择合理的输送和施用方式，不再强制要求固液分离。结合本地实际，推行经济高效的粪污资源化利用技术模式，积极推广全量机械化施用，逐步改进</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施用方式。</w:t>
      </w:r>
    </w:p>
    <w:p w14:paraId="43B9397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本项目与其相符分析：</w:t>
      </w: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方式进行清粪，</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；沼气采用干式脱硫后火炬直接燃烧排放，实现了养殖废弃物综合利用。本次评价根据农业部办公厅关于印发《畜禽粪污土地承载力测算技术指南》的通知测算土地承载力和畜禽规模养殖场粪污消纳配套土地面积</w:t>
      </w:r>
      <w:r>
        <w:rPr>
          <w:rStyle w:val="60"/>
          <w:rFonts w:hint="default" w:ascii="Times New Roman" w:hAnsi="Times New Roman" w:cs="Times New Roman"/>
          <w:color w:val="auto"/>
          <w:highlight w:val="none"/>
          <w:lang w:eastAsia="zh-CN"/>
        </w:rPr>
        <w:t>，</w:t>
      </w:r>
      <w:r>
        <w:rPr>
          <w:rFonts w:hint="default" w:ascii="Times New Roman" w:hAnsi="Times New Roman" w:eastAsia="宋体" w:cs="Times New Roman"/>
          <w:color w:val="auto"/>
          <w:sz w:val="24"/>
          <w:highlight w:val="none"/>
        </w:rPr>
        <w:t>本项目所需配套土地面积为</w:t>
      </w:r>
      <w:r>
        <w:rPr>
          <w:rFonts w:hint="eastAsia" w:ascii="Times New Roman" w:hAnsi="Times New Roman" w:cs="Times New Roman"/>
          <w:color w:val="auto"/>
          <w:sz w:val="24"/>
          <w:highlight w:val="none"/>
          <w:lang w:val="en-US" w:eastAsia="zh-CN"/>
        </w:rPr>
        <w:t>6957</w:t>
      </w:r>
      <w:r>
        <w:rPr>
          <w:rFonts w:hint="default" w:ascii="Times New Roman" w:hAnsi="Times New Roman" w:eastAsia="宋体" w:cs="Times New Roman"/>
          <w:color w:val="auto"/>
          <w:sz w:val="24"/>
          <w:highlight w:val="none"/>
        </w:rPr>
        <w:t>亩，应有一倍以上的土地用于轮作施肥，</w:t>
      </w:r>
      <w:r>
        <w:rPr>
          <w:rFonts w:hint="default" w:ascii="Times New Roman" w:hAnsi="Times New Roman" w:cs="Times New Roman"/>
          <w:color w:val="auto"/>
          <w:sz w:val="24"/>
          <w:highlight w:val="none"/>
          <w:lang w:val="en-US" w:eastAsia="zh-CN"/>
        </w:rPr>
        <w:t>需</w:t>
      </w:r>
      <w:r>
        <w:rPr>
          <w:rFonts w:hint="eastAsia" w:ascii="Times New Roman" w:hAnsi="Times New Roman" w:cs="Times New Roman"/>
          <w:color w:val="auto"/>
          <w:sz w:val="24"/>
          <w:highlight w:val="none"/>
          <w:lang w:val="en-US" w:eastAsia="zh-CN"/>
        </w:rPr>
        <w:t>13914</w:t>
      </w:r>
      <w:r>
        <w:rPr>
          <w:rFonts w:hint="default" w:ascii="Times New Roman" w:hAnsi="Times New Roman" w:eastAsia="宋体" w:cs="Times New Roman"/>
          <w:color w:val="auto"/>
          <w:sz w:val="24"/>
          <w:highlight w:val="none"/>
        </w:rPr>
        <w:t>亩土地。企业</w:t>
      </w:r>
      <w:r>
        <w:rPr>
          <w:rFonts w:hint="eastAsia" w:ascii="Times New Roman" w:hAnsi="Times New Roman" w:cs="Times New Roman"/>
          <w:color w:val="auto"/>
          <w:sz w:val="24"/>
          <w:highlight w:val="none"/>
          <w:lang w:val="en-US" w:eastAsia="zh-CN"/>
        </w:rPr>
        <w:t>与附近种植户已商定签署</w:t>
      </w:r>
      <w:r>
        <w:rPr>
          <w:rFonts w:hint="default" w:ascii="Times New Roman" w:hAnsi="Times New Roman" w:eastAsia="宋体" w:cs="Times New Roman"/>
          <w:color w:val="auto"/>
          <w:sz w:val="24"/>
          <w:highlight w:val="none"/>
        </w:rPr>
        <w:t>粪污消纳土地协议共</w:t>
      </w:r>
      <w:r>
        <w:rPr>
          <w:rFonts w:hint="eastAsia" w:ascii="Times New Roman" w:hAnsi="Times New Roman" w:cs="Times New Roman"/>
          <w:color w:val="auto"/>
          <w:sz w:val="24"/>
          <w:highlight w:val="none"/>
          <w:lang w:val="en-US" w:eastAsia="zh-CN"/>
        </w:rPr>
        <w:t>15130</w:t>
      </w:r>
      <w:r>
        <w:rPr>
          <w:rFonts w:hint="default" w:ascii="Times New Roman" w:hAnsi="Times New Roman" w:eastAsia="宋体" w:cs="Times New Roman"/>
          <w:color w:val="auto"/>
          <w:sz w:val="24"/>
          <w:highlight w:val="none"/>
        </w:rPr>
        <w:t>亩，能够满足本项目粪污消纳需求。</w:t>
      </w:r>
    </w:p>
    <w:p w14:paraId="30F11D81">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8与《鸡西市人民政府印发鸡西市“十四五”生态环境保护规划的通知》（鸡政规〔2022〕7号）符合性分析</w:t>
      </w:r>
    </w:p>
    <w:p w14:paraId="1B67E33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《鸡西市人民政府印发鸡西市“十四五”生态环境保护规划的通知》（鸡政规〔2022〕7号）中</w:t>
      </w:r>
      <w:r>
        <w:rPr>
          <w:rFonts w:hint="default" w:ascii="Times New Roman" w:hAnsi="Times New Roman" w:eastAsia="宋体" w:cs="Times New Roman"/>
          <w:color w:val="auto"/>
          <w:sz w:val="24"/>
          <w:highlight w:val="none"/>
        </w:rPr>
        <w:t>要求：</w:t>
      </w:r>
    </w:p>
    <w:p w14:paraId="0532683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（六）加快农村环境治理，提升人居环境质量</w:t>
      </w:r>
    </w:p>
    <w:p w14:paraId="204A8D1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2.着力控制养殖业污染。</w:t>
      </w:r>
    </w:p>
    <w:p w14:paraId="003BC7C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推广绿色养殖方式。推进养殖产业模式生态化，优化调整养殖业空间布局，积极发展生态养殖方式，带动养殖业绿色可持续发展。推广节水、节料等生态养殖工艺和</w:t>
      </w:r>
      <w:r>
        <w:rPr>
          <w:rFonts w:hint="eastAsia" w:ascii="Times New Roman" w:hAnsi="Times New Roman" w:cs="Times New Roman"/>
          <w:color w:val="auto"/>
          <w:sz w:val="24"/>
          <w:highlight w:val="none"/>
          <w:lang w:val="en-US" w:eastAsia="zh-CN"/>
        </w:rPr>
        <w:t>尿泡粪—干清粪</w:t>
      </w:r>
      <w:r>
        <w:rPr>
          <w:rFonts w:hint="default" w:ascii="Times New Roman" w:hAnsi="Times New Roman" w:eastAsia="宋体" w:cs="Times New Roman"/>
          <w:color w:val="auto"/>
          <w:sz w:val="24"/>
          <w:highlight w:val="none"/>
          <w:lang w:val="en-US" w:eastAsia="zh-CN"/>
        </w:rPr>
        <w:t>、微生物发酵等实用技术，实现源头减量。</w:t>
      </w:r>
    </w:p>
    <w:p w14:paraId="1E7BD03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加强养殖污染管控。推进县域畜禽养殖污染防治，规范畜禽养殖禁养区调整。对设有固定排污口的畜禽规模养殖场实施排污许可制度。严格畜禽规模养殖环境监管执法，将规模以上畜禽养殖场纳入重点污染源管理，确保畜禽粪污处理设施正常运转。</w:t>
      </w:r>
    </w:p>
    <w:p w14:paraId="0CAF3C0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推进畜禽粪污资源化利用。推广粪污就地就近全量还田模式，鼓励和引导第三方处理企业将养殖场（户）畜禽粪污进行专业化集中处理。在散养密集区支持建立粪污集中处理中心。到2025年，全市畜禽粪污综合利用率达到85%以上，规模养殖场粪污处理设施装备配套率保持在100%。</w:t>
      </w:r>
    </w:p>
    <w:p w14:paraId="2FABACAE">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本项目与其相符分析：</w:t>
      </w:r>
      <w:r>
        <w:rPr>
          <w:rFonts w:hint="default" w:ascii="Times New Roman" w:hAnsi="Times New Roman" w:eastAsia="宋体" w:cs="Times New Roman"/>
          <w:color w:val="auto"/>
          <w:sz w:val="24"/>
          <w:highlight w:val="none"/>
          <w:lang w:val="en-US" w:eastAsia="zh-CN"/>
        </w:rPr>
        <w:t>本项目建成后年存栏8000头（母猪950头，公猪50头，哺乳仔猪1700头，保育仔猪3300头，后备猪2000头），年出栏</w:t>
      </w:r>
      <w:r>
        <w:rPr>
          <w:rFonts w:hint="eastAsia" w:ascii="Times New Roman" w:hAnsi="Times New Roman" w:cs="Times New Roman"/>
          <w:color w:val="auto"/>
          <w:sz w:val="24"/>
          <w:highlight w:val="none"/>
          <w:lang w:val="en-US" w:eastAsia="zh-CN"/>
        </w:rPr>
        <w:t>商品猪（仔猪）</w:t>
      </w:r>
      <w:r>
        <w:rPr>
          <w:rFonts w:hint="default" w:ascii="Times New Roman" w:hAnsi="Times New Roman" w:eastAsia="宋体" w:cs="Times New Roman"/>
          <w:color w:val="auto"/>
          <w:sz w:val="24"/>
          <w:highlight w:val="none"/>
          <w:lang w:val="en-US" w:eastAsia="zh-CN"/>
        </w:rPr>
        <w:t>16000头</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方式进行清粪，</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w:t>
      </w:r>
      <w:r>
        <w:rPr>
          <w:rFonts w:hint="eastAsia" w:ascii="Times New Roman" w:hAnsi="Times New Roman" w:cs="Times New Roman"/>
          <w:color w:val="auto"/>
          <w:sz w:val="24"/>
          <w:highlight w:val="none"/>
          <w:lang w:val="en-US" w:eastAsia="zh-CN"/>
        </w:rPr>
        <w:t>本项目不设置固定排污口</w:t>
      </w:r>
      <w:r>
        <w:rPr>
          <w:rFonts w:hint="default" w:ascii="Times New Roman" w:hAnsi="Times New Roman" w:eastAsia="宋体" w:cs="Times New Roman"/>
          <w:color w:val="auto"/>
          <w:sz w:val="24"/>
          <w:highlight w:val="none"/>
          <w:lang w:val="en-US" w:eastAsia="zh-CN"/>
        </w:rPr>
        <w:t>。</w:t>
      </w:r>
    </w:p>
    <w:p w14:paraId="2EF4B353">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9与《鸡西市人民政府办公室印发鸡西市畜禽养殖废弃物资源化利用工作方案的通知》</w:t>
      </w:r>
      <w:r>
        <w:rPr>
          <w:rFonts w:hint="eastAsia" w:ascii="Times New Roman" w:cs="Times New Roman"/>
          <w:b/>
          <w:bCs/>
          <w:color w:val="auto"/>
          <w:highlight w:val="none"/>
          <w:lang w:val="en-US" w:eastAsia="zh-CN"/>
        </w:rPr>
        <w:t>（鸡政办规〔2019〕8号）</w:t>
      </w:r>
      <w:r>
        <w:rPr>
          <w:rFonts w:hint="default" w:ascii="Times New Roman" w:hAnsi="Times New Roman" w:eastAsia="宋体" w:cs="Times New Roman"/>
          <w:b/>
          <w:bCs/>
          <w:color w:val="auto"/>
          <w:highlight w:val="none"/>
          <w:lang w:val="en-US" w:eastAsia="zh-CN"/>
        </w:rPr>
        <w:t>符合性分析</w:t>
      </w:r>
    </w:p>
    <w:p w14:paraId="37649B81">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《鸡西市人民政府办公室印发鸡西市畜禽养殖废弃物资源化利用工作方案的通知》（鸡政办规〔2019〕8号）中</w:t>
      </w:r>
      <w:r>
        <w:rPr>
          <w:rFonts w:hint="default" w:ascii="Times New Roman" w:hAnsi="Times New Roman" w:eastAsia="宋体" w:cs="Times New Roman"/>
          <w:color w:val="auto"/>
          <w:sz w:val="24"/>
          <w:highlight w:val="none"/>
        </w:rPr>
        <w:t>要求：</w:t>
      </w:r>
    </w:p>
    <w:p w14:paraId="0D4E0FAF">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二、重点任务</w:t>
      </w:r>
    </w:p>
    <w:p w14:paraId="2A564641">
      <w:pPr>
        <w:spacing w:line="360" w:lineRule="auto"/>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发挥绿色有机食品产业引领作用。一是加大政府扶持力度。树立畜禽养殖废弃物是宝贵资源的理念，以粪污肥料化利用为主要途径，通过政府扶持有机肥施用，调动种植户和第三方专业化企业生产、使用有机肥的积极性，解决农民不想用、不愿用问题。二是强化品牌营销。立足我市生态优势和绿色有机食品产业基础，瞄准省内外中高端食品市场需求，通过农牧对接、种养结合、培育品牌，延长产业链、提升价值链，拓展利润空间，走出一条好肥出好粮、好粮卖好价的良性发展之路。以绿色有机食品种植基地、瓜果蔬菜及优质饲草饲料基地为重点，引导农民和经营主体积造和足量施用有机肥，扩大有机粮食、饲料种植面积，通过产品精深加工和过腹增值，形成强劲市场竞争力。（责任单位：市农业农村局牵头，市生态环境局、市市场监管局参与）</w:t>
      </w:r>
    </w:p>
    <w:p w14:paraId="60A42D45">
      <w:pPr>
        <w:spacing w:line="360" w:lineRule="auto"/>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二）构建种养循环发展机制。县（市）、区政府要以提高畜禽粪污资源化利用率为重点，编制种养循环发展规划，实行以地定畜（一般情况下，50—75头猪或3—5头奶牛配套１公顷土地），促进种养业布局优化。建立畜禽粪污等农业有机废弃物收集、转化、利用网络体系，鼓励在养殖密集区域建立粪污集中处理中心，探索规模化、专业化、社会化运营机制。支持田间地头配套建设管网和储粪（液）池等，解决粪污还田难题。探索搭建粪污交易平台，鼓励引导畜禽规模养殖场与家庭农场、种植大户、农民合作社等新型经营主体在合理半径内相衔接，实现无害化处理后的畜禽粪污就近还田利用。完善肥料登记管理制度，强化有机肥原料和质量的监管。对规模养殖场或其他企业组织自行沤制的有机肥，必须由有资质的第三方对其原料和产品进行质量监测，达到无害化处理标准后方可投入种植业生产使用。借鉴国际经验探索创设有机肥施肥卡制度，并与“三品一标”（无公害产品、绿色食品、有机农产品和农产品地理标志）认证工作相结合，保证粪污来源、去向可追溯。（责任单位：市农业农村局牵头，市发改委、市财政局、市生态环境局、市市场监管局参与）</w:t>
      </w:r>
    </w:p>
    <w:p w14:paraId="73565F8F">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三）加快畜牧业转型升级。县（市）、区要通过制定畜牧产业发展规划，调整优化畜牧业生产布局特别是优化调整生猪养殖布局，根据种植业需求和环境容量，有序承接畜牧产业转移，统筹畜禽规模养殖和环境保护的关系。继续推进适度规模的现代牧场建设，大力发展标准化规模养殖，充分利用市场力量，加快畜牧业由传统的数量规模驱动型向质量效益型转变，加快散小养殖户向专业合作社或现代家庭牧场转型。推广智慧牧场、生态养殖，建设自动喂料、自动饮水、环境控制等现代化装备，推广节水、节料等清洁养殖工艺和</w:t>
      </w:r>
      <w:r>
        <w:rPr>
          <w:rFonts w:hint="eastAsia" w:ascii="Times New Roman" w:hAnsi="Times New Roman" w:cs="Times New Roman"/>
          <w:highlight w:val="none"/>
          <w:lang w:val="en-US" w:eastAsia="zh-CN"/>
        </w:rPr>
        <w:t>尿泡粪—干清粪</w:t>
      </w:r>
      <w:r>
        <w:rPr>
          <w:rFonts w:hint="default" w:ascii="Times New Roman" w:hAnsi="Times New Roman" w:cs="Times New Roman"/>
          <w:highlight w:val="none"/>
          <w:lang w:val="en-US" w:eastAsia="zh-CN"/>
        </w:rPr>
        <w:t>、微生物发酵等实用技术，实现源头减量。加强规模养殖场精细化管理，推广散装饲料和精准配方，提高饲料转化效率。加快畜禽品种遗传改良进程，提升母畜繁殖性能，提高综合生产能力。落实畜禽疫病综合防治措施，降低发病率和死亡率。以肉牛、生猪和蛋鸡为重点，支持标准化规模养殖场建设，继续开展畜禽养殖标准化示范创建活动。（责任单位：市农业农村局牵头，市发改委、市财政局、市市场监管局参与）</w:t>
      </w:r>
    </w:p>
    <w:p w14:paraId="17B91EB7">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四）分类推广重点技术模式。以源头减量、过程控制、末端利用为核心，重点推广经济适用的技术模式。一是源头减量。推广微生物制剂、酶制剂等饲料添加剂和低氮低磷低矿物质饲料配方，提高饲料转化效率，降低抗生素等兽药和铜、锌等饲料添加剂使用量；改水冲粪为</w:t>
      </w:r>
      <w:r>
        <w:rPr>
          <w:rFonts w:hint="eastAsia" w:ascii="Times New Roman" w:hAnsi="Times New Roman" w:cs="Times New Roman"/>
          <w:highlight w:val="none"/>
          <w:lang w:val="en-US" w:eastAsia="zh-CN"/>
        </w:rPr>
        <w:t>干清粪</w:t>
      </w:r>
      <w:r>
        <w:rPr>
          <w:rFonts w:hint="default" w:ascii="Times New Roman" w:hAnsi="Times New Roman" w:cs="Times New Roman"/>
          <w:highlight w:val="none"/>
          <w:lang w:val="en-US" w:eastAsia="zh-CN"/>
        </w:rPr>
        <w:t>，采用雨污分离、回收污水循环清粪等有效措施，控制污水产生量。二是过程控制。从畜舍设计、饲养管理、粪污处理等全程切入，严控环境污染，使用堆肥发酵菌剂、粪水处理菌剂和臭气控制菌剂等，加速粪污无害化处理过程，减少氮磷和臭气排放。三是末端利用。鼓励肉牛、羊和家禽规模化养殖场推行固体粪便堆肥或建立集中处理中心生产有机肥；鼓励生猪和奶牛等规模化养殖场采用粪污全量收集还田利用和“固体粪便堆肥＋污水肥料化利用”等技术模式，促进畜禽粪污就近就地还田利用。</w:t>
      </w:r>
    </w:p>
    <w:p w14:paraId="5222C319">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结合我市实际，重点推广以下模式：一是“粪污全量收集还田利用”模式。对于养殖密集区或大型规模养殖场，依托大型规模养殖场或第三方企业将畜禽粪污集中全量收集，并通过氧化塘、常温发酵囊、发酵罐或集装箱等贮存处理设施对粪污进行无害化处理，在作物收获后或播种前利用专业化施肥机械施用到农田。二是“污水肥料化利用”模式。对于有配套农田的规模养殖场，养殖污水通过氧化塘、常温发酵囊或沼气设施进行无害化处理，在作物收获后或播种前作为底肥施用。三是“粪便垫料回用还田”模式。规模奶牛场粪污进行固液分离，固体粪便经过高温快速发酵和杀菌处理后作为牛床垫料和有机肥，对养殖污水进行厌氧、好氧深度处理，消毒回用或达标排放。四是“异位发酵床”模式。规模生猪养殖场采用高架发酵床模式，粪污通过漏缝地板进入底层，利用垫料和微生物菌进行发酵分解。五是“粪污专业化能源利用”模式。依托大型规模养殖场或第三方企业，对一定区域内的粪污进行集中收集，通过大型沼气工程或生物天然气工程，沼气发电上网或提纯生物天然气，沼渣生产有机肥，沼液通过农田利用或浓缩使用。（责任单位：市农业农村局牵头，市生态环境局、鸡西供电公司参与）</w:t>
      </w:r>
    </w:p>
    <w:p w14:paraId="5E8AAC78">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五）完成禁养区治理工作。县（市）、区政府要组织生态环境、农业农村、自然资源和规划等有关部门，在科学划定禁养区基础上，制定关闭或搬迁实施方案，明确关闭或搬迁补偿范围、标准和办法，并组织实施关闭或搬迁工作，按相关规定落实异地建场用地等问题。县（市）、区生态环境局要牵头加强禁养区的环境监督执法工作；农业农村局要负责收回注销禁养区内关闭或搬迁畜禽养殖场的《动物防疫条件合格证》，同步注销畜禽养殖代码，由市农业农村局汇总后报省农业农村厅备案。禁养区内禁止有排放污染物的规模养殖场，禁止新建养殖场。（责任单位：市农业农村局、市生态环境局牵头，市自然资源和规划局参与）</w:t>
      </w:r>
    </w:p>
    <w:p w14:paraId="589A2F85">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六）落实畜禽规模养殖环评制度。依法依规对畜禽规模养殖相关规划开展环境影响评价，规范环境影响评价内容和要求。新（改、扩）建畜禽规模养殖场粪污资源化利用要以还田模式为重点，配套与养殖规模和处理工艺相适应的粪污消纳用地，配备必要的粪污收集、贮存、处理、运输、利用设施，依法进行环境影响评价。严格落实生态环境部《建设项目环境影响评价分类管理目录》规定，年出栏生猪5000头（其他畜禽种类折合成猪的养殖规模）及以上、涉及环境敏感区的畜禽养殖项目须编制环境影响报告书，其他的填报环境影响登记表。对未依法进行环境影响评价的畜禽规模养殖场（区），生态环境部门依法予以处罚。（责任单位：市生态环境局牵头，市农业农村局配合）</w:t>
      </w:r>
    </w:p>
    <w:p w14:paraId="108D14E5">
      <w:pPr>
        <w:spacing w:line="360" w:lineRule="auto"/>
        <w:ind w:firstLine="480" w:firstLineChars="200"/>
        <w:rPr>
          <w:rFonts w:hint="default"/>
          <w:highlight w:val="none"/>
          <w:lang w:eastAsia="zh-CN"/>
        </w:rPr>
      </w:pPr>
      <w:r>
        <w:rPr>
          <w:rFonts w:hint="default" w:ascii="Times New Roman" w:hAnsi="Times New Roman" w:cs="Times New Roman"/>
          <w:highlight w:val="none"/>
          <w:lang w:val="en-US" w:eastAsia="zh-CN"/>
        </w:rPr>
        <w:t>（七）完善畜禽养殖污染监管制度。建立健全畜禽粪污还田利用和检测标准体系，完善畜禽粪污排放统计核算方法和畜禽规模养殖场污染物减排核算制度，将规模养殖场畜禽粪污还田利用量作为统计污染物削减量的重要依据。县（市）、区要尽快完成养殖粪污土地承载能力测算工作，养殖规模超过土地承载能力的县（市）、区要合理调减养殖总量。实施畜禽规模养殖场分类管理，对设有固定排污口的畜禽规模养殖场依法核发排污许可证，不得无证排污和不按证排污。不定期检查污染防治设施运行、自行监测、信息公开等排污许可证管理执行情况。以县（市）、区为单位，开展畜禽规模养殖场（区）环境常态化专项执法检查，重点监管大型规模养殖场（区）周边地下水质量。结合落实河长制，采取部门联合、条块结合等形式，建立县、乡、村三级畜禽养殖污染网格化防控巡查网络。建立畜禽规模养殖场直联直报信息系统，到2020年实现规模养殖场全覆盖。（责任单位：市农业农村局、市生态环境局牵头，市市场监管局参与）</w:t>
      </w:r>
    </w:p>
    <w:p w14:paraId="6A698247">
      <w:pPr>
        <w:pStyle w:val="268"/>
        <w:keepNext w:val="0"/>
        <w:keepLines w:val="0"/>
        <w:pageBreakBefore w:val="0"/>
        <w:kinsoku/>
        <w:wordWrap/>
        <w:overflowPunct/>
        <w:topLinePunct w:val="0"/>
        <w:autoSpaceDE/>
        <w:autoSpaceDN/>
        <w:bidi w:val="0"/>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本项目的选址位于</w:t>
      </w:r>
      <w:r>
        <w:rPr>
          <w:rFonts w:hint="eastAsia" w:asci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w:t>
      </w:r>
      <w:r>
        <w:rPr>
          <w:rFonts w:hint="default" w:ascii="Times New Roman" w:hAnsi="Times New Roman" w:cs="Times New Roman"/>
          <w:color w:val="auto"/>
          <w:sz w:val="24"/>
          <w:highlight w:val="none"/>
        </w:rPr>
        <w:t>中心地理坐标：</w:t>
      </w:r>
      <w:r>
        <w:rPr>
          <w:rFonts w:hint="default" w:ascii="Times New Roman" w:hAnsi="Times New Roman" w:cs="Times New Roman"/>
          <w:color w:val="auto"/>
          <w:sz w:val="24"/>
          <w:highlight w:val="none"/>
          <w:lang w:val="zh-CN"/>
        </w:rPr>
        <w:t>东经132°10′34.521″，北纬45°34′7.14</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val="zh-CN"/>
        </w:rPr>
        <w:t>″</w:t>
      </w:r>
      <w:r>
        <w:rPr>
          <w:rFonts w:hint="default" w:ascii="Times New Roman" w:hAnsi="Times New Roman" w:eastAsia="宋体" w:cs="Times New Roman"/>
          <w:color w:val="auto"/>
          <w:highlight w:val="none"/>
        </w:rPr>
        <w:t>。距离本项目距离本项目最近的敏感点为本项目</w:t>
      </w:r>
      <w:r>
        <w:rPr>
          <w:rFonts w:hint="default" w:ascii="Times New Roman" w:hAnsi="Times New Roman" w:eastAsia="宋体" w:cs="Times New Roman"/>
          <w:color w:val="auto"/>
          <w:highlight w:val="none"/>
          <w:lang w:val="en-US" w:eastAsia="zh-CN"/>
        </w:rPr>
        <w:t>东南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val="en-US" w:eastAsia="zh-CN"/>
        </w:rPr>
        <w:t>578</w:t>
      </w:r>
      <w:r>
        <w:rPr>
          <w:rFonts w:hint="default" w:ascii="Times New Roman" w:hAnsi="Times New Roman" w:eastAsia="宋体" w:cs="Times New Roman"/>
          <w:color w:val="auto"/>
          <w:highlight w:val="none"/>
        </w:rPr>
        <w:t>m处的</w:t>
      </w:r>
      <w:r>
        <w:rPr>
          <w:rFonts w:hint="default" w:ascii="Times New Roman" w:hAnsi="Times New Roman" w:eastAsia="宋体" w:cs="Times New Roman"/>
          <w:color w:val="auto"/>
          <w:highlight w:val="none"/>
          <w:lang w:val="en-US" w:eastAsia="zh-CN"/>
        </w:rPr>
        <w:t>团结村四组</w:t>
      </w:r>
      <w:r>
        <w:rPr>
          <w:rFonts w:hint="default" w:ascii="Times New Roman" w:hAnsi="Times New Roman" w:eastAsia="宋体" w:cs="Times New Roman"/>
          <w:color w:val="auto"/>
          <w:highlight w:val="none"/>
        </w:rPr>
        <w:t>。本项目周围400m范围内无功能地表水体。</w:t>
      </w:r>
    </w:p>
    <w:p w14:paraId="71A99AD7">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方式进行清粪，</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w:t>
      </w:r>
    </w:p>
    <w:p w14:paraId="2960E5A8">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kern w:val="0"/>
          <w:sz w:val="24"/>
          <w:highlight w:val="none"/>
          <w:lang w:bidi="ar"/>
        </w:rPr>
        <w:t>粪污采用</w:t>
      </w:r>
      <w:r>
        <w:rPr>
          <w:rFonts w:hint="eastAsia" w:ascii="Times New Roman" w:hAnsi="Times New Roman" w:cs="Times New Roman"/>
          <w:kern w:val="0"/>
          <w:sz w:val="24"/>
          <w:highlight w:val="none"/>
          <w:lang w:eastAsia="zh-CN" w:bidi="ar"/>
        </w:rPr>
        <w:t>尿泡粪—干清粪</w:t>
      </w:r>
      <w:r>
        <w:rPr>
          <w:rFonts w:hint="default" w:ascii="Times New Roman" w:hAnsi="Times New Roman" w:cs="Times New Roman"/>
          <w:kern w:val="0"/>
          <w:sz w:val="24"/>
          <w:highlight w:val="none"/>
          <w:lang w:bidi="ar"/>
        </w:rPr>
        <w:t>方式，粪尿及冲洗废水等污染物通过集粪池</w:t>
      </w:r>
      <w:r>
        <w:rPr>
          <w:rFonts w:hint="default" w:ascii="Times New Roman" w:hAnsi="Times New Roman" w:cs="Times New Roman"/>
          <w:sz w:val="24"/>
          <w:highlight w:val="none"/>
        </w:rPr>
        <w:t>（集粪池需满足《畜禽粪便贮存设施设计要求》（GB/T27622-2011）中5.3地面要求、5.4墙体及6其他要求）</w:t>
      </w:r>
      <w:r>
        <w:rPr>
          <w:rFonts w:hint="eastAsia" w:ascii="Times New Roman" w:hAnsi="Times New Roman" w:cs="Times New Roman"/>
          <w:sz w:val="24"/>
          <w:highlight w:val="none"/>
          <w:lang w:eastAsia="zh-CN"/>
        </w:rPr>
        <w:t>。</w:t>
      </w:r>
      <w:r>
        <w:rPr>
          <w:rFonts w:hint="default" w:ascii="Times New Roman" w:hAnsi="Times New Roman" w:eastAsia="宋体" w:cs="Times New Roman"/>
          <w:color w:val="auto"/>
          <w:sz w:val="24"/>
          <w:highlight w:val="none"/>
        </w:rPr>
        <w:t>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中储存，用于周围土地消纳，全部综合利用</w:t>
      </w:r>
      <w:r>
        <w:rPr>
          <w:rFonts w:hint="eastAsia" w:ascii="Times New Roman" w:hAnsi="Times New Roman" w:cs="Times New Roman"/>
          <w:kern w:val="0"/>
          <w:sz w:val="24"/>
          <w:highlight w:val="none"/>
          <w:lang w:eastAsia="zh-CN" w:bidi="ar"/>
        </w:rPr>
        <w:t>。</w:t>
      </w:r>
      <w:r>
        <w:rPr>
          <w:rFonts w:hint="default" w:ascii="Times New Roman" w:hAnsi="Times New Roman" w:cs="Times New Roman"/>
          <w:kern w:val="0"/>
          <w:sz w:val="24"/>
          <w:highlight w:val="none"/>
          <w:lang w:bidi="ar"/>
        </w:rPr>
        <w:t>产生的</w:t>
      </w:r>
      <w:r>
        <w:rPr>
          <w:rFonts w:hint="default" w:ascii="Times New Roman" w:hAnsi="Times New Roman" w:cs="Times New Roman"/>
          <w:snapToGrid w:val="0"/>
          <w:kern w:val="0"/>
          <w:sz w:val="24"/>
          <w:highlight w:val="none"/>
        </w:rPr>
        <w:t>沼气经干法脱硫后经火炬燃烧</w:t>
      </w:r>
      <w:r>
        <w:rPr>
          <w:rFonts w:hint="default" w:ascii="Times New Roman" w:hAnsi="Times New Roman" w:cs="Times New Roman"/>
          <w:kern w:val="0"/>
          <w:sz w:val="24"/>
          <w:highlight w:val="none"/>
          <w:lang w:bidi="ar"/>
        </w:rPr>
        <w:t>处理；</w:t>
      </w:r>
      <w:r>
        <w:rPr>
          <w:rFonts w:hint="default" w:ascii="Times New Roman" w:hAnsi="Times New Roman" w:cs="Times New Roman"/>
          <w:sz w:val="24"/>
          <w:highlight w:val="none"/>
        </w:rPr>
        <w:t>畜禽粪污应符合《畜禽粪便无害化处理技术规范》（GB/T36195-2018）、《畜禽粪便还田技术规范》（</w:t>
      </w:r>
      <w:r>
        <w:rPr>
          <w:rFonts w:hint="eastAsia" w:ascii="Times New Roman" w:hAnsi="Times New Roman" w:cs="Times New Roman"/>
          <w:sz w:val="24"/>
          <w:highlight w:val="none"/>
          <w:lang w:eastAsia="zh-CN"/>
        </w:rPr>
        <w:t>GB/T25246-2025</w:t>
      </w:r>
      <w:r>
        <w:rPr>
          <w:rFonts w:hint="default" w:ascii="Times New Roman" w:hAnsi="Times New Roman" w:cs="Times New Roman"/>
          <w:sz w:val="24"/>
          <w:highlight w:val="none"/>
        </w:rPr>
        <w:t>）相关质量要求后进行还田利用。</w:t>
      </w:r>
      <w:r>
        <w:rPr>
          <w:rFonts w:hint="default" w:ascii="Times New Roman" w:hAnsi="Times New Roman" w:cs="Times New Roman"/>
          <w:highlight w:val="none"/>
          <w:lang w:val="en-US" w:eastAsia="zh-CN"/>
        </w:rPr>
        <w:t>本项目不设固定排污口</w:t>
      </w:r>
      <w:r>
        <w:rPr>
          <w:rFonts w:hint="default" w:ascii="Times New Roman" w:hAnsi="Times New Roman" w:cs="Times New Roman"/>
          <w:sz w:val="24"/>
          <w:highlight w:val="none"/>
        </w:rPr>
        <w:t>。</w:t>
      </w:r>
    </w:p>
    <w:p w14:paraId="26226EBA">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10与</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禽畜养殖场（户）粪污处理设施建设技术指南》（农办牧【2022】19号）符合性分析</w:t>
      </w:r>
    </w:p>
    <w:p w14:paraId="2A0E665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禽畜养殖场（户）粪污处理设施建设技术指南》（农办牧【2022】19号）中</w:t>
      </w:r>
      <w:r>
        <w:rPr>
          <w:rFonts w:hint="default" w:ascii="Times New Roman" w:hAnsi="Times New Roman" w:eastAsia="宋体" w:cs="Times New Roman"/>
          <w:color w:val="auto"/>
          <w:sz w:val="24"/>
          <w:highlight w:val="none"/>
        </w:rPr>
        <w:t>要求：</w:t>
      </w:r>
    </w:p>
    <w:p w14:paraId="5E6D135A">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1 设施设备总体要求</w:t>
      </w:r>
    </w:p>
    <w:p w14:paraId="783C0159">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应根据养殖污染防治要求和当地环境承载力，配备与设计生产能力、粪污处理利用方式相匹配的粪污减量、收集、暂存或处理设施设备，满足防雨、防渗、防溢流和安全防护要求，并确保正常运行。交由第三方处理机构处理畜禽粪污的，应按照转运时间间隔建设粪污暂存设施，可不自行建设粪污资源化利用设施。畜禽养殖户应当采取措施，对畜禽粪污进行科学处理，防止污染环境。</w:t>
      </w:r>
    </w:p>
    <w:p w14:paraId="135BF51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val="en-US" w:eastAsia="zh-CN"/>
        </w:rPr>
        <w:t>本项目与其相符分析：</w:t>
      </w:r>
      <w:r>
        <w:rPr>
          <w:rFonts w:hint="default" w:ascii="Times New Roman" w:hAnsi="Times New Roman" w:eastAsia="宋体" w:cs="Times New Roman"/>
          <w:color w:val="auto"/>
          <w:sz w:val="24"/>
          <w:highlight w:val="none"/>
        </w:rPr>
        <w:t>本项目粪液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进行堆肥，施肥季节用于配套消纳地进行施肥，非施肥季节储存于干粪堆积场内（满足防雨、防渗、防溢流和安全防护要求）</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w:t>
      </w:r>
    </w:p>
    <w:p w14:paraId="5843772D">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2 圈舍及运动场粪污减量设施</w:t>
      </w:r>
    </w:p>
    <w:p w14:paraId="7DC660C5">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宜采用干清粪、水泡粪、地面垫料、床（网）下垫料等清粪工艺，逐步淘汰水冲粪工艺，合理控制清粪环节用水量。新建养殖场采用干清粪工艺的，鼓励进行机械干清粪。鼓励畜禽养殖场采用碗式或液位控制等防溢漏饮水器，减少饮水漏水。新建猪、鸡等养殖场宜采取圈舍封闭半封闭管理，鼓励有条件的现有畜禽养殖场开展圈舍封闭改造，对恶臭气体进行收集处理。</w:t>
      </w:r>
    </w:p>
    <w:p w14:paraId="647FBDA8">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畜禽养殖场（户）应保持合理的清粪频次，及时收集圈舍和运动场的粪污。鼓励畜禽养殖场做好运动场的防雨、防渗和防溢流，降低环境污染风险。</w:t>
      </w:r>
    </w:p>
    <w:p w14:paraId="2BF6FF75">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本项目与其相符分析：猪舍采用</w:t>
      </w:r>
      <w:r>
        <w:rPr>
          <w:rFonts w:hint="eastAsia" w:ascii="Times New Roman" w:hAnsi="Times New Roman" w:cs="Times New Roman"/>
          <w:color w:val="auto"/>
          <w:highlight w:val="none"/>
          <w:lang w:eastAsia="zh-CN"/>
        </w:rPr>
        <w:t>尿泡粪—干清粪</w:t>
      </w:r>
      <w:r>
        <w:rPr>
          <w:rFonts w:hint="default" w:ascii="Times New Roman" w:hAnsi="Times New Roman" w:cs="Times New Roman"/>
          <w:color w:val="auto"/>
          <w:highlight w:val="none"/>
        </w:rPr>
        <w:t>的清粪方式，及时清运粪污；在日粮中添加EM菌、定期喷洒生物除臭剂。</w:t>
      </w:r>
    </w:p>
    <w:p w14:paraId="2B57E348">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3 雨污分流设施</w:t>
      </w:r>
    </w:p>
    <w:p w14:paraId="03470AB8">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畜禽养殖场（户）应建设雨污分流设施，液体粪污应采用暗沟或管道输送，做好密闭处理和安全防护，输送管路要合理设置检查口，检查口应加盖且一般高于地面5厘米以上，防止雨水倒灌。</w:t>
      </w:r>
    </w:p>
    <w:p w14:paraId="3B72578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本项目与其相符分析：本项目建立了雨污分流设施，液体粪污采用管道输送，输送管路设置了检查口，检查口平时加盖，防止雨水倒灌。</w:t>
      </w:r>
    </w:p>
    <w:p w14:paraId="6A0AF18C">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4 畜禽粪污暂存设施</w:t>
      </w:r>
    </w:p>
    <w:p w14:paraId="7AA14880">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建设畜禽粪污暂存池（场）的，液体粪污暂存池容积不小于单位畜禽液体粪污日产生量（立方米/天·头、只、羽）×暂存周期（天）×设计存栏量（头、只、羽），固体粪污暂存场容积不小于单位畜禽固体粪污日产生量（立方米/天·头、只、羽）×暂存周期（天）×设计存栏量（头、只、羽），单位畜禽粪污日产生量参照附表1确定，暂存周期按转运处理最大时间间隔确定。鼓励采取加盖等措施，减少恶臭气浓度体排放和雨水进入。</w:t>
      </w:r>
    </w:p>
    <w:p w14:paraId="6A0CC3E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本项目与其相符分析：本项目液体粪污采用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进行处理，</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有覆膜，全封闭，并且配备火炬燃烧。本项目采用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处理全厂废水，发酵后施肥季节用于配套消纳地进行施肥，非施肥季节储存于</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内。本项目</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lang w:val="en-US" w:eastAsia="zh-CN"/>
        </w:rPr>
        <w:t>总</w:t>
      </w:r>
      <w:r>
        <w:rPr>
          <w:rFonts w:hint="default" w:ascii="Times New Roman" w:hAnsi="Times New Roman" w:eastAsia="宋体" w:cs="Times New Roman"/>
          <w:color w:val="auto"/>
          <w:sz w:val="24"/>
          <w:highlight w:val="none"/>
        </w:rPr>
        <w:t>容积为</w:t>
      </w:r>
      <w:r>
        <w:rPr>
          <w:rFonts w:hint="eastAsia" w:ascii="Times New Roman" w:hAnsi="Times New Roman" w:cs="Times New Roman"/>
          <w:color w:val="auto"/>
          <w:sz w:val="24"/>
          <w:highlight w:val="none"/>
          <w:lang w:val="en-US" w:eastAsia="zh-CN"/>
        </w:rPr>
        <w:t>5040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年需处理水量为</w:t>
      </w:r>
      <w:r>
        <w:rPr>
          <w:rFonts w:hint="eastAsia" w:ascii="Times New Roman" w:hAnsi="Times New Roman" w:cs="Times New Roman"/>
          <w:snapToGrid w:val="0"/>
          <w:color w:val="auto"/>
          <w:highlight w:val="none"/>
          <w:lang w:val="en-US" w:eastAsia="zh-CN"/>
        </w:rPr>
        <w:t>9539.567</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，每天需要处理的废水量</w:t>
      </w:r>
      <w:r>
        <w:rPr>
          <w:rFonts w:hint="eastAsia" w:ascii="Times New Roman" w:hAnsi="Times New Roman" w:cs="Times New Roman"/>
          <w:color w:val="auto"/>
          <w:sz w:val="24"/>
          <w:highlight w:val="none"/>
          <w:vertAlign w:val="baseline"/>
          <w:lang w:val="en-US" w:eastAsia="zh-CN"/>
        </w:rPr>
        <w:t>26.1358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lang w:val="en-US" w:eastAsia="zh-CN"/>
        </w:rPr>
        <w:t>可贮存180d沼液，满足冬季存储需求，底部及侧壁进行防渗处理，上部覆膜全封闭，并进行防雨、防渗、防溢流的措施。</w:t>
      </w:r>
      <w:r>
        <w:rPr>
          <w:rFonts w:hint="default" w:ascii="Times New Roman" w:hAnsi="Times New Roman" w:eastAsia="宋体" w:cs="Times New Roman"/>
          <w:color w:val="auto"/>
          <w:sz w:val="24"/>
          <w:highlight w:val="none"/>
        </w:rPr>
        <w:t>冬季产生的废水在</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eastAsia="zh-CN"/>
        </w:rPr>
        <w:t>180天</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容积可以满足冬季存储需求。故</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暂存能力满足项目需求。</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为全封闭结构，能减少恶臭气浓度体排放和雨水进入。</w:t>
      </w:r>
    </w:p>
    <w:p w14:paraId="606B37C7">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项目采取</w:t>
      </w:r>
      <w:r>
        <w:rPr>
          <w:rFonts w:hint="eastAsia" w:ascii="Times New Roman" w:hAnsi="Times New Roman" w:cs="Times New Roman"/>
          <w:snapToGrid w:val="0"/>
          <w:color w:val="auto"/>
          <w:kern w:val="0"/>
          <w:sz w:val="24"/>
          <w:szCs w:val="24"/>
          <w:highlight w:val="none"/>
          <w:lang w:val="en-US" w:eastAsia="zh-CN" w:bidi="ar-SA"/>
        </w:rPr>
        <w:t>尿泡粪—干清粪</w:t>
      </w:r>
      <w:r>
        <w:rPr>
          <w:rFonts w:hint="default" w:ascii="Times New Roman" w:hAnsi="Times New Roman" w:eastAsia="宋体" w:cs="Times New Roman"/>
          <w:snapToGrid w:val="0"/>
          <w:color w:val="auto"/>
          <w:kern w:val="0"/>
          <w:sz w:val="24"/>
          <w:szCs w:val="24"/>
          <w:highlight w:val="none"/>
          <w:lang w:val="en-US" w:eastAsia="zh-CN" w:bidi="ar-SA"/>
        </w:rPr>
        <w:t>方式进行清粪，</w:t>
      </w:r>
      <w:r>
        <w:rPr>
          <w:rFonts w:hint="eastAsia" w:ascii="Times New Roman" w:hAnsi="Times New Roman" w:cs="Times New Roman"/>
          <w:snapToGrid w:val="0"/>
          <w:color w:val="auto"/>
          <w:kern w:val="0"/>
          <w:sz w:val="24"/>
          <w:szCs w:val="24"/>
          <w:highlight w:val="none"/>
          <w:lang w:val="en-US" w:eastAsia="zh-CN" w:bidi="ar-SA"/>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w:t>
      </w:r>
      <w:r>
        <w:rPr>
          <w:rFonts w:hint="eastAsia" w:ascii="Times New Roman" w:hAnsi="Times New Roman" w:eastAsia="宋体" w:cs="Times New Roman"/>
          <w:snapToGrid w:val="0"/>
          <w:color w:val="auto"/>
          <w:kern w:val="0"/>
          <w:sz w:val="24"/>
          <w:szCs w:val="24"/>
          <w:highlight w:val="none"/>
          <w:lang w:val="en-US" w:eastAsia="zh-CN" w:bidi="ar-SA"/>
        </w:rPr>
        <w:t>。根据《畜禽养殖业污染治理工程技术规范》的资料性附录 A“畜禽养殖废水水质和粪污产生量”猪粪量为398kg/头▪a，本项目常年存栏量8000头，产粪量总计8.723t/d、3184t/a。</w:t>
      </w:r>
    </w:p>
    <w:p w14:paraId="42A78ECD">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则干粪</w:t>
      </w:r>
      <w:r>
        <w:rPr>
          <w:rFonts w:hint="default" w:ascii="Times New Roman" w:hAnsi="Times New Roman" w:cs="Times New Roman"/>
          <w:snapToGrid w:val="0"/>
          <w:color w:val="auto"/>
          <w:highlight w:val="none"/>
          <w:lang w:eastAsia="zh-CN"/>
        </w:rPr>
        <w:t>产生量为</w:t>
      </w:r>
      <w:r>
        <w:rPr>
          <w:rFonts w:hint="eastAsia" w:ascii="Times New Roman" w:hAnsi="Times New Roman" w:cs="Times New Roman"/>
          <w:snapToGrid w:val="0"/>
          <w:color w:val="auto"/>
          <w:highlight w:val="none"/>
          <w:lang w:val="en-US" w:eastAsia="zh-CN"/>
        </w:rPr>
        <w:t>1.7446t/d、636.779t/a</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可作为肥料施用于项目周边区域的农</w:t>
      </w:r>
      <w:r>
        <w:rPr>
          <w:rFonts w:hint="default" w:ascii="Times New Roman" w:hAnsi="Times New Roman" w:eastAsia="宋体" w:cs="Times New Roman"/>
          <w:snapToGrid w:val="0"/>
          <w:color w:val="auto"/>
          <w:highlight w:val="none"/>
        </w:rPr>
        <w:t>田。</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尿泡粪—干清粪</w:t>
      </w:r>
      <w:r>
        <w:rPr>
          <w:rFonts w:hint="default" w:ascii="Times New Roman" w:hAnsi="Times New Roman" w:cs="Times New Roman"/>
          <w:color w:val="auto"/>
          <w:highlight w:val="none"/>
          <w:lang w:val="en-US" w:eastAsia="zh-CN"/>
        </w:rPr>
        <w:t>后猪粪（</w:t>
      </w:r>
      <w:r>
        <w:rPr>
          <w:rFonts w:hint="eastAsia" w:ascii="Times New Roman" w:hAnsi="Times New Roman" w:cs="Times New Roman"/>
          <w:color w:val="auto"/>
          <w:highlight w:val="none"/>
          <w:lang w:val="en-US" w:eastAsia="zh-CN"/>
        </w:rPr>
        <w:t>3184</w:t>
      </w:r>
      <w:r>
        <w:rPr>
          <w:rFonts w:hint="default" w:ascii="Times New Roman" w:hAnsi="Times New Roman" w:cs="Times New Roman"/>
          <w:color w:val="auto"/>
          <w:highlight w:val="none"/>
          <w:lang w:val="en-US" w:eastAsia="zh-CN"/>
        </w:rPr>
        <w:t>t/a）随尿液进入固液分离间，粪便和废水经固液分离后的干物质（</w:t>
      </w:r>
      <w:r>
        <w:rPr>
          <w:rFonts w:hint="eastAsia" w:ascii="Times New Roman" w:hAnsi="Times New Roman" w:cs="Times New Roman"/>
          <w:color w:val="auto"/>
          <w:highlight w:val="none"/>
          <w:lang w:val="en-US" w:eastAsia="zh-CN"/>
        </w:rPr>
        <w:t>636.779t/a</w:t>
      </w:r>
      <w:r>
        <w:rPr>
          <w:rFonts w:hint="default" w:ascii="Times New Roman" w:hAnsi="Times New Roman" w:cs="Times New Roman"/>
          <w:color w:val="auto"/>
          <w:highlight w:val="none"/>
          <w:lang w:val="en-US" w:eastAsia="zh-CN"/>
        </w:rPr>
        <w:t>）被分离出来变成</w:t>
      </w:r>
      <w:r>
        <w:rPr>
          <w:rFonts w:hint="eastAsia" w:ascii="Times New Roman" w:hAnsi="Times New Roman" w:cs="Times New Roman"/>
          <w:color w:val="auto"/>
          <w:highlight w:val="none"/>
          <w:lang w:val="en-US" w:eastAsia="zh-CN"/>
        </w:rPr>
        <w:t>干粪</w:t>
      </w:r>
      <w:r>
        <w:rPr>
          <w:rFonts w:hint="default" w:ascii="Times New Roman" w:hAnsi="Times New Roman" w:cs="Times New Roman"/>
          <w:color w:val="auto"/>
          <w:highlight w:val="none"/>
          <w:lang w:val="en-US" w:eastAsia="zh-CN"/>
        </w:rPr>
        <w:t>，剩余物质（</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进入黑膜厌氧反应池进行厌氧反应，经过厌氧发酵后，60%的干物质被分解，40%的干物质生成沼渣</w:t>
      </w:r>
      <w:r>
        <w:rPr>
          <w:rFonts w:hint="default" w:ascii="Times New Roman" w:hAnsi="Times New Roman" w:cs="Times New Roman"/>
          <w:color w:val="auto"/>
          <w:highlight w:val="none"/>
          <w:lang w:eastAsia="zh-CN"/>
        </w:rPr>
        <w:t>。沼渣含水率为65%，则沼渣产生量约为</w:t>
      </w:r>
      <w:r>
        <w:rPr>
          <w:rFonts w:hint="eastAsia" w:ascii="Times New Roman" w:hAnsi="Times New Roman" w:cs="Times New Roman"/>
          <w:color w:val="auto"/>
          <w:highlight w:val="none"/>
          <w:lang w:val="en-US" w:eastAsia="zh-CN"/>
        </w:rPr>
        <w:t>0.977</w:t>
      </w:r>
      <w:r>
        <w:rPr>
          <w:rFonts w:hint="default" w:ascii="Times New Roman" w:hAnsi="Times New Roman" w:cs="Times New Roman"/>
          <w:color w:val="auto"/>
          <w:highlight w:val="none"/>
          <w:lang w:eastAsia="zh-CN"/>
        </w:rPr>
        <w:t>t/d（即</w:t>
      </w:r>
      <w:r>
        <w:rPr>
          <w:rFonts w:hint="eastAsia" w:ascii="Times New Roman" w:hAnsi="Times New Roman" w:cs="Times New Roman"/>
          <w:color w:val="auto"/>
          <w:highlight w:val="none"/>
          <w:lang w:val="en-US" w:eastAsia="zh-CN"/>
        </w:rPr>
        <w:t>356.608</w:t>
      </w:r>
      <w:r>
        <w:rPr>
          <w:rFonts w:hint="default" w:ascii="Times New Roman" w:hAnsi="Times New Roman" w:cs="Times New Roman"/>
          <w:color w:val="auto"/>
          <w:highlight w:val="none"/>
          <w:lang w:eastAsia="zh-CN"/>
        </w:rPr>
        <w:t>t/a）。</w:t>
      </w:r>
    </w:p>
    <w:p w14:paraId="03DD2C5E">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固体粪污暂存场容积不小于</w:t>
      </w:r>
      <w:r>
        <w:rPr>
          <w:rFonts w:hint="eastAsia" w:ascii="Times New Roman" w:hAnsi="Times New Roman" w:cs="Times New Roman"/>
          <w:snapToGrid w:val="0"/>
          <w:color w:val="auto"/>
          <w:highlight w:val="none"/>
          <w:lang w:val="en-US" w:eastAsia="zh-CN"/>
        </w:rPr>
        <w:t>本</w:t>
      </w:r>
      <w:r>
        <w:rPr>
          <w:rFonts w:hint="default" w:ascii="Times New Roman" w:hAnsi="Times New Roman" w:cs="Times New Roman"/>
          <w:snapToGrid w:val="0"/>
          <w:color w:val="auto"/>
          <w:highlight w:val="none"/>
          <w:lang w:val="en-US" w:eastAsia="zh-CN"/>
        </w:rPr>
        <w:t>单位畜禽固体粪污日产生量（立方米/天·头、只、羽）×暂存周期（天）×设计存栏量（头、只、羽）</w:t>
      </w:r>
      <w:r>
        <w:rPr>
          <w:rFonts w:hint="eastAsia" w:ascii="Times New Roman" w:hAnsi="Times New Roman" w:cs="Times New Roman"/>
          <w:snapToGrid w:val="0"/>
          <w:color w:val="auto"/>
          <w:highlight w:val="none"/>
          <w:lang w:val="en-US" w:eastAsia="zh-CN"/>
        </w:rPr>
        <w:t>=489.888</w:t>
      </w:r>
      <w:r>
        <w:rPr>
          <w:rFonts w:hint="default" w:ascii="Times New Roman" w:hAnsi="Times New Roman" w:cs="Times New Roman"/>
          <w:snapToGrid w:val="0"/>
          <w:color w:val="auto"/>
          <w:highlight w:val="none"/>
          <w:lang w:val="en-US" w:eastAsia="zh-CN"/>
        </w:rPr>
        <w:t>立方米</w:t>
      </w:r>
      <w:r>
        <w:rPr>
          <w:rFonts w:hint="eastAsia" w:ascii="Times New Roman" w:hAnsi="Times New Roman" w:cs="Times New Roman"/>
          <w:snapToGrid w:val="0"/>
          <w:color w:val="auto"/>
          <w:highlight w:val="none"/>
          <w:lang w:val="en-US" w:eastAsia="zh-CN"/>
        </w:rPr>
        <w:t>。</w:t>
      </w:r>
    </w:p>
    <w:p w14:paraId="49AA7DC7">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eastAsia" w:ascii="Times New Roman" w:hAnsi="Times New Roman" w:cs="Times New Roman"/>
          <w:snapToGrid w:val="0"/>
          <w:color w:val="auto"/>
          <w:highlight w:val="none"/>
          <w:lang w:val="en-US" w:eastAsia="zh-CN"/>
        </w:rPr>
        <w:t>本项目干粪堆积场建筑面积450m</w:t>
      </w:r>
      <w:r>
        <w:rPr>
          <w:rFonts w:hint="eastAsia" w:ascii="Times New Roman" w:hAnsi="Times New Roman" w:cs="Times New Roman"/>
          <w:snapToGrid w:val="0"/>
          <w:color w:val="auto"/>
          <w:highlight w:val="none"/>
          <w:vertAlign w:val="superscript"/>
          <w:lang w:val="en-US" w:eastAsia="zh-CN"/>
        </w:rPr>
        <w:t>2</w:t>
      </w:r>
      <w:r>
        <w:rPr>
          <w:rFonts w:hint="eastAsia" w:ascii="Times New Roman" w:hAnsi="Times New Roman" w:cs="Times New Roman"/>
          <w:snapToGrid w:val="0"/>
          <w:color w:val="auto"/>
          <w:highlight w:val="none"/>
          <w:lang w:val="en-US" w:eastAsia="zh-CN"/>
        </w:rPr>
        <w:t>，容积900m</w:t>
      </w:r>
      <w:r>
        <w:rPr>
          <w:rFonts w:hint="eastAsia" w:ascii="Times New Roman" w:hAnsi="Times New Roman"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w:t>
      </w:r>
      <w:r>
        <w:rPr>
          <w:rFonts w:hint="eastAsia" w:ascii="Times New Roman" w:hAnsi="Times New Roman" w:cs="Times New Roman"/>
          <w:snapToGrid w:val="0"/>
          <w:color w:val="auto"/>
          <w:highlight w:val="none"/>
          <w:lang w:val="en-US" w:eastAsia="zh-CN"/>
        </w:rPr>
        <w:t>489.888m</w:t>
      </w:r>
      <w:r>
        <w:rPr>
          <w:rFonts w:hint="eastAsia" w:ascii="Times New Roman" w:hAnsi="Times New Roman"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color w:val="auto"/>
          <w:sz w:val="24"/>
          <w:highlight w:val="none"/>
        </w:rPr>
        <w:t>故</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容积满足要求。</w:t>
      </w:r>
    </w:p>
    <w:p w14:paraId="3049F54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5 液体粪污贮存发酵设施</w:t>
      </w:r>
    </w:p>
    <w:p w14:paraId="29657BC2">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液体粪污通过密闭贮存设施进行处理的，应采用加盖、覆膜等方式，减少恶臭气浓度体排放和雨水进入，同时配套必要的输送、搅拌、气体收集处理或燃烧火炬等设施设备。密闭贮存设施容积不小于单位畜禽粪污日产生量（立方米/天·头、只、羽）×贮存周期（天）×设计存栏量（头、只、羽），单位畜禽粪污日产生量参照附表1确定，贮存周期依据当地气候条件与农林作物生产用肥最大间隔期确定，推荐贮存周期最少在90天以上，确保处理后的液体</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中有毒有害物质达到《肥料中有毒有害物质的限量要求》。鼓励有条件的养殖场建设两个密闭贮存设施交替使用。</w:t>
      </w:r>
    </w:p>
    <w:p w14:paraId="2B7C50C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本项目与其相符分析：本项目液体粪污采用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进行处理，</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有覆膜，全封闭，并且配备火炬燃烧。本项目采用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处理全厂废水，发酵后施肥季节用于配套消纳地进行施肥，非施肥季节储存于</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内。本项目</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lang w:val="en-US" w:eastAsia="zh-CN"/>
        </w:rPr>
        <w:t>总</w:t>
      </w:r>
      <w:r>
        <w:rPr>
          <w:rFonts w:hint="default" w:ascii="Times New Roman" w:hAnsi="Times New Roman" w:eastAsia="宋体" w:cs="Times New Roman"/>
          <w:color w:val="auto"/>
          <w:sz w:val="24"/>
          <w:highlight w:val="none"/>
        </w:rPr>
        <w:t>容积为</w:t>
      </w:r>
      <w:r>
        <w:rPr>
          <w:rFonts w:hint="eastAsia" w:ascii="Times New Roman" w:hAnsi="Times New Roman" w:cs="Times New Roman"/>
          <w:color w:val="auto"/>
          <w:sz w:val="24"/>
          <w:highlight w:val="none"/>
          <w:lang w:val="en-US" w:eastAsia="zh-CN"/>
        </w:rPr>
        <w:t>5040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年需处理水量为</w:t>
      </w:r>
      <w:r>
        <w:rPr>
          <w:rFonts w:hint="eastAsia" w:ascii="Times New Roman" w:hAnsi="Times New Roman" w:cs="Times New Roman"/>
          <w:snapToGrid w:val="0"/>
          <w:color w:val="auto"/>
          <w:highlight w:val="none"/>
          <w:lang w:val="en-US" w:eastAsia="zh-CN"/>
        </w:rPr>
        <w:t>9539.567</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，每天需要处理的废水量</w:t>
      </w:r>
      <w:r>
        <w:rPr>
          <w:rFonts w:hint="eastAsia" w:ascii="Times New Roman" w:hAnsi="Times New Roman" w:cs="Times New Roman"/>
          <w:color w:val="auto"/>
          <w:sz w:val="24"/>
          <w:highlight w:val="none"/>
          <w:vertAlign w:val="baseline"/>
          <w:lang w:val="en-US" w:eastAsia="zh-CN"/>
        </w:rPr>
        <w:t>26.1358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lang w:val="en-US" w:eastAsia="zh-CN"/>
        </w:rPr>
        <w:t>可贮存180d沼液，满足冬季存储需求，底部及侧壁进行防渗处理，上部覆膜全封闭，并进行防雨、防渗、防溢流的措施。</w:t>
      </w:r>
      <w:r>
        <w:rPr>
          <w:rFonts w:hint="default" w:ascii="Times New Roman" w:hAnsi="Times New Roman" w:eastAsia="宋体" w:cs="Times New Roman"/>
          <w:color w:val="auto"/>
          <w:sz w:val="24"/>
          <w:highlight w:val="none"/>
        </w:rPr>
        <w:t>冬季产生的废水在</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eastAsia="zh-CN"/>
        </w:rPr>
        <w:t>180天</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容积可以满足冬季存储需求。故</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暂存能力满足项目需求。</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为全封闭结构，能减少恶臭气浓度体排放和雨水进入。</w:t>
      </w:r>
    </w:p>
    <w:p w14:paraId="0935F8E6">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故</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暂存能力满足项目需求。</w:t>
      </w:r>
    </w:p>
    <w:p w14:paraId="4C8FB5F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6 液体粪污深度处理设施</w:t>
      </w:r>
    </w:p>
    <w:p w14:paraId="5B155C2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固液分离后的液体粪污进行深度处理的，根据不同工艺可配套集水池、曝气池、沉淀池、高效固液分离机、厌氧反应池、好氧反应池、高效脱氮除磷、膜生物反应器、膜分离浓缩、机械排泥、臭气浓度处理等设施设备，做好防渗防溢流。处理后排入环境水体的，应保证出水水质不得超过国家或地方规定的水污染物排放标准和重点水污染物排放总量控制指标；排入农田灌溉渠道的，应保证其下游最近的灌溉取水点水质符合《农田灌溉水质标准》。</w:t>
      </w:r>
    </w:p>
    <w:p w14:paraId="31EEA7F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本项目与其相符分析：本项目固液分离配套高效固液分离机，</w:t>
      </w:r>
      <w:r>
        <w:rPr>
          <w:rFonts w:hint="eastAsia" w:ascii="Times New Roman" w:hAnsi="Times New Roman" w:cs="Times New Roman"/>
          <w:color w:val="auto"/>
          <w:sz w:val="24"/>
          <w:highlight w:val="none"/>
          <w:lang w:eastAsia="zh-CN"/>
        </w:rPr>
        <w:t>固液分离间</w:t>
      </w:r>
      <w:r>
        <w:rPr>
          <w:rFonts w:hint="default" w:ascii="Times New Roman" w:hAnsi="Times New Roman" w:eastAsia="宋体" w:cs="Times New Roman"/>
          <w:color w:val="auto"/>
          <w:sz w:val="24"/>
          <w:highlight w:val="none"/>
        </w:rPr>
        <w:t>为</w:t>
      </w:r>
      <w:r>
        <w:rPr>
          <w:rFonts w:hint="default" w:ascii="Times New Roman" w:hAnsi="Times New Roman" w:cs="Times New Roman"/>
          <w:color w:val="auto"/>
          <w:sz w:val="24"/>
          <w:highlight w:val="none"/>
          <w:lang w:val="en-US" w:eastAsia="zh-CN"/>
        </w:rPr>
        <w:t>一般</w:t>
      </w:r>
      <w:r>
        <w:rPr>
          <w:rFonts w:hint="default" w:ascii="Times New Roman" w:hAnsi="Times New Roman" w:eastAsia="宋体" w:cs="Times New Roman"/>
          <w:color w:val="auto"/>
          <w:sz w:val="24"/>
          <w:highlight w:val="none"/>
        </w:rPr>
        <w:t>防渗区，做好防渗防溢流。干粪翻堆发酵后制作固体有机肥施肥季节用于配套消纳地进行施肥，非施肥季节储存于粪便</w:t>
      </w:r>
      <w:r>
        <w:rPr>
          <w:rFonts w:hint="eastAsia" w:ascii="Times New Roman" w:hAnsi="Times New Roman" w:cs="Times New Roman"/>
          <w:color w:val="auto"/>
          <w:sz w:val="24"/>
          <w:highlight w:val="none"/>
          <w:lang w:eastAsia="zh-CN"/>
        </w:rPr>
        <w:t>干粪堆积场</w:t>
      </w:r>
      <w:r>
        <w:rPr>
          <w:rFonts w:hint="default" w:ascii="Times New Roman" w:hAnsi="Times New Roman" w:eastAsia="宋体" w:cs="Times New Roman"/>
          <w:color w:val="auto"/>
          <w:sz w:val="24"/>
          <w:highlight w:val="none"/>
        </w:rPr>
        <w:t>内</w:t>
      </w:r>
      <w:r>
        <w:rPr>
          <w:rFonts w:hint="default" w:ascii="Times New Roman" w:hAnsi="Times New Roman" w:cs="Times New Roman"/>
          <w:color w:val="auto"/>
          <w:highlight w:val="none"/>
        </w:rPr>
        <w:t>。</w:t>
      </w:r>
    </w:p>
    <w:p w14:paraId="3E64A792">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7 固体粪污发酵设施</w:t>
      </w:r>
    </w:p>
    <w:p w14:paraId="3D2EA11F">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固体粪污可采用堆肥、沤肥、生产垫料等方式进行处理。堆肥宜采用条垛式、强制通风静态垛、槽式、发酵仓、反应器或覆膜堆肥等好氧工艺，根据不同工艺配套必要的混合、输送、搅拌、供氧和除臭等设施设备。沤肥宜采用平地或半坑式糊泥静置等兼氧工艺。生产垫料宜采用密闭式滚筒好氧发酵工艺，配套必要的固液分离、进料、混合、发酵、除臭或智能控制等设施设备，分离出的液体粪污应参照5.5液体粪污发酵设施中的要求进行处理。堆（沤）肥设施发酵容积不小于单位畜禽固体粪污日产生量（立方米/天·头、只、羽）×发酵周期（天）×设计存栏量（头、只、羽），单位畜禽固体粪污日产生量参照附表1确定，发酵周期参照附表2确定。采用堆肥、沤肥方式处理后的固体</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中有毒有害物质要确保达到《肥料中有毒有害物质的限量要求》。</w:t>
      </w:r>
    </w:p>
    <w:p w14:paraId="525F8FDD">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color w:val="auto"/>
          <w:sz w:val="24"/>
          <w:highlight w:val="none"/>
        </w:rPr>
        <w:t>本项目与其相符分析：</w:t>
      </w:r>
      <w:r>
        <w:rPr>
          <w:rFonts w:hint="default" w:ascii="Times New Roman" w:hAnsi="Times New Roman" w:eastAsia="宋体" w:cs="Times New Roman"/>
          <w:snapToGrid w:val="0"/>
          <w:color w:val="auto"/>
          <w:kern w:val="0"/>
          <w:sz w:val="24"/>
          <w:szCs w:val="24"/>
          <w:highlight w:val="none"/>
          <w:lang w:val="en-US" w:eastAsia="zh-CN" w:bidi="ar-SA"/>
        </w:rPr>
        <w:t>项目采取</w:t>
      </w:r>
      <w:r>
        <w:rPr>
          <w:rFonts w:hint="eastAsia" w:ascii="Times New Roman" w:hAnsi="Times New Roman" w:cs="Times New Roman"/>
          <w:snapToGrid w:val="0"/>
          <w:color w:val="auto"/>
          <w:kern w:val="0"/>
          <w:sz w:val="24"/>
          <w:szCs w:val="24"/>
          <w:highlight w:val="none"/>
          <w:lang w:val="en-US" w:eastAsia="zh-CN" w:bidi="ar-SA"/>
        </w:rPr>
        <w:t>尿泡粪—干清粪</w:t>
      </w:r>
      <w:r>
        <w:rPr>
          <w:rFonts w:hint="default" w:ascii="Times New Roman" w:hAnsi="Times New Roman" w:eastAsia="宋体" w:cs="Times New Roman"/>
          <w:snapToGrid w:val="0"/>
          <w:color w:val="auto"/>
          <w:kern w:val="0"/>
          <w:sz w:val="24"/>
          <w:szCs w:val="24"/>
          <w:highlight w:val="none"/>
          <w:lang w:val="en-US" w:eastAsia="zh-CN" w:bidi="ar-SA"/>
        </w:rPr>
        <w:t>方式进行清粪，</w:t>
      </w:r>
      <w:r>
        <w:rPr>
          <w:rFonts w:hint="eastAsia" w:ascii="Times New Roman" w:hAnsi="Times New Roman" w:cs="Times New Roman"/>
          <w:snapToGrid w:val="0"/>
          <w:color w:val="auto"/>
          <w:kern w:val="0"/>
          <w:sz w:val="24"/>
          <w:szCs w:val="24"/>
          <w:highlight w:val="none"/>
          <w:lang w:val="en-US" w:eastAsia="zh-CN" w:bidi="ar-SA"/>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w:t>
      </w:r>
      <w:r>
        <w:rPr>
          <w:rFonts w:hint="eastAsia" w:ascii="Times New Roman" w:hAnsi="Times New Roman" w:eastAsia="宋体" w:cs="Times New Roman"/>
          <w:snapToGrid w:val="0"/>
          <w:color w:val="auto"/>
          <w:kern w:val="0"/>
          <w:sz w:val="24"/>
          <w:szCs w:val="24"/>
          <w:highlight w:val="none"/>
          <w:lang w:val="en-US" w:eastAsia="zh-CN" w:bidi="ar-SA"/>
        </w:rPr>
        <w:t>。根据《畜禽养殖业污染治理工程技术规范》的资料性附录 A“畜禽养殖废水水质和粪污产生量”猪粪量为398kg/头▪a，本项目常年存栏量8000头，产粪量总计8.723t/d、3184t/a。</w:t>
      </w:r>
    </w:p>
    <w:p w14:paraId="6B2FEBA1">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则干粪</w:t>
      </w:r>
      <w:r>
        <w:rPr>
          <w:rFonts w:hint="default" w:ascii="Times New Roman" w:hAnsi="Times New Roman" w:cs="Times New Roman"/>
          <w:snapToGrid w:val="0"/>
          <w:color w:val="auto"/>
          <w:highlight w:val="none"/>
          <w:lang w:eastAsia="zh-CN"/>
        </w:rPr>
        <w:t>产生量为</w:t>
      </w:r>
      <w:r>
        <w:rPr>
          <w:rFonts w:hint="eastAsia" w:ascii="Times New Roman" w:hAnsi="Times New Roman" w:cs="Times New Roman"/>
          <w:snapToGrid w:val="0"/>
          <w:color w:val="auto"/>
          <w:highlight w:val="none"/>
          <w:lang w:val="en-US" w:eastAsia="zh-CN"/>
        </w:rPr>
        <w:t>1.7446t/d、636.779t/a</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可作为肥料施用于项目周边区域的农</w:t>
      </w:r>
      <w:r>
        <w:rPr>
          <w:rFonts w:hint="default" w:ascii="Times New Roman" w:hAnsi="Times New Roman" w:eastAsia="宋体" w:cs="Times New Roman"/>
          <w:snapToGrid w:val="0"/>
          <w:color w:val="auto"/>
          <w:highlight w:val="none"/>
        </w:rPr>
        <w:t>田。</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尿泡粪—干清粪</w:t>
      </w:r>
      <w:r>
        <w:rPr>
          <w:rFonts w:hint="default" w:ascii="Times New Roman" w:hAnsi="Times New Roman" w:cs="Times New Roman"/>
          <w:color w:val="auto"/>
          <w:highlight w:val="none"/>
          <w:lang w:val="en-US" w:eastAsia="zh-CN"/>
        </w:rPr>
        <w:t>后猪粪（</w:t>
      </w:r>
      <w:r>
        <w:rPr>
          <w:rFonts w:hint="eastAsia" w:ascii="Times New Roman" w:hAnsi="Times New Roman" w:cs="Times New Roman"/>
          <w:color w:val="auto"/>
          <w:highlight w:val="none"/>
          <w:lang w:val="en-US" w:eastAsia="zh-CN"/>
        </w:rPr>
        <w:t>3184</w:t>
      </w:r>
      <w:r>
        <w:rPr>
          <w:rFonts w:hint="default" w:ascii="Times New Roman" w:hAnsi="Times New Roman" w:cs="Times New Roman"/>
          <w:color w:val="auto"/>
          <w:highlight w:val="none"/>
          <w:lang w:val="en-US" w:eastAsia="zh-CN"/>
        </w:rPr>
        <w:t>t/a）随尿液进入固液分离间，粪便和废水经固液分离后的干物质（</w:t>
      </w:r>
      <w:r>
        <w:rPr>
          <w:rFonts w:hint="eastAsia" w:ascii="Times New Roman" w:hAnsi="Times New Roman" w:cs="Times New Roman"/>
          <w:color w:val="auto"/>
          <w:highlight w:val="none"/>
          <w:lang w:val="en-US" w:eastAsia="zh-CN"/>
        </w:rPr>
        <w:t>636.779t/a</w:t>
      </w:r>
      <w:r>
        <w:rPr>
          <w:rFonts w:hint="default" w:ascii="Times New Roman" w:hAnsi="Times New Roman" w:cs="Times New Roman"/>
          <w:color w:val="auto"/>
          <w:highlight w:val="none"/>
          <w:lang w:val="en-US" w:eastAsia="zh-CN"/>
        </w:rPr>
        <w:t>）被分离出来变成</w:t>
      </w:r>
      <w:r>
        <w:rPr>
          <w:rFonts w:hint="eastAsia" w:ascii="Times New Roman" w:hAnsi="Times New Roman" w:cs="Times New Roman"/>
          <w:color w:val="auto"/>
          <w:highlight w:val="none"/>
          <w:lang w:val="en-US" w:eastAsia="zh-CN"/>
        </w:rPr>
        <w:t>干粪</w:t>
      </w:r>
      <w:r>
        <w:rPr>
          <w:rFonts w:hint="default" w:ascii="Times New Roman" w:hAnsi="Times New Roman" w:cs="Times New Roman"/>
          <w:color w:val="auto"/>
          <w:highlight w:val="none"/>
          <w:lang w:val="en-US" w:eastAsia="zh-CN"/>
        </w:rPr>
        <w:t>，剩余物质（</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进入黑膜厌氧反应池进行厌氧反应，经过厌氧发酵后，60%的干物质被分解，40%的干物质生成沼渣</w:t>
      </w:r>
      <w:r>
        <w:rPr>
          <w:rFonts w:hint="default" w:ascii="Times New Roman" w:hAnsi="Times New Roman" w:cs="Times New Roman"/>
          <w:color w:val="auto"/>
          <w:highlight w:val="none"/>
          <w:lang w:eastAsia="zh-CN"/>
        </w:rPr>
        <w:t>。沼渣含水率为65%，则沼渣产生量约为</w:t>
      </w:r>
      <w:r>
        <w:rPr>
          <w:rFonts w:hint="eastAsia" w:ascii="Times New Roman" w:hAnsi="Times New Roman" w:cs="Times New Roman"/>
          <w:color w:val="auto"/>
          <w:highlight w:val="none"/>
          <w:lang w:val="en-US" w:eastAsia="zh-CN"/>
        </w:rPr>
        <w:t>0.977</w:t>
      </w:r>
      <w:r>
        <w:rPr>
          <w:rFonts w:hint="default" w:ascii="Times New Roman" w:hAnsi="Times New Roman" w:cs="Times New Roman"/>
          <w:color w:val="auto"/>
          <w:highlight w:val="none"/>
          <w:lang w:eastAsia="zh-CN"/>
        </w:rPr>
        <w:t>t/d（即</w:t>
      </w:r>
      <w:r>
        <w:rPr>
          <w:rFonts w:hint="eastAsia" w:ascii="Times New Roman" w:hAnsi="Times New Roman" w:cs="Times New Roman"/>
          <w:color w:val="auto"/>
          <w:highlight w:val="none"/>
          <w:lang w:val="en-US" w:eastAsia="zh-CN"/>
        </w:rPr>
        <w:t>356.608</w:t>
      </w:r>
      <w:r>
        <w:rPr>
          <w:rFonts w:hint="default" w:ascii="Times New Roman" w:hAnsi="Times New Roman" w:cs="Times New Roman"/>
          <w:color w:val="auto"/>
          <w:highlight w:val="none"/>
          <w:lang w:eastAsia="zh-CN"/>
        </w:rPr>
        <w:t>t/a）。</w:t>
      </w:r>
    </w:p>
    <w:p w14:paraId="1A754275">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固体粪污暂存场容积不小于</w:t>
      </w:r>
      <w:r>
        <w:rPr>
          <w:rFonts w:hint="eastAsia" w:ascii="Times New Roman" w:hAnsi="Times New Roman" w:cs="Times New Roman"/>
          <w:snapToGrid w:val="0"/>
          <w:color w:val="auto"/>
          <w:highlight w:val="none"/>
          <w:lang w:val="en-US" w:eastAsia="zh-CN"/>
        </w:rPr>
        <w:t>本</w:t>
      </w:r>
      <w:r>
        <w:rPr>
          <w:rFonts w:hint="default" w:ascii="Times New Roman" w:hAnsi="Times New Roman" w:cs="Times New Roman"/>
          <w:snapToGrid w:val="0"/>
          <w:color w:val="auto"/>
          <w:highlight w:val="none"/>
          <w:lang w:val="en-US" w:eastAsia="zh-CN"/>
        </w:rPr>
        <w:t>单位畜禽固体粪污日产生量（立方米/天·头、只、羽）×暂存周期（天）×设计存栏量（头、只、羽）</w:t>
      </w:r>
      <w:r>
        <w:rPr>
          <w:rFonts w:hint="eastAsia" w:ascii="Times New Roman" w:hAnsi="Times New Roman" w:cs="Times New Roman"/>
          <w:snapToGrid w:val="0"/>
          <w:color w:val="auto"/>
          <w:highlight w:val="none"/>
          <w:lang w:val="en-US" w:eastAsia="zh-CN"/>
        </w:rPr>
        <w:t>=489.888</w:t>
      </w:r>
      <w:r>
        <w:rPr>
          <w:rFonts w:hint="default" w:ascii="Times New Roman" w:hAnsi="Times New Roman" w:cs="Times New Roman"/>
          <w:snapToGrid w:val="0"/>
          <w:color w:val="auto"/>
          <w:highlight w:val="none"/>
          <w:lang w:val="en-US" w:eastAsia="zh-CN"/>
        </w:rPr>
        <w:t>立方米</w:t>
      </w:r>
      <w:r>
        <w:rPr>
          <w:rFonts w:hint="eastAsia" w:ascii="Times New Roman" w:hAnsi="Times New Roman" w:cs="Times New Roman"/>
          <w:snapToGrid w:val="0"/>
          <w:color w:val="auto"/>
          <w:highlight w:val="none"/>
          <w:lang w:val="en-US" w:eastAsia="zh-CN"/>
        </w:rPr>
        <w:t>。</w:t>
      </w:r>
    </w:p>
    <w:p w14:paraId="7FBEA69C">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eastAsia" w:ascii="Times New Roman" w:hAnsi="Times New Roman" w:cs="Times New Roman"/>
          <w:snapToGrid w:val="0"/>
          <w:color w:val="auto"/>
          <w:highlight w:val="none"/>
          <w:lang w:val="en-US" w:eastAsia="zh-CN"/>
        </w:rPr>
        <w:t>本项目干粪堆积场建筑面积450m</w:t>
      </w:r>
      <w:r>
        <w:rPr>
          <w:rFonts w:hint="eastAsia" w:ascii="Times New Roman" w:hAnsi="Times New Roman" w:cs="Times New Roman"/>
          <w:snapToGrid w:val="0"/>
          <w:color w:val="auto"/>
          <w:highlight w:val="none"/>
          <w:vertAlign w:val="superscript"/>
          <w:lang w:val="en-US" w:eastAsia="zh-CN"/>
        </w:rPr>
        <w:t>2</w:t>
      </w:r>
      <w:r>
        <w:rPr>
          <w:rFonts w:hint="eastAsia" w:ascii="Times New Roman" w:hAnsi="Times New Roman" w:cs="Times New Roman"/>
          <w:snapToGrid w:val="0"/>
          <w:color w:val="auto"/>
          <w:highlight w:val="none"/>
          <w:lang w:val="en-US" w:eastAsia="zh-CN"/>
        </w:rPr>
        <w:t>，容积900m</w:t>
      </w:r>
      <w:r>
        <w:rPr>
          <w:rFonts w:hint="eastAsia" w:ascii="Times New Roman" w:hAnsi="Times New Roman"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w:t>
      </w:r>
      <w:r>
        <w:rPr>
          <w:rFonts w:hint="eastAsia" w:ascii="Times New Roman" w:hAnsi="Times New Roman" w:cs="Times New Roman"/>
          <w:snapToGrid w:val="0"/>
          <w:color w:val="auto"/>
          <w:highlight w:val="none"/>
          <w:lang w:val="en-US" w:eastAsia="zh-CN"/>
        </w:rPr>
        <w:t>489.888m</w:t>
      </w:r>
      <w:r>
        <w:rPr>
          <w:rFonts w:hint="eastAsia" w:ascii="Times New Roman" w:hAnsi="Times New Roman"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color w:val="auto"/>
          <w:sz w:val="24"/>
          <w:highlight w:val="none"/>
        </w:rPr>
        <w:t>故</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容积满足要求</w:t>
      </w:r>
      <w:r>
        <w:rPr>
          <w:rFonts w:hint="default" w:ascii="Times New Roman" w:hAnsi="Times New Roman" w:cs="Times New Roman"/>
          <w:color w:val="auto"/>
          <w:highlight w:val="none"/>
        </w:rPr>
        <w:t>。处理后的固体</w:t>
      </w:r>
      <w:r>
        <w:rPr>
          <w:rFonts w:hint="eastAsia" w:ascii="Times New Roman" w:hAnsi="Times New Roman" w:cs="Times New Roman"/>
          <w:color w:val="auto"/>
          <w:highlight w:val="none"/>
          <w:lang w:eastAsia="zh-CN"/>
        </w:rPr>
        <w:t>粪污</w:t>
      </w:r>
      <w:r>
        <w:rPr>
          <w:rFonts w:hint="default" w:ascii="Times New Roman" w:hAnsi="Times New Roman" w:cs="Times New Roman"/>
          <w:color w:val="auto"/>
          <w:highlight w:val="none"/>
        </w:rPr>
        <w:t>中有毒有害物质能达到《肥料中有毒有害物质的限量要求》。</w:t>
      </w:r>
    </w:p>
    <w:p w14:paraId="0B208EF3">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8 沼气发酵设施</w:t>
      </w:r>
    </w:p>
    <w:p w14:paraId="6F46420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畜禽粪污采用沼气工程进行厌氧处理的，应配套调节池、固液分离机、贮气设施、沼渣</w:t>
      </w:r>
      <w:r>
        <w:rPr>
          <w:rFonts w:hint="eastAsia" w:ascii="Times New Roman" w:hAnsi="Times New Roman" w:cs="Times New Roman"/>
          <w:color w:val="auto"/>
          <w:sz w:val="24"/>
          <w:highlight w:val="none"/>
          <w:lang w:eastAsia="zh-CN"/>
        </w:rPr>
        <w:t>黑膜厌氧池</w:t>
      </w:r>
      <w:r>
        <w:rPr>
          <w:rFonts w:hint="default" w:ascii="Times New Roman" w:hAnsi="Times New Roman" w:eastAsia="宋体" w:cs="Times New Roman"/>
          <w:color w:val="auto"/>
          <w:sz w:val="24"/>
          <w:highlight w:val="none"/>
          <w:lang w:eastAsia="zh-CN"/>
        </w:rPr>
        <w:t>等设施设备，并采取必要的除臭措施。根据不同工艺可配套完全混合式厌氧反应器（CSTR）、升流式厌氧固体反应器（USR）、干法厌氧发酵反应器（DAFR）、升流式厌氧污泥床反应器（UASB）、升流式厌氧复合床（UBF）、内循环厌氧反应器（IC）、厌氧颗粒污泥膨胀床反应器（EGSB）或竖向推流式厌氧反应器（VPF）等设施设备。</w:t>
      </w:r>
    </w:p>
    <w:p w14:paraId="386E78D7">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沼气工程产生的沼液还田利用的，宜通过氧化塘或密闭贮存设施进行后续处理，贮存容积不小于沼液日产生量（立方米/天）×贮存周期（天），贮存周期不得低于当地农作物生产用肥最大间隔期，推荐贮存周期最少在</w:t>
      </w:r>
      <w:r>
        <w:rPr>
          <w:rFonts w:hint="eastAsia" w:ascii="Times New Roman" w:hAnsi="Times New Roman" w:cs="Times New Roman"/>
          <w:color w:val="auto"/>
          <w:sz w:val="24"/>
          <w:highlight w:val="none"/>
          <w:lang w:eastAsia="zh-CN"/>
        </w:rPr>
        <w:t>30天</w:t>
      </w:r>
      <w:r>
        <w:rPr>
          <w:rFonts w:hint="default" w:ascii="Times New Roman" w:hAnsi="Times New Roman" w:eastAsia="宋体" w:cs="Times New Roman"/>
          <w:color w:val="auto"/>
          <w:sz w:val="24"/>
          <w:highlight w:val="none"/>
          <w:lang w:eastAsia="zh-CN"/>
        </w:rPr>
        <w:t>以上，确保沼液中有毒有害物质达到《肥料中有毒有害物质的限量要求》。</w:t>
      </w:r>
    </w:p>
    <w:p w14:paraId="468E63E9">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沼气工程产生的沼渣还田利用或基质利用的，宜通过堆肥方式进行后续处理。堆肥设施发酵容积不小于（沼渣日产生量+辅料添加量）（立方米/天）×发酵周期（天），发酵周期参照附表2确定，确保沼液中有毒有害物质达到《肥料中有毒有害物质的限量要求》。</w:t>
      </w:r>
    </w:p>
    <w:p w14:paraId="61FECEFE">
      <w:pPr>
        <w:pStyle w:val="94"/>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本项目与其相符分析：本项目配套有固液分离机、黑膜厌氧池</w:t>
      </w:r>
      <w:r>
        <w:rPr>
          <w:rFonts w:hint="eastAsia" w:ascii="Times New Roman" w:hAnsi="Times New Roman" w:cs="Times New Roman"/>
          <w:color w:val="auto"/>
          <w:highlight w:val="none"/>
          <w:lang w:eastAsia="zh-CN"/>
        </w:rPr>
        <w:t>、</w:t>
      </w:r>
      <w:r>
        <w:rPr>
          <w:rFonts w:hint="eastAsia" w:ascii="Times New Roman" w:hAnsi="Times New Roman" w:cs="Times New Roman"/>
          <w:color w:val="auto"/>
          <w:sz w:val="24"/>
          <w:highlight w:val="none"/>
          <w:lang w:val="en-US" w:eastAsia="zh-CN"/>
        </w:rPr>
        <w:t>沼液贮存池</w:t>
      </w:r>
      <w:r>
        <w:rPr>
          <w:rFonts w:hint="default" w:ascii="Times New Roman" w:hAnsi="Times New Roman" w:cs="Times New Roman"/>
          <w:color w:val="auto"/>
          <w:highlight w:val="none"/>
        </w:rPr>
        <w:t>等，</w:t>
      </w:r>
      <w:r>
        <w:rPr>
          <w:rFonts w:hint="eastAsia" w:ascii="Times New Roman" w:hAnsi="Times New Roman" w:cs="Times New Roman"/>
          <w:color w:val="auto"/>
          <w:highlight w:val="none"/>
          <w:lang w:eastAsia="zh-CN"/>
        </w:rPr>
        <w:t>固液分离间</w:t>
      </w:r>
      <w:r>
        <w:rPr>
          <w:rFonts w:hint="default" w:ascii="Times New Roman" w:hAnsi="Times New Roman" w:cs="Times New Roman"/>
          <w:color w:val="auto"/>
          <w:highlight w:val="none"/>
        </w:rPr>
        <w:t>对处理设施进行封闭，定期喷洒除臭剂（对NH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和H</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S的去除效率分别为92.6%和89%）</w:t>
      </w:r>
      <w:r>
        <w:rPr>
          <w:rFonts w:hint="default" w:ascii="Times New Roman" w:hAnsi="Times New Roman" w:cs="Times New Roman"/>
          <w:bCs/>
          <w:snapToGrid w:val="0"/>
          <w:color w:val="auto"/>
          <w:highlight w:val="none"/>
          <w:lang w:val="en-US" w:eastAsia="zh-CN"/>
        </w:rPr>
        <w:t>。</w:t>
      </w:r>
    </w:p>
    <w:p w14:paraId="125656C9">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rPr>
        <w:t>本项目液体粪污采用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进行处理，</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有覆膜，全封闭，并且配备火炬燃烧。本项目采用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处理全厂废水，发酵后施肥季节用于配套消纳地进行施肥，非施肥季节储存于</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内。本项目</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lang w:val="en-US" w:eastAsia="zh-CN"/>
        </w:rPr>
        <w:t>总</w:t>
      </w:r>
      <w:r>
        <w:rPr>
          <w:rFonts w:hint="default" w:ascii="Times New Roman" w:hAnsi="Times New Roman" w:eastAsia="宋体" w:cs="Times New Roman"/>
          <w:color w:val="auto"/>
          <w:sz w:val="24"/>
          <w:highlight w:val="none"/>
        </w:rPr>
        <w:t>容积为</w:t>
      </w:r>
      <w:r>
        <w:rPr>
          <w:rFonts w:hint="eastAsia" w:ascii="Times New Roman" w:hAnsi="Times New Roman" w:cs="Times New Roman"/>
          <w:color w:val="auto"/>
          <w:sz w:val="24"/>
          <w:highlight w:val="none"/>
          <w:lang w:val="en-US" w:eastAsia="zh-CN"/>
        </w:rPr>
        <w:t>5040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年需处理水量为</w:t>
      </w:r>
      <w:r>
        <w:rPr>
          <w:rFonts w:hint="eastAsia" w:ascii="Times New Roman" w:hAnsi="Times New Roman" w:cs="Times New Roman"/>
          <w:snapToGrid w:val="0"/>
          <w:color w:val="auto"/>
          <w:highlight w:val="none"/>
          <w:lang w:val="en-US" w:eastAsia="zh-CN"/>
        </w:rPr>
        <w:t>9539.567</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，每天需要处理的废水量</w:t>
      </w:r>
      <w:r>
        <w:rPr>
          <w:rFonts w:hint="eastAsia" w:ascii="Times New Roman" w:hAnsi="Times New Roman" w:cs="Times New Roman"/>
          <w:color w:val="auto"/>
          <w:sz w:val="24"/>
          <w:highlight w:val="none"/>
          <w:vertAlign w:val="baseline"/>
          <w:lang w:val="en-US" w:eastAsia="zh-CN"/>
        </w:rPr>
        <w:t>26.1358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lang w:val="en-US" w:eastAsia="zh-CN"/>
        </w:rPr>
        <w:t>可贮存180d沼液，满足冬季存储需求，底部及侧壁进行防渗处理，上部覆膜全封闭，并进行防雨、防渗、防溢流的措施。</w:t>
      </w:r>
      <w:r>
        <w:rPr>
          <w:rFonts w:hint="default" w:ascii="Times New Roman" w:hAnsi="Times New Roman" w:eastAsia="宋体" w:cs="Times New Roman"/>
          <w:color w:val="auto"/>
          <w:sz w:val="24"/>
          <w:highlight w:val="none"/>
        </w:rPr>
        <w:t>冬季产生的废水在</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eastAsia="zh-CN"/>
        </w:rPr>
        <w:t>180天</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容积可以满足冬季存储需求。故</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暂存能力满足项目需求。</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为全封闭结构，能减少恶臭气浓度体排放和雨水进入</w:t>
      </w:r>
      <w:r>
        <w:rPr>
          <w:rFonts w:hint="default" w:ascii="Times New Roman" w:hAnsi="Times New Roman" w:cs="Times New Roman"/>
          <w:color w:val="auto"/>
          <w:highlight w:val="none"/>
        </w:rPr>
        <w:t>。</w:t>
      </w:r>
    </w:p>
    <w:p w14:paraId="220C6912">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1</w:t>
      </w:r>
      <w:r>
        <w:rPr>
          <w:rFonts w:hint="eastAsia" w:ascii="Times New Roman" w:hAnsi="Times New Roman" w:cs="Times New Roman"/>
          <w:b/>
          <w:bCs/>
          <w:color w:val="auto"/>
          <w:highlight w:val="none"/>
          <w:lang w:val="en-US" w:eastAsia="zh-CN"/>
        </w:rPr>
        <w:t>1</w:t>
      </w:r>
      <w:r>
        <w:rPr>
          <w:rFonts w:hint="default" w:ascii="Times New Roman" w:hAnsi="Times New Roman" w:eastAsia="宋体" w:cs="Times New Roman"/>
          <w:b/>
          <w:bCs/>
          <w:color w:val="auto"/>
          <w:highlight w:val="none"/>
        </w:rPr>
        <w:t>与</w:t>
      </w:r>
      <w:r>
        <w:rPr>
          <w:rFonts w:hint="eastAsia" w:ascii="Times New Roman" w:hAnsi="Times New Roman" w:eastAsia="宋体" w:cs="Times New Roman"/>
          <w:b/>
          <w:bCs/>
          <w:color w:val="auto"/>
          <w:highlight w:val="none"/>
        </w:rPr>
        <w:t>《农业农村污染治理攻坚战行动方案（2021—2025年）》</w:t>
      </w:r>
      <w:r>
        <w:rPr>
          <w:rFonts w:hint="default" w:ascii="Times New Roman" w:hAnsi="Times New Roman" w:eastAsia="宋体" w:cs="Times New Roman"/>
          <w:b/>
          <w:bCs/>
          <w:color w:val="auto"/>
          <w:highlight w:val="none"/>
        </w:rPr>
        <w:t>符合性分析</w:t>
      </w:r>
    </w:p>
    <w:p w14:paraId="1AA55074">
      <w:pPr>
        <w:pStyle w:val="19"/>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hint="eastAsia" w:ascii="Times New Roman" w:hAnsi="Times New Roman" w:cs="Times New Roman"/>
          <w:sz w:val="24"/>
          <w:szCs w:val="32"/>
          <w:highlight w:val="none"/>
        </w:rPr>
      </w:pPr>
      <w:r>
        <w:rPr>
          <w:rFonts w:hint="eastAsia" w:ascii="Times New Roman" w:hAnsi="Times New Roman" w:cs="Times New Roman"/>
          <w:sz w:val="24"/>
          <w:szCs w:val="32"/>
          <w:highlight w:val="none"/>
        </w:rPr>
        <w:t>（五）加强养殖业污染防治：推行畜禽粪污资源化利用。完善畜禽粪污资源化利用管理制度，依法合理施用畜禽</w:t>
      </w:r>
      <w:r>
        <w:rPr>
          <w:rFonts w:hint="eastAsia" w:ascii="Times New Roman" w:hAnsi="Times New Roman" w:cs="Times New Roman"/>
          <w:sz w:val="24"/>
          <w:szCs w:val="32"/>
          <w:highlight w:val="none"/>
          <w:lang w:eastAsia="zh-CN"/>
        </w:rPr>
        <w:t>粪污</w:t>
      </w:r>
      <w:r>
        <w:rPr>
          <w:rFonts w:hint="eastAsia" w:ascii="Times New Roman" w:hAnsi="Times New Roman" w:cs="Times New Roman"/>
          <w:sz w:val="24"/>
          <w:szCs w:val="32"/>
          <w:highlight w:val="none"/>
        </w:rPr>
        <w:t>。推动畜禽规模养殖场粪污处理设施装备提档升级，规范畜禽养殖户粪污处理设施装备配套，开展设施装备配套情况核查。整县推进畜禽粪污资源化利用，改造提升粪污处理设施，建设</w:t>
      </w:r>
      <w:r>
        <w:rPr>
          <w:rFonts w:hint="eastAsia" w:ascii="Times New Roman" w:hAnsi="Times New Roman" w:cs="Times New Roman"/>
          <w:sz w:val="24"/>
          <w:szCs w:val="32"/>
          <w:highlight w:val="none"/>
          <w:lang w:eastAsia="zh-CN"/>
        </w:rPr>
        <w:t>粪污</w:t>
      </w:r>
      <w:r>
        <w:rPr>
          <w:rFonts w:hint="eastAsia" w:ascii="Times New Roman" w:hAnsi="Times New Roman" w:cs="Times New Roman"/>
          <w:sz w:val="24"/>
          <w:szCs w:val="32"/>
          <w:highlight w:val="none"/>
        </w:rPr>
        <w:t>还田利用示范基地，推进种养结合，畅通</w:t>
      </w:r>
      <w:r>
        <w:rPr>
          <w:rFonts w:hint="eastAsia" w:ascii="Times New Roman" w:hAnsi="Times New Roman" w:cs="Times New Roman"/>
          <w:sz w:val="24"/>
          <w:szCs w:val="32"/>
          <w:highlight w:val="none"/>
          <w:lang w:eastAsia="zh-CN"/>
        </w:rPr>
        <w:t>粪污</w:t>
      </w:r>
      <w:r>
        <w:rPr>
          <w:rFonts w:hint="eastAsia" w:ascii="Times New Roman" w:hAnsi="Times New Roman" w:cs="Times New Roman"/>
          <w:sz w:val="24"/>
          <w:szCs w:val="32"/>
          <w:highlight w:val="none"/>
        </w:rPr>
        <w:t>还田渠道。到2025年，畜禽规模养殖场建立粪污资源化利用计划和台账。</w:t>
      </w:r>
    </w:p>
    <w:p w14:paraId="6167DD2F">
      <w:pPr>
        <w:pStyle w:val="64"/>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sz w:val="24"/>
          <w:szCs w:val="24"/>
          <w:highlight w:val="none"/>
          <w:lang w:bidi="ar"/>
        </w:rPr>
      </w:pPr>
      <w:r>
        <w:rPr>
          <w:rFonts w:hint="eastAsia" w:ascii="Times New Roman"/>
          <w:sz w:val="24"/>
          <w:szCs w:val="24"/>
          <w:highlight w:val="none"/>
          <w:lang w:bidi="ar"/>
        </w:rPr>
        <w:t>项目粪污采用</w:t>
      </w:r>
      <w:r>
        <w:rPr>
          <w:rFonts w:hint="eastAsia" w:ascii="Times New Roman"/>
          <w:sz w:val="24"/>
          <w:szCs w:val="24"/>
          <w:highlight w:val="none"/>
          <w:lang w:eastAsia="zh-CN" w:bidi="ar"/>
        </w:rPr>
        <w:t>尿泡粪—干清粪</w:t>
      </w:r>
      <w:r>
        <w:rPr>
          <w:rFonts w:hint="eastAsia" w:ascii="Times New Roman"/>
          <w:sz w:val="24"/>
          <w:szCs w:val="24"/>
          <w:highlight w:val="none"/>
          <w:lang w:bidi="ar"/>
        </w:rPr>
        <w:t>方式，粪尿及冲洗废水等污染物通过集粪池收集后经污粪渠送至</w:t>
      </w:r>
      <w:r>
        <w:rPr>
          <w:rFonts w:hint="eastAsia" w:ascii="Times New Roman"/>
          <w:sz w:val="24"/>
          <w:szCs w:val="24"/>
          <w:highlight w:val="none"/>
          <w:lang w:eastAsia="zh-CN" w:bidi="ar"/>
        </w:rPr>
        <w:t>固液分离间</w:t>
      </w:r>
      <w:r>
        <w:rPr>
          <w:rFonts w:hint="eastAsia" w:ascii="Times New Roman"/>
          <w:sz w:val="24"/>
          <w:szCs w:val="24"/>
          <w:highlight w:val="none"/>
          <w:lang w:bidi="ar"/>
        </w:rPr>
        <w:t>，均质后的猪粪污经泵输送至固液分离设备进行固液分离，分离后的液体经泵输送至</w:t>
      </w:r>
      <w:r>
        <w:rPr>
          <w:rFonts w:hint="eastAsia" w:ascii="Times New Roman"/>
          <w:sz w:val="24"/>
          <w:szCs w:val="24"/>
          <w:highlight w:val="none"/>
          <w:lang w:eastAsia="zh-CN" w:bidi="ar"/>
        </w:rPr>
        <w:t>黑膜厌氧池</w:t>
      </w:r>
      <w:r>
        <w:rPr>
          <w:rFonts w:hint="eastAsia" w:ascii="Times New Roman"/>
          <w:sz w:val="24"/>
          <w:szCs w:val="24"/>
          <w:highlight w:val="none"/>
          <w:lang w:bidi="ar"/>
        </w:rPr>
        <w:t>，产生的</w:t>
      </w:r>
      <w:r>
        <w:rPr>
          <w:rFonts w:ascii="Times New Roman"/>
          <w:snapToGrid w:val="0"/>
          <w:sz w:val="24"/>
          <w:szCs w:val="24"/>
          <w:highlight w:val="none"/>
        </w:rPr>
        <w:t>沼气经干法脱硫后经火炬燃烧</w:t>
      </w:r>
      <w:r>
        <w:rPr>
          <w:rFonts w:hint="eastAsia" w:ascii="Times New Roman"/>
          <w:sz w:val="24"/>
          <w:szCs w:val="24"/>
          <w:highlight w:val="none"/>
          <w:lang w:bidi="ar"/>
        </w:rPr>
        <w:t>处理；分离后的粪便及沼渣送至</w:t>
      </w:r>
      <w:r>
        <w:rPr>
          <w:rFonts w:hint="eastAsia" w:ascii="Times New Roman"/>
          <w:sz w:val="24"/>
          <w:szCs w:val="24"/>
          <w:highlight w:val="none"/>
          <w:lang w:eastAsia="zh-CN" w:bidi="ar"/>
        </w:rPr>
        <w:t>干粪堆积场</w:t>
      </w:r>
      <w:r>
        <w:rPr>
          <w:rFonts w:hint="eastAsia" w:ascii="Times New Roman"/>
          <w:sz w:val="24"/>
          <w:szCs w:val="24"/>
          <w:highlight w:val="none"/>
          <w:lang w:bidi="ar"/>
        </w:rPr>
        <w:t>堆肥发酵后还田。本次环评要求企业建立相应污染物处置及转运台账，并定期</w:t>
      </w:r>
      <w:r>
        <w:rPr>
          <w:rFonts w:hint="eastAsia" w:ascii="Times New Roman"/>
          <w:sz w:val="24"/>
          <w:szCs w:val="24"/>
          <w:highlight w:val="none"/>
        </w:rPr>
        <w:t>对粪污还田利用土地的土壤环境状况进行监测</w:t>
      </w:r>
      <w:r>
        <w:rPr>
          <w:rFonts w:hint="eastAsia" w:ascii="Times New Roman"/>
          <w:sz w:val="24"/>
          <w:szCs w:val="24"/>
          <w:highlight w:val="none"/>
          <w:lang w:bidi="ar"/>
        </w:rPr>
        <w:t>。因此，本项目符合《农业农村污染治理攻坚战行动方案（2021—2025年）》中的相关要求。</w:t>
      </w:r>
    </w:p>
    <w:p w14:paraId="70EFC535">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1</w:t>
      </w:r>
      <w:r>
        <w:rPr>
          <w:rFonts w:hint="eastAsia" w:ascii="Times New Roman" w:cs="Times New Roman"/>
          <w:b/>
          <w:bCs/>
          <w:color w:val="auto"/>
          <w:highlight w:val="none"/>
          <w:lang w:val="en-US" w:eastAsia="zh-CN"/>
        </w:rPr>
        <w:t>2</w:t>
      </w:r>
      <w:r>
        <w:rPr>
          <w:rFonts w:hint="default" w:ascii="Times New Roman" w:hAnsi="Times New Roman" w:eastAsia="宋体" w:cs="Times New Roman"/>
          <w:b/>
          <w:bCs/>
          <w:color w:val="auto"/>
          <w:highlight w:val="none"/>
        </w:rPr>
        <w:t>与</w:t>
      </w:r>
      <w:r>
        <w:rPr>
          <w:rFonts w:hint="eastAsia" w:ascii="Times New Roman" w:hAnsi="Times New Roman" w:eastAsia="宋体" w:cs="Times New Roman"/>
          <w:b/>
          <w:bCs/>
          <w:color w:val="auto"/>
          <w:highlight w:val="none"/>
        </w:rPr>
        <w:t>《鸡西市国民经济和社会发展第十四个五年规划和二○三五年远景目标纲要》</w:t>
      </w:r>
      <w:r>
        <w:rPr>
          <w:rFonts w:hint="eastAsia" w:ascii="Times New Roman" w:cs="Times New Roman"/>
          <w:b/>
          <w:bCs/>
          <w:color w:val="auto"/>
          <w:highlight w:val="none"/>
          <w:lang w:eastAsia="zh-CN"/>
        </w:rPr>
        <w:t>（</w:t>
      </w:r>
      <w:r>
        <w:rPr>
          <w:rFonts w:hint="eastAsia" w:ascii="Times New Roman" w:hAnsi="Times New Roman" w:eastAsia="宋体" w:cs="Times New Roman"/>
          <w:b/>
          <w:bCs/>
          <w:color w:val="auto"/>
          <w:highlight w:val="none"/>
        </w:rPr>
        <w:t>鸡政发〔2021〕4号</w:t>
      </w:r>
      <w:r>
        <w:rPr>
          <w:rFonts w:hint="eastAsia" w:ascii="Times New Roman" w:cs="Times New Roman"/>
          <w:b/>
          <w:bCs/>
          <w:color w:val="auto"/>
          <w:highlight w:val="none"/>
          <w:lang w:eastAsia="zh-CN"/>
        </w:rPr>
        <w:t>）</w:t>
      </w:r>
      <w:r>
        <w:rPr>
          <w:rFonts w:hint="eastAsia" w:ascii="Times New Roman" w:hAnsi="Times New Roman" w:eastAsia="宋体" w:cs="Times New Roman"/>
          <w:b/>
          <w:bCs/>
          <w:color w:val="auto"/>
          <w:highlight w:val="none"/>
        </w:rPr>
        <w:t>的符合性分析</w:t>
      </w:r>
    </w:p>
    <w:p w14:paraId="01CB677B">
      <w:pPr>
        <w:pStyle w:val="19"/>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hint="eastAsia" w:ascii="Times New Roman" w:hAnsi="Times New Roman" w:cs="Times New Roman"/>
          <w:sz w:val="24"/>
          <w:szCs w:val="32"/>
          <w:highlight w:val="none"/>
        </w:rPr>
      </w:pPr>
      <w:r>
        <w:rPr>
          <w:rFonts w:hint="eastAsia" w:ascii="Times New Roman" w:hAnsi="Times New Roman" w:cs="Times New Roman"/>
          <w:sz w:val="24"/>
          <w:szCs w:val="32"/>
          <w:highlight w:val="none"/>
        </w:rPr>
        <w:t>（二）加快推进乡村振兴，建设现代化农业强市3.推动农业全产业链发展。以“粮头食尾、农头工尾”为抓手，加快推进一二三产融合发展，促进乡村产业振兴。大力发展粮食产业经济，全产业链发展绿色食品加工，实现农产品多层次、多环节转化增值。推动农产品精深加工延长产业链、提升价值链，实现由粮食主产区向绿色食品加工基地转变。实施“两牛一猪”工程，大力发展标准化规模养殖，推进畜牧业全产业链发展，建设龙江重要的高品质乳制品、肉制品加工基地。到2025年，畜牧业产值占农业总产值比重超过35%。实施产业兴村强县行动，因地制宜发展农事体验、乡村旅游、体闲农业、健康养老、农村电商等农村新产业新业态，壮大乡村产业，进一步拓宽农民增收渠道，加快培育新型职业农民。构建农产品现代流通体系。加快推进粮食仓储物流业发展，建成覆盖全市的农村现代物流网络体系。支持多功能一体化的粮食物流园区建设，加快构建冷链物流体系。支持密山市、虎林市、鸡东县建设农产品批发市场，打造产品集散中心、价格形成中心和加工配送中心。完善农业社会化服务体系。加快构建全程覆盖、区域集成、配套完备的新型农业社会化服务体系。加快发展统防统治、烘干仓储、农资供应、测土施肥、饲料配送等新型服务业态，大力推行“订单式、保姆式、全程式”服务。</w:t>
      </w:r>
    </w:p>
    <w:p w14:paraId="3AFF449D">
      <w:pPr>
        <w:pStyle w:val="64"/>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sz w:val="24"/>
          <w:szCs w:val="24"/>
          <w:highlight w:val="none"/>
          <w:lang w:bidi="ar"/>
        </w:rPr>
      </w:pPr>
      <w:r>
        <w:rPr>
          <w:rFonts w:hint="eastAsia" w:ascii="Times New Roman"/>
          <w:sz w:val="24"/>
          <w:szCs w:val="24"/>
          <w:highlight w:val="none"/>
          <w:lang w:bidi="ar"/>
        </w:rPr>
        <w:t>本项目位于</w:t>
      </w:r>
      <w:r>
        <w:rPr>
          <w:rFonts w:hint="eastAsia" w:ascii="Times New Roman"/>
          <w:sz w:val="24"/>
          <w:szCs w:val="24"/>
          <w:highlight w:val="none"/>
          <w:lang w:eastAsia="zh-CN" w:bidi="ar"/>
        </w:rPr>
        <w:t>黑龙江省鸡西市密山市柳毛乡团结村4组</w:t>
      </w:r>
      <w:r>
        <w:rPr>
          <w:rFonts w:hint="eastAsia" w:ascii="Times New Roman"/>
          <w:sz w:val="24"/>
          <w:szCs w:val="24"/>
          <w:highlight w:val="none"/>
          <w:lang w:bidi="ar"/>
        </w:rPr>
        <w:t>，</w:t>
      </w:r>
      <w:r>
        <w:rPr>
          <w:rFonts w:hint="eastAsia" w:ascii="Times New Roman"/>
          <w:sz w:val="24"/>
          <w:szCs w:val="24"/>
          <w:highlight w:val="none"/>
          <w:lang w:val="en-US" w:eastAsia="zh-CN" w:bidi="ar"/>
        </w:rPr>
        <w:t>投</w:t>
      </w:r>
      <w:r>
        <w:rPr>
          <w:rFonts w:hint="eastAsia" w:ascii="Times New Roman"/>
          <w:sz w:val="24"/>
          <w:szCs w:val="24"/>
          <w:highlight w:val="none"/>
          <w:lang w:bidi="ar"/>
        </w:rPr>
        <w:t>产</w:t>
      </w:r>
      <w:r>
        <w:rPr>
          <w:rFonts w:hint="eastAsia" w:ascii="Times New Roman"/>
          <w:sz w:val="24"/>
          <w:szCs w:val="24"/>
          <w:highlight w:val="none"/>
          <w:lang w:val="en-US" w:eastAsia="zh-CN" w:bidi="ar"/>
        </w:rPr>
        <w:t>后年存栏8000头（母猪950头，公猪50头，哺乳仔猪1700头，保育仔猪3300头，后备猪2000头），年出栏商品猪（仔猪）16000头</w:t>
      </w:r>
      <w:r>
        <w:rPr>
          <w:rFonts w:hint="eastAsia" w:ascii="Times New Roman"/>
          <w:sz w:val="24"/>
          <w:szCs w:val="24"/>
          <w:highlight w:val="none"/>
          <w:lang w:bidi="ar"/>
        </w:rPr>
        <w:t>。本项目的建设大力</w:t>
      </w:r>
      <w:r>
        <w:rPr>
          <w:rFonts w:hint="eastAsia" w:ascii="Times New Roman" w:hAnsi="Times New Roman" w:cs="Times New Roman"/>
          <w:sz w:val="24"/>
          <w:szCs w:val="32"/>
          <w:highlight w:val="none"/>
        </w:rPr>
        <w:t>推进畜牧业全产业链发展</w:t>
      </w:r>
      <w:r>
        <w:rPr>
          <w:rFonts w:hint="eastAsia" w:ascii="Times New Roman"/>
          <w:sz w:val="24"/>
          <w:szCs w:val="24"/>
          <w:highlight w:val="none"/>
          <w:lang w:bidi="ar"/>
        </w:rPr>
        <w:t>，进一步提高畜牧业产值占农业总产值比重，</w:t>
      </w:r>
      <w:r>
        <w:rPr>
          <w:rFonts w:hint="eastAsia" w:ascii="Times New Roman" w:hAnsi="Times New Roman" w:cs="Times New Roman"/>
          <w:sz w:val="24"/>
          <w:szCs w:val="32"/>
          <w:highlight w:val="none"/>
        </w:rPr>
        <w:t>建设龙江重要的高品质乳制品、肉制品加工基地</w:t>
      </w:r>
      <w:r>
        <w:rPr>
          <w:rFonts w:hint="eastAsia" w:ascii="Times New Roman"/>
          <w:sz w:val="24"/>
          <w:szCs w:val="24"/>
          <w:highlight w:val="none"/>
          <w:lang w:eastAsia="zh-CN" w:bidi="ar"/>
        </w:rPr>
        <w:t>。</w:t>
      </w:r>
      <w:r>
        <w:rPr>
          <w:rFonts w:hint="eastAsia" w:ascii="Times New Roman"/>
          <w:sz w:val="24"/>
          <w:szCs w:val="24"/>
          <w:highlight w:val="none"/>
          <w:lang w:bidi="ar"/>
        </w:rPr>
        <w:t>因此，本项目符合《鸡西市国民经济和社会发展第十四个五年规划和二○三五年远景目标纲要》</w:t>
      </w:r>
      <w:r>
        <w:rPr>
          <w:rFonts w:hint="eastAsia" w:ascii="Times New Roman"/>
          <w:sz w:val="24"/>
          <w:szCs w:val="24"/>
          <w:highlight w:val="none"/>
          <w:lang w:eastAsia="zh-CN" w:bidi="ar"/>
        </w:rPr>
        <w:t>（</w:t>
      </w:r>
      <w:r>
        <w:rPr>
          <w:rFonts w:hint="eastAsia" w:ascii="Times New Roman"/>
          <w:sz w:val="24"/>
          <w:szCs w:val="24"/>
          <w:highlight w:val="none"/>
          <w:lang w:bidi="ar"/>
        </w:rPr>
        <w:t>鸡政发〔2021〕4号</w:t>
      </w:r>
      <w:r>
        <w:rPr>
          <w:rFonts w:hint="eastAsia" w:ascii="Times New Roman"/>
          <w:sz w:val="24"/>
          <w:szCs w:val="24"/>
          <w:highlight w:val="none"/>
          <w:lang w:eastAsia="zh-CN" w:bidi="ar"/>
        </w:rPr>
        <w:t>）</w:t>
      </w:r>
      <w:r>
        <w:rPr>
          <w:rFonts w:hint="eastAsia" w:ascii="Times New Roman"/>
          <w:sz w:val="24"/>
          <w:szCs w:val="24"/>
          <w:highlight w:val="none"/>
          <w:lang w:bidi="ar"/>
        </w:rPr>
        <w:t>中的相关要求。</w:t>
      </w:r>
    </w:p>
    <w:p w14:paraId="18EB0016">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1</w:t>
      </w:r>
      <w:r>
        <w:rPr>
          <w:rFonts w:hint="eastAsia" w:ascii="Times New Roman" w:cs="Times New Roman"/>
          <w:b/>
          <w:bCs/>
          <w:color w:val="auto"/>
          <w:highlight w:val="none"/>
          <w:lang w:val="en-US" w:eastAsia="zh-CN"/>
        </w:rPr>
        <w:t>3</w:t>
      </w:r>
      <w:r>
        <w:rPr>
          <w:rFonts w:hint="default" w:ascii="Times New Roman" w:hAnsi="Times New Roman" w:eastAsia="宋体" w:cs="Times New Roman"/>
          <w:b/>
          <w:bCs/>
          <w:color w:val="auto"/>
          <w:highlight w:val="none"/>
        </w:rPr>
        <w:t>与</w:t>
      </w:r>
      <w:r>
        <w:rPr>
          <w:rFonts w:hint="eastAsia" w:ascii="Times New Roman" w:hAnsi="Times New Roman" w:eastAsia="宋体" w:cs="Times New Roman"/>
          <w:b/>
          <w:bCs/>
          <w:color w:val="auto"/>
          <w:highlight w:val="none"/>
        </w:rPr>
        <w:t>《</w:t>
      </w:r>
      <w:r>
        <w:rPr>
          <w:rFonts w:hint="eastAsia" w:ascii="Times New Roman" w:hAnsi="Times New Roman" w:eastAsia="宋体" w:cs="Times New Roman"/>
          <w:b/>
          <w:bCs/>
          <w:color w:val="auto"/>
          <w:highlight w:val="none"/>
          <w:lang w:eastAsia="zh-CN"/>
        </w:rPr>
        <w:t>密山市国民经济和社会发展第十四个五年规划纲要</w:t>
      </w:r>
      <w:r>
        <w:rPr>
          <w:rFonts w:hint="eastAsia" w:ascii="Times New Roman" w:hAnsi="Times New Roman" w:eastAsia="宋体" w:cs="Times New Roman"/>
          <w:b/>
          <w:bCs/>
          <w:color w:val="auto"/>
          <w:highlight w:val="none"/>
        </w:rPr>
        <w:t>》</w:t>
      </w:r>
      <w:r>
        <w:rPr>
          <w:rFonts w:hint="eastAsia" w:ascii="Times New Roman" w:cs="Times New Roman"/>
          <w:b/>
          <w:bCs/>
          <w:color w:val="auto"/>
          <w:highlight w:val="none"/>
          <w:lang w:eastAsia="zh-CN"/>
        </w:rPr>
        <w:t>（密政发〔</w:t>
      </w:r>
      <w:r>
        <w:rPr>
          <w:rFonts w:hint="eastAsia" w:ascii="Times New Roman" w:cs="Times New Roman"/>
          <w:b/>
          <w:bCs/>
          <w:color w:val="auto"/>
          <w:highlight w:val="none"/>
          <w:lang w:val="en-US" w:eastAsia="zh-CN"/>
        </w:rPr>
        <w:t>2021</w:t>
      </w:r>
      <w:r>
        <w:rPr>
          <w:rFonts w:hint="eastAsia" w:ascii="Times New Roman" w:cs="Times New Roman"/>
          <w:b/>
          <w:bCs/>
          <w:color w:val="auto"/>
          <w:highlight w:val="none"/>
          <w:lang w:eastAsia="zh-CN"/>
        </w:rPr>
        <w:t>〕</w:t>
      </w:r>
      <w:r>
        <w:rPr>
          <w:rFonts w:hint="eastAsia" w:ascii="Times New Roman" w:cs="Times New Roman"/>
          <w:b/>
          <w:bCs/>
          <w:color w:val="auto"/>
          <w:highlight w:val="none"/>
          <w:lang w:val="en-US" w:eastAsia="zh-CN"/>
        </w:rPr>
        <w:t>5</w:t>
      </w:r>
      <w:r>
        <w:rPr>
          <w:rFonts w:hint="eastAsia" w:ascii="Times New Roman" w:cs="Times New Roman"/>
          <w:b/>
          <w:bCs/>
          <w:color w:val="auto"/>
          <w:highlight w:val="none"/>
          <w:lang w:eastAsia="zh-CN"/>
        </w:rPr>
        <w:t>号）</w:t>
      </w:r>
      <w:r>
        <w:rPr>
          <w:rFonts w:hint="eastAsia" w:ascii="Times New Roman" w:hAnsi="Times New Roman" w:eastAsia="宋体" w:cs="Times New Roman"/>
          <w:b/>
          <w:bCs/>
          <w:color w:val="auto"/>
          <w:highlight w:val="none"/>
        </w:rPr>
        <w:t>的符合性分析</w:t>
      </w:r>
    </w:p>
    <w:p w14:paraId="7CF4BDF5">
      <w:pPr>
        <w:pStyle w:val="19"/>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textAlignment w:val="auto"/>
        <w:rPr>
          <w:rFonts w:hint="eastAsia" w:ascii="Times New Roman" w:hAnsi="Times New Roman" w:cs="Times New Roman"/>
          <w:sz w:val="24"/>
          <w:szCs w:val="32"/>
          <w:highlight w:val="none"/>
        </w:rPr>
      </w:pPr>
      <w:bookmarkStart w:id="44" w:name="_Toc28573"/>
      <w:r>
        <w:rPr>
          <w:rFonts w:hint="eastAsia" w:ascii="Times New Roman" w:hAnsi="Times New Roman" w:eastAsia="宋体" w:cs="Times New Roman"/>
          <w:kern w:val="0"/>
          <w:sz w:val="24"/>
          <w:szCs w:val="32"/>
          <w:highlight w:val="none"/>
          <w:lang w:val="en-US" w:eastAsia="zh-CN" w:bidi="ar-SA"/>
        </w:rPr>
        <w:t>三、</w:t>
      </w:r>
      <w:r>
        <w:rPr>
          <w:rFonts w:hint="eastAsia" w:ascii="Times New Roman" w:hAnsi="Times New Roman" w:cs="Times New Roman"/>
          <w:sz w:val="24"/>
          <w:szCs w:val="32"/>
          <w:highlight w:val="none"/>
        </w:rPr>
        <w:t>“十四五”时期经济社会发展重点任务</w:t>
      </w:r>
      <w:bookmarkEnd w:id="44"/>
      <w:bookmarkStart w:id="45" w:name="_Toc27638"/>
      <w:r>
        <w:rPr>
          <w:rFonts w:hint="eastAsia" w:ascii="Times New Roman" w:hAnsi="Times New Roman" w:cs="Times New Roman"/>
          <w:sz w:val="24"/>
          <w:szCs w:val="32"/>
          <w:highlight w:val="none"/>
        </w:rPr>
        <w:t>（</w:t>
      </w:r>
      <w:r>
        <w:rPr>
          <w:rFonts w:hint="eastAsia" w:ascii="Times New Roman" w:hAnsi="Times New Roman" w:cs="Times New Roman"/>
          <w:sz w:val="24"/>
          <w:szCs w:val="32"/>
          <w:highlight w:val="none"/>
          <w:lang w:val="en-US"/>
        </w:rPr>
        <w:t>4</w:t>
      </w:r>
      <w:r>
        <w:rPr>
          <w:rFonts w:hint="eastAsia" w:ascii="Times New Roman" w:hAnsi="Times New Roman" w:cs="Times New Roman"/>
          <w:sz w:val="24"/>
          <w:szCs w:val="32"/>
          <w:highlight w:val="none"/>
        </w:rPr>
        <w:t>）打造特色畜牧业基地</w:t>
      </w:r>
      <w:bookmarkEnd w:id="45"/>
      <w:r>
        <w:rPr>
          <w:rFonts w:hint="eastAsia" w:ascii="Times New Roman" w:hAnsi="Times New Roman" w:cs="Times New Roman"/>
          <w:sz w:val="24"/>
          <w:szCs w:val="32"/>
          <w:highlight w:val="none"/>
        </w:rPr>
        <w:t>。实施“两牛、一猪、一羊、一禽”工程，建设千头规模化肉牛养殖场和万头规模化养猪场各</w:t>
      </w:r>
      <w:r>
        <w:rPr>
          <w:rFonts w:hint="eastAsia" w:ascii="Times New Roman" w:hAnsi="Times New Roman" w:cs="Times New Roman"/>
          <w:sz w:val="24"/>
          <w:szCs w:val="32"/>
          <w:highlight w:val="none"/>
          <w:lang w:val="en-US"/>
        </w:rPr>
        <w:t>10</w:t>
      </w:r>
      <w:r>
        <w:rPr>
          <w:rFonts w:hint="eastAsia" w:ascii="Times New Roman" w:hAnsi="Times New Roman" w:cs="Times New Roman"/>
          <w:sz w:val="24"/>
          <w:szCs w:val="32"/>
          <w:highlight w:val="none"/>
        </w:rPr>
        <w:t>个，打造示范规模场</w:t>
      </w:r>
      <w:r>
        <w:rPr>
          <w:rFonts w:hint="eastAsia" w:ascii="Times New Roman" w:hAnsi="Times New Roman" w:cs="Times New Roman"/>
          <w:sz w:val="24"/>
          <w:szCs w:val="32"/>
          <w:highlight w:val="none"/>
          <w:lang w:val="en-US"/>
        </w:rPr>
        <w:t>30</w:t>
      </w:r>
      <w:r>
        <w:rPr>
          <w:rFonts w:hint="eastAsia" w:ascii="Times New Roman" w:hAnsi="Times New Roman" w:cs="Times New Roman"/>
          <w:sz w:val="24"/>
          <w:szCs w:val="32"/>
          <w:highlight w:val="none"/>
        </w:rPr>
        <w:t>个，重点支持八五五、八五一〇、八五一一、双峰等农场规模化养牛场新建、改扩建，支持八五一〇农场宝仓蛋鸡养殖专业合作社改扩建鸡场。推动畜产品安全、疫病防控水平和粪污资源化利用全面升级，实现全市规模养殖场粪污资源化利用全部达标。规划期末，全市规模以上养殖企业和合作社达到</w:t>
      </w:r>
      <w:r>
        <w:rPr>
          <w:rFonts w:hint="eastAsia" w:ascii="Times New Roman" w:hAnsi="Times New Roman" w:cs="Times New Roman"/>
          <w:sz w:val="24"/>
          <w:szCs w:val="32"/>
          <w:highlight w:val="none"/>
          <w:lang w:val="en-US"/>
        </w:rPr>
        <w:t>72</w:t>
      </w:r>
      <w:r>
        <w:rPr>
          <w:rFonts w:hint="eastAsia" w:ascii="Times New Roman" w:hAnsi="Times New Roman" w:cs="Times New Roman"/>
          <w:sz w:val="24"/>
          <w:szCs w:val="32"/>
          <w:highlight w:val="none"/>
        </w:rPr>
        <w:t>家，奶牛存栏量</w:t>
      </w:r>
      <w:r>
        <w:rPr>
          <w:rFonts w:hint="eastAsia" w:ascii="Times New Roman" w:hAnsi="Times New Roman" w:cs="Times New Roman"/>
          <w:sz w:val="24"/>
          <w:szCs w:val="32"/>
          <w:highlight w:val="none"/>
          <w:lang w:val="en-US"/>
        </w:rPr>
        <w:t>3.5</w:t>
      </w:r>
      <w:r>
        <w:rPr>
          <w:rFonts w:hint="eastAsia" w:ascii="Times New Roman" w:hAnsi="Times New Roman" w:cs="Times New Roman"/>
          <w:sz w:val="24"/>
          <w:szCs w:val="32"/>
          <w:highlight w:val="none"/>
        </w:rPr>
        <w:t>万头、肉牛存栏量</w:t>
      </w:r>
      <w:r>
        <w:rPr>
          <w:rFonts w:hint="eastAsia" w:ascii="Times New Roman" w:hAnsi="Times New Roman" w:cs="Times New Roman"/>
          <w:sz w:val="24"/>
          <w:szCs w:val="32"/>
          <w:highlight w:val="none"/>
          <w:lang w:val="en-US"/>
        </w:rPr>
        <w:t>2.8</w:t>
      </w:r>
      <w:r>
        <w:rPr>
          <w:rFonts w:hint="eastAsia" w:ascii="Times New Roman" w:hAnsi="Times New Roman" w:cs="Times New Roman"/>
          <w:sz w:val="24"/>
          <w:szCs w:val="32"/>
          <w:highlight w:val="none"/>
        </w:rPr>
        <w:t>万头、生猪出栏量</w:t>
      </w:r>
      <w:r>
        <w:rPr>
          <w:rFonts w:hint="eastAsia" w:ascii="Times New Roman" w:hAnsi="Times New Roman" w:cs="Times New Roman"/>
          <w:sz w:val="24"/>
          <w:szCs w:val="32"/>
          <w:highlight w:val="none"/>
          <w:lang w:val="en-US"/>
        </w:rPr>
        <w:t>38</w:t>
      </w:r>
      <w:r>
        <w:rPr>
          <w:rFonts w:hint="eastAsia" w:ascii="Times New Roman" w:hAnsi="Times New Roman" w:cs="Times New Roman"/>
          <w:sz w:val="24"/>
          <w:szCs w:val="32"/>
          <w:highlight w:val="none"/>
        </w:rPr>
        <w:t>万头、肉羊存栏量</w:t>
      </w:r>
      <w:r>
        <w:rPr>
          <w:rFonts w:hint="eastAsia" w:ascii="Times New Roman" w:hAnsi="Times New Roman" w:cs="Times New Roman"/>
          <w:sz w:val="24"/>
          <w:szCs w:val="32"/>
          <w:highlight w:val="none"/>
          <w:lang w:val="en-US"/>
        </w:rPr>
        <w:t>10</w:t>
      </w:r>
      <w:r>
        <w:rPr>
          <w:rFonts w:hint="eastAsia" w:ascii="Times New Roman" w:hAnsi="Times New Roman" w:cs="Times New Roman"/>
          <w:sz w:val="24"/>
          <w:szCs w:val="32"/>
          <w:highlight w:val="none"/>
        </w:rPr>
        <w:t>万只、家禽出栏量</w:t>
      </w:r>
      <w:r>
        <w:rPr>
          <w:rFonts w:hint="eastAsia" w:ascii="Times New Roman" w:hAnsi="Times New Roman" w:cs="Times New Roman"/>
          <w:sz w:val="24"/>
          <w:szCs w:val="32"/>
          <w:highlight w:val="none"/>
          <w:lang w:val="en-US"/>
        </w:rPr>
        <w:t>80</w:t>
      </w:r>
      <w:r>
        <w:rPr>
          <w:rFonts w:hint="eastAsia" w:ascii="Times New Roman" w:hAnsi="Times New Roman" w:cs="Times New Roman"/>
          <w:sz w:val="24"/>
          <w:szCs w:val="32"/>
          <w:highlight w:val="none"/>
        </w:rPr>
        <w:t>万只、蛋产量</w:t>
      </w:r>
      <w:r>
        <w:rPr>
          <w:rFonts w:hint="eastAsia" w:ascii="Times New Roman" w:hAnsi="Times New Roman" w:cs="Times New Roman"/>
          <w:sz w:val="24"/>
          <w:szCs w:val="32"/>
          <w:highlight w:val="none"/>
          <w:lang w:val="en-US"/>
        </w:rPr>
        <w:t>1.1</w:t>
      </w:r>
      <w:r>
        <w:rPr>
          <w:rFonts w:hint="eastAsia" w:ascii="Times New Roman" w:hAnsi="Times New Roman" w:cs="Times New Roman"/>
          <w:sz w:val="24"/>
          <w:szCs w:val="32"/>
          <w:highlight w:val="none"/>
        </w:rPr>
        <w:t>万吨。</w:t>
      </w:r>
    </w:p>
    <w:p w14:paraId="5602591B">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highlight w:val="none"/>
          <w:lang w:eastAsia="zh-CN"/>
        </w:rPr>
      </w:pPr>
      <w:r>
        <w:rPr>
          <w:rFonts w:hint="default" w:ascii="Times New Roman" w:hAnsi="Times New Roman" w:eastAsia="宋体" w:cs="Times New Roman"/>
          <w:color w:val="auto"/>
          <w:sz w:val="24"/>
          <w:highlight w:val="none"/>
          <w:lang w:val="en-US" w:eastAsia="zh-CN"/>
        </w:rPr>
        <w:t>本项目建成后年存栏8000头（母猪950头，公猪50头，哺乳仔猪1700头，保育仔猪3300头，后备猪2000头），年出栏</w:t>
      </w:r>
      <w:r>
        <w:rPr>
          <w:rFonts w:hint="eastAsia" w:ascii="Times New Roman" w:hAnsi="Times New Roman" w:cs="Times New Roman"/>
          <w:color w:val="auto"/>
          <w:sz w:val="24"/>
          <w:highlight w:val="none"/>
          <w:lang w:val="en-US" w:eastAsia="zh-CN"/>
        </w:rPr>
        <w:t>商品猪（仔猪）</w:t>
      </w:r>
      <w:r>
        <w:rPr>
          <w:rFonts w:hint="default" w:ascii="Times New Roman" w:hAnsi="Times New Roman" w:eastAsia="宋体" w:cs="Times New Roman"/>
          <w:color w:val="auto"/>
          <w:sz w:val="24"/>
          <w:highlight w:val="none"/>
          <w:lang w:val="en-US" w:eastAsia="zh-CN"/>
        </w:rPr>
        <w:t>16000头</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方式进行清粪，</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w:t>
      </w:r>
      <w:r>
        <w:rPr>
          <w:rFonts w:hint="eastAsia" w:ascii="Times New Roman" w:hAnsi="Times New Roman" w:cs="Times New Roman"/>
          <w:color w:val="auto"/>
          <w:sz w:val="24"/>
          <w:highlight w:val="none"/>
          <w:lang w:val="en-US" w:eastAsia="zh-CN"/>
        </w:rPr>
        <w:t>本项目不设置固定排污口。</w:t>
      </w:r>
      <w:r>
        <w:rPr>
          <w:rFonts w:hint="eastAsia" w:ascii="Times New Roman"/>
          <w:sz w:val="24"/>
          <w:szCs w:val="24"/>
          <w:highlight w:val="none"/>
          <w:lang w:eastAsia="zh-CN" w:bidi="ar"/>
        </w:rPr>
        <w:t>实现规模养殖场粪污资源化利用。</w:t>
      </w:r>
      <w:r>
        <w:rPr>
          <w:rFonts w:hint="eastAsia" w:ascii="Times New Roman"/>
          <w:sz w:val="24"/>
          <w:szCs w:val="24"/>
          <w:highlight w:val="none"/>
          <w:lang w:bidi="ar"/>
        </w:rPr>
        <w:t>因此，本项目符合《</w:t>
      </w:r>
      <w:r>
        <w:rPr>
          <w:rFonts w:hint="eastAsia" w:ascii="Times New Roman"/>
          <w:sz w:val="24"/>
          <w:szCs w:val="24"/>
          <w:highlight w:val="none"/>
          <w:lang w:eastAsia="zh-CN" w:bidi="ar"/>
        </w:rPr>
        <w:t>密山市国民经济和社会发展第十四个五年规划纲要</w:t>
      </w:r>
      <w:r>
        <w:rPr>
          <w:rFonts w:hint="eastAsia" w:ascii="Times New Roman"/>
          <w:sz w:val="24"/>
          <w:szCs w:val="24"/>
          <w:highlight w:val="none"/>
          <w:lang w:bidi="ar"/>
        </w:rPr>
        <w:t>》</w:t>
      </w:r>
      <w:r>
        <w:rPr>
          <w:rFonts w:hint="eastAsia" w:ascii="Times New Roman"/>
          <w:sz w:val="24"/>
          <w:szCs w:val="24"/>
          <w:highlight w:val="none"/>
          <w:lang w:eastAsia="zh-CN" w:bidi="ar"/>
        </w:rPr>
        <w:t>（密政发〔</w:t>
      </w:r>
      <w:r>
        <w:rPr>
          <w:rFonts w:hint="eastAsia" w:ascii="Times New Roman"/>
          <w:sz w:val="24"/>
          <w:szCs w:val="24"/>
          <w:highlight w:val="none"/>
          <w:lang w:val="en-US" w:eastAsia="zh-CN" w:bidi="ar"/>
        </w:rPr>
        <w:t>2021</w:t>
      </w:r>
      <w:r>
        <w:rPr>
          <w:rFonts w:hint="eastAsia" w:ascii="Times New Roman"/>
          <w:sz w:val="24"/>
          <w:szCs w:val="24"/>
          <w:highlight w:val="none"/>
          <w:lang w:eastAsia="zh-CN" w:bidi="ar"/>
        </w:rPr>
        <w:t>〕</w:t>
      </w:r>
      <w:r>
        <w:rPr>
          <w:rFonts w:hint="eastAsia" w:ascii="Times New Roman"/>
          <w:sz w:val="24"/>
          <w:szCs w:val="24"/>
          <w:highlight w:val="none"/>
          <w:lang w:val="en-US" w:eastAsia="zh-CN" w:bidi="ar"/>
        </w:rPr>
        <w:t>5</w:t>
      </w:r>
      <w:r>
        <w:rPr>
          <w:rFonts w:hint="eastAsia" w:ascii="Times New Roman"/>
          <w:sz w:val="24"/>
          <w:szCs w:val="24"/>
          <w:highlight w:val="none"/>
          <w:lang w:eastAsia="zh-CN" w:bidi="ar"/>
        </w:rPr>
        <w:t>号）</w:t>
      </w:r>
      <w:r>
        <w:rPr>
          <w:rFonts w:hint="eastAsia" w:ascii="Times New Roman"/>
          <w:sz w:val="24"/>
          <w:szCs w:val="24"/>
          <w:highlight w:val="none"/>
          <w:lang w:bidi="ar"/>
        </w:rPr>
        <w:t>中的相关要求。</w:t>
      </w:r>
    </w:p>
    <w:p w14:paraId="16D26945">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46" w:name="_Toc14060"/>
      <w:bookmarkStart w:id="47" w:name="_Toc2016"/>
      <w:bookmarkStart w:id="48" w:name="_Toc23347"/>
      <w:bookmarkStart w:id="49" w:name="_Toc8965"/>
      <w:r>
        <w:rPr>
          <w:rFonts w:hint="default" w:ascii="Times New Roman" w:hAnsi="Times New Roman" w:eastAsia="宋体" w:cs="Times New Roman"/>
          <w:b/>
          <w:bCs/>
          <w:color w:val="auto"/>
          <w:sz w:val="24"/>
          <w:szCs w:val="24"/>
          <w:highlight w:val="none"/>
        </w:rPr>
        <w:t>1.4.3与“生态环境分区管控”符合性分析</w:t>
      </w:r>
      <w:bookmarkEnd w:id="46"/>
      <w:bookmarkEnd w:id="47"/>
      <w:bookmarkEnd w:id="48"/>
      <w:bookmarkEnd w:id="49"/>
    </w:p>
    <w:p w14:paraId="2BADDFC0">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both"/>
        <w:textAlignment w:val="auto"/>
        <w:rPr>
          <w:rFonts w:hint="default" w:ascii="Times New Roman" w:hAnsi="Times New Roman" w:eastAsia="宋体" w:cs="Times New Roman"/>
          <w:color w:val="auto"/>
          <w:kern w:val="0"/>
          <w:sz w:val="24"/>
          <w:szCs w:val="21"/>
          <w:highlight w:val="none"/>
          <w:lang w:val="en-US" w:eastAsia="zh-CN"/>
        </w:rPr>
      </w:pPr>
      <w:r>
        <w:rPr>
          <w:rFonts w:hint="default" w:ascii="Times New Roman" w:hAnsi="Times New Roman" w:eastAsia="宋体" w:cs="Times New Roman"/>
          <w:color w:val="auto"/>
          <w:kern w:val="0"/>
          <w:sz w:val="24"/>
          <w:szCs w:val="21"/>
          <w:highlight w:val="none"/>
          <w:lang w:val="zh-CN" w:eastAsia="zh-CN"/>
        </w:rPr>
        <w:t>根据《关于以改善环境质量为核心加强环境影响评价管理的通知》（环评</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2016</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150号）、《黑龙江省人民政府关于实施</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三线一单</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生态环境分区管控的意见》（黑政发〔2020〕14号）、《鸡西市人民政府关于实施</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三线一单</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生态环境分区管控的意见》（鸡政发〔2021〕7号）及《鸡西市生态环境局关于发布</w:t>
      </w:r>
      <w:r>
        <w:rPr>
          <w:rFonts w:hint="default" w:ascii="Times New Roman" w:hAnsi="Times New Roman" w:eastAsia="宋体" w:cs="Times New Roman"/>
          <w:color w:val="auto"/>
          <w:kern w:val="0"/>
          <w:sz w:val="24"/>
          <w:szCs w:val="21"/>
          <w:highlight w:val="none"/>
          <w:lang w:val="en-US" w:eastAsia="zh-CN"/>
        </w:rPr>
        <w:t>&lt;鸡西市及管控单元生态环境准入清单&gt;的函</w:t>
      </w:r>
      <w:r>
        <w:rPr>
          <w:rFonts w:hint="default" w:ascii="Times New Roman" w:hAnsi="Times New Roman" w:eastAsia="宋体" w:cs="Times New Roman"/>
          <w:color w:val="auto"/>
          <w:kern w:val="0"/>
          <w:sz w:val="24"/>
          <w:szCs w:val="21"/>
          <w:highlight w:val="none"/>
          <w:lang w:val="zh-CN" w:eastAsia="zh-CN"/>
        </w:rPr>
        <w:t>》（鸡环规</w:t>
      </w:r>
      <w:r>
        <w:rPr>
          <w:rFonts w:hint="eastAsia" w:ascii="Times New Roman" w:hAnsi="Times New Roman" w:eastAsia="宋体" w:cs="Times New Roman"/>
          <w:color w:val="auto"/>
          <w:kern w:val="0"/>
          <w:sz w:val="24"/>
          <w:szCs w:val="21"/>
          <w:highlight w:val="none"/>
          <w:lang w:val="en-US" w:eastAsia="zh-CN"/>
        </w:rPr>
        <w:t>〔</w:t>
      </w:r>
      <w:r>
        <w:rPr>
          <w:rFonts w:hint="default" w:ascii="Times New Roman" w:hAnsi="Times New Roman" w:eastAsia="宋体" w:cs="Times New Roman"/>
          <w:color w:val="auto"/>
          <w:kern w:val="0"/>
          <w:sz w:val="24"/>
          <w:szCs w:val="21"/>
          <w:highlight w:val="none"/>
          <w:lang w:val="en-US" w:eastAsia="zh-CN"/>
        </w:rPr>
        <w:t>2021</w:t>
      </w:r>
      <w:r>
        <w:rPr>
          <w:rFonts w:hint="eastAsia" w:ascii="Times New Roman" w:hAnsi="Times New Roman" w:eastAsia="宋体" w:cs="Times New Roman"/>
          <w:color w:val="auto"/>
          <w:kern w:val="0"/>
          <w:sz w:val="24"/>
          <w:szCs w:val="21"/>
          <w:highlight w:val="none"/>
          <w:lang w:val="en-US" w:eastAsia="zh-CN"/>
        </w:rPr>
        <w:t>〕</w:t>
      </w:r>
      <w:r>
        <w:rPr>
          <w:rFonts w:hint="default" w:ascii="Times New Roman" w:hAnsi="Times New Roman" w:eastAsia="宋体" w:cs="Times New Roman"/>
          <w:color w:val="auto"/>
          <w:kern w:val="0"/>
          <w:sz w:val="24"/>
          <w:szCs w:val="21"/>
          <w:highlight w:val="none"/>
          <w:lang w:val="en-US" w:eastAsia="zh-CN"/>
        </w:rPr>
        <w:t>1号</w:t>
      </w:r>
      <w:r>
        <w:rPr>
          <w:rFonts w:hint="default" w:ascii="Times New Roman" w:hAnsi="Times New Roman" w:eastAsia="宋体" w:cs="Times New Roman"/>
          <w:color w:val="auto"/>
          <w:kern w:val="0"/>
          <w:sz w:val="24"/>
          <w:szCs w:val="21"/>
          <w:highlight w:val="none"/>
          <w:lang w:val="zh-CN" w:eastAsia="zh-CN"/>
        </w:rPr>
        <w:t>）要求</w:t>
      </w:r>
      <w:r>
        <w:rPr>
          <w:rFonts w:hint="default" w:ascii="Times New Roman" w:hAnsi="Times New Roman" w:eastAsia="宋体" w:cs="Times New Roman"/>
          <w:color w:val="auto"/>
          <w:kern w:val="0"/>
          <w:sz w:val="24"/>
          <w:szCs w:val="21"/>
          <w:highlight w:val="none"/>
          <w:lang w:val="en-US" w:eastAsia="zh-CN"/>
        </w:rPr>
        <w:t>，依据黑龙江省生态环境分区管控平台所出具的《</w:t>
      </w:r>
      <w:r>
        <w:rPr>
          <w:rFonts w:hint="eastAsia" w:ascii="Times New Roman" w:hAnsi="Times New Roman" w:cs="Times New Roman"/>
          <w:color w:val="auto"/>
          <w:kern w:val="0"/>
          <w:sz w:val="24"/>
          <w:szCs w:val="21"/>
          <w:highlight w:val="none"/>
          <w:lang w:val="en-US" w:eastAsia="zh-CN"/>
        </w:rPr>
        <w:t>黑龙江省鸡西市密山市青辉禽畜养殖专业合作社规模化猪场扩建项目</w:t>
      </w:r>
      <w:r>
        <w:rPr>
          <w:rFonts w:hint="default" w:ascii="Times New Roman" w:hAnsi="Times New Roman" w:eastAsia="宋体" w:cs="Times New Roman"/>
          <w:color w:val="auto"/>
          <w:kern w:val="0"/>
          <w:sz w:val="24"/>
          <w:szCs w:val="21"/>
          <w:highlight w:val="none"/>
          <w:lang w:val="en-US" w:eastAsia="zh-CN"/>
        </w:rPr>
        <w:t>环境影响报告书生态环境分区管控分析报告》。本项目位于黑龙江省鸡西市密山市柳毛乡团结村4组，位于密山市水环境农业污染重点管控区。项目不在风景名胜区、自然保护区、水源保护区及其他需要特别保护的区域内，没有明显的环境制约因素，项目选址合理，本工程与“三线一单”符合性情况如下</w:t>
      </w:r>
      <w:r>
        <w:rPr>
          <w:rFonts w:hint="eastAsia" w:ascii="Times New Roman" w:hAnsi="Times New Roman" w:eastAsia="宋体" w:cs="Times New Roman"/>
          <w:color w:val="auto"/>
          <w:kern w:val="0"/>
          <w:sz w:val="24"/>
          <w:szCs w:val="21"/>
          <w:highlight w:val="none"/>
          <w:lang w:val="en-US" w:eastAsia="zh-CN"/>
        </w:rPr>
        <w:t>。</w:t>
      </w:r>
    </w:p>
    <w:p w14:paraId="71C099F8">
      <w:pPr>
        <w:widowControl w:val="0"/>
        <w:autoSpaceDE w:val="0"/>
        <w:autoSpaceDN w:val="0"/>
        <w:adjustRightInd w:val="0"/>
        <w:snapToGrid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（1）生态保护红线</w:t>
      </w:r>
    </w:p>
    <w:p w14:paraId="207932C9">
      <w:pPr>
        <w:widowControl w:val="0"/>
        <w:autoSpaceDE w:val="0"/>
        <w:autoSpaceDN w:val="0"/>
        <w:adjustRightInd w:val="0"/>
        <w:snapToGrid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本项目位于</w:t>
      </w:r>
      <w:r>
        <w:rPr>
          <w:rFonts w:hint="default" w:ascii="Times New Roman" w:hAnsi="Times New Roman" w:cs="Times New Roman"/>
          <w:kern w:val="0"/>
          <w:sz w:val="24"/>
          <w:highlight w:val="none"/>
          <w:lang w:val="en-US" w:eastAsia="zh-CN"/>
        </w:rPr>
        <w:t>黑龙江省鸡西市密山市柳毛乡团结村4组</w:t>
      </w:r>
      <w:r>
        <w:rPr>
          <w:rFonts w:ascii="Times New Roman" w:hAnsi="Times New Roman" w:cs="Times New Roman"/>
          <w:kern w:val="0"/>
          <w:sz w:val="24"/>
          <w:highlight w:val="none"/>
        </w:rPr>
        <w:t>，根据黑龙江省生态环境分区管控数据应用平台所出具的</w:t>
      </w:r>
      <w:r>
        <w:rPr>
          <w:rFonts w:hint="default" w:ascii="Times New Roman" w:hAnsi="Times New Roman" w:cs="Times New Roman"/>
          <w:kern w:val="0"/>
          <w:sz w:val="24"/>
          <w:highlight w:val="none"/>
          <w:lang w:val="en-US" w:eastAsia="zh-CN"/>
        </w:rPr>
        <w:t>《</w:t>
      </w:r>
      <w:r>
        <w:rPr>
          <w:rFonts w:hint="eastAsia" w:ascii="Times New Roman" w:hAnsi="Times New Roman" w:cs="Times New Roman"/>
          <w:kern w:val="0"/>
          <w:sz w:val="24"/>
          <w:highlight w:val="none"/>
          <w:lang w:val="en-US" w:eastAsia="zh-CN"/>
        </w:rPr>
        <w:t>黑龙江省鸡西市密山市青辉禽畜养殖专业合作社规模化猪场扩建项目</w:t>
      </w:r>
      <w:r>
        <w:rPr>
          <w:rFonts w:hint="default" w:ascii="Times New Roman" w:hAnsi="Times New Roman" w:cs="Times New Roman"/>
          <w:kern w:val="0"/>
          <w:sz w:val="24"/>
          <w:highlight w:val="none"/>
          <w:lang w:val="en-US" w:eastAsia="zh-CN"/>
        </w:rPr>
        <w:t>环境影响报告书生态环境分区管控分析报告》</w:t>
      </w:r>
      <w:r>
        <w:rPr>
          <w:rFonts w:ascii="Times New Roman" w:hAnsi="Times New Roman" w:cs="Times New Roman"/>
          <w:kern w:val="0"/>
          <w:sz w:val="24"/>
          <w:highlight w:val="none"/>
        </w:rPr>
        <w:t>和</w:t>
      </w:r>
      <w:r>
        <w:rPr>
          <w:rFonts w:hint="default" w:ascii="Times New Roman" w:hAnsi="Times New Roman" w:eastAsia="宋体" w:cs="Times New Roman"/>
          <w:color w:val="auto"/>
          <w:kern w:val="0"/>
          <w:sz w:val="24"/>
          <w:szCs w:val="21"/>
          <w:highlight w:val="none"/>
          <w:lang w:val="zh-CN" w:eastAsia="zh-CN"/>
        </w:rPr>
        <w:t>《鸡西市生态环境局关于发布</w:t>
      </w:r>
      <w:r>
        <w:rPr>
          <w:rFonts w:hint="default" w:ascii="Times New Roman" w:hAnsi="Times New Roman" w:eastAsia="宋体" w:cs="Times New Roman"/>
          <w:color w:val="auto"/>
          <w:kern w:val="0"/>
          <w:sz w:val="24"/>
          <w:szCs w:val="21"/>
          <w:highlight w:val="none"/>
          <w:lang w:val="en-US" w:eastAsia="zh-CN"/>
        </w:rPr>
        <w:t>&lt;鸡西市及管控单元生态环境准入清单&gt;的函</w:t>
      </w:r>
      <w:r>
        <w:rPr>
          <w:rFonts w:hint="default" w:ascii="Times New Roman" w:hAnsi="Times New Roman" w:eastAsia="宋体" w:cs="Times New Roman"/>
          <w:color w:val="auto"/>
          <w:kern w:val="0"/>
          <w:sz w:val="24"/>
          <w:szCs w:val="21"/>
          <w:highlight w:val="none"/>
          <w:lang w:val="zh-CN" w:eastAsia="zh-CN"/>
        </w:rPr>
        <w:t>》（鸡环规</w:t>
      </w:r>
      <w:r>
        <w:rPr>
          <w:rFonts w:hint="eastAsia" w:ascii="Times New Roman" w:hAnsi="Times New Roman" w:eastAsia="宋体" w:cs="Times New Roman"/>
          <w:color w:val="auto"/>
          <w:kern w:val="0"/>
          <w:sz w:val="24"/>
          <w:szCs w:val="21"/>
          <w:highlight w:val="none"/>
          <w:lang w:val="en-US" w:eastAsia="zh-CN"/>
        </w:rPr>
        <w:t>〔</w:t>
      </w:r>
      <w:r>
        <w:rPr>
          <w:rFonts w:hint="default" w:ascii="Times New Roman" w:hAnsi="Times New Roman" w:eastAsia="宋体" w:cs="Times New Roman"/>
          <w:color w:val="auto"/>
          <w:kern w:val="0"/>
          <w:sz w:val="24"/>
          <w:szCs w:val="21"/>
          <w:highlight w:val="none"/>
          <w:lang w:val="en-US" w:eastAsia="zh-CN"/>
        </w:rPr>
        <w:t>2021</w:t>
      </w:r>
      <w:r>
        <w:rPr>
          <w:rFonts w:hint="eastAsia" w:ascii="Times New Roman" w:hAnsi="Times New Roman" w:eastAsia="宋体" w:cs="Times New Roman"/>
          <w:color w:val="auto"/>
          <w:kern w:val="0"/>
          <w:sz w:val="24"/>
          <w:szCs w:val="21"/>
          <w:highlight w:val="none"/>
          <w:lang w:val="en-US" w:eastAsia="zh-CN"/>
        </w:rPr>
        <w:t>〕</w:t>
      </w:r>
      <w:r>
        <w:rPr>
          <w:rFonts w:hint="default" w:ascii="Times New Roman" w:hAnsi="Times New Roman" w:eastAsia="宋体" w:cs="Times New Roman"/>
          <w:color w:val="auto"/>
          <w:kern w:val="0"/>
          <w:sz w:val="24"/>
          <w:szCs w:val="21"/>
          <w:highlight w:val="none"/>
          <w:lang w:val="en-US" w:eastAsia="zh-CN"/>
        </w:rPr>
        <w:t>1号</w:t>
      </w:r>
      <w:r>
        <w:rPr>
          <w:rFonts w:ascii="Times New Roman" w:hAnsi="Times New Roman" w:cs="Times New Roman"/>
          <w:kern w:val="0"/>
          <w:sz w:val="24"/>
          <w:highlight w:val="none"/>
        </w:rPr>
        <w:t>），项目选址不在</w:t>
      </w:r>
      <w:r>
        <w:rPr>
          <w:rFonts w:hint="eastAsia" w:ascii="Times New Roman" w:hAnsi="Times New Roman" w:cs="Times New Roman"/>
          <w:kern w:val="0"/>
          <w:sz w:val="24"/>
          <w:highlight w:val="none"/>
          <w:lang w:val="en-US" w:eastAsia="zh-CN"/>
        </w:rPr>
        <w:t>鸡西</w:t>
      </w:r>
      <w:r>
        <w:rPr>
          <w:rFonts w:hint="eastAsia" w:ascii="Times New Roman" w:hAnsi="Times New Roman" w:cs="Times New Roman"/>
          <w:kern w:val="0"/>
          <w:sz w:val="24"/>
          <w:highlight w:val="none"/>
        </w:rPr>
        <w:t>市</w:t>
      </w:r>
      <w:r>
        <w:rPr>
          <w:rFonts w:ascii="Times New Roman" w:hAnsi="Times New Roman" w:cs="Times New Roman"/>
          <w:kern w:val="0"/>
          <w:sz w:val="24"/>
          <w:highlight w:val="none"/>
        </w:rPr>
        <w:t>生态空间划定的生态保护红线内，在</w:t>
      </w:r>
      <w:r>
        <w:rPr>
          <w:rFonts w:hint="default" w:ascii="Times New Roman" w:hAnsi="Times New Roman" w:cs="Times New Roman"/>
          <w:kern w:val="0"/>
          <w:sz w:val="24"/>
          <w:highlight w:val="none"/>
          <w:lang w:val="en-US" w:eastAsia="zh-CN"/>
        </w:rPr>
        <w:t>密山市水环境农业污染重点管控区</w:t>
      </w:r>
      <w:r>
        <w:rPr>
          <w:rFonts w:ascii="Times New Roman" w:hAnsi="Times New Roman" w:cs="Times New Roman"/>
          <w:kern w:val="0"/>
          <w:sz w:val="24"/>
          <w:highlight w:val="none"/>
        </w:rPr>
        <w:t>，本项目建设不涉及生态保护红线，本项目加强环境管理水平，减少污染物的排放，本项目不侵占生态保护红线-水源涵养功能极重要区、生物多样性维护功能极重要区、建设用地污染风险管控区内。项目选址符合“三线一单”中生态保护红线的相关要求。</w:t>
      </w:r>
    </w:p>
    <w:p w14:paraId="7AE0779D">
      <w:pPr>
        <w:pStyle w:val="2"/>
        <w:jc w:val="center"/>
        <w:rPr>
          <w:rFonts w:ascii="Times New Roman" w:hAnsi="Times New Roman" w:cs="Times New Roman"/>
          <w:kern w:val="0"/>
          <w:sz w:val="24"/>
          <w:highlight w:val="none"/>
        </w:rPr>
      </w:pPr>
      <w:r>
        <w:rPr>
          <w:highlight w:val="none"/>
        </w:rPr>
        <w:drawing>
          <wp:inline distT="0" distB="0" distL="114300" distR="114300">
            <wp:extent cx="4554220" cy="2321560"/>
            <wp:effectExtent l="0" t="0" r="17780" b="2540"/>
            <wp:docPr id="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
                    <pic:cNvPicPr>
                      <a:picLocks noChangeAspect="1"/>
                    </pic:cNvPicPr>
                  </pic:nvPicPr>
                  <pic:blipFill>
                    <a:blip r:embed="rId29"/>
                    <a:stretch>
                      <a:fillRect/>
                    </a:stretch>
                  </pic:blipFill>
                  <pic:spPr>
                    <a:xfrm>
                      <a:off x="0" y="0"/>
                      <a:ext cx="4554220" cy="2321560"/>
                    </a:xfrm>
                    <a:prstGeom prst="rect">
                      <a:avLst/>
                    </a:prstGeom>
                    <a:noFill/>
                    <a:ln>
                      <a:noFill/>
                    </a:ln>
                  </pic:spPr>
                </pic:pic>
              </a:graphicData>
            </a:graphic>
          </wp:inline>
        </w:drawing>
      </w:r>
    </w:p>
    <w:p w14:paraId="426B99B2">
      <w:pPr>
        <w:jc w:val="center"/>
        <w:rPr>
          <w:rFonts w:hint="default" w:ascii="Times New Roman" w:hAnsi="Times New Roman" w:eastAsia="黑体" w:cs="Times New Roman"/>
          <w:bCs/>
          <w:kern w:val="2"/>
          <w:sz w:val="21"/>
          <w:highlight w:val="none"/>
          <w:lang w:val="en-US" w:eastAsia="zh-CN"/>
        </w:rPr>
      </w:pPr>
      <w:r>
        <w:rPr>
          <w:rFonts w:hint="default" w:ascii="Times New Roman" w:hAnsi="Times New Roman" w:eastAsia="黑体" w:cs="Times New Roman"/>
          <w:bCs/>
          <w:kern w:val="2"/>
          <w:sz w:val="21"/>
          <w:highlight w:val="none"/>
          <w:lang w:val="en-US" w:eastAsia="zh-CN"/>
        </w:rPr>
        <w:t>图1</w:t>
      </w:r>
      <w:r>
        <w:rPr>
          <w:rFonts w:hint="eastAsia" w:ascii="Times New Roman" w:hAnsi="Times New Roman" w:eastAsia="黑体" w:cs="Times New Roman"/>
          <w:bCs/>
          <w:kern w:val="2"/>
          <w:sz w:val="21"/>
          <w:highlight w:val="none"/>
          <w:lang w:val="en-US" w:eastAsia="zh-CN"/>
        </w:rPr>
        <w:t>.4</w:t>
      </w:r>
      <w:r>
        <w:rPr>
          <w:rFonts w:hint="default" w:ascii="Times New Roman" w:hAnsi="Times New Roman" w:eastAsia="黑体" w:cs="Times New Roman"/>
          <w:bCs/>
          <w:kern w:val="2"/>
          <w:sz w:val="21"/>
          <w:highlight w:val="none"/>
          <w:lang w:val="en-US" w:eastAsia="zh-CN"/>
        </w:rPr>
        <w:t>-1 本项目与环境管控单元叠加图</w:t>
      </w:r>
    </w:p>
    <w:p w14:paraId="7693CF3D">
      <w:pPr>
        <w:pStyle w:val="2"/>
        <w:jc w:val="center"/>
        <w:rPr>
          <w:highlight w:val="none"/>
        </w:rPr>
      </w:pPr>
      <w:r>
        <w:rPr>
          <w:highlight w:val="none"/>
        </w:rPr>
        <w:drawing>
          <wp:inline distT="0" distB="0" distL="114300" distR="114300">
            <wp:extent cx="4608195" cy="2354580"/>
            <wp:effectExtent l="0" t="0" r="1905" b="7620"/>
            <wp:docPr id="1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8"/>
                    <pic:cNvPicPr>
                      <a:picLocks noChangeAspect="1"/>
                    </pic:cNvPicPr>
                  </pic:nvPicPr>
                  <pic:blipFill>
                    <a:blip r:embed="rId30"/>
                    <a:stretch>
                      <a:fillRect/>
                    </a:stretch>
                  </pic:blipFill>
                  <pic:spPr>
                    <a:xfrm>
                      <a:off x="0" y="0"/>
                      <a:ext cx="4608195" cy="2354580"/>
                    </a:xfrm>
                    <a:prstGeom prst="rect">
                      <a:avLst/>
                    </a:prstGeom>
                    <a:noFill/>
                    <a:ln>
                      <a:noFill/>
                    </a:ln>
                  </pic:spPr>
                </pic:pic>
              </a:graphicData>
            </a:graphic>
          </wp:inline>
        </w:drawing>
      </w:r>
    </w:p>
    <w:p w14:paraId="61B7A189">
      <w:pPr>
        <w:jc w:val="center"/>
        <w:rPr>
          <w:rFonts w:ascii="Times New Roman" w:hAnsi="Times New Roman" w:cs="Times New Roman"/>
          <w:kern w:val="0"/>
          <w:sz w:val="24"/>
          <w:highlight w:val="none"/>
        </w:rPr>
      </w:pPr>
      <w:r>
        <w:rPr>
          <w:rFonts w:hint="default" w:ascii="Times New Roman" w:hAnsi="Times New Roman" w:eastAsia="黑体" w:cs="Times New Roman"/>
          <w:bCs/>
          <w:kern w:val="2"/>
          <w:sz w:val="21"/>
          <w:highlight w:val="none"/>
          <w:lang w:val="en-US" w:eastAsia="zh-CN"/>
        </w:rPr>
        <w:t>图1</w:t>
      </w:r>
      <w:r>
        <w:rPr>
          <w:rFonts w:hint="eastAsia" w:ascii="Times New Roman" w:hAnsi="Times New Roman" w:eastAsia="黑体" w:cs="Times New Roman"/>
          <w:bCs/>
          <w:kern w:val="2"/>
          <w:sz w:val="21"/>
          <w:highlight w:val="none"/>
          <w:lang w:val="en-US" w:eastAsia="zh-CN"/>
        </w:rPr>
        <w:t>.4</w:t>
      </w:r>
      <w:r>
        <w:rPr>
          <w:rFonts w:hint="default" w:ascii="Times New Roman" w:hAnsi="Times New Roman" w:eastAsia="黑体" w:cs="Times New Roman"/>
          <w:bCs/>
          <w:kern w:val="2"/>
          <w:sz w:val="21"/>
          <w:highlight w:val="none"/>
          <w:lang w:val="en-US" w:eastAsia="zh-CN"/>
        </w:rPr>
        <w:t>-</w:t>
      </w:r>
      <w:r>
        <w:rPr>
          <w:rFonts w:hint="eastAsia" w:ascii="Times New Roman" w:hAnsi="Times New Roman" w:eastAsia="黑体" w:cs="Times New Roman"/>
          <w:bCs/>
          <w:kern w:val="2"/>
          <w:sz w:val="21"/>
          <w:highlight w:val="none"/>
          <w:lang w:val="en-US" w:eastAsia="zh-CN"/>
        </w:rPr>
        <w:t>2</w:t>
      </w:r>
      <w:r>
        <w:rPr>
          <w:rFonts w:hint="default" w:ascii="Times New Roman" w:hAnsi="Times New Roman" w:eastAsia="黑体" w:cs="Times New Roman"/>
          <w:bCs/>
          <w:kern w:val="2"/>
          <w:sz w:val="21"/>
          <w:highlight w:val="none"/>
          <w:lang w:val="en-US" w:eastAsia="zh-CN"/>
        </w:rPr>
        <w:t xml:space="preserve"> 本项目与地下水环境管控区叠加图</w:t>
      </w:r>
    </w:p>
    <w:p w14:paraId="4293B0D1">
      <w:pPr>
        <w:widowControl w:val="0"/>
        <w:autoSpaceDE w:val="0"/>
        <w:autoSpaceDN w:val="0"/>
        <w:adjustRightInd w:val="0"/>
        <w:snapToGrid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（2）环境质量底线</w:t>
      </w:r>
    </w:p>
    <w:p w14:paraId="1FA15D12">
      <w:pPr>
        <w:widowControl w:val="0"/>
        <w:autoSpaceDE w:val="0"/>
        <w:autoSpaceDN w:val="0"/>
        <w:adjustRightInd w:val="0"/>
        <w:snapToGrid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本项目运营期针对各类污染物均采取了有效的防治措施确保达标排放，对周围环境影响较小，不会改变项目所在地周边环境的环境功能质量现状，符合环境质量控制底线要求。</w:t>
      </w:r>
    </w:p>
    <w:p w14:paraId="18C779E8">
      <w:pPr>
        <w:widowControl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（3）资源利用上线</w:t>
      </w:r>
    </w:p>
    <w:p w14:paraId="7280BEAD">
      <w:pPr>
        <w:widowControl w:val="0"/>
        <w:spacing w:line="360" w:lineRule="auto"/>
        <w:ind w:firstLine="480" w:firstLineChars="200"/>
        <w:jc w:val="both"/>
        <w:rPr>
          <w:rFonts w:ascii="Times New Roman" w:hAnsi="Times New Roman" w:cs="Times New Roman"/>
          <w:kern w:val="0"/>
          <w:sz w:val="24"/>
          <w:highlight w:val="none"/>
        </w:rPr>
      </w:pPr>
      <w:r>
        <w:rPr>
          <w:rFonts w:hint="eastAsia" w:ascii="Times New Roman" w:hAnsi="Times New Roman" w:cs="Times New Roman"/>
          <w:kern w:val="0"/>
          <w:sz w:val="24"/>
          <w:highlight w:val="none"/>
          <w:lang w:val="en-US" w:eastAsia="zh-CN"/>
        </w:rPr>
        <w:t>本项目生活用水、</w:t>
      </w:r>
      <w:r>
        <w:rPr>
          <w:rFonts w:hint="eastAsia"/>
          <w:highlight w:val="none"/>
        </w:rPr>
        <w:t>生产用水为自打深井</w:t>
      </w:r>
      <w:r>
        <w:rPr>
          <w:rFonts w:hint="eastAsia" w:ascii="Times New Roman" w:hAnsi="Times New Roman" w:cs="Times New Roman"/>
          <w:kern w:val="0"/>
          <w:sz w:val="24"/>
          <w:highlight w:val="none"/>
          <w:lang w:val="en-US" w:eastAsia="zh-CN"/>
        </w:rPr>
        <w:t>提供给水。</w:t>
      </w:r>
      <w:r>
        <w:rPr>
          <w:rFonts w:ascii="Times New Roman" w:hAnsi="Times New Roman" w:cs="Times New Roman"/>
          <w:kern w:val="0"/>
          <w:sz w:val="24"/>
          <w:highlight w:val="none"/>
        </w:rPr>
        <w:t>供电由</w:t>
      </w:r>
      <w:r>
        <w:rPr>
          <w:rFonts w:hint="eastAsia" w:ascii="Times New Roman" w:hAnsi="Times New Roman" w:cs="Times New Roman"/>
          <w:kern w:val="0"/>
          <w:sz w:val="24"/>
          <w:highlight w:val="none"/>
        </w:rPr>
        <w:t>当地供电所</w:t>
      </w:r>
      <w:r>
        <w:rPr>
          <w:rFonts w:ascii="Times New Roman" w:hAnsi="Times New Roman" w:cs="Times New Roman"/>
          <w:kern w:val="0"/>
          <w:sz w:val="24"/>
          <w:highlight w:val="none"/>
        </w:rPr>
        <w:t>供给。用水水源及供电电源可靠，本项目资源消耗量相对于区域资源利用总量较小，符合资源利用上线要求。</w:t>
      </w:r>
    </w:p>
    <w:p w14:paraId="68A893B4">
      <w:pPr>
        <w:widowControl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（4）生态环境准入清单</w:t>
      </w:r>
    </w:p>
    <w:p w14:paraId="547F4A1F">
      <w:pPr>
        <w:widowControl w:val="0"/>
        <w:autoSpaceDE w:val="0"/>
        <w:autoSpaceDN w:val="0"/>
        <w:adjustRightInd w:val="0"/>
        <w:snapToGrid w:val="0"/>
        <w:jc w:val="center"/>
        <w:rPr>
          <w:rFonts w:hint="eastAsia" w:ascii="Times New Roman" w:hAnsi="Times New Roman" w:cs="Times New Roman"/>
          <w:b/>
          <w:bCs/>
          <w:kern w:val="2"/>
          <w:sz w:val="21"/>
          <w:highlight w:val="none"/>
        </w:rPr>
      </w:pPr>
      <w:r>
        <w:rPr>
          <w:rFonts w:ascii="Times New Roman" w:hAnsi="Times New Roman" w:eastAsia="黑体" w:cs="Times New Roman"/>
          <w:bCs/>
          <w:kern w:val="2"/>
          <w:sz w:val="21"/>
          <w:highlight w:val="none"/>
        </w:rPr>
        <w:t>表1</w:t>
      </w:r>
      <w:r>
        <w:rPr>
          <w:rFonts w:hint="eastAsia" w:ascii="Times New Roman" w:hAnsi="Times New Roman" w:eastAsia="黑体" w:cs="Times New Roman"/>
          <w:bCs/>
          <w:kern w:val="2"/>
          <w:sz w:val="21"/>
          <w:highlight w:val="none"/>
          <w:lang w:val="en-US" w:eastAsia="zh-CN"/>
        </w:rPr>
        <w:t>.4</w:t>
      </w:r>
      <w:r>
        <w:rPr>
          <w:rFonts w:ascii="Times New Roman" w:hAnsi="Times New Roman" w:eastAsia="黑体" w:cs="Times New Roman"/>
          <w:bCs/>
          <w:kern w:val="2"/>
          <w:sz w:val="21"/>
          <w:highlight w:val="none"/>
        </w:rPr>
        <w:t>-</w:t>
      </w:r>
      <w:r>
        <w:rPr>
          <w:rFonts w:hint="eastAsia" w:ascii="Times New Roman" w:hAnsi="Times New Roman" w:eastAsia="黑体" w:cs="Times New Roman"/>
          <w:bCs/>
          <w:kern w:val="2"/>
          <w:sz w:val="21"/>
          <w:highlight w:val="none"/>
          <w:lang w:val="en-US" w:eastAsia="zh-CN"/>
        </w:rPr>
        <w:t>2</w:t>
      </w:r>
      <w:r>
        <w:rPr>
          <w:rFonts w:ascii="Times New Roman" w:hAnsi="Times New Roman" w:eastAsia="黑体" w:cs="Times New Roman"/>
          <w:bCs/>
          <w:kern w:val="2"/>
          <w:sz w:val="21"/>
          <w:highlight w:val="none"/>
        </w:rPr>
        <w:t xml:space="preserve"> 生态环境准入清单管控要求符合性分析</w:t>
      </w:r>
    </w:p>
    <w:tbl>
      <w:tblPr>
        <w:tblStyle w:val="48"/>
        <w:tblpPr w:leftFromText="180" w:rightFromText="180" w:vertAnchor="text" w:tblpX="5" w:tblpY="1"/>
        <w:tblOverlap w:val="never"/>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02"/>
        <w:gridCol w:w="525"/>
        <w:gridCol w:w="525"/>
        <w:gridCol w:w="558"/>
        <w:gridCol w:w="2320"/>
        <w:gridCol w:w="2391"/>
      </w:tblGrid>
      <w:tr w14:paraId="5C21C2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pct"/>
            <w:tcBorders>
              <w:tl2br w:val="nil"/>
              <w:tr2bl w:val="nil"/>
            </w:tcBorders>
            <w:noWrap w:val="0"/>
            <w:vAlign w:val="center"/>
          </w:tcPr>
          <w:p w14:paraId="7EC4DCAB">
            <w:pPr>
              <w:widowControl w:val="0"/>
              <w:ind w:left="-48" w:leftChars="-20" w:right="-48" w:rightChars="-2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环境管控单元编码</w:t>
            </w:r>
          </w:p>
        </w:tc>
        <w:tc>
          <w:tcPr>
            <w:tcW w:w="307" w:type="pct"/>
            <w:tcBorders>
              <w:tl2br w:val="nil"/>
              <w:tr2bl w:val="nil"/>
            </w:tcBorders>
            <w:noWrap w:val="0"/>
            <w:vAlign w:val="center"/>
          </w:tcPr>
          <w:p w14:paraId="4C9F1914">
            <w:pPr>
              <w:widowControl w:val="0"/>
              <w:ind w:left="-48" w:leftChars="-20" w:right="-48" w:rightChars="-2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环境管控单元名称</w:t>
            </w:r>
          </w:p>
        </w:tc>
        <w:tc>
          <w:tcPr>
            <w:tcW w:w="307" w:type="pct"/>
            <w:tcBorders>
              <w:tl2br w:val="nil"/>
              <w:tr2bl w:val="nil"/>
            </w:tcBorders>
            <w:noWrap w:val="0"/>
            <w:vAlign w:val="center"/>
          </w:tcPr>
          <w:p w14:paraId="643F236B">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管控单元类别</w:t>
            </w:r>
          </w:p>
        </w:tc>
        <w:tc>
          <w:tcPr>
            <w:tcW w:w="1689" w:type="pct"/>
            <w:gridSpan w:val="2"/>
            <w:tcBorders>
              <w:tl2br w:val="nil"/>
              <w:tr2bl w:val="nil"/>
            </w:tcBorders>
            <w:noWrap w:val="0"/>
            <w:vAlign w:val="center"/>
          </w:tcPr>
          <w:p w14:paraId="448CCB38">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0"/>
                <w:sz w:val="21"/>
                <w:szCs w:val="21"/>
                <w:highlight w:val="none"/>
              </w:rPr>
              <w:t>管控要求</w:t>
            </w:r>
          </w:p>
        </w:tc>
        <w:tc>
          <w:tcPr>
            <w:tcW w:w="1403" w:type="pct"/>
            <w:tcBorders>
              <w:tl2br w:val="nil"/>
              <w:tr2bl w:val="nil"/>
            </w:tcBorders>
            <w:noWrap w:val="0"/>
            <w:vAlign w:val="center"/>
          </w:tcPr>
          <w:p w14:paraId="201A7D6E">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符合性</w:t>
            </w:r>
          </w:p>
          <w:p w14:paraId="0EEBC6EA">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分析</w:t>
            </w:r>
          </w:p>
        </w:tc>
      </w:tr>
      <w:tr w14:paraId="4B41E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4" w:hRule="atLeast"/>
        </w:trPr>
        <w:tc>
          <w:tcPr>
            <w:tcW w:w="1291" w:type="pct"/>
            <w:vMerge w:val="restart"/>
            <w:tcBorders>
              <w:tl2br w:val="nil"/>
              <w:tr2bl w:val="nil"/>
            </w:tcBorders>
            <w:noWrap w:val="0"/>
            <w:vAlign w:val="center"/>
          </w:tcPr>
          <w:p w14:paraId="76ADD4FF">
            <w:pPr>
              <w:widowControl w:val="0"/>
              <w:jc w:val="center"/>
              <w:rPr>
                <w:rFonts w:ascii="Times New Roman" w:hAnsi="Times New Roman" w:cs="Times New Roman"/>
                <w:color w:val="FF0000"/>
                <w:kern w:val="2"/>
                <w:sz w:val="21"/>
                <w:szCs w:val="21"/>
                <w:highlight w:val="none"/>
              </w:rPr>
            </w:pPr>
            <w:r>
              <w:rPr>
                <w:rFonts w:hint="eastAsia" w:ascii="Times New Roman" w:hAnsi="Times New Roman" w:cs="Times New Roman"/>
                <w:color w:val="auto"/>
                <w:kern w:val="2"/>
                <w:sz w:val="21"/>
                <w:szCs w:val="21"/>
                <w:highlight w:val="none"/>
                <w:lang w:val="en-US" w:eastAsia="zh-CN"/>
              </w:rPr>
              <w:t>ZH23038220004</w:t>
            </w:r>
          </w:p>
        </w:tc>
        <w:tc>
          <w:tcPr>
            <w:tcW w:w="307" w:type="pct"/>
            <w:vMerge w:val="restart"/>
            <w:tcBorders>
              <w:tl2br w:val="nil"/>
              <w:tr2bl w:val="nil"/>
            </w:tcBorders>
            <w:noWrap w:val="0"/>
            <w:vAlign w:val="center"/>
          </w:tcPr>
          <w:p w14:paraId="261EDB21">
            <w:pPr>
              <w:widowControl w:val="0"/>
              <w:jc w:val="center"/>
              <w:rPr>
                <w:rFonts w:hint="eastAsia" w:ascii="Times New Roman" w:hAnsi="Times New Roman" w:cs="Times New Roman"/>
                <w:color w:val="000000"/>
                <w:kern w:val="2"/>
                <w:sz w:val="21"/>
                <w:szCs w:val="21"/>
                <w:highlight w:val="none"/>
              </w:rPr>
            </w:pPr>
            <w:r>
              <w:rPr>
                <w:rFonts w:hint="eastAsia" w:ascii="Times New Roman" w:hAnsi="Times New Roman" w:cs="Times New Roman"/>
                <w:color w:val="000000"/>
                <w:kern w:val="2"/>
                <w:sz w:val="21"/>
                <w:szCs w:val="21"/>
                <w:highlight w:val="none"/>
                <w:lang w:val="en-US" w:eastAsia="zh-CN"/>
              </w:rPr>
              <w:t>密山市水环境农业污染重点管控区</w:t>
            </w:r>
          </w:p>
        </w:tc>
        <w:tc>
          <w:tcPr>
            <w:tcW w:w="307" w:type="pct"/>
            <w:vMerge w:val="restart"/>
            <w:tcBorders>
              <w:tl2br w:val="nil"/>
              <w:tr2bl w:val="nil"/>
            </w:tcBorders>
            <w:noWrap w:val="0"/>
            <w:vAlign w:val="center"/>
          </w:tcPr>
          <w:p w14:paraId="58838B43">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重点管控单元</w:t>
            </w:r>
          </w:p>
        </w:tc>
        <w:tc>
          <w:tcPr>
            <w:tcW w:w="328" w:type="pct"/>
            <w:tcBorders>
              <w:tl2br w:val="nil"/>
              <w:tr2bl w:val="nil"/>
            </w:tcBorders>
            <w:noWrap w:val="0"/>
            <w:vAlign w:val="center"/>
          </w:tcPr>
          <w:p w14:paraId="37A4C459">
            <w:pPr>
              <w:widowControl w:val="0"/>
              <w:spacing w:line="0" w:lineRule="atLeast"/>
              <w:contextualSpacing/>
              <w:jc w:val="center"/>
              <w:rPr>
                <w:rFonts w:ascii="Times New Roman" w:hAnsi="Times New Roman" w:cs="Times New Roman"/>
                <w:kern w:val="2"/>
                <w:sz w:val="21"/>
                <w:szCs w:val="21"/>
                <w:highlight w:val="none"/>
              </w:rPr>
            </w:pPr>
            <w:r>
              <w:rPr>
                <w:rFonts w:ascii="Times New Roman" w:hAnsi="Times New Roman" w:cs="Times New Roman"/>
                <w:kern w:val="2"/>
                <w:sz w:val="21"/>
                <w:szCs w:val="21"/>
                <w:highlight w:val="none"/>
              </w:rPr>
              <w:t>空间布局约束</w:t>
            </w:r>
          </w:p>
        </w:tc>
        <w:tc>
          <w:tcPr>
            <w:tcW w:w="1361" w:type="pct"/>
            <w:tcBorders>
              <w:tl2br w:val="nil"/>
              <w:tr2bl w:val="nil"/>
            </w:tcBorders>
            <w:noWrap w:val="0"/>
            <w:vAlign w:val="center"/>
          </w:tcPr>
          <w:p w14:paraId="562216B3">
            <w:pPr>
              <w:widowControl/>
              <w:numPr>
                <w:ilvl w:val="0"/>
                <w:numId w:val="0"/>
              </w:numPr>
              <w:jc w:val="both"/>
              <w:rPr>
                <w:rFonts w:hint="eastAsia" w:ascii="Times New Roman" w:hAnsi="Times New Roman" w:cs="Times New Roman"/>
                <w:kern w:val="2"/>
                <w:sz w:val="21"/>
                <w:szCs w:val="21"/>
                <w:highlight w:val="none"/>
                <w:lang w:val="en-US" w:eastAsia="zh-CN" w:bidi="zh-CN"/>
              </w:rPr>
            </w:pPr>
            <w:r>
              <w:rPr>
                <w:rFonts w:hint="eastAsia" w:ascii="Times New Roman" w:hAnsi="Times New Roman" w:eastAsia="宋体" w:cs="Times New Roman"/>
                <w:kern w:val="2"/>
                <w:sz w:val="21"/>
                <w:szCs w:val="21"/>
                <w:highlight w:val="none"/>
                <w:lang w:val="en-US" w:eastAsia="zh-CN" w:bidi="zh-CN"/>
              </w:rPr>
              <w:t>1.</w:t>
            </w:r>
            <w:r>
              <w:rPr>
                <w:rFonts w:hint="eastAsia" w:ascii="Times New Roman" w:hAnsi="Times New Roman" w:cs="Times New Roman"/>
                <w:kern w:val="2"/>
                <w:sz w:val="21"/>
                <w:szCs w:val="21"/>
                <w:highlight w:val="none"/>
                <w:lang w:val="en-US" w:eastAsia="zh-CN" w:bidi="zh-CN"/>
              </w:rPr>
              <w:t>科学划定畜禽养殖禁养区。</w:t>
            </w:r>
          </w:p>
          <w:p w14:paraId="1D6D6A2D">
            <w:pPr>
              <w:widowControl/>
              <w:numPr>
                <w:ilvl w:val="0"/>
                <w:numId w:val="0"/>
              </w:numPr>
              <w:jc w:val="both"/>
              <w:rPr>
                <w:rFonts w:ascii="Times New Roman" w:hAnsi="Times New Roman" w:cs="Times New Roman"/>
                <w:kern w:val="2"/>
                <w:sz w:val="21"/>
                <w:szCs w:val="21"/>
                <w:highlight w:val="none"/>
                <w:lang w:bidi="zh-CN"/>
              </w:rPr>
            </w:pPr>
            <w:r>
              <w:rPr>
                <w:rFonts w:hint="eastAsia" w:ascii="Times New Roman" w:hAnsi="Times New Roman" w:cs="Times New Roman"/>
                <w:kern w:val="2"/>
                <w:sz w:val="21"/>
                <w:szCs w:val="21"/>
                <w:highlight w:val="none"/>
                <w:lang w:val="en-US" w:eastAsia="zh-CN" w:bidi="zh-CN"/>
              </w:rPr>
              <w:t>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w:t>
            </w:r>
          </w:p>
          <w:p w14:paraId="32DB980A">
            <w:pPr>
              <w:widowControl/>
              <w:jc w:val="both"/>
              <w:rPr>
                <w:rFonts w:ascii="Times New Roman" w:hAnsi="Times New Roman" w:cs="Times New Roman"/>
                <w:kern w:val="2"/>
                <w:sz w:val="21"/>
                <w:szCs w:val="21"/>
                <w:highlight w:val="none"/>
                <w:lang w:bidi="zh-CN"/>
              </w:rPr>
            </w:pPr>
            <w:r>
              <w:rPr>
                <w:rFonts w:hint="eastAsia" w:ascii="Times New Roman" w:hAnsi="Times New Roman" w:cs="Times New Roman"/>
                <w:kern w:val="2"/>
                <w:sz w:val="21"/>
                <w:szCs w:val="21"/>
                <w:highlight w:val="none"/>
                <w:lang w:val="en-US" w:eastAsia="zh-CN" w:bidi="zh-CN"/>
              </w:rPr>
              <w:t>长。</w:t>
            </w:r>
          </w:p>
        </w:tc>
        <w:tc>
          <w:tcPr>
            <w:tcW w:w="1403" w:type="pct"/>
            <w:vMerge w:val="restart"/>
            <w:tcBorders>
              <w:tl2br w:val="nil"/>
              <w:tr2bl w:val="nil"/>
            </w:tcBorders>
            <w:noWrap w:val="0"/>
            <w:vAlign w:val="center"/>
          </w:tcPr>
          <w:p w14:paraId="7EF3D7C5">
            <w:pPr>
              <w:widowControl w:val="0"/>
              <w:wordWrap w:val="0"/>
              <w:jc w:val="center"/>
              <w:rPr>
                <w:rFonts w:hint="eastAsia"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拟建项目位于</w:t>
            </w:r>
            <w:r>
              <w:rPr>
                <w:rFonts w:hint="default" w:ascii="Times New Roman" w:hAnsi="Times New Roman" w:cs="Times New Roman"/>
                <w:color w:val="000000"/>
                <w:kern w:val="2"/>
                <w:sz w:val="21"/>
                <w:szCs w:val="21"/>
                <w:highlight w:val="none"/>
                <w:lang w:val="en-US" w:eastAsia="zh-CN"/>
              </w:rPr>
              <w:t>黑龙江省鸡西市密山市柳毛乡团结村4组</w:t>
            </w:r>
            <w:r>
              <w:rPr>
                <w:rFonts w:ascii="Times New Roman" w:hAnsi="Times New Roman" w:cs="Times New Roman"/>
                <w:kern w:val="0"/>
                <w:sz w:val="21"/>
                <w:szCs w:val="21"/>
                <w:highlight w:val="none"/>
              </w:rPr>
              <w:t>。</w:t>
            </w:r>
            <w:r>
              <w:rPr>
                <w:rFonts w:hint="eastAsia" w:ascii="Times New Roman" w:hAnsi="Times New Roman" w:cs="Times New Roman"/>
                <w:kern w:val="0"/>
                <w:sz w:val="21"/>
                <w:szCs w:val="21"/>
                <w:highlight w:val="none"/>
                <w:lang w:val="en-US" w:eastAsia="zh-CN"/>
              </w:rPr>
              <w:t>本项目场址不在科学划定畜禽养殖禁养区。本项目</w:t>
            </w:r>
            <w:r>
              <w:rPr>
                <w:rFonts w:hint="default" w:ascii="Times New Roman" w:hAnsi="Times New Roman" w:cs="Times New Roman"/>
                <w:kern w:val="0"/>
                <w:sz w:val="21"/>
                <w:szCs w:val="21"/>
                <w:highlight w:val="none"/>
                <w:lang w:val="en-US" w:eastAsia="zh-CN"/>
              </w:rPr>
              <w:t>建</w:t>
            </w:r>
            <w:r>
              <w:rPr>
                <w:rFonts w:hint="eastAsia" w:ascii="Times New Roman" w:hAnsi="Times New Roman" w:cs="Times New Roman"/>
                <w:kern w:val="0"/>
                <w:sz w:val="21"/>
                <w:szCs w:val="21"/>
                <w:highlight w:val="none"/>
                <w:lang w:val="en-US" w:eastAsia="zh-CN"/>
              </w:rPr>
              <w:t>成投产</w:t>
            </w:r>
            <w:r>
              <w:rPr>
                <w:rFonts w:hint="default" w:ascii="Times New Roman" w:hAnsi="Times New Roman" w:cs="Times New Roman"/>
                <w:kern w:val="0"/>
                <w:sz w:val="21"/>
                <w:szCs w:val="21"/>
                <w:highlight w:val="none"/>
                <w:lang w:val="en-US" w:eastAsia="zh-CN"/>
              </w:rPr>
              <w:t>后</w:t>
            </w:r>
            <w:r>
              <w:rPr>
                <w:rFonts w:hint="eastAsia" w:ascii="Times New Roman" w:hAnsi="Times New Roman" w:cs="Times New Roman"/>
                <w:kern w:val="0"/>
                <w:sz w:val="21"/>
                <w:szCs w:val="21"/>
                <w:highlight w:val="none"/>
                <w:lang w:val="en-US" w:eastAsia="zh-CN"/>
              </w:rPr>
              <w:t>年存栏8000头（母猪950头，公猪50头，哺乳仔猪1700头，保育仔猪3300头，后备猪2000头），</w:t>
            </w:r>
            <w:r>
              <w:rPr>
                <w:rFonts w:hint="default" w:ascii="Times New Roman" w:hAnsi="Times New Roman" w:cs="Times New Roman"/>
                <w:kern w:val="0"/>
                <w:sz w:val="21"/>
                <w:szCs w:val="21"/>
                <w:highlight w:val="none"/>
                <w:lang w:val="en-US" w:eastAsia="zh-CN"/>
              </w:rPr>
              <w:t>年出栏</w:t>
            </w:r>
            <w:r>
              <w:rPr>
                <w:rFonts w:hint="eastAsia" w:ascii="Times New Roman" w:hAnsi="Times New Roman" w:cs="Times New Roman"/>
                <w:kern w:val="0"/>
                <w:sz w:val="21"/>
                <w:szCs w:val="21"/>
                <w:highlight w:val="none"/>
                <w:lang w:val="en-US" w:eastAsia="zh-CN"/>
              </w:rPr>
              <w:t>商品猪（仔猪）16000</w:t>
            </w:r>
            <w:r>
              <w:rPr>
                <w:rFonts w:hint="default" w:ascii="Times New Roman" w:hAnsi="Times New Roman" w:cs="Times New Roman"/>
                <w:kern w:val="0"/>
                <w:sz w:val="21"/>
                <w:szCs w:val="21"/>
                <w:highlight w:val="none"/>
                <w:lang w:val="en-US" w:eastAsia="zh-CN"/>
              </w:rPr>
              <w:t>头</w:t>
            </w:r>
            <w:r>
              <w:rPr>
                <w:rFonts w:hint="eastAsia" w:ascii="Times New Roman" w:hAnsi="Times New Roman" w:cs="Times New Roman"/>
                <w:color w:val="000000"/>
                <w:kern w:val="2"/>
                <w:sz w:val="21"/>
                <w:szCs w:val="21"/>
                <w:highlight w:val="none"/>
              </w:rPr>
              <w:t>。</w:t>
            </w:r>
          </w:p>
          <w:p w14:paraId="0DC94148">
            <w:pPr>
              <w:widowControl w:val="0"/>
              <w:wordWrap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属于</w:t>
            </w:r>
            <w:r>
              <w:rPr>
                <w:rFonts w:hint="default" w:ascii="Times New Roman" w:hAnsi="Times New Roman" w:cs="Times New Roman"/>
                <w:color w:val="000000"/>
                <w:kern w:val="2"/>
                <w:sz w:val="21"/>
                <w:szCs w:val="21"/>
                <w:highlight w:val="none"/>
              </w:rPr>
              <w:t>畜牧业</w:t>
            </w:r>
            <w:r>
              <w:rPr>
                <w:rFonts w:ascii="Times New Roman" w:hAnsi="Times New Roman" w:cs="Times New Roman"/>
                <w:color w:val="000000"/>
                <w:kern w:val="2"/>
                <w:sz w:val="21"/>
                <w:szCs w:val="21"/>
                <w:highlight w:val="none"/>
              </w:rPr>
              <w:t>。</w:t>
            </w:r>
            <w:r>
              <w:rPr>
                <w:rFonts w:hint="default" w:ascii="Times New Roman" w:hAnsi="Times New Roman" w:cs="Times New Roman"/>
                <w:color w:val="000000"/>
                <w:kern w:val="2"/>
                <w:sz w:val="21"/>
                <w:szCs w:val="21"/>
                <w:highlight w:val="none"/>
                <w:lang w:val="en-US" w:eastAsia="zh-CN"/>
              </w:rPr>
              <w:t>本</w:t>
            </w:r>
            <w:r>
              <w:rPr>
                <w:rFonts w:hint="default" w:ascii="Times New Roman" w:hAnsi="Times New Roman" w:cs="Times New Roman"/>
                <w:color w:val="000000"/>
                <w:kern w:val="2"/>
                <w:sz w:val="21"/>
                <w:szCs w:val="21"/>
                <w:highlight w:val="none"/>
              </w:rPr>
              <w:t>项目粪污采用</w:t>
            </w:r>
            <w:r>
              <w:rPr>
                <w:rFonts w:hint="eastAsia" w:ascii="Times New Roman" w:hAnsi="Times New Roman" w:cs="Times New Roman"/>
                <w:color w:val="000000"/>
                <w:kern w:val="2"/>
                <w:sz w:val="21"/>
                <w:szCs w:val="21"/>
                <w:highlight w:val="none"/>
                <w:lang w:eastAsia="zh-CN"/>
              </w:rPr>
              <w:t>尿泡粪—干清粪</w:t>
            </w:r>
            <w:r>
              <w:rPr>
                <w:rFonts w:hint="default" w:ascii="Times New Roman" w:hAnsi="Times New Roman" w:cs="Times New Roman"/>
                <w:color w:val="000000"/>
                <w:kern w:val="2"/>
                <w:sz w:val="21"/>
                <w:szCs w:val="21"/>
                <w:highlight w:val="none"/>
              </w:rPr>
              <w:t>方式进行清粪，</w:t>
            </w:r>
            <w:r>
              <w:rPr>
                <w:rFonts w:hint="eastAsia" w:ascii="Times New Roman" w:hAnsi="Times New Roman" w:cs="Times New Roman"/>
                <w:color w:val="000000"/>
                <w:kern w:val="2"/>
                <w:sz w:val="21"/>
                <w:szCs w:val="21"/>
                <w:highlight w:val="none"/>
                <w:lang w:eastAsia="zh-CN"/>
              </w:rPr>
              <w:t>尿泡粪—干清粪</w:t>
            </w:r>
            <w:r>
              <w:rPr>
                <w:rFonts w:hint="default" w:ascii="Times New Roman" w:hAnsi="Times New Roman" w:cs="Times New Roman"/>
                <w:color w:val="000000"/>
                <w:kern w:val="2"/>
                <w:sz w:val="21"/>
                <w:szCs w:val="21"/>
                <w:highlight w:val="none"/>
              </w:rPr>
              <w:t>是在猪</w:t>
            </w:r>
            <w:r>
              <w:rPr>
                <w:rFonts w:hint="eastAsia" w:ascii="Times New Roman" w:hAnsi="Times New Roman" w:cs="Times New Roman"/>
                <w:color w:val="000000"/>
                <w:kern w:val="2"/>
                <w:sz w:val="21"/>
                <w:szCs w:val="21"/>
                <w:highlight w:val="none"/>
                <w:lang w:val="en-US" w:eastAsia="zh-CN"/>
              </w:rPr>
              <w:t>舍</w:t>
            </w:r>
            <w:r>
              <w:rPr>
                <w:rFonts w:hint="default" w:ascii="Times New Roman" w:hAnsi="Times New Roman" w:cs="Times New Roman"/>
                <w:color w:val="000000"/>
                <w:kern w:val="2"/>
                <w:sz w:val="21"/>
                <w:szCs w:val="21"/>
                <w:highlight w:val="none"/>
              </w:rPr>
              <w:t>的排</w:t>
            </w:r>
            <w:r>
              <w:rPr>
                <w:rFonts w:hint="eastAsia" w:ascii="Times New Roman" w:hAnsi="Times New Roman" w:cs="Times New Roman"/>
                <w:color w:val="000000"/>
                <w:kern w:val="2"/>
                <w:sz w:val="21"/>
                <w:szCs w:val="21"/>
                <w:highlight w:val="none"/>
                <w:lang w:val="en-US" w:eastAsia="zh-CN"/>
              </w:rPr>
              <w:t>粪</w:t>
            </w:r>
            <w:r>
              <w:rPr>
                <w:rFonts w:hint="default" w:ascii="Times New Roman" w:hAnsi="Times New Roman" w:cs="Times New Roman"/>
                <w:color w:val="000000"/>
                <w:kern w:val="2"/>
                <w:sz w:val="21"/>
                <w:szCs w:val="21"/>
                <w:highlight w:val="none"/>
              </w:rPr>
              <w:t>沟中保持一定深度的水，粪尿冲洗和饲养管理用水一并通过漏缝地板流入</w:t>
            </w:r>
            <w:r>
              <w:rPr>
                <w:rFonts w:hint="eastAsia" w:ascii="Times New Roman" w:hAnsi="Times New Roman" w:cs="Times New Roman"/>
                <w:color w:val="000000"/>
                <w:kern w:val="2"/>
                <w:sz w:val="21"/>
                <w:szCs w:val="21"/>
                <w:highlight w:val="none"/>
                <w:lang w:val="en-US" w:eastAsia="zh-CN"/>
              </w:rPr>
              <w:t>粪</w:t>
            </w:r>
            <w:r>
              <w:rPr>
                <w:rFonts w:hint="default" w:ascii="Times New Roman" w:hAnsi="Times New Roman" w:cs="Times New Roman"/>
                <w:color w:val="000000"/>
                <w:kern w:val="2"/>
                <w:sz w:val="21"/>
                <w:szCs w:val="21"/>
                <w:highlight w:val="none"/>
              </w:rPr>
              <w:t>沟中。</w:t>
            </w:r>
            <w:r>
              <w:rPr>
                <w:rFonts w:hint="eastAsia" w:ascii="Times New Roman" w:hAnsi="Times New Roman" w:cs="Times New Roman"/>
                <w:color w:val="000000"/>
                <w:kern w:val="2"/>
                <w:sz w:val="21"/>
                <w:szCs w:val="21"/>
                <w:highlight w:val="none"/>
                <w:lang w:eastAsia="zh-CN"/>
              </w:rPr>
              <w:t>粪便</w:t>
            </w:r>
            <w:r>
              <w:rPr>
                <w:rFonts w:hint="default" w:ascii="Times New Roman" w:hAnsi="Times New Roman" w:cs="Times New Roman"/>
                <w:color w:val="000000"/>
                <w:kern w:val="2"/>
                <w:sz w:val="21"/>
                <w:szCs w:val="21"/>
                <w:highlight w:val="none"/>
              </w:rPr>
              <w:t>在</w:t>
            </w:r>
            <w:r>
              <w:rPr>
                <w:rFonts w:hint="eastAsia" w:ascii="Times New Roman" w:hAnsi="Times New Roman" w:cs="Times New Roman"/>
                <w:color w:val="000000"/>
                <w:kern w:val="2"/>
                <w:sz w:val="21"/>
                <w:szCs w:val="21"/>
                <w:highlight w:val="none"/>
                <w:lang w:val="en-US" w:eastAsia="zh-CN"/>
              </w:rPr>
              <w:t>粪</w:t>
            </w:r>
            <w:r>
              <w:rPr>
                <w:rFonts w:hint="default" w:ascii="Times New Roman" w:hAnsi="Times New Roman" w:cs="Times New Roman"/>
                <w:color w:val="000000"/>
                <w:kern w:val="2"/>
                <w:sz w:val="21"/>
                <w:szCs w:val="21"/>
                <w:highlight w:val="none"/>
              </w:rPr>
              <w:t>沟内浸泡稀释成粪液，储存一定时间后，粪液顺粪沟进入</w:t>
            </w:r>
            <w:r>
              <w:rPr>
                <w:rFonts w:hint="eastAsia" w:ascii="Times New Roman" w:hAnsi="Times New Roman" w:cs="Times New Roman"/>
                <w:color w:val="000000"/>
                <w:kern w:val="2"/>
                <w:sz w:val="21"/>
                <w:szCs w:val="21"/>
                <w:highlight w:val="none"/>
                <w:lang w:val="en-US" w:eastAsia="zh-CN"/>
              </w:rPr>
              <w:t>集粪</w:t>
            </w:r>
            <w:r>
              <w:rPr>
                <w:rFonts w:hint="default" w:ascii="Times New Roman" w:hAnsi="Times New Roman" w:cs="Times New Roman"/>
                <w:color w:val="000000"/>
                <w:kern w:val="2"/>
                <w:sz w:val="21"/>
                <w:szCs w:val="21"/>
                <w:highlight w:val="none"/>
              </w:rPr>
              <w:t>池。粪液</w:t>
            </w:r>
            <w:r>
              <w:rPr>
                <w:rFonts w:hint="eastAsia" w:ascii="Times New Roman" w:hAnsi="Times New Roman" w:cs="Times New Roman"/>
                <w:color w:val="000000"/>
                <w:kern w:val="2"/>
                <w:sz w:val="21"/>
                <w:szCs w:val="21"/>
                <w:highlight w:val="none"/>
                <w:lang w:val="en-US" w:eastAsia="zh-CN"/>
              </w:rPr>
              <w:t>在集粪池内达到一定量时</w:t>
            </w:r>
            <w:r>
              <w:rPr>
                <w:rFonts w:hint="default" w:ascii="Times New Roman" w:hAnsi="Times New Roman" w:cs="Times New Roman"/>
                <w:color w:val="000000"/>
                <w:kern w:val="2"/>
                <w:sz w:val="21"/>
                <w:szCs w:val="21"/>
                <w:highlight w:val="none"/>
              </w:rPr>
              <w:t>，</w:t>
            </w:r>
            <w:r>
              <w:rPr>
                <w:rFonts w:hint="eastAsia" w:ascii="Times New Roman" w:hAnsi="Times New Roman" w:cs="Times New Roman"/>
                <w:color w:val="000000"/>
                <w:kern w:val="2"/>
                <w:sz w:val="21"/>
                <w:szCs w:val="21"/>
                <w:highlight w:val="none"/>
                <w:lang w:val="en-US" w:eastAsia="zh-CN"/>
              </w:rPr>
              <w:t>经污水泵</w:t>
            </w:r>
            <w:r>
              <w:rPr>
                <w:rFonts w:hint="default" w:ascii="Times New Roman" w:hAnsi="Times New Roman" w:cs="Times New Roman"/>
                <w:color w:val="000000"/>
                <w:kern w:val="2"/>
                <w:sz w:val="21"/>
                <w:szCs w:val="21"/>
                <w:highlight w:val="none"/>
              </w:rPr>
              <w:t>进入固液分离</w:t>
            </w:r>
            <w:r>
              <w:rPr>
                <w:rFonts w:hint="eastAsia" w:ascii="Times New Roman" w:hAnsi="Times New Roman" w:cs="Times New Roman"/>
                <w:color w:val="000000"/>
                <w:kern w:val="2"/>
                <w:sz w:val="21"/>
                <w:szCs w:val="21"/>
                <w:highlight w:val="none"/>
                <w:lang w:val="en-US" w:eastAsia="zh-CN"/>
              </w:rPr>
              <w:t>机</w:t>
            </w:r>
            <w:r>
              <w:rPr>
                <w:rFonts w:hint="default" w:ascii="Times New Roman" w:hAnsi="Times New Roman" w:cs="Times New Roman"/>
                <w:color w:val="000000"/>
                <w:kern w:val="2"/>
                <w:sz w:val="21"/>
                <w:szCs w:val="21"/>
                <w:highlight w:val="none"/>
              </w:rPr>
              <w:t>，经固液分离后的固体及时运输至</w:t>
            </w:r>
            <w:r>
              <w:rPr>
                <w:rFonts w:hint="eastAsia" w:ascii="Times New Roman" w:hAnsi="Times New Roman" w:cs="Times New Roman"/>
                <w:color w:val="000000"/>
                <w:kern w:val="2"/>
                <w:sz w:val="21"/>
                <w:szCs w:val="21"/>
                <w:highlight w:val="none"/>
                <w:lang w:eastAsia="zh-CN"/>
              </w:rPr>
              <w:t>干粪堆积场</w:t>
            </w:r>
            <w:r>
              <w:rPr>
                <w:rFonts w:hint="eastAsia" w:ascii="Times New Roman" w:hAnsi="Times New Roman" w:cs="Times New Roman"/>
                <w:color w:val="000000"/>
                <w:kern w:val="2"/>
                <w:sz w:val="21"/>
                <w:szCs w:val="21"/>
                <w:highlight w:val="none"/>
                <w:lang w:val="en-US" w:eastAsia="zh-CN"/>
              </w:rPr>
              <w:t>进行堆肥，施肥季节用于配套消纳地进行施肥，非施肥季节储存于干粪堆积场内</w:t>
            </w:r>
            <w:r>
              <w:rPr>
                <w:rFonts w:hint="default" w:ascii="Times New Roman" w:hAnsi="Times New Roman" w:cs="Times New Roman"/>
                <w:color w:val="000000"/>
                <w:kern w:val="2"/>
                <w:sz w:val="21"/>
                <w:szCs w:val="21"/>
                <w:highlight w:val="none"/>
              </w:rPr>
              <w:t>；固液分离出来的液体进入</w:t>
            </w:r>
            <w:r>
              <w:rPr>
                <w:rFonts w:hint="default" w:ascii="Times New Roman" w:hAnsi="Times New Roman" w:cs="Times New Roman"/>
                <w:color w:val="000000"/>
                <w:kern w:val="2"/>
                <w:sz w:val="21"/>
                <w:szCs w:val="21"/>
                <w:highlight w:val="none"/>
                <w:lang w:val="en-US" w:eastAsia="zh-CN"/>
              </w:rPr>
              <w:t>黑膜厌氧池</w:t>
            </w:r>
            <w:r>
              <w:rPr>
                <w:rFonts w:hint="default" w:ascii="Times New Roman" w:hAnsi="Times New Roman" w:cs="Times New Roman"/>
                <w:color w:val="000000"/>
                <w:kern w:val="2"/>
                <w:sz w:val="21"/>
                <w:szCs w:val="21"/>
                <w:highlight w:val="none"/>
              </w:rPr>
              <w:t>中发酵，发酵成的沼液于</w:t>
            </w:r>
            <w:r>
              <w:rPr>
                <w:rFonts w:hint="default" w:ascii="Times New Roman" w:hAnsi="Times New Roman" w:cs="Times New Roman"/>
                <w:color w:val="000000"/>
                <w:kern w:val="2"/>
                <w:sz w:val="21"/>
                <w:szCs w:val="21"/>
                <w:highlight w:val="none"/>
                <w:lang w:val="en-US" w:eastAsia="zh-CN"/>
              </w:rPr>
              <w:t>黑膜厌氧池</w:t>
            </w:r>
            <w:r>
              <w:rPr>
                <w:rFonts w:hint="default" w:ascii="Times New Roman" w:hAnsi="Times New Roman" w:cs="Times New Roman"/>
                <w:color w:val="000000"/>
                <w:kern w:val="2"/>
                <w:sz w:val="21"/>
                <w:szCs w:val="21"/>
                <w:highlight w:val="none"/>
              </w:rPr>
              <w:t>中储存，用于周围土地消纳，全部综合利用</w:t>
            </w:r>
            <w:r>
              <w:rPr>
                <w:rFonts w:hint="default" w:ascii="Times New Roman" w:hAnsi="Times New Roman" w:cs="Times New Roman"/>
                <w:color w:val="000000"/>
                <w:kern w:val="2"/>
                <w:sz w:val="21"/>
                <w:szCs w:val="21"/>
                <w:highlight w:val="none"/>
                <w:lang w:eastAsia="zh-CN"/>
              </w:rPr>
              <w:t>。</w:t>
            </w:r>
            <w:r>
              <w:rPr>
                <w:rFonts w:hint="default" w:ascii="Times New Roman" w:hAnsi="Times New Roman" w:cs="Times New Roman"/>
                <w:color w:val="000000"/>
                <w:kern w:val="2"/>
                <w:sz w:val="21"/>
                <w:szCs w:val="21"/>
                <w:highlight w:val="none"/>
                <w:lang w:val="zh-CN" w:eastAsia="zh-CN"/>
              </w:rPr>
              <w:t>运营期生活污水经</w:t>
            </w:r>
            <w:r>
              <w:rPr>
                <w:rFonts w:hint="eastAsia" w:ascii="Times New Roman" w:hAnsi="Times New Roman" w:cs="Times New Roman"/>
                <w:color w:val="000000"/>
                <w:kern w:val="2"/>
                <w:sz w:val="21"/>
                <w:szCs w:val="21"/>
                <w:highlight w:val="none"/>
                <w:lang w:val="zh-CN" w:eastAsia="zh-CN"/>
              </w:rPr>
              <w:t>化粪池</w:t>
            </w:r>
            <w:r>
              <w:rPr>
                <w:rFonts w:hint="default" w:ascii="Times New Roman" w:hAnsi="Times New Roman" w:cs="Times New Roman"/>
                <w:color w:val="000000"/>
                <w:kern w:val="2"/>
                <w:sz w:val="21"/>
                <w:szCs w:val="21"/>
                <w:highlight w:val="none"/>
                <w:lang w:val="zh-CN" w:eastAsia="zh-CN"/>
              </w:rPr>
              <w:t>后泵入黑膜厌氧池处理，生产废水分别集中收集后进入黑膜厌氧池发酵处理，处理后的沼液，在施肥季节用于农田施肥，冬季暂存于沼液贮存池</w:t>
            </w:r>
            <w:r>
              <w:rPr>
                <w:rFonts w:hint="eastAsia" w:ascii="Times New Roman" w:hAnsi="Times New Roman" w:cs="Times New Roman"/>
                <w:color w:val="000000"/>
                <w:kern w:val="2"/>
                <w:sz w:val="21"/>
                <w:szCs w:val="21"/>
                <w:highlight w:val="none"/>
                <w:lang w:val="zh-CN" w:eastAsia="zh-CN"/>
              </w:rPr>
              <w:t>，</w:t>
            </w:r>
            <w:r>
              <w:rPr>
                <w:rFonts w:hint="default" w:ascii="Times New Roman" w:hAnsi="Times New Roman" w:eastAsia="宋体" w:cs="Times New Roman"/>
                <w:kern w:val="2"/>
                <w:sz w:val="21"/>
                <w:szCs w:val="21"/>
                <w:highlight w:val="none"/>
              </w:rPr>
              <w:t>均不外排</w:t>
            </w:r>
            <w:r>
              <w:rPr>
                <w:rFonts w:hint="eastAsia" w:ascii="Times New Roman" w:hAnsi="Times New Roman" w:eastAsia="宋体" w:cs="Times New Roman"/>
                <w:kern w:val="2"/>
                <w:sz w:val="21"/>
                <w:szCs w:val="21"/>
                <w:highlight w:val="none"/>
                <w:lang w:val="en-US" w:eastAsia="zh-CN"/>
              </w:rPr>
              <w:t>。</w:t>
            </w:r>
            <w:r>
              <w:rPr>
                <w:rFonts w:ascii="Times New Roman" w:hAnsi="Times New Roman" w:cs="Times New Roman"/>
                <w:color w:val="000000"/>
                <w:kern w:val="2"/>
                <w:sz w:val="21"/>
                <w:szCs w:val="21"/>
                <w:highlight w:val="none"/>
              </w:rPr>
              <w:t>因此，本项目符合管控要求。</w:t>
            </w:r>
          </w:p>
        </w:tc>
      </w:tr>
      <w:tr w14:paraId="3C20F3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9" w:hRule="atLeast"/>
        </w:trPr>
        <w:tc>
          <w:tcPr>
            <w:tcW w:w="1291" w:type="pct"/>
            <w:vMerge w:val="continue"/>
            <w:tcBorders>
              <w:tl2br w:val="nil"/>
              <w:tr2bl w:val="nil"/>
            </w:tcBorders>
            <w:noWrap w:val="0"/>
            <w:vAlign w:val="center"/>
          </w:tcPr>
          <w:p w14:paraId="110572EC">
            <w:pPr>
              <w:widowControl w:val="0"/>
              <w:jc w:val="center"/>
              <w:rPr>
                <w:rFonts w:ascii="Times New Roman" w:hAnsi="Times New Roman" w:cs="Times New Roman"/>
                <w:color w:val="000000"/>
                <w:kern w:val="2"/>
                <w:sz w:val="21"/>
                <w:szCs w:val="21"/>
                <w:highlight w:val="none"/>
              </w:rPr>
            </w:pPr>
          </w:p>
        </w:tc>
        <w:tc>
          <w:tcPr>
            <w:tcW w:w="307" w:type="pct"/>
            <w:vMerge w:val="continue"/>
            <w:tcBorders>
              <w:tl2br w:val="nil"/>
              <w:tr2bl w:val="nil"/>
            </w:tcBorders>
            <w:noWrap w:val="0"/>
            <w:vAlign w:val="center"/>
          </w:tcPr>
          <w:p w14:paraId="43C5D6C0">
            <w:pPr>
              <w:widowControl w:val="0"/>
              <w:jc w:val="center"/>
              <w:rPr>
                <w:rFonts w:ascii="Times New Roman" w:hAnsi="Times New Roman" w:cs="Times New Roman"/>
                <w:color w:val="000000"/>
                <w:kern w:val="0"/>
                <w:sz w:val="21"/>
                <w:szCs w:val="21"/>
                <w:highlight w:val="none"/>
              </w:rPr>
            </w:pPr>
          </w:p>
        </w:tc>
        <w:tc>
          <w:tcPr>
            <w:tcW w:w="307" w:type="pct"/>
            <w:vMerge w:val="continue"/>
            <w:tcBorders>
              <w:tl2br w:val="nil"/>
              <w:tr2bl w:val="nil"/>
            </w:tcBorders>
            <w:noWrap w:val="0"/>
            <w:vAlign w:val="center"/>
          </w:tcPr>
          <w:p w14:paraId="1325A884">
            <w:pPr>
              <w:widowControl w:val="0"/>
              <w:jc w:val="center"/>
              <w:rPr>
                <w:rFonts w:ascii="Times New Roman" w:hAnsi="Times New Roman" w:cs="Times New Roman"/>
                <w:color w:val="000000"/>
                <w:kern w:val="2"/>
                <w:sz w:val="21"/>
                <w:szCs w:val="21"/>
                <w:highlight w:val="none"/>
              </w:rPr>
            </w:pPr>
          </w:p>
        </w:tc>
        <w:tc>
          <w:tcPr>
            <w:tcW w:w="328" w:type="pct"/>
            <w:tcBorders>
              <w:tl2br w:val="nil"/>
              <w:tr2bl w:val="nil"/>
            </w:tcBorders>
            <w:noWrap w:val="0"/>
            <w:vAlign w:val="center"/>
          </w:tcPr>
          <w:p w14:paraId="22A290D0">
            <w:pPr>
              <w:widowControl w:val="0"/>
              <w:spacing w:line="0" w:lineRule="atLeast"/>
              <w:contextualSpacing/>
              <w:jc w:val="center"/>
              <w:rPr>
                <w:rFonts w:ascii="Times New Roman" w:hAnsi="Times New Roman" w:cs="Times New Roman"/>
                <w:kern w:val="2"/>
                <w:sz w:val="21"/>
                <w:szCs w:val="21"/>
                <w:highlight w:val="none"/>
              </w:rPr>
            </w:pPr>
            <w:r>
              <w:rPr>
                <w:rFonts w:ascii="Times New Roman" w:hAnsi="Times New Roman" w:cs="Times New Roman"/>
                <w:kern w:val="2"/>
                <w:sz w:val="21"/>
                <w:szCs w:val="21"/>
                <w:highlight w:val="none"/>
              </w:rPr>
              <w:t>污染物排放管控</w:t>
            </w:r>
          </w:p>
        </w:tc>
        <w:tc>
          <w:tcPr>
            <w:tcW w:w="1361" w:type="pct"/>
            <w:tcBorders>
              <w:tl2br w:val="nil"/>
              <w:tr2bl w:val="nil"/>
            </w:tcBorders>
            <w:noWrap w:val="0"/>
            <w:vAlign w:val="center"/>
          </w:tcPr>
          <w:p w14:paraId="1963451B">
            <w:pPr>
              <w:widowControl/>
              <w:jc w:val="both"/>
              <w:rPr>
                <w:rFonts w:ascii="Times New Roman" w:hAnsi="Times New Roman" w:cs="Times New Roman"/>
                <w:kern w:val="0"/>
                <w:sz w:val="21"/>
                <w:szCs w:val="21"/>
                <w:highlight w:val="none"/>
                <w:lang w:val="zh-CN" w:bidi="zh-CN"/>
              </w:rPr>
            </w:pPr>
            <w:r>
              <w:rPr>
                <w:rFonts w:hint="eastAsia" w:ascii="Times New Roman" w:hAnsi="Times New Roman" w:cs="Times New Roman"/>
                <w:kern w:val="0"/>
                <w:sz w:val="21"/>
                <w:szCs w:val="21"/>
                <w:highlight w:val="none"/>
                <w:lang w:val="zh-CN" w:eastAsia="zh-CN" w:bidi="zh-CN"/>
              </w:rPr>
              <w:t>1.支持规模化畜禽养殖场（小区）开展标准化改造和建设，提高畜禽</w:t>
            </w:r>
          </w:p>
          <w:p w14:paraId="76863725">
            <w:pPr>
              <w:widowControl/>
              <w:jc w:val="both"/>
              <w:rPr>
                <w:rFonts w:hint="eastAsia" w:ascii="Times New Roman" w:hAnsi="Times New Roman" w:cs="Times New Roman"/>
                <w:kern w:val="0"/>
                <w:sz w:val="21"/>
                <w:szCs w:val="21"/>
                <w:highlight w:val="none"/>
                <w:lang w:val="zh-CN" w:eastAsia="zh-CN" w:bidi="zh-CN"/>
              </w:rPr>
            </w:pPr>
            <w:r>
              <w:rPr>
                <w:rFonts w:hint="eastAsia" w:ascii="Times New Roman" w:hAnsi="Times New Roman" w:cs="Times New Roman"/>
                <w:kern w:val="0"/>
                <w:sz w:val="21"/>
                <w:szCs w:val="21"/>
                <w:highlight w:val="none"/>
                <w:lang w:val="zh-CN" w:eastAsia="zh-CN" w:bidi="zh-CN"/>
              </w:rPr>
              <w:t>粪污收集和处理机械化水平，实施雨污分流、粪污资源化利用，控制畜禽养殖污染排放。</w:t>
            </w:r>
          </w:p>
          <w:p w14:paraId="5C2E3EFF">
            <w:pPr>
              <w:widowControl/>
              <w:numPr>
                <w:ilvl w:val="0"/>
                <w:numId w:val="0"/>
              </w:numPr>
              <w:jc w:val="both"/>
              <w:rPr>
                <w:rFonts w:hint="eastAsia" w:ascii="Times New Roman" w:hAnsi="Times New Roman" w:cs="Times New Roman"/>
                <w:kern w:val="0"/>
                <w:sz w:val="21"/>
                <w:szCs w:val="21"/>
                <w:highlight w:val="none"/>
                <w:lang w:val="zh-CN" w:eastAsia="zh-CN" w:bidi="zh-CN"/>
              </w:rPr>
            </w:pPr>
            <w:r>
              <w:rPr>
                <w:rFonts w:hint="eastAsia" w:ascii="Times New Roman" w:hAnsi="Times New Roman" w:eastAsia="宋体" w:cs="Times New Roman"/>
                <w:kern w:val="0"/>
                <w:sz w:val="21"/>
                <w:szCs w:val="21"/>
                <w:highlight w:val="none"/>
                <w:lang w:val="zh-CN" w:eastAsia="zh-CN" w:bidi="zh-CN"/>
              </w:rPr>
              <w:t>2.</w:t>
            </w:r>
            <w:r>
              <w:rPr>
                <w:rFonts w:hint="eastAsia" w:ascii="Times New Roman" w:hAnsi="Times New Roman" w:cs="Times New Roman"/>
                <w:kern w:val="0"/>
                <w:sz w:val="21"/>
                <w:szCs w:val="21"/>
                <w:highlight w:val="none"/>
                <w:lang w:val="zh-CN" w:eastAsia="zh-CN" w:bidi="zh-CN"/>
              </w:rPr>
              <w:t>畜禽散养密集区所在地县级人民政府应当组织对畜禽粪便、污水进行集中处理利用，督促乡镇人民政府建设或者配备污染防治配套设施。</w:t>
            </w:r>
          </w:p>
          <w:p w14:paraId="4A279849">
            <w:pPr>
              <w:widowControl/>
              <w:numPr>
                <w:ilvl w:val="0"/>
                <w:numId w:val="0"/>
              </w:numPr>
              <w:jc w:val="both"/>
              <w:rPr>
                <w:rFonts w:ascii="Times New Roman" w:hAnsi="Times New Roman" w:cs="Times New Roman"/>
                <w:kern w:val="0"/>
                <w:sz w:val="21"/>
                <w:szCs w:val="21"/>
                <w:highlight w:val="none"/>
                <w:lang w:val="zh-CN" w:bidi="zh-CN"/>
              </w:rPr>
            </w:pPr>
            <w:r>
              <w:rPr>
                <w:rFonts w:hint="eastAsia" w:ascii="Times New Roman" w:hAnsi="Times New Roman" w:cs="Times New Roman"/>
                <w:kern w:val="0"/>
                <w:sz w:val="21"/>
                <w:szCs w:val="21"/>
                <w:highlight w:val="none"/>
                <w:lang w:val="zh-CN" w:eastAsia="zh-CN" w:bidi="zh-CN"/>
              </w:rPr>
              <w:t>3.全面加强农业面源污染防控，科学合理使用农业投入品，提高使用效率，减少农业内源性污染。</w:t>
            </w:r>
          </w:p>
        </w:tc>
        <w:tc>
          <w:tcPr>
            <w:tcW w:w="1403" w:type="pct"/>
            <w:vMerge w:val="continue"/>
            <w:tcBorders>
              <w:tl2br w:val="nil"/>
              <w:tr2bl w:val="nil"/>
            </w:tcBorders>
            <w:noWrap w:val="0"/>
            <w:vAlign w:val="center"/>
          </w:tcPr>
          <w:p w14:paraId="77044C3A">
            <w:pPr>
              <w:widowControl w:val="0"/>
              <w:jc w:val="center"/>
              <w:rPr>
                <w:rFonts w:ascii="Times New Roman" w:hAnsi="Times New Roman" w:cs="Times New Roman"/>
                <w:color w:val="000000"/>
                <w:kern w:val="2"/>
                <w:sz w:val="21"/>
                <w:szCs w:val="21"/>
                <w:highlight w:val="none"/>
              </w:rPr>
            </w:pPr>
          </w:p>
        </w:tc>
      </w:tr>
      <w:tr w14:paraId="602026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9" w:hRule="atLeast"/>
        </w:trPr>
        <w:tc>
          <w:tcPr>
            <w:tcW w:w="1291" w:type="pct"/>
            <w:vMerge w:val="continue"/>
            <w:tcBorders>
              <w:tl2br w:val="nil"/>
              <w:tr2bl w:val="nil"/>
            </w:tcBorders>
            <w:noWrap w:val="0"/>
            <w:vAlign w:val="center"/>
          </w:tcPr>
          <w:p w14:paraId="21C690B0">
            <w:pPr>
              <w:widowControl w:val="0"/>
              <w:jc w:val="center"/>
              <w:rPr>
                <w:rFonts w:ascii="Times New Roman" w:hAnsi="Times New Roman" w:cs="Times New Roman"/>
                <w:color w:val="000000"/>
                <w:kern w:val="2"/>
                <w:sz w:val="21"/>
                <w:szCs w:val="21"/>
                <w:highlight w:val="none"/>
              </w:rPr>
            </w:pPr>
          </w:p>
        </w:tc>
        <w:tc>
          <w:tcPr>
            <w:tcW w:w="307" w:type="pct"/>
            <w:vMerge w:val="continue"/>
            <w:tcBorders>
              <w:tl2br w:val="nil"/>
              <w:tr2bl w:val="nil"/>
            </w:tcBorders>
            <w:noWrap w:val="0"/>
            <w:vAlign w:val="center"/>
          </w:tcPr>
          <w:p w14:paraId="08CEB4FD">
            <w:pPr>
              <w:widowControl w:val="0"/>
              <w:jc w:val="center"/>
              <w:rPr>
                <w:rFonts w:ascii="Times New Roman" w:hAnsi="Times New Roman" w:cs="Times New Roman"/>
                <w:color w:val="000000"/>
                <w:kern w:val="0"/>
                <w:sz w:val="21"/>
                <w:szCs w:val="21"/>
                <w:highlight w:val="none"/>
              </w:rPr>
            </w:pPr>
          </w:p>
        </w:tc>
        <w:tc>
          <w:tcPr>
            <w:tcW w:w="307" w:type="pct"/>
            <w:vMerge w:val="continue"/>
            <w:tcBorders>
              <w:tl2br w:val="nil"/>
              <w:tr2bl w:val="nil"/>
            </w:tcBorders>
            <w:noWrap w:val="0"/>
            <w:vAlign w:val="center"/>
          </w:tcPr>
          <w:p w14:paraId="70177B82">
            <w:pPr>
              <w:widowControl w:val="0"/>
              <w:jc w:val="center"/>
              <w:rPr>
                <w:rFonts w:ascii="Times New Roman" w:hAnsi="Times New Roman" w:cs="Times New Roman"/>
                <w:color w:val="000000"/>
                <w:kern w:val="2"/>
                <w:sz w:val="21"/>
                <w:szCs w:val="21"/>
                <w:highlight w:val="none"/>
              </w:rPr>
            </w:pPr>
          </w:p>
        </w:tc>
        <w:tc>
          <w:tcPr>
            <w:tcW w:w="328" w:type="pct"/>
            <w:tcBorders>
              <w:tl2br w:val="nil"/>
              <w:tr2bl w:val="nil"/>
            </w:tcBorders>
            <w:noWrap w:val="0"/>
            <w:vAlign w:val="center"/>
          </w:tcPr>
          <w:p w14:paraId="05ACBF04">
            <w:pPr>
              <w:widowControl w:val="0"/>
              <w:spacing w:line="0" w:lineRule="atLeast"/>
              <w:contextualSpacing/>
              <w:jc w:val="center"/>
              <w:rPr>
                <w:rFonts w:ascii="Times New Roman" w:hAnsi="Times New Roman" w:cs="Times New Roman"/>
                <w:kern w:val="2"/>
                <w:sz w:val="21"/>
                <w:szCs w:val="21"/>
                <w:highlight w:val="none"/>
              </w:rPr>
            </w:pPr>
            <w:r>
              <w:rPr>
                <w:rFonts w:ascii="Times New Roman" w:hAnsi="Times New Roman" w:cs="Times New Roman"/>
                <w:kern w:val="2"/>
                <w:sz w:val="21"/>
                <w:szCs w:val="21"/>
                <w:highlight w:val="none"/>
              </w:rPr>
              <w:t>环境风险防控</w:t>
            </w:r>
          </w:p>
        </w:tc>
        <w:tc>
          <w:tcPr>
            <w:tcW w:w="1361" w:type="pct"/>
            <w:tcBorders>
              <w:tl2br w:val="nil"/>
              <w:tr2bl w:val="nil"/>
            </w:tcBorders>
            <w:noWrap w:val="0"/>
            <w:vAlign w:val="center"/>
          </w:tcPr>
          <w:p w14:paraId="29B234AA">
            <w:pPr>
              <w:widowControl/>
              <w:jc w:val="both"/>
              <w:rPr>
                <w:rFonts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lang w:val="en-US" w:eastAsia="zh-CN"/>
              </w:rPr>
              <w:t>/</w:t>
            </w:r>
          </w:p>
        </w:tc>
        <w:tc>
          <w:tcPr>
            <w:tcW w:w="1403" w:type="pct"/>
            <w:vMerge w:val="continue"/>
            <w:tcBorders>
              <w:tl2br w:val="nil"/>
              <w:tr2bl w:val="nil"/>
            </w:tcBorders>
            <w:noWrap w:val="0"/>
            <w:vAlign w:val="center"/>
          </w:tcPr>
          <w:p w14:paraId="44D7EB77">
            <w:pPr>
              <w:widowControl w:val="0"/>
              <w:jc w:val="center"/>
              <w:rPr>
                <w:rFonts w:ascii="Times New Roman" w:hAnsi="Times New Roman" w:cs="Times New Roman"/>
                <w:color w:val="000000"/>
                <w:kern w:val="2"/>
                <w:sz w:val="21"/>
                <w:szCs w:val="21"/>
                <w:highlight w:val="none"/>
              </w:rPr>
            </w:pPr>
          </w:p>
        </w:tc>
      </w:tr>
      <w:tr w14:paraId="46105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1291" w:type="pct"/>
            <w:vMerge w:val="continue"/>
            <w:tcBorders>
              <w:tl2br w:val="nil"/>
              <w:tr2bl w:val="nil"/>
            </w:tcBorders>
            <w:noWrap w:val="0"/>
            <w:vAlign w:val="center"/>
          </w:tcPr>
          <w:p w14:paraId="46C4EBFB">
            <w:pPr>
              <w:widowControl w:val="0"/>
              <w:jc w:val="center"/>
              <w:rPr>
                <w:rFonts w:ascii="Times New Roman" w:hAnsi="Times New Roman" w:cs="Times New Roman"/>
                <w:color w:val="000000"/>
                <w:kern w:val="2"/>
                <w:sz w:val="21"/>
                <w:szCs w:val="21"/>
                <w:highlight w:val="none"/>
              </w:rPr>
            </w:pPr>
          </w:p>
        </w:tc>
        <w:tc>
          <w:tcPr>
            <w:tcW w:w="307" w:type="pct"/>
            <w:vMerge w:val="continue"/>
            <w:tcBorders>
              <w:tl2br w:val="nil"/>
              <w:tr2bl w:val="nil"/>
            </w:tcBorders>
            <w:noWrap w:val="0"/>
            <w:vAlign w:val="center"/>
          </w:tcPr>
          <w:p w14:paraId="69AD721B">
            <w:pPr>
              <w:widowControl w:val="0"/>
              <w:jc w:val="center"/>
              <w:rPr>
                <w:rFonts w:ascii="Times New Roman" w:hAnsi="Times New Roman" w:cs="Times New Roman"/>
                <w:color w:val="000000"/>
                <w:kern w:val="0"/>
                <w:sz w:val="21"/>
                <w:szCs w:val="21"/>
                <w:highlight w:val="none"/>
              </w:rPr>
            </w:pPr>
          </w:p>
        </w:tc>
        <w:tc>
          <w:tcPr>
            <w:tcW w:w="307" w:type="pct"/>
            <w:vMerge w:val="continue"/>
            <w:tcBorders>
              <w:tl2br w:val="nil"/>
              <w:tr2bl w:val="nil"/>
            </w:tcBorders>
            <w:noWrap w:val="0"/>
            <w:vAlign w:val="center"/>
          </w:tcPr>
          <w:p w14:paraId="32987273">
            <w:pPr>
              <w:widowControl w:val="0"/>
              <w:jc w:val="center"/>
              <w:rPr>
                <w:rFonts w:ascii="Times New Roman" w:hAnsi="Times New Roman" w:cs="Times New Roman"/>
                <w:color w:val="000000"/>
                <w:kern w:val="2"/>
                <w:sz w:val="21"/>
                <w:szCs w:val="21"/>
                <w:highlight w:val="none"/>
              </w:rPr>
            </w:pPr>
          </w:p>
        </w:tc>
        <w:tc>
          <w:tcPr>
            <w:tcW w:w="328" w:type="pct"/>
            <w:tcBorders>
              <w:tl2br w:val="nil"/>
              <w:tr2bl w:val="nil"/>
            </w:tcBorders>
            <w:noWrap w:val="0"/>
            <w:vAlign w:val="center"/>
          </w:tcPr>
          <w:p w14:paraId="52DA160B">
            <w:pPr>
              <w:widowControl w:val="0"/>
              <w:spacing w:line="0" w:lineRule="atLeast"/>
              <w:contextualSpacing/>
              <w:jc w:val="center"/>
              <w:rPr>
                <w:rFonts w:ascii="Times New Roman" w:hAnsi="Times New Roman" w:cs="Times New Roman"/>
                <w:kern w:val="2"/>
                <w:sz w:val="21"/>
                <w:szCs w:val="21"/>
                <w:highlight w:val="none"/>
              </w:rPr>
            </w:pPr>
            <w:r>
              <w:rPr>
                <w:rFonts w:ascii="Times New Roman" w:hAnsi="Times New Roman" w:cs="Times New Roman"/>
                <w:kern w:val="2"/>
                <w:sz w:val="21"/>
                <w:szCs w:val="21"/>
                <w:highlight w:val="none"/>
              </w:rPr>
              <w:t>资源开发效率要求</w:t>
            </w:r>
          </w:p>
        </w:tc>
        <w:tc>
          <w:tcPr>
            <w:tcW w:w="1361" w:type="pct"/>
            <w:tcBorders>
              <w:tl2br w:val="nil"/>
              <w:tr2bl w:val="nil"/>
            </w:tcBorders>
            <w:noWrap w:val="0"/>
            <w:vAlign w:val="center"/>
          </w:tcPr>
          <w:p w14:paraId="6755926F">
            <w:pPr>
              <w:widowControl w:val="0"/>
              <w:wordWrap w:val="0"/>
              <w:jc w:val="left"/>
              <w:rPr>
                <w:rFonts w:ascii="Times New Roman" w:hAnsi="Times New Roman" w:cs="Times New Roman"/>
                <w:color w:val="000000"/>
                <w:kern w:val="0"/>
                <w:sz w:val="21"/>
                <w:szCs w:val="21"/>
                <w:highlight w:val="none"/>
                <w:lang w:bidi="ar"/>
              </w:rPr>
            </w:pPr>
            <w:r>
              <w:rPr>
                <w:rFonts w:hint="eastAsia" w:ascii="Times New Roman" w:hAnsi="Times New Roman" w:cs="Times New Roman"/>
                <w:color w:val="444444"/>
                <w:kern w:val="0"/>
                <w:sz w:val="21"/>
                <w:szCs w:val="20"/>
                <w:highlight w:val="none"/>
                <w:shd w:val="clear" w:color="auto" w:fill="FFFFFF"/>
                <w:lang w:val="en-US" w:eastAsia="zh-CN"/>
              </w:rPr>
              <w:t>/</w:t>
            </w:r>
          </w:p>
        </w:tc>
        <w:tc>
          <w:tcPr>
            <w:tcW w:w="1403" w:type="pct"/>
            <w:vMerge w:val="continue"/>
            <w:tcBorders>
              <w:tl2br w:val="nil"/>
              <w:tr2bl w:val="nil"/>
            </w:tcBorders>
            <w:noWrap w:val="0"/>
            <w:vAlign w:val="center"/>
          </w:tcPr>
          <w:p w14:paraId="270FC40E">
            <w:pPr>
              <w:widowControl w:val="0"/>
              <w:jc w:val="center"/>
              <w:rPr>
                <w:rFonts w:ascii="Times New Roman" w:hAnsi="Times New Roman" w:cs="Times New Roman"/>
                <w:color w:val="000000"/>
                <w:kern w:val="2"/>
                <w:sz w:val="21"/>
                <w:szCs w:val="21"/>
                <w:highlight w:val="none"/>
              </w:rPr>
            </w:pPr>
          </w:p>
        </w:tc>
      </w:tr>
    </w:tbl>
    <w:p w14:paraId="2CF3A76D">
      <w:pPr>
        <w:pStyle w:val="37"/>
        <w:rPr>
          <w:rFonts w:hint="default" w:ascii="Times New Roman" w:hAnsi="Times New Roman" w:eastAsia="宋体" w:cs="Times New Roman"/>
          <w:color w:val="auto"/>
          <w:highlight w:val="none"/>
          <w:lang w:eastAsia="zh-CN"/>
        </w:rPr>
      </w:pPr>
    </w:p>
    <w:p w14:paraId="1033F22F">
      <w:pPr>
        <w:rPr>
          <w:rFonts w:hint="default" w:ascii="Times New Roman" w:hAnsi="Times New Roman" w:eastAsia="宋体" w:cs="Times New Roman"/>
          <w:color w:val="auto"/>
          <w:highlight w:val="none"/>
          <w:lang w:eastAsia="zh-CN"/>
        </w:rPr>
        <w:sectPr>
          <w:footerReference r:id="rId11"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7729AAD2">
      <w:pPr>
        <w:pStyle w:val="7"/>
        <w:spacing w:before="0" w:after="0" w:line="360" w:lineRule="auto"/>
        <w:ind w:firstLine="0" w:firstLineChars="0"/>
        <w:rPr>
          <w:rFonts w:hint="eastAsia" w:ascii="Times New Roman" w:hAnsi="Times New Roman" w:eastAsia="宋体" w:cs="Times New Roman"/>
          <w:b/>
          <w:bCs/>
          <w:color w:val="auto"/>
          <w:sz w:val="24"/>
          <w:szCs w:val="24"/>
          <w:highlight w:val="none"/>
          <w:lang w:eastAsia="zh-CN"/>
        </w:rPr>
      </w:pPr>
      <w:bookmarkStart w:id="50" w:name="_Toc31652"/>
      <w:bookmarkStart w:id="51" w:name="_Toc32065"/>
      <w:bookmarkStart w:id="52" w:name="_Toc20735"/>
      <w:bookmarkStart w:id="53" w:name="_Toc17808"/>
      <w:r>
        <w:rPr>
          <w:rFonts w:hint="default" w:ascii="Times New Roman" w:hAnsi="Times New Roman" w:eastAsia="宋体" w:cs="Times New Roman"/>
          <w:b/>
          <w:bCs/>
          <w:color w:val="auto"/>
          <w:sz w:val="24"/>
          <w:szCs w:val="24"/>
          <w:highlight w:val="none"/>
        </w:rPr>
        <w:t>1.4.4选址合理性分析</w:t>
      </w:r>
      <w:bookmarkEnd w:id="50"/>
      <w:bookmarkEnd w:id="51"/>
      <w:bookmarkEnd w:id="52"/>
      <w:bookmarkEnd w:id="53"/>
    </w:p>
    <w:p w14:paraId="0A913197">
      <w:pPr>
        <w:pStyle w:val="268"/>
        <w:adjustRightInd/>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1.4.4.1与《畜禽规模养殖污染防治条例》（国务院令第643号）第二章第十一条的合理性分析</w:t>
      </w:r>
    </w:p>
    <w:p w14:paraId="7AD7034A">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《畜禽规模养殖污染防治条例》（国务院令第643号）第二章第十一条要求：</w:t>
      </w:r>
    </w:p>
    <w:p w14:paraId="33A2ADBD">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禁止在下列区域内建设畜禽养殖场、养殖小区：饮用水水源保护区，风景名胜区；自然保护区的核心区和缓冲区；城镇居民区、文化教育科学研究区等人口集中区域；法律、法规规定的其他禁止养殖区域。</w:t>
      </w:r>
    </w:p>
    <w:p w14:paraId="5F80BF59">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本项目的选址不属于当地政府划定的“敏感区”和“禁养区”，不涉及自然保护区、风景名胜区等环境敏感区域。拟建养殖基地建设布局在设计阶段进行了合理规划。</w:t>
      </w:r>
    </w:p>
    <w:p w14:paraId="0586DBE7">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因此，本项目的建设符合《畜禽规模养殖污染防治条例》的相关规定，本项目的选址较为合理。</w:t>
      </w:r>
    </w:p>
    <w:p w14:paraId="64854E06">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1.4.4.2与《畜禽养殖业污染防治技术规范》（HJ/T81-2001）的合理性分析</w:t>
      </w:r>
    </w:p>
    <w:p w14:paraId="07BDDBFB">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禁止在下列区域内建设畜禽养殖场：生活饮用水水源保护区，风景名胜区、自然保护区的核心区和缓冲区；城市和城镇居民区，包括文教科研区、医疗区、商业区、工业区、游览区等人口集中地区；县级人民政府依法划定的禁养区域；国家或地方法律、法规规定需特殊保护的其他区域。</w:t>
      </w:r>
    </w:p>
    <w:p w14:paraId="1CAAA5DA">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新建改建、扩建的畜禽养殖场选址应避开以上禁建区域。在禁建区域附近建设的，应设在禁建区域常年主导风向的下风向或侧风向处，场界与禁建区域边界的最小距离不得小于500m。</w:t>
      </w:r>
    </w:p>
    <w:p w14:paraId="47885C7D">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粪污储存设施的位置必须远离各类功能地表水体（距离不得小于400m），并应设在养殖场生产及生活管理区的常年主导风向的下风向或侧风向处。</w:t>
      </w:r>
    </w:p>
    <w:p w14:paraId="0313BB2A">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本项目的选址位于</w:t>
      </w:r>
      <w:r>
        <w:rPr>
          <w:rFonts w:hint="eastAsia" w:asci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w:t>
      </w:r>
      <w:r>
        <w:rPr>
          <w:rFonts w:hint="default" w:ascii="Times New Roman" w:hAnsi="Times New Roman" w:cs="Times New Roman"/>
          <w:color w:val="auto"/>
          <w:sz w:val="24"/>
          <w:highlight w:val="none"/>
        </w:rPr>
        <w:t>中心地理坐标：</w:t>
      </w:r>
      <w:r>
        <w:rPr>
          <w:rFonts w:hint="default" w:ascii="Times New Roman" w:hAnsi="Times New Roman" w:cs="Times New Roman"/>
          <w:color w:val="auto"/>
          <w:sz w:val="24"/>
          <w:highlight w:val="none"/>
          <w:lang w:val="zh-CN"/>
        </w:rPr>
        <w:t>东经132°10′34.521″，北纬45°34′7.14</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val="zh-CN"/>
        </w:rPr>
        <w:t>″</w:t>
      </w:r>
      <w:r>
        <w:rPr>
          <w:rFonts w:hint="default" w:ascii="Times New Roman" w:hAnsi="Times New Roman" w:eastAsia="宋体" w:cs="Times New Roman"/>
          <w:color w:val="auto"/>
          <w:highlight w:val="none"/>
        </w:rPr>
        <w:t>。距离本项目距离本项目最近的敏感点为本项目</w:t>
      </w:r>
      <w:r>
        <w:rPr>
          <w:rFonts w:hint="default" w:ascii="Times New Roman" w:hAnsi="Times New Roman" w:eastAsia="宋体" w:cs="Times New Roman"/>
          <w:color w:val="auto"/>
          <w:highlight w:val="none"/>
          <w:lang w:val="en-US" w:eastAsia="zh-CN"/>
        </w:rPr>
        <w:t>东南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val="en-US" w:eastAsia="zh-CN"/>
        </w:rPr>
        <w:t>578</w:t>
      </w:r>
      <w:r>
        <w:rPr>
          <w:rFonts w:hint="default" w:ascii="Times New Roman" w:hAnsi="Times New Roman" w:eastAsia="宋体" w:cs="Times New Roman"/>
          <w:color w:val="auto"/>
          <w:highlight w:val="none"/>
        </w:rPr>
        <w:t>m处的</w:t>
      </w:r>
      <w:r>
        <w:rPr>
          <w:rFonts w:hint="default" w:ascii="Times New Roman" w:hAnsi="Times New Roman" w:eastAsia="宋体" w:cs="Times New Roman"/>
          <w:color w:val="auto"/>
          <w:highlight w:val="none"/>
          <w:lang w:val="en-US" w:eastAsia="zh-CN"/>
        </w:rPr>
        <w:t>团结村四组</w:t>
      </w:r>
      <w:r>
        <w:rPr>
          <w:rFonts w:hint="default" w:ascii="Times New Roman" w:hAnsi="Times New Roman" w:eastAsia="宋体" w:cs="Times New Roman"/>
          <w:color w:val="auto"/>
          <w:highlight w:val="none"/>
        </w:rPr>
        <w:t>。本项目周围400m范围内无功能地表水体。</w:t>
      </w:r>
    </w:p>
    <w:p w14:paraId="7B9AC9F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方式进行清粪，</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eastAsia" w:ascii="Times New Roman" w:hAnsi="Times New Roman"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；沼气采用干式脱硫后火炬直接燃烧排放，实现了养殖废弃物综合利用。</w:t>
      </w:r>
    </w:p>
    <w:p w14:paraId="6CA4BE30">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根据《畜禽粪污土地承载力测算技术指南》计算可知，本项目养殖基地所需配套土地面积为</w:t>
      </w:r>
      <w:r>
        <w:rPr>
          <w:rFonts w:hint="eastAsia" w:ascii="Times New Roman" w:hAnsi="Times New Roman" w:cs="Times New Roman"/>
          <w:color w:val="auto"/>
          <w:sz w:val="24"/>
          <w:highlight w:val="none"/>
          <w:lang w:eastAsia="zh-CN"/>
        </w:rPr>
        <w:t>13914</w:t>
      </w:r>
      <w:r>
        <w:rPr>
          <w:rFonts w:hint="default" w:ascii="Times New Roman" w:hAnsi="Times New Roman" w:eastAsia="宋体" w:cs="Times New Roman"/>
          <w:color w:val="auto"/>
          <w:sz w:val="24"/>
          <w:highlight w:val="none"/>
        </w:rPr>
        <w:t>亩。项目与</w:t>
      </w:r>
      <w:r>
        <w:rPr>
          <w:rFonts w:hint="eastAsia" w:ascii="Times New Roman" w:hAnsi="Times New Roman" w:cs="Times New Roman"/>
          <w:color w:val="auto"/>
          <w:sz w:val="24"/>
          <w:highlight w:val="none"/>
          <w:lang w:val="en-US" w:eastAsia="zh-CN"/>
        </w:rPr>
        <w:t>村委会</w:t>
      </w:r>
      <w:r>
        <w:rPr>
          <w:rFonts w:hint="default" w:ascii="Times New Roman" w:hAnsi="Times New Roman" w:eastAsia="宋体" w:cs="Times New Roman"/>
          <w:color w:val="auto"/>
          <w:sz w:val="24"/>
          <w:highlight w:val="none"/>
        </w:rPr>
        <w:t>签订</w:t>
      </w:r>
      <w:r>
        <w:rPr>
          <w:rFonts w:hint="default" w:ascii="Times New Roman" w:hAnsi="Times New Roman" w:eastAsia="宋体" w:cs="Times New Roman"/>
          <w:color w:val="auto"/>
          <w:sz w:val="24"/>
          <w:highlight w:val="none"/>
          <w:lang w:val="en-US" w:eastAsia="zh-CN"/>
        </w:rPr>
        <w:t>的</w:t>
      </w:r>
      <w:r>
        <w:rPr>
          <w:rFonts w:hint="eastAsia" w:ascii="Times New Roman" w:hAnsi="Times New Roman" w:cs="Times New Roman"/>
          <w:color w:val="auto"/>
          <w:sz w:val="24"/>
          <w:highlight w:val="none"/>
          <w:lang w:eastAsia="zh-CN"/>
        </w:rPr>
        <w:t>15130亩</w:t>
      </w:r>
      <w:r>
        <w:rPr>
          <w:rFonts w:hint="default" w:ascii="Times New Roman" w:hAnsi="Times New Roman" w:eastAsia="宋体" w:cs="Times New Roman"/>
          <w:color w:val="auto"/>
          <w:sz w:val="24"/>
          <w:highlight w:val="none"/>
        </w:rPr>
        <w:t>农田</w:t>
      </w:r>
      <w:r>
        <w:rPr>
          <w:rFonts w:hint="default" w:ascii="Times New Roman" w:hAnsi="Times New Roman" w:eastAsia="宋体" w:cs="Times New Roman"/>
          <w:color w:val="auto"/>
          <w:sz w:val="24"/>
          <w:highlight w:val="none"/>
          <w:lang w:val="en-US" w:eastAsia="zh-CN"/>
        </w:rPr>
        <w:t>完全具备本项目产生的</w:t>
      </w:r>
      <w:r>
        <w:rPr>
          <w:rFonts w:hint="default" w:ascii="Times New Roman" w:hAnsi="Times New Roman" w:eastAsia="宋体" w:cs="Times New Roman"/>
          <w:color w:val="auto"/>
          <w:sz w:val="24"/>
          <w:highlight w:val="none"/>
        </w:rPr>
        <w:t>畜禽粪污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沼液和</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rPr>
        <w:t>承载力，故可以消纳项目产生的</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，且具有一定的轮作能力，可见受纳土地容量足够。从土地消纳容量角度分析，项目运营产生的沼液、</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用于农田施肥，具有土地消纳可行性。</w:t>
      </w:r>
      <w:r>
        <w:rPr>
          <w:rFonts w:hint="default" w:ascii="Times New Roman" w:hAnsi="Times New Roman" w:cs="Times New Roman"/>
          <w:color w:val="auto"/>
          <w:kern w:val="24"/>
          <w:highlight w:val="none"/>
        </w:rPr>
        <w:t>沼液施用于玉米地</w:t>
      </w:r>
      <w:r>
        <w:rPr>
          <w:rFonts w:hint="eastAsia" w:ascii="Times New Roman" w:hAnsi="Times New Roman" w:cs="Times New Roman"/>
          <w:color w:val="auto"/>
          <w:kern w:val="24"/>
          <w:highlight w:val="none"/>
          <w:lang w:eastAsia="zh-CN"/>
        </w:rPr>
        <w:t>，</w:t>
      </w:r>
      <w:r>
        <w:rPr>
          <w:rFonts w:hint="default" w:ascii="Times New Roman" w:hAnsi="Times New Roman" w:eastAsia="宋体" w:cs="Times New Roman"/>
          <w:color w:val="auto"/>
          <w:sz w:val="24"/>
          <w:highlight w:val="none"/>
        </w:rPr>
        <w:t>本项目施肥季节</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w:t>
      </w:r>
      <w:r>
        <w:rPr>
          <w:rFonts w:hint="default" w:ascii="Times New Roman" w:hAnsi="Times New Roman" w:eastAsia="宋体" w:cs="Times New Roman"/>
          <w:color w:val="auto"/>
          <w:sz w:val="24"/>
          <w:highlight w:val="none"/>
        </w:rPr>
        <w:t>。本次环评提出粪污消纳区域应远离饮用水井，避免生物肥淋溶入地下水对饮用水造成污染。</w:t>
      </w:r>
    </w:p>
    <w:p w14:paraId="5F34F301">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本项目拟定</w:t>
      </w:r>
      <w:r>
        <w:rPr>
          <w:rFonts w:hint="default" w:ascii="Times New Roman" w:hAnsi="Times New Roman" w:eastAsia="宋体" w:cs="Times New Roman"/>
          <w:color w:val="auto"/>
          <w:sz w:val="24"/>
          <w:highlight w:val="none"/>
          <w:lang w:val="en-US" w:eastAsia="zh-CN"/>
        </w:rPr>
        <w:t>沼液和固体粪污</w:t>
      </w:r>
      <w:r>
        <w:rPr>
          <w:rFonts w:hint="default" w:ascii="Times New Roman" w:hAnsi="Times New Roman" w:eastAsia="宋体" w:cs="Times New Roman"/>
          <w:color w:val="auto"/>
          <w:sz w:val="24"/>
          <w:highlight w:val="none"/>
        </w:rPr>
        <w:t>消纳土地位于项目厂界</w:t>
      </w:r>
      <w:r>
        <w:rPr>
          <w:rFonts w:hint="default" w:ascii="Times New Roman" w:hAnsi="Times New Roman" w:eastAsia="宋体" w:cs="Times New Roman"/>
          <w:color w:val="auto"/>
          <w:sz w:val="24"/>
          <w:highlight w:val="none"/>
          <w:lang w:val="en-US" w:eastAsia="zh-CN"/>
        </w:rPr>
        <w:t>四周</w:t>
      </w:r>
      <w:r>
        <w:rPr>
          <w:rFonts w:hint="eastAsia" w:ascii="Times New Roman" w:hAnsi="Times New Roman" w:cs="Times New Roman"/>
          <w:color w:val="auto"/>
          <w:sz w:val="24"/>
          <w:highlight w:val="none"/>
          <w:lang w:val="en-US" w:eastAsia="zh-CN"/>
        </w:rPr>
        <w:t>最远距离本厂区直线距离3.7km</w:t>
      </w:r>
      <w:r>
        <w:rPr>
          <w:rFonts w:hint="default" w:ascii="Times New Roman" w:hAnsi="Times New Roman" w:eastAsia="宋体" w:cs="Times New Roman"/>
          <w:color w:val="auto"/>
          <w:sz w:val="24"/>
          <w:highlight w:val="none"/>
        </w:rPr>
        <w:t>，均为旱田，主要种植玉米作物，消纳区域200m范围内无地表水体。</w:t>
      </w:r>
      <w:r>
        <w:rPr>
          <w:rFonts w:hint="default" w:ascii="Times New Roman" w:hAnsi="Times New Roman" w:eastAsia="宋体" w:cs="Times New Roman"/>
          <w:color w:val="auto"/>
          <w:sz w:val="24"/>
          <w:highlight w:val="none"/>
          <w:lang w:val="en-US" w:eastAsia="zh-CN"/>
        </w:rPr>
        <w:t>还田单位周边无水坑、地表径流，粪污不会进入地表水体。</w:t>
      </w:r>
      <w:r>
        <w:rPr>
          <w:rFonts w:hint="default" w:ascii="Times New Roman" w:hAnsi="Times New Roman" w:eastAsia="宋体" w:cs="Times New Roman"/>
          <w:color w:val="auto"/>
          <w:sz w:val="24"/>
          <w:highlight w:val="none"/>
        </w:rPr>
        <w:t>周边有足够轮作土地面积，从土地消纳容量角度分析，项目营运期产生的沼液施用于农田，具有土地消纳可行性。</w:t>
      </w:r>
    </w:p>
    <w:p w14:paraId="132DA98A">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因此，本项目的建设符合《畜禽养殖业污染防治技术规范》（HJ/T81-2001）的相关规定，本项目的选址较为合理。</w:t>
      </w:r>
    </w:p>
    <w:p w14:paraId="1C0E0DAC">
      <w:pPr>
        <w:pStyle w:val="268"/>
        <w:adjustRightInd/>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1.4.4.</w:t>
      </w:r>
      <w:r>
        <w:rPr>
          <w:rFonts w:hint="eastAsia" w:ascii="Times New Roman" w:cs="Times New Roman"/>
          <w:b/>
          <w:bCs/>
          <w:color w:val="auto"/>
          <w:highlight w:val="none"/>
          <w:lang w:val="en-US" w:eastAsia="zh-CN"/>
        </w:rPr>
        <w:t>3</w:t>
      </w:r>
      <w:r>
        <w:rPr>
          <w:rFonts w:hint="default" w:ascii="Times New Roman" w:hAnsi="Times New Roman" w:eastAsia="宋体" w:cs="Times New Roman"/>
          <w:b/>
          <w:bCs/>
          <w:color w:val="auto"/>
          <w:highlight w:val="none"/>
          <w:lang w:val="zh-CN"/>
        </w:rPr>
        <w:t>与《鸡西市人民政府办公室印发鸡西市畜禽养殖禁养区划定方案的通知》的符合性分析</w:t>
      </w:r>
    </w:p>
    <w:p w14:paraId="3CD894EE">
      <w:pPr>
        <w:pStyle w:val="268"/>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禁养区划定范围</w:t>
      </w:r>
    </w:p>
    <w:p w14:paraId="1F7EDFC6">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（一）畜禽禁养区。指按照法律、法规、行政规章等规定，县级以上地方人民政府依法划定的，禁止建设规模化畜禽养殖场（小区）和畜禽养殖专业户的区域。</w:t>
      </w:r>
    </w:p>
    <w:p w14:paraId="6F57AC3D">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（二）畜禽养殖场、养殖小区。畜禽养殖场是指达到省政府确定的养殖规模标准的畜禽集中饲养场所。</w:t>
      </w:r>
    </w:p>
    <w:p w14:paraId="353DB2FE">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黑龙江省畜禽禁养区划定技术指南》规定规模化畜禽养殖场养殖规模标准为：生猪（出栏）≥500头；奶牛（存栏）≥100头；肉牛（出栏）≥100头；蛋鸡（存栏）≥1万羽；肉鸡（出栏）≥5万羽。其他畜禽种类标准由各地根据所辖区行业实际情况和环境管理要求提出意见，报省畜牧兽医、环保部门确定。</w:t>
      </w:r>
    </w:p>
    <w:p w14:paraId="3DDAD744">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畜禽养殖专业户：500头&gt;生猪（出栏）≥50头；100头&gt;奶牛（存栏）≥5头；100头&gt;肉牛（出栏）≥10头；1万羽&gt;蛋鸡（存栏）≥500羽；5万羽&gt;肉鸡（出栏）≥2000羽。其他畜禽种类标准由各地根据所辖区行业实际情况和环境管理要求提出意见，报省畜牧兽医、环保部门确定。</w:t>
      </w:r>
    </w:p>
    <w:p w14:paraId="203E6B3C">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三）畜禽禁养区范围。依法划定的畜禽禁养区区域分四大类，第一类为饮用水水源保护区，包括饮用水水源一级保护区和二级保护区的陆域范围。第二类为自然保护区的核心区、缓冲区，包括国家级和地方级自然保护区。第三类为风景名胜区。第四类为城镇居民区和文化教育科学研究区。</w:t>
      </w:r>
    </w:p>
    <w:p w14:paraId="10CD6761">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我市下辖三县（市）六区，辖区总面积22494.48平方公里，全市共划定禁养区总面积为2678.3389平方公里，约占我市总面积的11.91%，全市依法划定畜禽养殖禁养区范围如下：</w:t>
      </w:r>
    </w:p>
    <w:p w14:paraId="3286FCEA">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1.饮用水水源保护区。包括饮用水源一级保护区和二级保护区的陆域范围。已完成饮用水水源保护区划分的，按照现有陆域边界范围执行，未完成饮用水水源保护区划分的，按照《饮用水水源保护区划分技术规范》（HJ/T338-2007）中各类型饮用水水源保护区划分方法执行。</w:t>
      </w:r>
    </w:p>
    <w:p w14:paraId="7354DF64">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全市共划分饮用水水源保护区禁养区73个，面积622.9010平方公里。其中，市本级18个，面积216.5691平方公里；鸡东县18个，面积370.7528平方公里；密山市26个，面积25.1744平方公里；虎林市11个，面积10.4047平方公里。 </w:t>
      </w:r>
    </w:p>
    <w:p w14:paraId="4D6444AF">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2.自然保护区。包括国家级和地方级自然保护区核心区和缓冲区，按照国务院及县级以上地方人民政府公布的自然保护区范围执行。</w:t>
      </w:r>
    </w:p>
    <w:p w14:paraId="180091F6">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全市共划分自然保护区禁养区6个，面积1417.576平方公里。其中，鸡东县2个，面积233.1160平方公里；密山市2个，面积704.77平方公里；虎林市2个，面积479.69平方公里。</w:t>
      </w:r>
    </w:p>
    <w:p w14:paraId="6D9E3965">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3.风景名胜区。包括国家级和省级风景名胜区，以国务院及省政府批准公布的名单为准，范围按照其规划确定的范围执行。</w:t>
      </w:r>
    </w:p>
    <w:p w14:paraId="6C3B0555">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全市共划分风景名胜区禁养区6个，面积547.0690平方公里。其中，鸡东县2个，面积62平方公里；密山市2个，面积191.9849平方公里；虎林市2个，面积293.0841平方公里。</w:t>
      </w:r>
    </w:p>
    <w:p w14:paraId="25B76B09">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4.城镇居民区和文化教育科学研究区。根据城镇现行总体规划，动物防疫条件、卫生防护和大气环境保护距离等要求，因地制宜，兼顾城镇发展，科学设置边界范围。</w:t>
      </w:r>
    </w:p>
    <w:p w14:paraId="460DAC19">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全市共划分城镇居民区禁养区9个，面积90.7929平方公里。其中，市本级6个，面积33.0525平方公里；鸡东县1个，面积12.7490平方公里；密山市1个，面积25.5073平方公里；虎林市1个，面积19.4841平方公里。</w:t>
      </w:r>
    </w:p>
    <w:p w14:paraId="409BBDC1">
      <w:pPr>
        <w:spacing w:line="360" w:lineRule="auto"/>
        <w:ind w:firstLine="480" w:firstLineChars="20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rPr>
        <w:t>本项目的选址位于</w:t>
      </w:r>
      <w:r>
        <w:rPr>
          <w:rFonts w:hint="default" w:ascii="Times New Roman" w:hAnsi="Times New Roman" w:eastAsia="宋体" w:cs="Times New Roman"/>
          <w:color w:val="auto"/>
          <w:sz w:val="24"/>
          <w:highlight w:val="none"/>
          <w:lang w:eastAsia="zh-CN"/>
        </w:rPr>
        <w:t>黑龙江省鸡西市密山市柳毛乡团结村4组</w:t>
      </w:r>
      <w:r>
        <w:rPr>
          <w:rFonts w:hint="default" w:ascii="Times New Roman" w:hAnsi="Times New Roman" w:eastAsia="宋体" w:cs="Times New Roman"/>
          <w:color w:val="auto"/>
          <w:sz w:val="24"/>
          <w:highlight w:val="none"/>
        </w:rPr>
        <w:t>。中心地理坐标：</w:t>
      </w:r>
      <w:r>
        <w:rPr>
          <w:rFonts w:hint="default" w:ascii="Times New Roman" w:hAnsi="Times New Roman" w:eastAsia="宋体" w:cs="Times New Roman"/>
          <w:color w:val="auto"/>
          <w:sz w:val="24"/>
          <w:highlight w:val="none"/>
          <w:lang w:val="zh-CN"/>
        </w:rPr>
        <w:t>东经132°10′34.521″，北纬45°34′7.14</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本项目场址不属于</w:t>
      </w:r>
      <w:r>
        <w:rPr>
          <w:rFonts w:hint="eastAsia" w:ascii="Times New Roman" w:hAnsi="Times New Roman" w:eastAsia="宋体" w:cs="Times New Roman"/>
          <w:color w:val="auto"/>
          <w:highlight w:val="none"/>
          <w:lang w:val="en-US" w:eastAsia="zh-CN"/>
        </w:rPr>
        <w:t>城镇居民区、学校、医院等人口集中区；本项目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所在区域环境质量达标；本项目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所在区域不属于城市规划区及周围500米范围以内的区域；本项目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不属于国道、省道及主要区级交通主干道两侧外延500米范围。</w:t>
      </w:r>
    </w:p>
    <w:p w14:paraId="37FDFD46">
      <w:pPr>
        <w:pStyle w:val="69"/>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综上，本项目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不属于</w:t>
      </w:r>
      <w:r>
        <w:rPr>
          <w:rFonts w:hint="eastAsia" w:ascii="Times New Roman" w:hAnsi="Times New Roman" w:cs="Times New Roman"/>
          <w:color w:val="auto"/>
          <w:highlight w:val="none"/>
          <w:lang w:val="en-US" w:eastAsia="zh-CN"/>
        </w:rPr>
        <w:t>鸡西市</w:t>
      </w:r>
      <w:r>
        <w:rPr>
          <w:rFonts w:hint="eastAsia" w:ascii="Times New Roman" w:hAnsi="Times New Roman" w:eastAsia="宋体" w:cs="Times New Roman"/>
          <w:color w:val="auto"/>
          <w:highlight w:val="none"/>
          <w:lang w:val="en-US" w:eastAsia="zh-CN"/>
        </w:rPr>
        <w:t>人民政府划定的禁养区范围。</w:t>
      </w:r>
    </w:p>
    <w:p w14:paraId="56718832">
      <w:pPr>
        <w:pStyle w:val="268"/>
        <w:adjustRightInd/>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1.4.4.</w:t>
      </w:r>
      <w:r>
        <w:rPr>
          <w:rFonts w:hint="eastAsia" w:ascii="Times New Roman" w:cs="Times New Roman"/>
          <w:b/>
          <w:bCs/>
          <w:color w:val="auto"/>
          <w:highlight w:val="none"/>
          <w:lang w:val="en-US" w:eastAsia="zh-CN"/>
        </w:rPr>
        <w:t>4</w:t>
      </w:r>
      <w:r>
        <w:rPr>
          <w:rFonts w:hint="default" w:ascii="Times New Roman" w:hAnsi="Times New Roman" w:eastAsia="宋体" w:cs="Times New Roman"/>
          <w:b/>
          <w:bCs/>
          <w:color w:val="auto"/>
          <w:highlight w:val="none"/>
          <w:lang w:val="zh-CN"/>
        </w:rPr>
        <w:t>与《密山市畜禽养殖污染防治规划（2023-2025）》的符合性分析</w:t>
      </w:r>
    </w:p>
    <w:p w14:paraId="103880E3">
      <w:pPr>
        <w:keepNext w:val="0"/>
        <w:keepLines w:val="0"/>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《密山市畜禽养殖污染防治规划（2023-2025）》</w:t>
      </w:r>
      <w:r>
        <w:rPr>
          <w:rFonts w:hint="eastAsia" w:ascii="Times New Roman" w:hAnsi="Times New Roman" w:cs="Times New Roman"/>
          <w:color w:val="auto"/>
          <w:kern w:val="0"/>
          <w:sz w:val="24"/>
          <w:szCs w:val="24"/>
          <w:highlight w:val="none"/>
          <w:lang w:val="en-US" w:eastAsia="zh-CN" w:bidi="ar-SA"/>
        </w:rPr>
        <w:t>中：</w:t>
      </w:r>
      <w:r>
        <w:rPr>
          <w:rFonts w:hint="eastAsia" w:ascii="Times New Roman" w:hAnsi="Times New Roman" w:eastAsia="宋体" w:cs="Times New Roman"/>
          <w:color w:val="auto"/>
          <w:kern w:val="0"/>
          <w:sz w:val="24"/>
          <w:szCs w:val="24"/>
          <w:highlight w:val="none"/>
          <w:lang w:val="en-US" w:eastAsia="zh-CN" w:bidi="ar-SA"/>
        </w:rPr>
        <w:t>1.1.2 规划编制的目的 积极推进密山市畜禽养殖业持续健康发展，逐步建立与现代化畜禽养殖业相适应的、符合区情的发展体系。通过重新划分畜禽养殖禁养区，缩减以前不符合法律法规要求的禁养区范围，促进畜禽养殖业发展，实现畜禽养殖业废弃物减量化、无害化、资源化，从源头上控制畜 禽养殖污染，饮用水源水质和自然保护区、风景名胜区 的环境质量达到国家规定的标准。1.2.1 规划指导思想 以习近平生态文明思想为指导，统筹环境保护与畜牧业发展，加快发展方式绿色转型，以种养结合为抓手，坚持政府主导、企业主体、市场化运作，完善畜禽粪污资源化利用机制，强化畜禽养殖污染防治监管，持续提升畜禽养殖污染防治水平，保护和改善环境，促进畜牧业绿色循环发展，为实施乡村振兴战略提供有力支撑。5.4污染防治要求 规模化畜禽养殖场必须建设对畜禽粪便、废水和其他固体废弃物进行收集、贮存的污染防治设施，周边有土地消纳条件的，畜禽粪便按《畜禽粪便无害化处理技术规范》（GB/T36195/2018）标准进行无害化处理</w:t>
      </w:r>
      <w:r>
        <w:rPr>
          <w:rFonts w:hint="eastAsia" w:ascii="Times New Roman" w:hAnsi="Times New Roman" w:cs="Times New Roman"/>
          <w:color w:val="auto"/>
          <w:kern w:val="0"/>
          <w:sz w:val="24"/>
          <w:szCs w:val="24"/>
          <w:highlight w:val="none"/>
          <w:lang w:val="en-US" w:eastAsia="zh-CN" w:bidi="ar-SA"/>
        </w:rPr>
        <w:t>。5.6污染防治主要任务科学规划畜禽养殖布局。各乡（镇）要根据“密山市畜牧业“十四五”发展规划”、《黑龙江省密山市畜禽禁养区划定方案》，参照密山市生态保护红线的划定结果，统筹考虑畜牧业发展的环境承载能力，科学规划畜禽养殖布局，规范畜禽养殖业发展，推进区域内的畜禽养殖企业粪污的资源化利用。新建、改建和扩建畜禽养殖场，必须符合城镇总体规划及三线一单的要求。</w:t>
      </w:r>
    </w:p>
    <w:p w14:paraId="2B88B1E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rPr>
        <w:t>本项目的选址位于</w:t>
      </w:r>
      <w:r>
        <w:rPr>
          <w:rFonts w:hint="default" w:ascii="Times New Roman" w:hAnsi="Times New Roman" w:eastAsia="宋体" w:cs="Times New Roman"/>
          <w:color w:val="auto"/>
          <w:sz w:val="24"/>
          <w:highlight w:val="none"/>
          <w:lang w:eastAsia="zh-CN"/>
        </w:rPr>
        <w:t>黑龙江省鸡西市密山市柳毛乡团结村4组</w:t>
      </w:r>
      <w:r>
        <w:rPr>
          <w:rFonts w:hint="default" w:ascii="Times New Roman" w:hAnsi="Times New Roman" w:eastAsia="宋体" w:cs="Times New Roman"/>
          <w:color w:val="auto"/>
          <w:sz w:val="24"/>
          <w:highlight w:val="none"/>
        </w:rPr>
        <w:t>。中心地理坐标：</w:t>
      </w:r>
      <w:r>
        <w:rPr>
          <w:rFonts w:hint="default" w:ascii="Times New Roman" w:hAnsi="Times New Roman" w:eastAsia="宋体" w:cs="Times New Roman"/>
          <w:color w:val="auto"/>
          <w:sz w:val="24"/>
          <w:highlight w:val="none"/>
          <w:lang w:val="zh-CN"/>
        </w:rPr>
        <w:t>东经132°10′34.521″，北纬45°34′7.14</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本项目场址不属于</w:t>
      </w:r>
      <w:r>
        <w:rPr>
          <w:rFonts w:hint="eastAsia" w:ascii="Times New Roman" w:hAnsi="Times New Roman" w:eastAsia="宋体" w:cs="Times New Roman"/>
          <w:color w:val="auto"/>
          <w:highlight w:val="none"/>
          <w:lang w:val="en-US" w:eastAsia="zh-CN"/>
        </w:rPr>
        <w:t>城镇居民区、学校、医院等人口集中区；本项目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所在区域环境质量达标；本项目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所在区域不属于城市规划区及周围500米范围以内的区域；本项目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不属于国道、省道及主要区级交通主干道两侧外延500米范围。</w:t>
      </w:r>
    </w:p>
    <w:p w14:paraId="2B5D9729">
      <w:pPr>
        <w:pStyle w:val="69"/>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综上，本项目</w:t>
      </w:r>
      <w:r>
        <w:rPr>
          <w:rFonts w:hint="eastAsia" w:ascii="Times New Roman" w:hAnsi="Times New Roman" w:cs="Times New Roman"/>
          <w:color w:val="auto"/>
          <w:sz w:val="24"/>
          <w:highlight w:val="none"/>
          <w:lang w:val="en-US" w:eastAsia="zh-CN"/>
        </w:rPr>
        <w:t>场址符合《密山市畜禽养殖污染防治规划（2023-2025）》的相关规定</w:t>
      </w:r>
      <w:r>
        <w:rPr>
          <w:rFonts w:hint="eastAsia" w:ascii="Times New Roman" w:hAnsi="Times New Roman" w:eastAsia="宋体" w:cs="Times New Roman"/>
          <w:color w:val="auto"/>
          <w:highlight w:val="none"/>
          <w:lang w:val="en-US" w:eastAsia="zh-CN"/>
        </w:rPr>
        <w:t>。</w:t>
      </w:r>
    </w:p>
    <w:p w14:paraId="63B17901">
      <w:pPr>
        <w:rPr>
          <w:rFonts w:hint="eastAsia"/>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2FBC946">
      <w:pPr>
        <w:jc w:val="center"/>
        <w:rPr>
          <w:rFonts w:hint="eastAsia" w:eastAsia="宋体"/>
          <w:highlight w:val="none"/>
          <w:lang w:eastAsia="zh-CN"/>
        </w:rPr>
      </w:pPr>
      <w:r>
        <w:rPr>
          <w:sz w:val="24"/>
          <w:highlight w:val="none"/>
        </w:rPr>
        <mc:AlternateContent>
          <mc:Choice Requires="wps">
            <w:drawing>
              <wp:anchor distT="0" distB="0" distL="114300" distR="114300" simplePos="0" relativeHeight="251710464" behindDoc="0" locked="0" layoutInCell="1" allowOverlap="1">
                <wp:simplePos x="0" y="0"/>
                <wp:positionH relativeFrom="column">
                  <wp:posOffset>713105</wp:posOffset>
                </wp:positionH>
                <wp:positionV relativeFrom="paragraph">
                  <wp:posOffset>4528820</wp:posOffset>
                </wp:positionV>
                <wp:extent cx="219075" cy="75565"/>
                <wp:effectExtent l="6350" t="6350" r="22225" b="13335"/>
                <wp:wrapNone/>
                <wp:docPr id="218" name="矩形 218"/>
                <wp:cNvGraphicFramePr/>
                <a:graphic xmlns:a="http://schemas.openxmlformats.org/drawingml/2006/main">
                  <a:graphicData uri="http://schemas.microsoft.com/office/word/2010/wordprocessingShape">
                    <wps:wsp>
                      <wps:cNvSpPr/>
                      <wps:spPr>
                        <a:xfrm>
                          <a:off x="876300" y="5789930"/>
                          <a:ext cx="219075" cy="75565"/>
                        </a:xfrm>
                        <a:prstGeom prst="rect">
                          <a:avLst/>
                        </a:prstGeom>
                        <a:noFill/>
                        <a:ln w="12700">
                          <a:solidFill>
                            <a:schemeClr val="accent2">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15pt;margin-top:356.6pt;height:5.95pt;width:17.25pt;z-index:251710464;v-text-anchor:middle;mso-width-relative:page;mso-height-relative:page;" filled="f" stroked="t" coordsize="21600,21600" o:gfxdata="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E0U9dNgAAAALAQAADwAAAAAAAAABACAAAAAi&#10;AAAAZHJzL2Rvd25yZXYueG1sUEsBAhQAFAAAAAgAh07iQI7wODJ8AgAA4wQAAA4AAAAAAAAAAQAg&#10;AAAAJwEAAGRycy9lMm9Eb2MueG1sUEsFBgAAAAAGAAYAWQEAABUGAAAAAA==&#10;">
                <v:fill on="f" focussize="0,0"/>
                <v:stroke weight="1pt" color="#953735 [2405]" joinstyle="round"/>
                <v:imagedata o:title=""/>
                <o:lock v:ext="edit" aspectratio="f"/>
              </v:rect>
            </w:pict>
          </mc:Fallback>
        </mc:AlternateContent>
      </w:r>
      <w:r>
        <w:rPr>
          <w:sz w:val="24"/>
          <w:highlight w:val="none"/>
        </w:rPr>
        <mc:AlternateContent>
          <mc:Choice Requires="wps">
            <w:drawing>
              <wp:anchor distT="0" distB="0" distL="114300" distR="114300" simplePos="0" relativeHeight="251709440" behindDoc="0" locked="0" layoutInCell="1" allowOverlap="1">
                <wp:simplePos x="0" y="0"/>
                <wp:positionH relativeFrom="column">
                  <wp:posOffset>761365</wp:posOffset>
                </wp:positionH>
                <wp:positionV relativeFrom="paragraph">
                  <wp:posOffset>4268470</wp:posOffset>
                </wp:positionV>
                <wp:extent cx="129540" cy="147955"/>
                <wp:effectExtent l="6350" t="6350" r="16510" b="17145"/>
                <wp:wrapNone/>
                <wp:docPr id="217" name="菱形 217"/>
                <wp:cNvGraphicFramePr/>
                <a:graphic xmlns:a="http://schemas.openxmlformats.org/drawingml/2006/main">
                  <a:graphicData uri="http://schemas.microsoft.com/office/word/2010/wordprocessingShape">
                    <wps:wsp>
                      <wps:cNvSpPr/>
                      <wps:spPr>
                        <a:xfrm>
                          <a:off x="909955" y="5589905"/>
                          <a:ext cx="129540" cy="147955"/>
                        </a:xfrm>
                        <a:prstGeom prst="diamond">
                          <a:avLst/>
                        </a:prstGeom>
                        <a:noFill/>
                        <a:ln w="12700">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59.95pt;margin-top:336.1pt;height:11.65pt;width:10.2pt;z-index:251709440;v-text-anchor:middle;mso-width-relative:page;mso-height-relative:page;" filled="f" stroked="t" coordsize="21600,21600" o:gfxdata="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ILtjh3AAAAAsBAAAPAAAAAAAAAAEAIAAAACIAAABkcnMvZG93&#10;bnJldi54bWxQSwECFAAUAAAACACHTuJAzqC/9W4CAADFBAAADgAAAAAAAAABACAAAAArAQAAZHJz&#10;L2Uyb0RvYy54bWxQSwUGAAAAAAYABgBZAQAACwYAAAAA&#10;">
                <v:fill on="f" focussize="0,0"/>
                <v:stroke weight="1pt" color="#C0504D [3205]" joinstyle="round"/>
                <v:imagedata o:title=""/>
                <o:lock v:ext="edit" aspectratio="f"/>
              </v:shape>
            </w:pict>
          </mc:Fallback>
        </mc:AlternateContent>
      </w:r>
      <w:r>
        <w:rPr>
          <w:sz w:val="24"/>
          <w:highlight w:val="none"/>
        </w:rPr>
        <mc:AlternateContent>
          <mc:Choice Requires="wps">
            <w:drawing>
              <wp:anchor distT="0" distB="0" distL="114300" distR="114300" simplePos="0" relativeHeight="251708416" behindDoc="0" locked="0" layoutInCell="1" allowOverlap="1">
                <wp:simplePos x="0" y="0"/>
                <wp:positionH relativeFrom="column">
                  <wp:posOffset>731520</wp:posOffset>
                </wp:positionH>
                <wp:positionV relativeFrom="paragraph">
                  <wp:posOffset>3945255</wp:posOffset>
                </wp:positionV>
                <wp:extent cx="318770" cy="0"/>
                <wp:effectExtent l="0" t="12700" r="0" b="12700"/>
                <wp:wrapNone/>
                <wp:docPr id="215" name="直接连接符 215"/>
                <wp:cNvGraphicFramePr/>
                <a:graphic xmlns:a="http://schemas.openxmlformats.org/drawingml/2006/main">
                  <a:graphicData uri="http://schemas.microsoft.com/office/word/2010/wordprocessingShape">
                    <wps:wsp>
                      <wps:cNvCnPr/>
                      <wps:spPr>
                        <a:xfrm>
                          <a:off x="0" y="0"/>
                          <a:ext cx="318770" cy="0"/>
                        </a:xfrm>
                        <a:prstGeom prst="line">
                          <a:avLst/>
                        </a:prstGeom>
                        <a:ln>
                          <a:solidFill>
                            <a:srgbClr val="B73862"/>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7.6pt;margin-top:310.65pt;height:0pt;width:25.1pt;z-index:251708416;mso-width-relative:page;mso-height-relative:page;" filled="f" stroked="t" coordsize="21600,21600" o:gfxdata="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VnjQh1wAAAAsBAAAPAAAA&#10;AAAAAAEAIAAAACIAAABkcnMvZG93bnJldi54bWxQSwECFAAUAAAACACHTuJAvj2uj90BAACeAwAA&#10;DgAAAAAAAAABACAAAAAmAQAAZHJzL2Uyb0RvYy54bWxQSwUGAAAAAAYABgBZAQAAdQUAAAAA&#10;">
                <v:fill on="f" focussize="0,0"/>
                <v:stroke weight="2pt" color="#B73862 [3204]" joinstyle="round"/>
                <v:imagedata o:title=""/>
                <o:lock v:ext="edit" aspectratio="f"/>
              </v:line>
            </w:pict>
          </mc:Fallback>
        </mc:AlternateContent>
      </w:r>
      <w:r>
        <w:rPr>
          <w:sz w:val="24"/>
          <w:highlight w:val="none"/>
        </w:rPr>
        <mc:AlternateContent>
          <mc:Choice Requires="wps">
            <w:drawing>
              <wp:anchor distT="0" distB="0" distL="114300" distR="114300" simplePos="0" relativeHeight="251707392" behindDoc="0" locked="0" layoutInCell="1" allowOverlap="1">
                <wp:simplePos x="0" y="0"/>
                <wp:positionH relativeFrom="column">
                  <wp:posOffset>612140</wp:posOffset>
                </wp:positionH>
                <wp:positionV relativeFrom="paragraph">
                  <wp:posOffset>3616325</wp:posOffset>
                </wp:positionV>
                <wp:extent cx="591185" cy="212725"/>
                <wp:effectExtent l="0" t="0" r="18415" b="15875"/>
                <wp:wrapNone/>
                <wp:docPr id="212" name="文本框 212"/>
                <wp:cNvGraphicFramePr/>
                <a:graphic xmlns:a="http://schemas.openxmlformats.org/drawingml/2006/main">
                  <a:graphicData uri="http://schemas.microsoft.com/office/word/2010/wordprocessingShape">
                    <wps:wsp>
                      <wps:cNvSpPr txBox="1"/>
                      <wps:spPr>
                        <a:xfrm>
                          <a:off x="824230" y="5191125"/>
                          <a:ext cx="591185" cy="212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FFDC94">
                            <w:pPr>
                              <w:keepNext w:val="0"/>
                              <w:keepLines w:val="0"/>
                              <w:pageBreakBefore w:val="0"/>
                              <w:widowControl/>
                              <w:kinsoku/>
                              <w:wordWrap/>
                              <w:overflowPunct/>
                              <w:topLinePunct w:val="0"/>
                              <w:bidi w:val="0"/>
                              <w:adjustRightInd/>
                              <w:snapToGrid/>
                              <w:textAlignment w:val="auto"/>
                              <w:rPr>
                                <w:color w:val="auto"/>
                              </w:rPr>
                            </w:pPr>
                            <w:r>
                              <w:rPr>
                                <w:color w:val="auto"/>
                              </w:rPr>
                              <w:drawing>
                                <wp:inline distT="0" distB="0" distL="114300" distR="114300">
                                  <wp:extent cx="411480" cy="132715"/>
                                  <wp:effectExtent l="0" t="0" r="7620" b="635"/>
                                  <wp:docPr id="2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
                                          <pic:cNvPicPr>
                                            <a:picLocks noChangeAspect="1"/>
                                          </pic:cNvPicPr>
                                        </pic:nvPicPr>
                                        <pic:blipFill>
                                          <a:blip r:embed="rId31"/>
                                          <a:stretch>
                                            <a:fillRect/>
                                          </a:stretch>
                                        </pic:blipFill>
                                        <pic:spPr>
                                          <a:xfrm>
                                            <a:off x="0" y="0"/>
                                            <a:ext cx="411480" cy="1327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2pt;margin-top:284.75pt;height:16.75pt;width:46.55pt;z-index:251707392;mso-width-relative:page;mso-height-relative:page;" filled="f" stroked="f" coordsize="21600,21600" o:gfxdata="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RHnT+NoAAAAKAQAADwAAAAAAAAAB&#10;ACAAAAAiAAAAZHJzL2Rvd25yZXYueG1sUEsBAhQAFAAAAAgAh07iQErv+iJHAgAAdAQAAA4AAAAA&#10;AAAAAQAgAAAAKQEAAGRycy9lMm9Eb2MueG1sUEsFBgAAAAAGAAYAWQEAAOIFAAAAAA==&#10;">
                <v:fill on="f" focussize="0,0"/>
                <v:stroke on="f" weight="0.5pt"/>
                <v:imagedata o:title=""/>
                <o:lock v:ext="edit" aspectratio="f"/>
                <v:textbox>
                  <w:txbxContent>
                    <w:p w14:paraId="6BFFDC94">
                      <w:pPr>
                        <w:keepNext w:val="0"/>
                        <w:keepLines w:val="0"/>
                        <w:pageBreakBefore w:val="0"/>
                        <w:widowControl/>
                        <w:kinsoku/>
                        <w:wordWrap/>
                        <w:overflowPunct/>
                        <w:topLinePunct w:val="0"/>
                        <w:bidi w:val="0"/>
                        <w:adjustRightInd/>
                        <w:snapToGrid/>
                        <w:textAlignment w:val="auto"/>
                        <w:rPr>
                          <w:color w:val="auto"/>
                        </w:rPr>
                      </w:pPr>
                      <w:r>
                        <w:rPr>
                          <w:color w:val="auto"/>
                        </w:rPr>
                        <w:drawing>
                          <wp:inline distT="0" distB="0" distL="114300" distR="114300">
                            <wp:extent cx="411480" cy="132715"/>
                            <wp:effectExtent l="0" t="0" r="7620" b="635"/>
                            <wp:docPr id="2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
                                    <pic:cNvPicPr>
                                      <a:picLocks noChangeAspect="1"/>
                                    </pic:cNvPicPr>
                                  </pic:nvPicPr>
                                  <pic:blipFill>
                                    <a:blip r:embed="rId31"/>
                                    <a:stretch>
                                      <a:fillRect/>
                                    </a:stretch>
                                  </pic:blipFill>
                                  <pic:spPr>
                                    <a:xfrm>
                                      <a:off x="0" y="0"/>
                                      <a:ext cx="411480" cy="132715"/>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703296" behindDoc="0" locked="0" layoutInCell="1" allowOverlap="1">
                <wp:simplePos x="0" y="0"/>
                <wp:positionH relativeFrom="column">
                  <wp:posOffset>739775</wp:posOffset>
                </wp:positionH>
                <wp:positionV relativeFrom="paragraph">
                  <wp:posOffset>2955925</wp:posOffset>
                </wp:positionV>
                <wp:extent cx="318770" cy="0"/>
                <wp:effectExtent l="0" t="12700" r="0" b="12700"/>
                <wp:wrapNone/>
                <wp:docPr id="206" name="直接连接符 206"/>
                <wp:cNvGraphicFramePr/>
                <a:graphic xmlns:a="http://schemas.openxmlformats.org/drawingml/2006/main">
                  <a:graphicData uri="http://schemas.microsoft.com/office/word/2010/wordprocessingShape">
                    <wps:wsp>
                      <wps:cNvCnPr/>
                      <wps:spPr>
                        <a:xfrm>
                          <a:off x="814705" y="5177790"/>
                          <a:ext cx="318770" cy="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8.25pt;margin-top:232.75pt;height:0pt;width:25.1pt;z-index:251703296;mso-width-relative:page;mso-height-relative:page;" filled="f" stroked="t" coordsize="21600,21600" o:gfxdata="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Ixs4zX&#10;AAAACwEAAA8AAAAAAAAAAQAgAAAAIgAAAGRycy9kb3ducmV2LnhtbFBLAQIUABQAAAAIAIdO4kDW&#10;X4Y56AEAAKkDAAAOAAAAAAAAAAEAIAAAACYBAABkcnMvZTJvRG9jLnhtbFBLBQYAAAAABgAGAFkB&#10;AACABQAAAAA=&#10;">
                <v:fill on="f" focussize="0,0"/>
                <v:stroke weight="2pt" color="#FFFF00 [3204]" joinstyle="round"/>
                <v:imagedata o:title=""/>
                <o:lock v:ext="edit" aspectratio="f"/>
              </v:line>
            </w:pict>
          </mc:Fallback>
        </mc:AlternateContent>
      </w:r>
      <w:r>
        <w:rPr>
          <w:sz w:val="24"/>
          <w:highlight w:val="none"/>
        </w:rPr>
        <mc:AlternateContent>
          <mc:Choice Requires="wps">
            <w:drawing>
              <wp:anchor distT="0" distB="0" distL="114300" distR="114300" simplePos="0" relativeHeight="251704320" behindDoc="0" locked="0" layoutInCell="1" allowOverlap="1">
                <wp:simplePos x="0" y="0"/>
                <wp:positionH relativeFrom="column">
                  <wp:posOffset>747395</wp:posOffset>
                </wp:positionH>
                <wp:positionV relativeFrom="paragraph">
                  <wp:posOffset>3150235</wp:posOffset>
                </wp:positionV>
                <wp:extent cx="307340" cy="0"/>
                <wp:effectExtent l="0" t="12700" r="16510" b="15875"/>
                <wp:wrapNone/>
                <wp:docPr id="207" name="直接连接符 207"/>
                <wp:cNvGraphicFramePr/>
                <a:graphic xmlns:a="http://schemas.openxmlformats.org/drawingml/2006/main">
                  <a:graphicData uri="http://schemas.microsoft.com/office/word/2010/wordprocessingShape">
                    <wps:wsp>
                      <wps:cNvCnPr/>
                      <wps:spPr>
                        <a:xfrm>
                          <a:off x="0" y="0"/>
                          <a:ext cx="307340" cy="0"/>
                        </a:xfrm>
                        <a:prstGeom prst="line">
                          <a:avLst/>
                        </a:prstGeom>
                        <a:ln>
                          <a:solidFill>
                            <a:schemeClr val="accent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8.85pt;margin-top:248.05pt;height:0pt;width:24.2pt;z-index:251704320;mso-width-relative:page;mso-height-relative:page;" filled="f" stroked="t" coordsize="21600,21600" o:gfxdata="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LHQot1QAAAAsBAAAPAAAAAAAA&#10;AAEAIAAAACIAAABkcnMvZG93bnJldi54bWxQSwECFAAUAAAACACHTuJAHHN2ldwBAACeAwAADgAA&#10;AAAAAAABACAAAAAkAQAAZHJzL2Uyb0RvYy54bWxQSwUGAAAAAAYABgBZAQAAcgUAAAAA&#10;">
                <v:fill on="f" focussize="0,0"/>
                <v:stroke weight="2pt" color="#4F81BD [3204]" joinstyle="round"/>
                <v:imagedata o:title=""/>
                <o:lock v:ext="edit" aspectratio="f"/>
              </v:line>
            </w:pict>
          </mc:Fallback>
        </mc:AlternateContent>
      </w:r>
      <w:r>
        <w:rPr>
          <w:sz w:val="24"/>
          <w:highlight w:val="none"/>
        </w:rPr>
        <mc:AlternateContent>
          <mc:Choice Requires="wps">
            <w:drawing>
              <wp:anchor distT="0" distB="0" distL="114300" distR="114300" simplePos="0" relativeHeight="251705344" behindDoc="0" locked="0" layoutInCell="1" allowOverlap="1">
                <wp:simplePos x="0" y="0"/>
                <wp:positionH relativeFrom="column">
                  <wp:posOffset>734060</wp:posOffset>
                </wp:positionH>
                <wp:positionV relativeFrom="paragraph">
                  <wp:posOffset>3338195</wp:posOffset>
                </wp:positionV>
                <wp:extent cx="318770" cy="0"/>
                <wp:effectExtent l="0" t="12700" r="0" b="12700"/>
                <wp:wrapNone/>
                <wp:docPr id="209" name="直接连接符 209"/>
                <wp:cNvGraphicFramePr/>
                <a:graphic xmlns:a="http://schemas.openxmlformats.org/drawingml/2006/main">
                  <a:graphicData uri="http://schemas.microsoft.com/office/word/2010/wordprocessingShape">
                    <wps:wsp>
                      <wps:cNvCnPr/>
                      <wps:spPr>
                        <a:xfrm>
                          <a:off x="0" y="0"/>
                          <a:ext cx="318770"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7.8pt;margin-top:262.85pt;height:0pt;width:25.1pt;z-index:251705344;mso-width-relative:page;mso-height-relative:page;" filled="f" stroked="t" coordsize="21600,21600" o:gfxdata="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BdgiBjXAAAACwEAAA8AAAAAAAAA&#10;AQAgAAAAIgAAAGRycy9kb3ducmV2LnhtbFBLAQIUABQAAAAIAIdO4kBsR20T2QEAAJ4DAAAOAAAA&#10;AAAAAAEAIAAAACYBAABkcnMvZTJvRG9jLnhtbFBLBQYAAAAABgAGAFkBAABxBQAAAAA=&#10;">
                <v:fill on="f" focussize="0,0"/>
                <v:stroke weight="2pt" color="#000000 [3213]" joinstyle="round"/>
                <v:imagedata o:title=""/>
                <o:lock v:ext="edit" aspectratio="f"/>
              </v:line>
            </w:pict>
          </mc:Fallback>
        </mc:AlternateContent>
      </w:r>
      <w:r>
        <w:rPr>
          <w:sz w:val="24"/>
          <w:highlight w:val="none"/>
        </w:rPr>
        <mc:AlternateContent>
          <mc:Choice Requires="wps">
            <w:drawing>
              <wp:anchor distT="0" distB="0" distL="114300" distR="114300" simplePos="0" relativeHeight="251706368" behindDoc="0" locked="0" layoutInCell="1" allowOverlap="1">
                <wp:simplePos x="0" y="0"/>
                <wp:positionH relativeFrom="column">
                  <wp:posOffset>740410</wp:posOffset>
                </wp:positionH>
                <wp:positionV relativeFrom="paragraph">
                  <wp:posOffset>3528695</wp:posOffset>
                </wp:positionV>
                <wp:extent cx="318770" cy="0"/>
                <wp:effectExtent l="0" t="6350" r="0" b="6350"/>
                <wp:wrapNone/>
                <wp:docPr id="211" name="直接连接符 211"/>
                <wp:cNvGraphicFramePr/>
                <a:graphic xmlns:a="http://schemas.openxmlformats.org/drawingml/2006/main">
                  <a:graphicData uri="http://schemas.microsoft.com/office/word/2010/wordprocessingShape">
                    <wps:wsp>
                      <wps:cNvCnPr/>
                      <wps:spPr>
                        <a:xfrm>
                          <a:off x="0" y="0"/>
                          <a:ext cx="318770" cy="0"/>
                        </a:xfrm>
                        <a:prstGeom prst="line">
                          <a:avLst/>
                        </a:prstGeom>
                        <a:ln w="12700">
                          <a:solidFill>
                            <a:schemeClr val="tx1">
                              <a:alpha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8.3pt;margin-top:277.85pt;height:0pt;width:25.1pt;z-index:251706368;mso-width-relative:page;mso-height-relative:page;" filled="f" stroked="t" coordsize="21600,21600" o:gfxdata="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KPoc/0wAAAAsBAAAP&#10;AAAAAAAAAAEAIAAAACIAAABkcnMvZG93bnJldi54bWxQSwECFAAUAAAACACHTuJAeaGaYOQBAAC/&#10;AwAADgAAAAAAAAABACAAAAAiAQAAZHJzL2Uyb0RvYy54bWxQSwUGAAAAAAYABgBZAQAAeAUAAAAA&#10;">
                <v:fill on="f" focussize="0,0"/>
                <v:stroke weight="1pt" color="#000000 [3213]" opacity="26214f" joinstyle="round"/>
                <v:imagedata o:title=""/>
                <o:lock v:ext="edit" aspectratio="f"/>
              </v:line>
            </w:pict>
          </mc:Fallback>
        </mc:AlternateContent>
      </w:r>
      <w:r>
        <w:rPr>
          <w:sz w:val="24"/>
          <w:highlight w:val="none"/>
        </w:rPr>
        <mc:AlternateContent>
          <mc:Choice Requires="wps">
            <w:drawing>
              <wp:anchor distT="0" distB="0" distL="114300" distR="114300" simplePos="0" relativeHeight="251702272" behindDoc="0" locked="0" layoutInCell="1" allowOverlap="1">
                <wp:simplePos x="0" y="0"/>
                <wp:positionH relativeFrom="column">
                  <wp:posOffset>544830</wp:posOffset>
                </wp:positionH>
                <wp:positionV relativeFrom="paragraph">
                  <wp:posOffset>2600325</wp:posOffset>
                </wp:positionV>
                <wp:extent cx="1586230" cy="2254885"/>
                <wp:effectExtent l="4445" t="4445" r="9525" b="7620"/>
                <wp:wrapNone/>
                <wp:docPr id="205" name="文本框 205"/>
                <wp:cNvGraphicFramePr/>
                <a:graphic xmlns:a="http://schemas.openxmlformats.org/drawingml/2006/main">
                  <a:graphicData uri="http://schemas.microsoft.com/office/word/2010/wordprocessingShape">
                    <wps:wsp>
                      <wps:cNvSpPr txBox="1"/>
                      <wps:spPr>
                        <a:xfrm>
                          <a:off x="1283335" y="5053330"/>
                          <a:ext cx="1586230" cy="22548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F0DE615">
                            <w:pPr>
                              <w:keepNext w:val="0"/>
                              <w:keepLines w:val="0"/>
                              <w:pageBreakBefore w:val="0"/>
                              <w:widowControl/>
                              <w:kinsoku/>
                              <w:wordWrap/>
                              <w:overflowPunct/>
                              <w:topLinePunct w:val="0"/>
                              <w:bidi w:val="0"/>
                              <w:adjustRightInd/>
                              <w:snapToGrid/>
                              <w:spacing w:line="240" w:lineRule="atLeast"/>
                              <w:jc w:val="center"/>
                              <w:textAlignment w:val="auto"/>
                              <w:rPr>
                                <w:rFonts w:hint="eastAsia"/>
                                <w:sz w:val="18"/>
                                <w:szCs w:val="18"/>
                                <w:lang w:val="en-US" w:eastAsia="zh-CN"/>
                              </w:rPr>
                            </w:pPr>
                            <w:r>
                              <w:rPr>
                                <w:rFonts w:hint="eastAsia"/>
                                <w:sz w:val="18"/>
                                <w:szCs w:val="18"/>
                                <w:lang w:val="en-US" w:eastAsia="zh-CN"/>
                              </w:rPr>
                              <w:t>图 例</w:t>
                            </w:r>
                          </w:p>
                          <w:p w14:paraId="446E49CB">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高速公路</w:t>
                            </w:r>
                          </w:p>
                          <w:p w14:paraId="68928A51">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省道</w:t>
                            </w:r>
                          </w:p>
                          <w:p w14:paraId="7B7D9AB6">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县道</w:t>
                            </w:r>
                          </w:p>
                          <w:p w14:paraId="7F828A6C">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其他道路</w:t>
                            </w:r>
                          </w:p>
                          <w:p w14:paraId="382C82CF">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铁路</w:t>
                            </w:r>
                          </w:p>
                          <w:p w14:paraId="73446682">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行政边界</w:t>
                            </w:r>
                          </w:p>
                          <w:p w14:paraId="1338D8FA">
                            <w:pPr>
                              <w:pStyle w:val="2"/>
                              <w:keepNext w:val="0"/>
                              <w:keepLines w:val="0"/>
                              <w:pageBreakBefore w:val="0"/>
                              <w:widowControl w:val="0"/>
                              <w:kinsoku/>
                              <w:wordWrap/>
                              <w:overflowPunct/>
                              <w:topLinePunct w:val="0"/>
                              <w:bidi w:val="0"/>
                              <w:adjustRightInd w:val="0"/>
                              <w:snapToGrid/>
                              <w:spacing w:line="240" w:lineRule="atLeast"/>
                              <w:jc w:val="left"/>
                              <w:textAlignment w:val="auto"/>
                              <w:rPr>
                                <w:rFonts w:hint="default"/>
                                <w:sz w:val="18"/>
                                <w:szCs w:val="18"/>
                                <w:lang w:val="en-US" w:eastAsia="zh-CN"/>
                              </w:rPr>
                            </w:pPr>
                            <w:r>
                              <w:rPr>
                                <w:rFonts w:hint="eastAsia"/>
                                <w:sz w:val="18"/>
                                <w:szCs w:val="18"/>
                                <w:lang w:val="en-US" w:eastAsia="zh-CN"/>
                              </w:rPr>
                              <w:t>禁养区：</w:t>
                            </w:r>
                          </w:p>
                          <w:p w14:paraId="786429FF">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自然保护区</w:t>
                            </w:r>
                          </w:p>
                          <w:p w14:paraId="3B69964B">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风景名胜区</w:t>
                            </w:r>
                          </w:p>
                          <w:p w14:paraId="58A39BA1">
                            <w:pPr>
                              <w:keepNext w:val="0"/>
                              <w:keepLines w:val="0"/>
                              <w:pageBreakBefore w:val="0"/>
                              <w:widowControl/>
                              <w:kinsoku/>
                              <w:wordWrap/>
                              <w:overflowPunct/>
                              <w:topLinePunct w:val="0"/>
                              <w:bidi w:val="0"/>
                              <w:adjustRightInd/>
                              <w:snapToGrid/>
                              <w:spacing w:line="240" w:lineRule="atLeast"/>
                              <w:ind w:left="0" w:leftChars="0"/>
                              <w:jc w:val="center"/>
                              <w:textAlignment w:val="auto"/>
                              <w:rPr>
                                <w:rFonts w:hint="default"/>
                                <w:sz w:val="18"/>
                                <w:szCs w:val="18"/>
                                <w:lang w:val="en-US" w:eastAsia="zh-CN"/>
                              </w:rPr>
                            </w:pPr>
                            <w:r>
                              <w:rPr>
                                <w:rFonts w:hint="eastAsia"/>
                                <w:sz w:val="18"/>
                                <w:szCs w:val="18"/>
                                <w:lang w:val="en-US" w:eastAsia="zh-CN"/>
                              </w:rPr>
                              <w:t>1：560000 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pt;margin-top:204.75pt;height:177.55pt;width:124.9pt;z-index:251702272;mso-width-relative:page;mso-height-relative:page;" fillcolor="#FFFFFF [3201]" filled="t" stroked="t" coordsize="21600,21600" o:gfxdata="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QoHMu2AAAAAoBAAAPAAAAAAAAAAEAIAAAACIAAABkcnMvZG93bnJldi54bWxQSwEC&#10;FAAUAAAACACHTuJAnem3MGYCAADIBAAADgAAAAAAAAABACAAAAAnAQAAZHJzL2Uyb0RvYy54bWxQ&#10;SwUGAAAAAAYABgBZAQAA/wUAAAAA&#10;">
                <v:fill on="t" focussize="0,0"/>
                <v:stroke weight="0.5pt" color="#000000 [3204]" joinstyle="round"/>
                <v:imagedata o:title=""/>
                <o:lock v:ext="edit" aspectratio="f"/>
                <v:textbox>
                  <w:txbxContent>
                    <w:p w14:paraId="3F0DE615">
                      <w:pPr>
                        <w:keepNext w:val="0"/>
                        <w:keepLines w:val="0"/>
                        <w:pageBreakBefore w:val="0"/>
                        <w:widowControl/>
                        <w:kinsoku/>
                        <w:wordWrap/>
                        <w:overflowPunct/>
                        <w:topLinePunct w:val="0"/>
                        <w:bidi w:val="0"/>
                        <w:adjustRightInd/>
                        <w:snapToGrid/>
                        <w:spacing w:line="240" w:lineRule="atLeast"/>
                        <w:jc w:val="center"/>
                        <w:textAlignment w:val="auto"/>
                        <w:rPr>
                          <w:rFonts w:hint="eastAsia"/>
                          <w:sz w:val="18"/>
                          <w:szCs w:val="18"/>
                          <w:lang w:val="en-US" w:eastAsia="zh-CN"/>
                        </w:rPr>
                      </w:pPr>
                      <w:r>
                        <w:rPr>
                          <w:rFonts w:hint="eastAsia"/>
                          <w:sz w:val="18"/>
                          <w:szCs w:val="18"/>
                          <w:lang w:val="en-US" w:eastAsia="zh-CN"/>
                        </w:rPr>
                        <w:t>图 例</w:t>
                      </w:r>
                    </w:p>
                    <w:p w14:paraId="446E49CB">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高速公路</w:t>
                      </w:r>
                    </w:p>
                    <w:p w14:paraId="68928A51">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省道</w:t>
                      </w:r>
                    </w:p>
                    <w:p w14:paraId="7B7D9AB6">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县道</w:t>
                      </w:r>
                    </w:p>
                    <w:p w14:paraId="7F828A6C">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其他道路</w:t>
                      </w:r>
                    </w:p>
                    <w:p w14:paraId="382C82CF">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铁路</w:t>
                      </w:r>
                    </w:p>
                    <w:p w14:paraId="73446682">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行政边界</w:t>
                      </w:r>
                    </w:p>
                    <w:p w14:paraId="1338D8FA">
                      <w:pPr>
                        <w:pStyle w:val="2"/>
                        <w:keepNext w:val="0"/>
                        <w:keepLines w:val="0"/>
                        <w:pageBreakBefore w:val="0"/>
                        <w:widowControl w:val="0"/>
                        <w:kinsoku/>
                        <w:wordWrap/>
                        <w:overflowPunct/>
                        <w:topLinePunct w:val="0"/>
                        <w:bidi w:val="0"/>
                        <w:adjustRightInd w:val="0"/>
                        <w:snapToGrid/>
                        <w:spacing w:line="240" w:lineRule="atLeast"/>
                        <w:jc w:val="left"/>
                        <w:textAlignment w:val="auto"/>
                        <w:rPr>
                          <w:rFonts w:hint="default"/>
                          <w:sz w:val="18"/>
                          <w:szCs w:val="18"/>
                          <w:lang w:val="en-US" w:eastAsia="zh-CN"/>
                        </w:rPr>
                      </w:pPr>
                      <w:r>
                        <w:rPr>
                          <w:rFonts w:hint="eastAsia"/>
                          <w:sz w:val="18"/>
                          <w:szCs w:val="18"/>
                          <w:lang w:val="en-US" w:eastAsia="zh-CN"/>
                        </w:rPr>
                        <w:t>禁养区：</w:t>
                      </w:r>
                    </w:p>
                    <w:p w14:paraId="786429FF">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自然保护区</w:t>
                      </w:r>
                    </w:p>
                    <w:p w14:paraId="3B69964B">
                      <w:pPr>
                        <w:keepNext w:val="0"/>
                        <w:keepLines w:val="0"/>
                        <w:pageBreakBefore w:val="0"/>
                        <w:widowControl/>
                        <w:kinsoku/>
                        <w:wordWrap/>
                        <w:overflowPunct/>
                        <w:topLinePunct w:val="0"/>
                        <w:bidi w:val="0"/>
                        <w:adjustRightInd/>
                        <w:snapToGrid/>
                        <w:spacing w:line="240" w:lineRule="atLeast"/>
                        <w:ind w:leftChars="300"/>
                        <w:jc w:val="center"/>
                        <w:textAlignment w:val="auto"/>
                        <w:rPr>
                          <w:rFonts w:hint="eastAsia"/>
                          <w:sz w:val="18"/>
                          <w:szCs w:val="18"/>
                          <w:lang w:val="en-US" w:eastAsia="zh-CN"/>
                        </w:rPr>
                      </w:pPr>
                      <w:r>
                        <w:rPr>
                          <w:rFonts w:hint="eastAsia"/>
                          <w:sz w:val="18"/>
                          <w:szCs w:val="18"/>
                          <w:lang w:val="en-US" w:eastAsia="zh-CN"/>
                        </w:rPr>
                        <w:t>风景名胜区</w:t>
                      </w:r>
                    </w:p>
                    <w:p w14:paraId="58A39BA1">
                      <w:pPr>
                        <w:keepNext w:val="0"/>
                        <w:keepLines w:val="0"/>
                        <w:pageBreakBefore w:val="0"/>
                        <w:widowControl/>
                        <w:kinsoku/>
                        <w:wordWrap/>
                        <w:overflowPunct/>
                        <w:topLinePunct w:val="0"/>
                        <w:bidi w:val="0"/>
                        <w:adjustRightInd/>
                        <w:snapToGrid/>
                        <w:spacing w:line="240" w:lineRule="atLeast"/>
                        <w:ind w:left="0" w:leftChars="0"/>
                        <w:jc w:val="center"/>
                        <w:textAlignment w:val="auto"/>
                        <w:rPr>
                          <w:rFonts w:hint="default"/>
                          <w:sz w:val="18"/>
                          <w:szCs w:val="18"/>
                          <w:lang w:val="en-US" w:eastAsia="zh-CN"/>
                        </w:rPr>
                      </w:pPr>
                      <w:r>
                        <w:rPr>
                          <w:rFonts w:hint="eastAsia"/>
                          <w:sz w:val="18"/>
                          <w:szCs w:val="18"/>
                          <w:lang w:val="en-US" w:eastAsia="zh-CN"/>
                        </w:rPr>
                        <w:t>1：560000 比例尺</w:t>
                      </w:r>
                    </w:p>
                  </w:txbxContent>
                </v:textbox>
              </v:shape>
            </w:pict>
          </mc:Fallback>
        </mc:AlternateContent>
      </w:r>
      <w:r>
        <w:rPr>
          <w:highlight w:val="none"/>
        </w:rPr>
        <w:drawing>
          <wp:inline distT="0" distB="0" distL="114300" distR="114300">
            <wp:extent cx="7837170" cy="4922520"/>
            <wp:effectExtent l="0" t="0" r="11430" b="11430"/>
            <wp:docPr id="1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9"/>
                    <pic:cNvPicPr>
                      <a:picLocks noChangeAspect="1"/>
                    </pic:cNvPicPr>
                  </pic:nvPicPr>
                  <pic:blipFill>
                    <a:blip r:embed="rId32"/>
                    <a:stretch>
                      <a:fillRect/>
                    </a:stretch>
                  </pic:blipFill>
                  <pic:spPr>
                    <a:xfrm>
                      <a:off x="0" y="0"/>
                      <a:ext cx="7837170" cy="4922520"/>
                    </a:xfrm>
                    <a:prstGeom prst="rect">
                      <a:avLst/>
                    </a:prstGeom>
                    <a:noFill/>
                    <a:ln>
                      <a:noFill/>
                    </a:ln>
                  </pic:spPr>
                </pic:pic>
              </a:graphicData>
            </a:graphic>
          </wp:inline>
        </w:drawing>
      </w:r>
      <w:r>
        <w:rPr>
          <w:sz w:val="24"/>
          <w:highlight w:val="none"/>
        </w:rPr>
        <mc:AlternateContent>
          <mc:Choice Requires="wps">
            <w:drawing>
              <wp:anchor distT="0" distB="0" distL="114300" distR="114300" simplePos="0" relativeHeight="251697152" behindDoc="0" locked="0" layoutInCell="1" allowOverlap="1">
                <wp:simplePos x="0" y="0"/>
                <wp:positionH relativeFrom="column">
                  <wp:posOffset>1983105</wp:posOffset>
                </wp:positionH>
                <wp:positionV relativeFrom="paragraph">
                  <wp:posOffset>259080</wp:posOffset>
                </wp:positionV>
                <wp:extent cx="1047750" cy="294640"/>
                <wp:effectExtent l="209550" t="6350" r="19050" b="613410"/>
                <wp:wrapNone/>
                <wp:docPr id="191" name="矩形标注 191"/>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69393"/>
                            <a:gd name="adj2" fmla="val 250431"/>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066AD1E">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56.15pt;margin-top:20.4pt;height:23.2pt;width:82.5pt;z-index:251697152;v-text-anchor:middle;mso-width-relative:page;mso-height-relative:page;" filled="f" stroked="t" coordsize="21600,21600" o:gfxdata="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ZDvKo2AAAAAkBAAAPAAAAAAAAAAEAIAAAACIAAABkcnMvZG93bnJldi54bWxQSwEC&#10;FAAUAAAACACHTuJAtfhVrp8CAAAoBQAADgAAAAAAAAABACAAAAAnAQAAZHJzL2Uyb0RvYy54bWxQ&#10;SwUGAAAAAAYABgBZAQAAOAYAAAAA&#10;" adj="-4189,64893">
                <v:fill on="f" focussize="0,0"/>
                <v:stroke weight="1pt" color="#FF0000 [2404]" joinstyle="round"/>
                <v:imagedata o:title=""/>
                <o:lock v:ext="edit" aspectratio="f"/>
                <v:textbox>
                  <w:txbxContent>
                    <w:p w14:paraId="4066AD1E">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v:textbox>
              </v:shape>
            </w:pict>
          </mc:Fallback>
        </mc:AlternateContent>
      </w:r>
      <w:r>
        <w:rPr>
          <w:sz w:val="24"/>
          <w:highlight w:val="none"/>
        </w:rPr>
        <mc:AlternateContent>
          <mc:Choice Requires="wps">
            <w:drawing>
              <wp:anchor distT="0" distB="0" distL="114300" distR="114300" simplePos="0" relativeHeight="251696128" behindDoc="0" locked="0" layoutInCell="1" allowOverlap="1">
                <wp:simplePos x="0" y="0"/>
                <wp:positionH relativeFrom="column">
                  <wp:posOffset>321945</wp:posOffset>
                </wp:positionH>
                <wp:positionV relativeFrom="paragraph">
                  <wp:posOffset>112395</wp:posOffset>
                </wp:positionV>
                <wp:extent cx="2847340" cy="2010410"/>
                <wp:effectExtent l="13970" t="13970" r="15240" b="33020"/>
                <wp:wrapNone/>
                <wp:docPr id="189" name="文本框 189"/>
                <wp:cNvGraphicFramePr/>
                <a:graphic xmlns:a="http://schemas.openxmlformats.org/drawingml/2006/main">
                  <a:graphicData uri="http://schemas.microsoft.com/office/word/2010/wordprocessingShape">
                    <wps:wsp>
                      <wps:cNvSpPr txBox="1"/>
                      <wps:spPr>
                        <a:xfrm>
                          <a:off x="2312670" y="1398270"/>
                          <a:ext cx="2847340" cy="2010410"/>
                        </a:xfrm>
                        <a:prstGeom prst="rect">
                          <a:avLst/>
                        </a:prstGeom>
                        <a:noFill/>
                        <a:ln w="28575">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74C1E5AF">
                            <w:r>
                              <w:drawing>
                                <wp:inline distT="0" distB="0" distL="114300" distR="114300">
                                  <wp:extent cx="2655570" cy="1608455"/>
                                  <wp:effectExtent l="0" t="0" r="11430" b="10795"/>
                                  <wp:docPr id="1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0"/>
                                          <pic:cNvPicPr>
                                            <a:picLocks noChangeAspect="1"/>
                                          </pic:cNvPicPr>
                                        </pic:nvPicPr>
                                        <pic:blipFill>
                                          <a:blip r:embed="rId33"/>
                                          <a:stretch>
                                            <a:fillRect/>
                                          </a:stretch>
                                        </pic:blipFill>
                                        <pic:spPr>
                                          <a:xfrm>
                                            <a:off x="0" y="0"/>
                                            <a:ext cx="2655570" cy="16084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5pt;margin-top:8.85pt;height:158.3pt;width:224.2pt;z-index:251696128;mso-width-relative:page;mso-height-relative:page;" filled="f" stroked="t" coordsize="21600,21600" o:gfxdata="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Xf+J1NoAAAAJAQAADwAAAAAAAAABACAAAAAiAAAAZHJzL2Rvd25yZXYueG1sUEsBAhQAFAAAAAgA&#10;h07iQKzKy8VcAgAAoQQAAA4AAAAAAAAAAQAgAAAAKQEAAGRycy9lMm9Eb2MueG1sUEsFBgAAAAAG&#10;AAYAWQEAAPcFAAAAAA==&#10;">
                <v:fill on="f" focussize="0,0"/>
                <v:stroke weight="2.25pt" color="#FF0000 [3204]" joinstyle="round"/>
                <v:imagedata o:title=""/>
                <o:lock v:ext="edit" aspectratio="f"/>
                <v:textbox>
                  <w:txbxContent>
                    <w:p w14:paraId="74C1E5AF">
                      <w:r>
                        <w:drawing>
                          <wp:inline distT="0" distB="0" distL="114300" distR="114300">
                            <wp:extent cx="2655570" cy="1608455"/>
                            <wp:effectExtent l="0" t="0" r="11430" b="10795"/>
                            <wp:docPr id="1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0"/>
                                    <pic:cNvPicPr>
                                      <a:picLocks noChangeAspect="1"/>
                                    </pic:cNvPicPr>
                                  </pic:nvPicPr>
                                  <pic:blipFill>
                                    <a:blip r:embed="rId33"/>
                                    <a:stretch>
                                      <a:fillRect/>
                                    </a:stretch>
                                  </pic:blipFill>
                                  <pic:spPr>
                                    <a:xfrm>
                                      <a:off x="0" y="0"/>
                                      <a:ext cx="2655570" cy="1608455"/>
                                    </a:xfrm>
                                    <a:prstGeom prst="rect">
                                      <a:avLst/>
                                    </a:prstGeom>
                                    <a:noFill/>
                                    <a:ln>
                                      <a:noFill/>
                                    </a:ln>
                                  </pic:spPr>
                                </pic:pic>
                              </a:graphicData>
                            </a:graphic>
                          </wp:inline>
                        </w:drawing>
                      </w:r>
                    </w:p>
                  </w:txbxContent>
                </v:textbox>
              </v:shape>
            </w:pict>
          </mc:Fallback>
        </mc:AlternateContent>
      </w:r>
    </w:p>
    <w:p w14:paraId="32936B44">
      <w:pPr>
        <w:jc w:val="center"/>
        <w:rPr>
          <w:rFonts w:hint="eastAsia" w:ascii="Times New Roman" w:hAnsi="Times New Roman" w:eastAsia="黑体" w:cs="Times New Roman"/>
          <w:bCs/>
          <w:kern w:val="2"/>
          <w:sz w:val="21"/>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黑体" w:cs="Times New Roman"/>
          <w:bCs/>
          <w:kern w:val="2"/>
          <w:sz w:val="21"/>
          <w:highlight w:val="none"/>
          <w:lang w:val="en-US" w:eastAsia="zh-CN"/>
        </w:rPr>
        <w:t>图1</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4-</w:t>
      </w:r>
      <w:r>
        <w:rPr>
          <w:rFonts w:hint="eastAsia" w:ascii="Times New Roman" w:hAnsi="Times New Roman" w:eastAsia="黑体" w:cs="Times New Roman"/>
          <w:bCs/>
          <w:kern w:val="2"/>
          <w:sz w:val="21"/>
          <w:highlight w:val="none"/>
          <w:lang w:val="en-US" w:eastAsia="zh-CN"/>
        </w:rPr>
        <w:t>4</w:t>
      </w:r>
      <w:r>
        <w:rPr>
          <w:rFonts w:hint="default" w:ascii="Times New Roman" w:hAnsi="Times New Roman" w:eastAsia="黑体" w:cs="Times New Roman"/>
          <w:bCs/>
          <w:kern w:val="2"/>
          <w:sz w:val="21"/>
          <w:highlight w:val="none"/>
          <w:lang w:val="en-US" w:eastAsia="zh-CN"/>
        </w:rPr>
        <w:t xml:space="preserve">  </w:t>
      </w:r>
      <w:r>
        <w:rPr>
          <w:rFonts w:hint="eastAsia" w:ascii="Times New Roman" w:hAnsi="Times New Roman" w:eastAsia="黑体" w:cs="Times New Roman"/>
          <w:bCs/>
          <w:kern w:val="2"/>
          <w:sz w:val="21"/>
          <w:highlight w:val="none"/>
          <w:lang w:val="en-US" w:eastAsia="zh-CN"/>
        </w:rPr>
        <w:t>本项目与密山市畜禽禁养区区划示意图位置关系</w:t>
      </w:r>
    </w:p>
    <w:p w14:paraId="5FD43F00">
      <w:pPr>
        <w:pStyle w:val="268"/>
        <w:adjustRightInd/>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1.4.4.</w:t>
      </w:r>
      <w:r>
        <w:rPr>
          <w:rFonts w:hint="eastAsia" w:ascii="Times New Roman" w:cs="Times New Roman"/>
          <w:b/>
          <w:bCs/>
          <w:color w:val="auto"/>
          <w:highlight w:val="none"/>
          <w:lang w:val="en-US" w:eastAsia="zh-CN"/>
        </w:rPr>
        <w:t>5</w:t>
      </w:r>
      <w:r>
        <w:rPr>
          <w:rFonts w:hint="default" w:ascii="Times New Roman" w:hAnsi="Times New Roman" w:eastAsia="宋体" w:cs="Times New Roman"/>
          <w:b/>
          <w:bCs/>
          <w:color w:val="auto"/>
          <w:highlight w:val="none"/>
          <w:lang w:val="zh-CN"/>
        </w:rPr>
        <w:t>与</w:t>
      </w:r>
      <w:r>
        <w:rPr>
          <w:rFonts w:hint="default" w:ascii="Times New Roman" w:hAnsi="Times New Roman" w:eastAsia="宋体" w:cs="Times New Roman"/>
          <w:b/>
          <w:bCs/>
          <w:color w:val="auto"/>
          <w:highlight w:val="none"/>
          <w:lang w:val="zh-CN" w:eastAsia="zh-CN"/>
        </w:rPr>
        <w:t>《密山市国土空间总体规划（2021—2035年）》</w:t>
      </w:r>
      <w:r>
        <w:rPr>
          <w:rFonts w:hint="default" w:ascii="Times New Roman" w:hAnsi="Times New Roman" w:eastAsia="宋体" w:cs="Times New Roman"/>
          <w:b/>
          <w:bCs/>
          <w:color w:val="auto"/>
          <w:highlight w:val="none"/>
          <w:lang w:val="zh-CN"/>
        </w:rPr>
        <w:t>的符合性分析</w:t>
      </w:r>
    </w:p>
    <w:p w14:paraId="6A8477C8">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ascii="宋体" w:hAnsi="宋体" w:eastAsia="宋体" w:cs="宋体"/>
          <w:sz w:val="24"/>
          <w:szCs w:val="24"/>
          <w:highlight w:val="none"/>
        </w:rPr>
      </w:pPr>
      <w:r>
        <w:rPr>
          <w:rFonts w:hint="eastAsia" w:ascii="Times New Roman" w:hAnsi="Times New Roman" w:eastAsia="宋体" w:cs="Times New Roman"/>
          <w:color w:val="auto"/>
          <w:kern w:val="0"/>
          <w:sz w:val="24"/>
          <w:szCs w:val="24"/>
          <w:highlight w:val="none"/>
          <w:lang w:val="en-US" w:eastAsia="zh-CN" w:bidi="ar-SA"/>
        </w:rPr>
        <w:t>《密山市国土空间总体规划（2021—2035年）》</w:t>
      </w:r>
      <w:r>
        <w:rPr>
          <w:rFonts w:hint="eastAsia" w:ascii="Times New Roman" w:cs="Times New Roman"/>
          <w:color w:val="auto"/>
          <w:kern w:val="0"/>
          <w:sz w:val="24"/>
          <w:szCs w:val="24"/>
          <w:highlight w:val="none"/>
          <w:lang w:val="en-US" w:eastAsia="zh-CN" w:bidi="ar-SA"/>
        </w:rPr>
        <w:t>中4.2 保障寒地特色的农业空间，2、合理规划粮食生产功能区和农产品保护区：</w:t>
      </w:r>
      <w:r>
        <w:rPr>
          <w:rFonts w:ascii="宋体" w:hAnsi="宋体" w:eastAsia="宋体" w:cs="宋体"/>
          <w:sz w:val="24"/>
          <w:szCs w:val="24"/>
          <w:highlight w:val="none"/>
        </w:rPr>
        <w:t>稳固示范区农用地的生产功能，布局现代农业产业，安排农业生产和农业种植、养殖配备的设施农用地，结合绿色和智慧农业发展要求，引导农业发展向优势区聚集。</w:t>
      </w:r>
    </w:p>
    <w:p w14:paraId="6976B09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highlight w:val="none"/>
          <w:lang w:val="en-US" w:eastAsia="zh-CN"/>
        </w:rPr>
      </w:pPr>
      <w:r>
        <w:rPr>
          <w:rFonts w:hint="default" w:ascii="Times New Roman" w:hAnsi="Times New Roman" w:eastAsia="宋体" w:cs="Times New Roman"/>
          <w:color w:val="auto"/>
          <w:highlight w:val="none"/>
          <w:lang w:val="en-US" w:eastAsia="zh-CN"/>
        </w:rPr>
        <w:t>为了响应市委市政府“1421”工程和发展“一村一品”特色经济，经村（团结村）两委研究决定，引进大雁养殖项目，利用团结村四组西山的荒山荒地引进张怀成、谢亚军（兴凯湖乡兴凯湖村）投资建设大雁养殖繁育基地，在2017年1月1日甲方密山市柳毛乡团结村民委员会与乙方张怀成、谢亚军（兴凯湖乡兴凯湖村）二人签订了特色养殖协议（详见附件9）；2018年8月2日密山市国土资源局备案密山市柳毛乡团结村雁留升大雁养殖项目用地，出具了密山市柳毛乡团结村雁留升大雁养殖设施农用地备案通知书，编号密国土设农备字[2028]第（06）号（详见附件9）土地面积：39186.54平方米：生产设施用地23000平方米、附属设施用地1100平方米；由于新冠肺炎疫情原因，国家禁止人工养殖大雁，乙方：张怀成于2020年11月份遵照国家政策停止养殖大雁，2021年4月乙方向甲方提出转生产生猪养殖申请，经团结村经济合作社“理事会、监事会”商议，成员代表大会决议，同意乙方转产申请，甲乙双方于2021年7月29日签订《关于《团结村特色养殖协议》的补充合同》（详见附件9），2022年11月2日，经甲方：张怀成与乙方：孙明友好协商签订《特色养殖协议》和《关于《团结村特色养殖协议》的补充合同》的合同及建筑物转让协议（详见附件9）。本项目的选址位于黑龙江省鸡西市密山市柳毛乡团结村4组。中心地理坐标：东经132°10′34.521″，北纬45°34′7.140″。</w:t>
      </w:r>
      <w:r>
        <w:rPr>
          <w:rFonts w:hint="eastAsia" w:ascii="Times New Roman" w:hAnsi="Times New Roman" w:cs="Times New Roman"/>
          <w:color w:val="auto"/>
          <w:highlight w:val="none"/>
          <w:lang w:val="en-US" w:eastAsia="zh-CN"/>
        </w:rPr>
        <w:t>项目用地性质为设施农用地，符合生猪养殖条件。因此，符合《密山市国土空间总体规划（2021—2035年）》中的规定。</w:t>
      </w:r>
    </w:p>
    <w:p w14:paraId="4D5EAE47">
      <w:pPr>
        <w:rPr>
          <w:rFonts w:hint="eastAsia"/>
          <w:highlight w:val="none"/>
          <w:lang w:val="en-US" w:eastAsia="zh-CN"/>
        </w:rPr>
      </w:pPr>
      <w:r>
        <w:rPr>
          <w:sz w:val="24"/>
          <w:highlight w:val="none"/>
        </w:rPr>
        <mc:AlternateContent>
          <mc:Choice Requires="wps">
            <w:drawing>
              <wp:anchor distT="0" distB="0" distL="114300" distR="114300" simplePos="0" relativeHeight="251747328" behindDoc="0" locked="0" layoutInCell="1" allowOverlap="1">
                <wp:simplePos x="0" y="0"/>
                <wp:positionH relativeFrom="column">
                  <wp:posOffset>1334135</wp:posOffset>
                </wp:positionH>
                <wp:positionV relativeFrom="paragraph">
                  <wp:posOffset>88265</wp:posOffset>
                </wp:positionV>
                <wp:extent cx="1047750" cy="294640"/>
                <wp:effectExtent l="209550" t="6350" r="19050" b="613410"/>
                <wp:wrapNone/>
                <wp:docPr id="265" name="矩形标注 265"/>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69393"/>
                            <a:gd name="adj2" fmla="val 250431"/>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4188FA0">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5.05pt;margin-top:6.95pt;height:23.2pt;width:82.5pt;z-index:251747328;v-text-anchor:middle;mso-width-relative:page;mso-height-relative:page;" filled="f" stroked="t" coordsize="21600,21600" o:gfxdata="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DGh5ee2AAAAAkBAAAPAAAAAAAAAAEAIAAAACIAAABkcnMvZG93bnJldi54bWxQSwEC&#10;FAAUAAAACACHTuJAjb49EZ8CAAAoBQAADgAAAAAAAAABACAAAAAnAQAAZHJzL2Uyb0RvYy54bWxQ&#10;SwUGAAAAAAYABgBZAQAAOAYAAAAA&#10;" adj="-4189,64893">
                <v:fill on="f" focussize="0,0"/>
                <v:stroke weight="1pt" color="#FF0000 [2404]" joinstyle="round"/>
                <v:imagedata o:title=""/>
                <o:lock v:ext="edit" aspectratio="f"/>
                <v:textbox>
                  <w:txbxContent>
                    <w:p w14:paraId="74188FA0">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v:textbox>
              </v:shape>
            </w:pict>
          </mc:Fallback>
        </mc:AlternateContent>
      </w:r>
      <w:r>
        <w:rPr>
          <w:sz w:val="24"/>
          <w:highlight w:val="none"/>
        </w:rPr>
        <mc:AlternateContent>
          <mc:Choice Requires="wps">
            <w:drawing>
              <wp:anchor distT="0" distB="0" distL="114300" distR="114300" simplePos="0" relativeHeight="251743232" behindDoc="0" locked="0" layoutInCell="1" allowOverlap="1">
                <wp:simplePos x="0" y="0"/>
                <wp:positionH relativeFrom="column">
                  <wp:posOffset>45085</wp:posOffset>
                </wp:positionH>
                <wp:positionV relativeFrom="paragraph">
                  <wp:posOffset>86995</wp:posOffset>
                </wp:positionV>
                <wp:extent cx="2190750" cy="1577340"/>
                <wp:effectExtent l="9525" t="9525" r="9525" b="13335"/>
                <wp:wrapNone/>
                <wp:docPr id="72" name="文本框 72"/>
                <wp:cNvGraphicFramePr/>
                <a:graphic xmlns:a="http://schemas.openxmlformats.org/drawingml/2006/main">
                  <a:graphicData uri="http://schemas.microsoft.com/office/word/2010/wordprocessingShape">
                    <wps:wsp>
                      <wps:cNvSpPr txBox="1"/>
                      <wps:spPr>
                        <a:xfrm>
                          <a:off x="1156335" y="990600"/>
                          <a:ext cx="2190750" cy="1577340"/>
                        </a:xfrm>
                        <a:prstGeom prst="rect">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6636E9A0">
                            <w:r>
                              <w:drawing>
                                <wp:inline distT="0" distB="0" distL="114300" distR="114300">
                                  <wp:extent cx="1984375" cy="1687830"/>
                                  <wp:effectExtent l="0" t="0" r="15875" b="7620"/>
                                  <wp:docPr id="2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6"/>
                                          <pic:cNvPicPr>
                                            <a:picLocks noChangeAspect="1"/>
                                          </pic:cNvPicPr>
                                        </pic:nvPicPr>
                                        <pic:blipFill>
                                          <a:blip r:embed="rId34"/>
                                          <a:stretch>
                                            <a:fillRect/>
                                          </a:stretch>
                                        </pic:blipFill>
                                        <pic:spPr>
                                          <a:xfrm>
                                            <a:off x="0" y="0"/>
                                            <a:ext cx="1984375" cy="1687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pt;margin-top:6.85pt;height:124.2pt;width:172.5pt;z-index:251743232;mso-width-relative:page;mso-height-relative:page;" filled="f" stroked="t" coordsize="21600,21600" o:gfxdata="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OwPMnYAAAACAEAAA8AAAAAAAAAAQAgAAAAIgAAAGRycy9kb3ducmV2LnhtbFBLAQIUABQAAAAI&#10;AIdO4kCnggoaXwIAAJ4EAAAOAAAAAAAAAAEAIAAAACcBAABkcnMvZTJvRG9jLnhtbFBLBQYAAAAA&#10;BgAGAFkBAAD4BQAAAAA=&#10;">
                <v:fill on="f" focussize="0,0"/>
                <v:stroke weight="1.5pt" color="#FF0000 [3204]" joinstyle="round"/>
                <v:imagedata o:title=""/>
                <o:lock v:ext="edit" aspectratio="f"/>
                <v:textbox>
                  <w:txbxContent>
                    <w:p w14:paraId="6636E9A0">
                      <w:r>
                        <w:drawing>
                          <wp:inline distT="0" distB="0" distL="114300" distR="114300">
                            <wp:extent cx="1984375" cy="1687830"/>
                            <wp:effectExtent l="0" t="0" r="15875" b="7620"/>
                            <wp:docPr id="2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6"/>
                                    <pic:cNvPicPr>
                                      <a:picLocks noChangeAspect="1"/>
                                    </pic:cNvPicPr>
                                  </pic:nvPicPr>
                                  <pic:blipFill>
                                    <a:blip r:embed="rId34"/>
                                    <a:stretch>
                                      <a:fillRect/>
                                    </a:stretch>
                                  </pic:blipFill>
                                  <pic:spPr>
                                    <a:xfrm>
                                      <a:off x="0" y="0"/>
                                      <a:ext cx="1984375" cy="1687830"/>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698176" behindDoc="0" locked="0" layoutInCell="1" allowOverlap="1">
                <wp:simplePos x="0" y="0"/>
                <wp:positionH relativeFrom="column">
                  <wp:posOffset>2911475</wp:posOffset>
                </wp:positionH>
                <wp:positionV relativeFrom="paragraph">
                  <wp:posOffset>602615</wp:posOffset>
                </wp:positionV>
                <wp:extent cx="1047750" cy="294640"/>
                <wp:effectExtent l="209550" t="6350" r="19050" b="613410"/>
                <wp:wrapNone/>
                <wp:docPr id="21" name="矩形标注 21"/>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69393"/>
                            <a:gd name="adj2" fmla="val 250431"/>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6A05D90">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9.25pt;margin-top:47.45pt;height:23.2pt;width:82.5pt;z-index:251698176;v-text-anchor:middle;mso-width-relative:page;mso-height-relative:page;" filled="f" stroked="t" coordsize="21600,21600" o:gfxdata="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XViETNkAAAAKAQAADwAAAAAAAAABACAAAAAiAAAAZHJzL2Rvd25yZXYueG1sUEsB&#10;AhQAFAAAAAgAh07iQHX1NwafAgAAJgUAAA4AAAAAAAAAAQAgAAAAKAEAAGRycy9lMm9Eb2MueG1s&#10;UEsFBgAAAAAGAAYAWQEAADkGAAAAAA==&#10;" adj="-4189,64893">
                <v:fill on="f" focussize="0,0"/>
                <v:stroke weight="1pt" color="#FF0000 [2404]" joinstyle="round"/>
                <v:imagedata o:title=""/>
                <o:lock v:ext="edit" aspectratio="f"/>
                <v:textbox>
                  <w:txbxContent>
                    <w:p w14:paraId="46A05D90">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v:textbox>
              </v:shape>
            </w:pict>
          </mc:Fallback>
        </mc:AlternateContent>
      </w:r>
      <w:r>
        <w:rPr>
          <w:highlight w:val="none"/>
        </w:rPr>
        <w:drawing>
          <wp:inline distT="0" distB="0" distL="114300" distR="114300">
            <wp:extent cx="5273675" cy="3343910"/>
            <wp:effectExtent l="0" t="0" r="3175" b="8890"/>
            <wp:docPr id="1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
                    <pic:cNvPicPr>
                      <a:picLocks noChangeAspect="1"/>
                    </pic:cNvPicPr>
                  </pic:nvPicPr>
                  <pic:blipFill>
                    <a:blip r:embed="rId35"/>
                    <a:stretch>
                      <a:fillRect/>
                    </a:stretch>
                  </pic:blipFill>
                  <pic:spPr>
                    <a:xfrm>
                      <a:off x="0" y="0"/>
                      <a:ext cx="5273675" cy="3343910"/>
                    </a:xfrm>
                    <a:prstGeom prst="rect">
                      <a:avLst/>
                    </a:prstGeom>
                    <a:noFill/>
                    <a:ln>
                      <a:noFill/>
                    </a:ln>
                  </pic:spPr>
                </pic:pic>
              </a:graphicData>
            </a:graphic>
          </wp:inline>
        </w:drawing>
      </w:r>
    </w:p>
    <w:p w14:paraId="1D47D8F1">
      <w:pPr>
        <w:pStyle w:val="2"/>
        <w:jc w:val="center"/>
        <w:rPr>
          <w:rFonts w:hint="eastAsia" w:ascii="Times New Roman" w:hAnsi="Times New Roman" w:eastAsia="黑体" w:cs="Times New Roman"/>
          <w:bCs/>
          <w:kern w:val="2"/>
          <w:sz w:val="21"/>
          <w:highlight w:val="none"/>
          <w:lang w:val="en-US" w:eastAsia="zh-CN"/>
        </w:rPr>
      </w:pPr>
      <w:r>
        <w:rPr>
          <w:rFonts w:hint="default" w:ascii="Times New Roman" w:hAnsi="Times New Roman" w:eastAsia="黑体" w:cs="Times New Roman"/>
          <w:bCs/>
          <w:kern w:val="2"/>
          <w:sz w:val="21"/>
          <w:highlight w:val="none"/>
          <w:lang w:val="en-US" w:eastAsia="zh-CN"/>
        </w:rPr>
        <w:t>图1</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4-</w:t>
      </w:r>
      <w:r>
        <w:rPr>
          <w:rFonts w:hint="eastAsia" w:ascii="Times New Roman" w:eastAsia="黑体" w:cs="Times New Roman"/>
          <w:bCs/>
          <w:kern w:val="2"/>
          <w:sz w:val="21"/>
          <w:highlight w:val="none"/>
          <w:lang w:val="en-US" w:eastAsia="zh-CN"/>
        </w:rPr>
        <w:t>5</w:t>
      </w:r>
      <w:r>
        <w:rPr>
          <w:rFonts w:hint="default" w:ascii="Times New Roman" w:hAnsi="Times New Roman" w:eastAsia="黑体" w:cs="Times New Roman"/>
          <w:bCs/>
          <w:kern w:val="2"/>
          <w:sz w:val="21"/>
          <w:highlight w:val="none"/>
          <w:lang w:val="en-US" w:eastAsia="zh-CN"/>
        </w:rPr>
        <w:t xml:space="preserve">  </w:t>
      </w:r>
      <w:r>
        <w:rPr>
          <w:rFonts w:hint="eastAsia" w:ascii="Times New Roman" w:hAnsi="Times New Roman" w:eastAsia="黑体" w:cs="Times New Roman"/>
          <w:bCs/>
          <w:kern w:val="2"/>
          <w:sz w:val="21"/>
          <w:highlight w:val="none"/>
          <w:lang w:val="en-US" w:eastAsia="zh-CN"/>
        </w:rPr>
        <w:t>本项目与密山市国土空间总体规划（2021—2035年）规划范围图位置关系</w:t>
      </w:r>
    </w:p>
    <w:p w14:paraId="2A60620B">
      <w:pPr>
        <w:jc w:val="center"/>
        <w:rPr>
          <w:rFonts w:hint="eastAsia" w:ascii="Times New Roman" w:hAnsi="Times New Roman" w:eastAsia="黑体" w:cs="Times New Roman"/>
          <w:bCs/>
          <w:kern w:val="2"/>
          <w:sz w:val="21"/>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4"/>
          <w:highlight w:val="none"/>
        </w:rPr>
        <mc:AlternateContent>
          <mc:Choice Requires="wps">
            <w:drawing>
              <wp:anchor distT="0" distB="0" distL="114300" distR="114300" simplePos="0" relativeHeight="251748352" behindDoc="0" locked="0" layoutInCell="1" allowOverlap="1">
                <wp:simplePos x="0" y="0"/>
                <wp:positionH relativeFrom="column">
                  <wp:posOffset>1106170</wp:posOffset>
                </wp:positionH>
                <wp:positionV relativeFrom="paragraph">
                  <wp:posOffset>87630</wp:posOffset>
                </wp:positionV>
                <wp:extent cx="1047750" cy="294640"/>
                <wp:effectExtent l="207010" t="6350" r="21590" b="270510"/>
                <wp:wrapNone/>
                <wp:docPr id="267" name="矩形标注 267"/>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69151"/>
                            <a:gd name="adj2" fmla="val 137931"/>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2E51209">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7.1pt;margin-top:6.9pt;height:23.2pt;width:82.5pt;z-index:251748352;v-text-anchor:middle;mso-width-relative:page;mso-height-relative:page;" filled="f" stroked="t" coordsize="21600,21600" o:gfxdata="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CLJ+AXWAAAACQEAAA8AAAAAAAAAAQAgAAAAIgAAAGRycy9kb3ducmV2LnhtbFBLAQIU&#10;ABQAAAAIAIdO4kBuOQAdoAIAACgFAAAOAAAAAAAAAAEAIAAAACUBAABkcnMvZTJvRG9jLnhtbFBL&#10;BQYAAAAABgAGAFkBAAA3BgAAAAA=&#10;" adj="-4137,40593">
                <v:fill on="f" focussize="0,0"/>
                <v:stroke weight="1pt" color="#FF0000 [2404]" joinstyle="round"/>
                <v:imagedata o:title=""/>
                <o:lock v:ext="edit" aspectratio="f"/>
                <v:textbox>
                  <w:txbxContent>
                    <w:p w14:paraId="02E51209">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v:textbox>
              </v:shape>
            </w:pict>
          </mc:Fallback>
        </mc:AlternateContent>
      </w:r>
      <w:r>
        <w:rPr>
          <w:sz w:val="24"/>
          <w:highlight w:val="none"/>
        </w:rPr>
        <mc:AlternateContent>
          <mc:Choice Requires="wps">
            <w:drawing>
              <wp:anchor distT="0" distB="0" distL="114300" distR="114300" simplePos="0" relativeHeight="251744256" behindDoc="0" locked="0" layoutInCell="1" allowOverlap="1">
                <wp:simplePos x="0" y="0"/>
                <wp:positionH relativeFrom="column">
                  <wp:posOffset>38735</wp:posOffset>
                </wp:positionH>
                <wp:positionV relativeFrom="paragraph">
                  <wp:posOffset>60325</wp:posOffset>
                </wp:positionV>
                <wp:extent cx="2195830" cy="1647190"/>
                <wp:effectExtent l="9525" t="9525" r="23495" b="19685"/>
                <wp:wrapNone/>
                <wp:docPr id="159" name="文本框 159"/>
                <wp:cNvGraphicFramePr/>
                <a:graphic xmlns:a="http://schemas.openxmlformats.org/drawingml/2006/main">
                  <a:graphicData uri="http://schemas.microsoft.com/office/word/2010/wordprocessingShape">
                    <wps:wsp>
                      <wps:cNvSpPr txBox="1"/>
                      <wps:spPr>
                        <a:xfrm>
                          <a:off x="1192530" y="4608195"/>
                          <a:ext cx="2195830" cy="1647190"/>
                        </a:xfrm>
                        <a:prstGeom prst="rect">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7D0C2247">
                            <w:pPr>
                              <w:keepNext w:val="0"/>
                              <w:keepLines w:val="0"/>
                              <w:pageBreakBefore w:val="0"/>
                              <w:widowControl/>
                              <w:kinsoku/>
                              <w:wordWrap/>
                              <w:overflowPunct/>
                              <w:topLinePunct w:val="0"/>
                              <w:bidi w:val="0"/>
                              <w:adjustRightInd/>
                              <w:snapToGrid/>
                              <w:textAlignment w:val="auto"/>
                            </w:pPr>
                            <w:r>
                              <w:drawing>
                                <wp:inline distT="0" distB="0" distL="114300" distR="114300">
                                  <wp:extent cx="2044700" cy="1269365"/>
                                  <wp:effectExtent l="0" t="0" r="12700" b="6985"/>
                                  <wp:docPr id="2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7"/>
                                          <pic:cNvPicPr>
                                            <a:picLocks noChangeAspect="1"/>
                                          </pic:cNvPicPr>
                                        </pic:nvPicPr>
                                        <pic:blipFill>
                                          <a:blip r:embed="rId36"/>
                                          <a:stretch>
                                            <a:fillRect/>
                                          </a:stretch>
                                        </pic:blipFill>
                                        <pic:spPr>
                                          <a:xfrm>
                                            <a:off x="0" y="0"/>
                                            <a:ext cx="2044700" cy="12693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pt;margin-top:4.75pt;height:129.7pt;width:172.9pt;z-index:251744256;mso-width-relative:page;mso-height-relative:page;" filled="f" stroked="t" coordsize="21600,21600" o:gfxdata="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eW3jnXAAAABwEAAA8AAAAAAAAAAQAgAAAAIgAAAGRycy9kb3ducmV2LnhtbFBLAQIUABQAAAAI&#10;AIdO4kAg834SYAIAAKEEAAAOAAAAAAAAAAEAIAAAACYBAABkcnMvZTJvRG9jLnhtbFBLBQYAAAAA&#10;BgAGAFkBAAD4BQAAAAA=&#10;">
                <v:fill on="f" focussize="0,0"/>
                <v:stroke weight="1.5pt" color="#FF0000 [3204]" joinstyle="round"/>
                <v:imagedata o:title=""/>
                <o:lock v:ext="edit" aspectratio="f"/>
                <v:textbox>
                  <w:txbxContent>
                    <w:p w14:paraId="7D0C2247">
                      <w:pPr>
                        <w:keepNext w:val="0"/>
                        <w:keepLines w:val="0"/>
                        <w:pageBreakBefore w:val="0"/>
                        <w:widowControl/>
                        <w:kinsoku/>
                        <w:wordWrap/>
                        <w:overflowPunct/>
                        <w:topLinePunct w:val="0"/>
                        <w:bidi w:val="0"/>
                        <w:adjustRightInd/>
                        <w:snapToGrid/>
                        <w:textAlignment w:val="auto"/>
                      </w:pPr>
                      <w:r>
                        <w:drawing>
                          <wp:inline distT="0" distB="0" distL="114300" distR="114300">
                            <wp:extent cx="2044700" cy="1269365"/>
                            <wp:effectExtent l="0" t="0" r="12700" b="6985"/>
                            <wp:docPr id="2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7"/>
                                    <pic:cNvPicPr>
                                      <a:picLocks noChangeAspect="1"/>
                                    </pic:cNvPicPr>
                                  </pic:nvPicPr>
                                  <pic:blipFill>
                                    <a:blip r:embed="rId36"/>
                                    <a:stretch>
                                      <a:fillRect/>
                                    </a:stretch>
                                  </pic:blipFill>
                                  <pic:spPr>
                                    <a:xfrm>
                                      <a:off x="0" y="0"/>
                                      <a:ext cx="2044700" cy="1269365"/>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699200" behindDoc="0" locked="0" layoutInCell="1" allowOverlap="1">
                <wp:simplePos x="0" y="0"/>
                <wp:positionH relativeFrom="column">
                  <wp:posOffset>2840355</wp:posOffset>
                </wp:positionH>
                <wp:positionV relativeFrom="paragraph">
                  <wp:posOffset>461010</wp:posOffset>
                </wp:positionV>
                <wp:extent cx="1047750" cy="294640"/>
                <wp:effectExtent l="209550" t="6350" r="19050" b="613410"/>
                <wp:wrapNone/>
                <wp:docPr id="34" name="矩形标注 34"/>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69393"/>
                            <a:gd name="adj2" fmla="val 250431"/>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98AC1B6">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3.65pt;margin-top:36.3pt;height:23.2pt;width:82.5pt;z-index:251699200;v-text-anchor:middle;mso-width-relative:page;mso-height-relative:page;" filled="f" stroked="t" coordsize="21600,21600" o:gfxdata="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rzOkMdkAAAAKAQAADwAAAAAAAAABACAAAAAiAAAAZHJzL2Rvd25yZXYueG1sUEsB&#10;AhQAFAAAAAgAh07iQGuMxsOfAgAAJgUAAA4AAAAAAAAAAQAgAAAAKAEAAGRycy9lMm9Eb2MueG1s&#10;UEsFBgAAAAAGAAYAWQEAADkGAAAAAA==&#10;" adj="-4189,64893">
                <v:fill on="f" focussize="0,0"/>
                <v:stroke weight="1pt" color="#FF0000 [2404]" joinstyle="round"/>
                <v:imagedata o:title=""/>
                <o:lock v:ext="edit" aspectratio="f"/>
                <v:textbox>
                  <w:txbxContent>
                    <w:p w14:paraId="698AC1B6">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v:textbox>
              </v:shape>
            </w:pict>
          </mc:Fallback>
        </mc:AlternateContent>
      </w:r>
      <w:r>
        <w:rPr>
          <w:highlight w:val="none"/>
        </w:rPr>
        <w:drawing>
          <wp:inline distT="0" distB="0" distL="114300" distR="114300">
            <wp:extent cx="5266690" cy="3435985"/>
            <wp:effectExtent l="0" t="0" r="10160" b="1206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37"/>
                    <a:stretch>
                      <a:fillRect/>
                    </a:stretch>
                  </pic:blipFill>
                  <pic:spPr>
                    <a:xfrm>
                      <a:off x="0" y="0"/>
                      <a:ext cx="5266690" cy="3435985"/>
                    </a:xfrm>
                    <a:prstGeom prst="rect">
                      <a:avLst/>
                    </a:prstGeom>
                    <a:noFill/>
                    <a:ln>
                      <a:noFill/>
                    </a:ln>
                  </pic:spPr>
                </pic:pic>
              </a:graphicData>
            </a:graphic>
          </wp:inline>
        </w:drawing>
      </w:r>
      <w:r>
        <w:rPr>
          <w:rFonts w:hint="default" w:ascii="Times New Roman" w:hAnsi="Times New Roman" w:eastAsia="黑体" w:cs="Times New Roman"/>
          <w:bCs/>
          <w:kern w:val="2"/>
          <w:sz w:val="21"/>
          <w:highlight w:val="none"/>
          <w:lang w:val="en-US" w:eastAsia="zh-CN"/>
        </w:rPr>
        <w:t>图1</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4-</w:t>
      </w:r>
      <w:r>
        <w:rPr>
          <w:rFonts w:hint="eastAsia" w:ascii="Times New Roman" w:hAnsi="Times New Roman" w:eastAsia="黑体" w:cs="Times New Roman"/>
          <w:bCs/>
          <w:kern w:val="2"/>
          <w:sz w:val="21"/>
          <w:highlight w:val="none"/>
          <w:lang w:val="en-US" w:eastAsia="zh-CN"/>
        </w:rPr>
        <w:t>6</w:t>
      </w:r>
      <w:r>
        <w:rPr>
          <w:rFonts w:hint="default" w:ascii="Times New Roman" w:hAnsi="Times New Roman" w:eastAsia="黑体" w:cs="Times New Roman"/>
          <w:bCs/>
          <w:kern w:val="2"/>
          <w:sz w:val="21"/>
          <w:highlight w:val="none"/>
          <w:lang w:val="en-US" w:eastAsia="zh-CN"/>
        </w:rPr>
        <w:t xml:space="preserve">  </w:t>
      </w:r>
      <w:r>
        <w:rPr>
          <w:rFonts w:hint="eastAsia" w:ascii="Times New Roman" w:hAnsi="Times New Roman" w:eastAsia="黑体" w:cs="Times New Roman"/>
          <w:bCs/>
          <w:kern w:val="2"/>
          <w:sz w:val="21"/>
          <w:highlight w:val="none"/>
          <w:lang w:val="en-US" w:eastAsia="zh-CN"/>
        </w:rPr>
        <w:t>本项目与密山市国土空间总体规划（2021—2035年）农业空间规划图位置关系</w:t>
      </w:r>
      <w:r>
        <w:rPr>
          <w:sz w:val="24"/>
          <w:highlight w:val="none"/>
        </w:rPr>
        <mc:AlternateContent>
          <mc:Choice Requires="wps">
            <w:drawing>
              <wp:anchor distT="0" distB="0" distL="114300" distR="114300" simplePos="0" relativeHeight="251750400" behindDoc="0" locked="0" layoutInCell="1" allowOverlap="1">
                <wp:simplePos x="0" y="0"/>
                <wp:positionH relativeFrom="column">
                  <wp:posOffset>1420495</wp:posOffset>
                </wp:positionH>
                <wp:positionV relativeFrom="paragraph">
                  <wp:posOffset>3938905</wp:posOffset>
                </wp:positionV>
                <wp:extent cx="1047750" cy="294640"/>
                <wp:effectExtent l="209550" t="6350" r="19050" b="613410"/>
                <wp:wrapNone/>
                <wp:docPr id="271" name="矩形标注 271"/>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69393"/>
                            <a:gd name="adj2" fmla="val 250431"/>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46D0528">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1.85pt;margin-top:310.15pt;height:23.2pt;width:82.5pt;z-index:251750400;v-text-anchor:middle;mso-width-relative:page;mso-height-relative:page;" filled="f" stroked="t" coordsize="21600,21600" o:gfxdata="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o+BQ2gAAAAsBAAAPAAAAAAAAAAEAIAAAACIAAABkcnMvZG93bnJldi54bWxQ&#10;SwECFAAUAAAACACHTuJAvdKUJaACAAAoBQAADgAAAAAAAAABACAAAAApAQAAZHJzL2Uyb0RvYy54&#10;bWxQSwUGAAAAAAYABgBZAQAAOwYAAAAA&#10;" adj="-4189,64893">
                <v:fill on="f" focussize="0,0"/>
                <v:stroke weight="1pt" color="#FF0000 [2404]" joinstyle="round"/>
                <v:imagedata o:title=""/>
                <o:lock v:ext="edit" aspectratio="f"/>
                <v:textbox>
                  <w:txbxContent>
                    <w:p w14:paraId="446D0528">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v:textbox>
              </v:shape>
            </w:pict>
          </mc:Fallback>
        </mc:AlternateContent>
      </w:r>
      <w:r>
        <w:rPr>
          <w:sz w:val="24"/>
          <w:highlight w:val="none"/>
        </w:rPr>
        <mc:AlternateContent>
          <mc:Choice Requires="wps">
            <w:drawing>
              <wp:anchor distT="0" distB="0" distL="114300" distR="114300" simplePos="0" relativeHeight="251749376" behindDoc="0" locked="0" layoutInCell="1" allowOverlap="1">
                <wp:simplePos x="0" y="0"/>
                <wp:positionH relativeFrom="column">
                  <wp:posOffset>1388110</wp:posOffset>
                </wp:positionH>
                <wp:positionV relativeFrom="paragraph">
                  <wp:posOffset>315595</wp:posOffset>
                </wp:positionV>
                <wp:extent cx="1047750" cy="294640"/>
                <wp:effectExtent l="221615" t="6350" r="6985" b="613410"/>
                <wp:wrapNone/>
                <wp:docPr id="269" name="矩形标注 269"/>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70545"/>
                            <a:gd name="adj2" fmla="val 254525"/>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04CE0FD">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9.3pt;margin-top:24.85pt;height:23.2pt;width:82.5pt;z-index:251749376;v-text-anchor:middle;mso-width-relative:page;mso-height-relative:page;" filled="f" stroked="t" coordsize="21600,21600" o:gfxdata="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BFJh+83AAAAAkBAAAPAAAAAAAAAAEAIAAAACIAAABkcnMvZG93bnJldi54bWxQ&#10;SwECFAAUAAAACACHTuJAB0OXCp4CAAAoBQAADgAAAAAAAAABACAAAAArAQAAZHJzL2Uyb0RvYy54&#10;bWxQSwUGAAAAAAYABgBZAQAAOwYAAAAA&#10;" adj="-4438,65777">
                <v:fill on="f" focussize="0,0"/>
                <v:stroke weight="1pt" color="#FF0000 [2404]" joinstyle="round"/>
                <v:imagedata o:title=""/>
                <o:lock v:ext="edit" aspectratio="f"/>
                <v:textbox>
                  <w:txbxContent>
                    <w:p w14:paraId="204CE0FD">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v:textbox>
              </v:shape>
            </w:pict>
          </mc:Fallback>
        </mc:AlternateContent>
      </w:r>
      <w:r>
        <w:rPr>
          <w:sz w:val="24"/>
          <w:highlight w:val="none"/>
        </w:rPr>
        <mc:AlternateContent>
          <mc:Choice Requires="wps">
            <w:drawing>
              <wp:anchor distT="0" distB="0" distL="114300" distR="114300" simplePos="0" relativeHeight="251746304" behindDoc="0" locked="0" layoutInCell="1" allowOverlap="1">
                <wp:simplePos x="0" y="0"/>
                <wp:positionH relativeFrom="column">
                  <wp:posOffset>37465</wp:posOffset>
                </wp:positionH>
                <wp:positionV relativeFrom="paragraph">
                  <wp:posOffset>3858260</wp:posOffset>
                </wp:positionV>
                <wp:extent cx="2228850" cy="1648460"/>
                <wp:effectExtent l="9525" t="9525" r="9525" b="18415"/>
                <wp:wrapNone/>
                <wp:docPr id="210" name="文本框 210"/>
                <wp:cNvGraphicFramePr/>
                <a:graphic xmlns:a="http://schemas.openxmlformats.org/drawingml/2006/main">
                  <a:graphicData uri="http://schemas.microsoft.com/office/word/2010/wordprocessingShape">
                    <wps:wsp>
                      <wps:cNvSpPr txBox="1"/>
                      <wps:spPr>
                        <a:xfrm>
                          <a:off x="1799590" y="620395"/>
                          <a:ext cx="2228850" cy="1648460"/>
                        </a:xfrm>
                        <a:prstGeom prst="rect">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6BABD92A">
                            <w:r>
                              <w:drawing>
                                <wp:inline distT="0" distB="0" distL="114300" distR="114300">
                                  <wp:extent cx="2024380" cy="1815465"/>
                                  <wp:effectExtent l="0" t="0" r="13970" b="13335"/>
                                  <wp:docPr id="2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
                                          <pic:cNvPicPr>
                                            <a:picLocks noChangeAspect="1"/>
                                          </pic:cNvPicPr>
                                        </pic:nvPicPr>
                                        <pic:blipFill>
                                          <a:blip r:embed="rId38"/>
                                          <a:stretch>
                                            <a:fillRect/>
                                          </a:stretch>
                                        </pic:blipFill>
                                        <pic:spPr>
                                          <a:xfrm>
                                            <a:off x="0" y="0"/>
                                            <a:ext cx="2024380" cy="1815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pt;margin-top:303.8pt;height:129.8pt;width:175.5pt;z-index:251746304;mso-width-relative:page;mso-height-relative:page;" filled="f" stroked="t" coordsize="21600,21600" o:gfxdata="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pWS7V2QAAAAkBAAAPAAAAAAAAAAEAIAAAACIAAABkcnMvZG93bnJldi54bWxQSwECFAAUAAAA&#10;CACHTuJAgAXHfF8CAACgBAAADgAAAAAAAAABACAAAAAoAQAAZHJzL2Uyb0RvYy54bWxQSwUGAAAA&#10;AAYABgBZAQAA+QUAAAAA&#10;">
                <v:fill on="f" focussize="0,0"/>
                <v:stroke weight="1.5pt" color="#FF0000 [3204]" joinstyle="round"/>
                <v:imagedata o:title=""/>
                <o:lock v:ext="edit" aspectratio="f"/>
                <v:textbox>
                  <w:txbxContent>
                    <w:p w14:paraId="6BABD92A">
                      <w:r>
                        <w:drawing>
                          <wp:inline distT="0" distB="0" distL="114300" distR="114300">
                            <wp:extent cx="2024380" cy="1815465"/>
                            <wp:effectExtent l="0" t="0" r="13970" b="13335"/>
                            <wp:docPr id="2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
                                    <pic:cNvPicPr>
                                      <a:picLocks noChangeAspect="1"/>
                                    </pic:cNvPicPr>
                                  </pic:nvPicPr>
                                  <pic:blipFill>
                                    <a:blip r:embed="rId38"/>
                                    <a:stretch>
                                      <a:fillRect/>
                                    </a:stretch>
                                  </pic:blipFill>
                                  <pic:spPr>
                                    <a:xfrm>
                                      <a:off x="0" y="0"/>
                                      <a:ext cx="2024380" cy="1815465"/>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745280" behindDoc="0" locked="0" layoutInCell="1" allowOverlap="1">
                <wp:simplePos x="0" y="0"/>
                <wp:positionH relativeFrom="column">
                  <wp:posOffset>26035</wp:posOffset>
                </wp:positionH>
                <wp:positionV relativeFrom="paragraph">
                  <wp:posOffset>49530</wp:posOffset>
                </wp:positionV>
                <wp:extent cx="2236470" cy="1669415"/>
                <wp:effectExtent l="9525" t="9525" r="20955" b="16510"/>
                <wp:wrapNone/>
                <wp:docPr id="170" name="文本框 170"/>
                <wp:cNvGraphicFramePr/>
                <a:graphic xmlns:a="http://schemas.openxmlformats.org/drawingml/2006/main">
                  <a:graphicData uri="http://schemas.microsoft.com/office/word/2010/wordprocessingShape">
                    <wps:wsp>
                      <wps:cNvSpPr txBox="1"/>
                      <wps:spPr>
                        <a:xfrm>
                          <a:off x="1201420" y="941705"/>
                          <a:ext cx="2236470" cy="1669415"/>
                        </a:xfrm>
                        <a:prstGeom prst="rect">
                          <a:avLst/>
                        </a:prstGeom>
                        <a:noFill/>
                        <a:ln w="190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1B7DF4D7">
                            <w:r>
                              <w:drawing>
                                <wp:inline distT="0" distB="0" distL="114300" distR="114300">
                                  <wp:extent cx="2034540" cy="1587500"/>
                                  <wp:effectExtent l="0" t="0" r="3810" b="12700"/>
                                  <wp:docPr id="2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8"/>
                                          <pic:cNvPicPr>
                                            <a:picLocks noChangeAspect="1"/>
                                          </pic:cNvPicPr>
                                        </pic:nvPicPr>
                                        <pic:blipFill>
                                          <a:blip r:embed="rId39"/>
                                          <a:stretch>
                                            <a:fillRect/>
                                          </a:stretch>
                                        </pic:blipFill>
                                        <pic:spPr>
                                          <a:xfrm>
                                            <a:off x="0" y="0"/>
                                            <a:ext cx="2034540" cy="1587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pt;margin-top:3.9pt;height:131.45pt;width:176.1pt;z-index:251745280;mso-width-relative:page;mso-height-relative:page;" filled="f" stroked="t" coordsize="21600,21600" o:gfxdata="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Y7p&#10;0dgAAAAHAQAADwAAAAAAAAABACAAAAAiAAAAZHJzL2Rvd25yZXYueG1sUEsBAhQAFAAAAAgAh07i&#10;QMH2hDdbAgAAoAQAAA4AAAAAAAAAAQAgAAAAJwEAAGRycy9lMm9Eb2MueG1sUEsFBgAAAAAGAAYA&#10;WQEAAPQFAAAAAA==&#10;">
                <v:fill on="f" focussize="0,0"/>
                <v:stroke weight="1.5pt" color="#FF0000 [3204]" joinstyle="round"/>
                <v:imagedata o:title=""/>
                <o:lock v:ext="edit" aspectratio="f"/>
                <v:textbox>
                  <w:txbxContent>
                    <w:p w14:paraId="1B7DF4D7">
                      <w:r>
                        <w:drawing>
                          <wp:inline distT="0" distB="0" distL="114300" distR="114300">
                            <wp:extent cx="2034540" cy="1587500"/>
                            <wp:effectExtent l="0" t="0" r="3810" b="12700"/>
                            <wp:docPr id="2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8"/>
                                    <pic:cNvPicPr>
                                      <a:picLocks noChangeAspect="1"/>
                                    </pic:cNvPicPr>
                                  </pic:nvPicPr>
                                  <pic:blipFill>
                                    <a:blip r:embed="rId39"/>
                                    <a:stretch>
                                      <a:fillRect/>
                                    </a:stretch>
                                  </pic:blipFill>
                                  <pic:spPr>
                                    <a:xfrm>
                                      <a:off x="0" y="0"/>
                                      <a:ext cx="2034540" cy="1587500"/>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700224" behindDoc="0" locked="0" layoutInCell="1" allowOverlap="1">
                <wp:simplePos x="0" y="0"/>
                <wp:positionH relativeFrom="column">
                  <wp:posOffset>2814955</wp:posOffset>
                </wp:positionH>
                <wp:positionV relativeFrom="paragraph">
                  <wp:posOffset>531495</wp:posOffset>
                </wp:positionV>
                <wp:extent cx="1047750" cy="294640"/>
                <wp:effectExtent l="221615" t="6350" r="6985" b="613410"/>
                <wp:wrapNone/>
                <wp:docPr id="190" name="矩形标注 190"/>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70545"/>
                            <a:gd name="adj2" fmla="val 254525"/>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B5DFFDB">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1.65pt;margin-top:41.85pt;height:23.2pt;width:82.5pt;z-index:251700224;v-text-anchor:middle;mso-width-relative:page;mso-height-relative:page;" filled="f" stroked="t" coordsize="21600,21600" o:gfxdata="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mfWYE2wAAAAoBAAAPAAAAAAAAAAEAIAAAACIAAABkcnMvZG93bnJldi54bWxQSwEC&#10;FAAUAAAACACHTuJABlq8aZwCAAAoBQAADgAAAAAAAAABACAAAAAqAQAAZHJzL2Uyb0RvYy54bWxQ&#10;SwUGAAAAAAYABgBZAQAAOAYAAAAA&#10;" adj="-4438,65777">
                <v:fill on="f" focussize="0,0"/>
                <v:stroke weight="1pt" color="#FF0000 [2404]" joinstyle="round"/>
                <v:imagedata o:title=""/>
                <o:lock v:ext="edit" aspectratio="f"/>
                <v:textbox>
                  <w:txbxContent>
                    <w:p w14:paraId="1B5DFFDB">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v:textbox>
              </v:shape>
            </w:pict>
          </mc:Fallback>
        </mc:AlternateContent>
      </w:r>
      <w:r>
        <w:rPr>
          <w:sz w:val="24"/>
          <w:highlight w:val="none"/>
        </w:rPr>
        <mc:AlternateContent>
          <mc:Choice Requires="wps">
            <w:drawing>
              <wp:anchor distT="0" distB="0" distL="114300" distR="114300" simplePos="0" relativeHeight="251701248" behindDoc="0" locked="0" layoutInCell="1" allowOverlap="1">
                <wp:simplePos x="0" y="0"/>
                <wp:positionH relativeFrom="column">
                  <wp:posOffset>2801620</wp:posOffset>
                </wp:positionH>
                <wp:positionV relativeFrom="paragraph">
                  <wp:posOffset>4376420</wp:posOffset>
                </wp:positionV>
                <wp:extent cx="1047750" cy="294640"/>
                <wp:effectExtent l="209550" t="6350" r="19050" b="613410"/>
                <wp:wrapNone/>
                <wp:docPr id="197" name="矩形标注 197"/>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69393"/>
                            <a:gd name="adj2" fmla="val 250431"/>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9FE4394">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0.6pt;margin-top:344.6pt;height:23.2pt;width:82.5pt;z-index:251701248;v-text-anchor:middle;mso-width-relative:page;mso-height-relative:page;" filled="f" stroked="t" coordsize="21600,21600" o:gfxdata="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In1WyjaAAAACwEAAA8AAAAAAAAAAQAgAAAAIgAAAGRycy9kb3ducmV2LnhtbFBL&#10;AQIUABQAAAAIAIdO4kCrAu7InwIAACgFAAAOAAAAAAAAAAEAIAAAACkBAABkcnMvZTJvRG9jLnht&#10;bFBLBQYAAAAABgAGAFkBAAA6BgAAAAA=&#10;" adj="-4189,64893">
                <v:fill on="f" focussize="0,0"/>
                <v:stroke weight="1pt" color="#FF0000 [2404]" joinstyle="round"/>
                <v:imagedata o:title=""/>
                <o:lock v:ext="edit" aspectratio="f"/>
                <v:textbox>
                  <w:txbxContent>
                    <w:p w14:paraId="79FE4394">
                      <w:pPr>
                        <w:jc w:val="center"/>
                        <w:rPr>
                          <w:rFonts w:hint="default" w:eastAsia="宋体"/>
                          <w:color w:val="00B050"/>
                          <w:sz w:val="21"/>
                          <w:szCs w:val="21"/>
                          <w:lang w:val="en-US" w:eastAsia="zh-CN"/>
                        </w:rPr>
                      </w:pPr>
                      <w:r>
                        <w:rPr>
                          <w:rFonts w:hint="eastAsia"/>
                          <w:b/>
                          <w:bCs/>
                          <w:color w:val="00B050"/>
                          <w:sz w:val="21"/>
                          <w:szCs w:val="21"/>
                          <w:lang w:val="en-US" w:eastAsia="zh-CN"/>
                        </w:rPr>
                        <w:t>本项目位置</w:t>
                      </w:r>
                    </w:p>
                  </w:txbxContent>
                </v:textbox>
              </v:shape>
            </w:pict>
          </mc:Fallback>
        </mc:AlternateContent>
      </w:r>
      <w:r>
        <w:rPr>
          <w:highlight w:val="none"/>
        </w:rPr>
        <w:drawing>
          <wp:inline distT="0" distB="0" distL="114300" distR="114300">
            <wp:extent cx="5266690" cy="3486785"/>
            <wp:effectExtent l="0" t="0" r="10160" b="1841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40"/>
                    <a:stretch>
                      <a:fillRect/>
                    </a:stretch>
                  </pic:blipFill>
                  <pic:spPr>
                    <a:xfrm>
                      <a:off x="0" y="0"/>
                      <a:ext cx="5266690" cy="3486785"/>
                    </a:xfrm>
                    <a:prstGeom prst="rect">
                      <a:avLst/>
                    </a:prstGeom>
                    <a:noFill/>
                    <a:ln>
                      <a:noFill/>
                    </a:ln>
                  </pic:spPr>
                </pic:pic>
              </a:graphicData>
            </a:graphic>
          </wp:inline>
        </w:drawing>
      </w:r>
      <w:r>
        <w:rPr>
          <w:rFonts w:hint="default" w:ascii="Times New Roman" w:hAnsi="Times New Roman" w:eastAsia="黑体" w:cs="Times New Roman"/>
          <w:bCs/>
          <w:kern w:val="2"/>
          <w:sz w:val="21"/>
          <w:highlight w:val="none"/>
          <w:lang w:val="en-US" w:eastAsia="zh-CN"/>
        </w:rPr>
        <w:t>图1</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4-</w:t>
      </w:r>
      <w:r>
        <w:rPr>
          <w:rFonts w:hint="eastAsia" w:ascii="Times New Roman" w:hAnsi="Times New Roman" w:eastAsia="黑体" w:cs="Times New Roman"/>
          <w:bCs/>
          <w:kern w:val="2"/>
          <w:sz w:val="21"/>
          <w:highlight w:val="none"/>
          <w:lang w:val="en-US" w:eastAsia="zh-CN"/>
        </w:rPr>
        <w:t>7</w:t>
      </w:r>
      <w:r>
        <w:rPr>
          <w:rFonts w:hint="default" w:ascii="Times New Roman" w:hAnsi="Times New Roman" w:eastAsia="黑体" w:cs="Times New Roman"/>
          <w:bCs/>
          <w:kern w:val="2"/>
          <w:sz w:val="21"/>
          <w:highlight w:val="none"/>
          <w:lang w:val="en-US" w:eastAsia="zh-CN"/>
        </w:rPr>
        <w:t xml:space="preserve">  </w:t>
      </w:r>
      <w:r>
        <w:rPr>
          <w:rFonts w:hint="eastAsia" w:ascii="Times New Roman" w:hAnsi="Times New Roman" w:eastAsia="黑体" w:cs="Times New Roman"/>
          <w:bCs/>
          <w:kern w:val="2"/>
          <w:sz w:val="21"/>
          <w:highlight w:val="none"/>
          <w:lang w:val="en-US" w:eastAsia="zh-CN"/>
        </w:rPr>
        <w:t>本项目与密山市国土空间总体规划（2021—2035年）生态空间规划图位置关系</w:t>
      </w:r>
      <w:r>
        <w:rPr>
          <w:highlight w:val="none"/>
        </w:rPr>
        <w:drawing>
          <wp:inline distT="0" distB="0" distL="114300" distR="114300">
            <wp:extent cx="5263515" cy="3502025"/>
            <wp:effectExtent l="0" t="0" r="13335" b="3175"/>
            <wp:docPr id="1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7"/>
                    <pic:cNvPicPr>
                      <a:picLocks noChangeAspect="1"/>
                    </pic:cNvPicPr>
                  </pic:nvPicPr>
                  <pic:blipFill>
                    <a:blip r:embed="rId41"/>
                    <a:stretch>
                      <a:fillRect/>
                    </a:stretch>
                  </pic:blipFill>
                  <pic:spPr>
                    <a:xfrm>
                      <a:off x="0" y="0"/>
                      <a:ext cx="5263515" cy="3502025"/>
                    </a:xfrm>
                    <a:prstGeom prst="rect">
                      <a:avLst/>
                    </a:prstGeom>
                    <a:noFill/>
                    <a:ln>
                      <a:noFill/>
                    </a:ln>
                  </pic:spPr>
                </pic:pic>
              </a:graphicData>
            </a:graphic>
          </wp:inline>
        </w:drawing>
      </w:r>
      <w:r>
        <w:rPr>
          <w:rFonts w:hint="default" w:ascii="Times New Roman" w:hAnsi="Times New Roman" w:eastAsia="黑体" w:cs="Times New Roman"/>
          <w:bCs/>
          <w:kern w:val="2"/>
          <w:sz w:val="21"/>
          <w:highlight w:val="none"/>
          <w:lang w:val="en-US" w:eastAsia="zh-CN"/>
        </w:rPr>
        <w:t>图1</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4-</w:t>
      </w:r>
      <w:r>
        <w:rPr>
          <w:rFonts w:hint="eastAsia" w:ascii="Times New Roman" w:hAnsi="Times New Roman" w:eastAsia="黑体" w:cs="Times New Roman"/>
          <w:bCs/>
          <w:kern w:val="2"/>
          <w:sz w:val="21"/>
          <w:highlight w:val="none"/>
          <w:lang w:val="en-US" w:eastAsia="zh-CN"/>
        </w:rPr>
        <w:t>8</w:t>
      </w:r>
      <w:r>
        <w:rPr>
          <w:rFonts w:hint="default" w:ascii="Times New Roman" w:hAnsi="Times New Roman" w:eastAsia="黑体" w:cs="Times New Roman"/>
          <w:bCs/>
          <w:kern w:val="2"/>
          <w:sz w:val="21"/>
          <w:highlight w:val="none"/>
          <w:lang w:val="en-US" w:eastAsia="zh-CN"/>
        </w:rPr>
        <w:t xml:space="preserve">  </w:t>
      </w:r>
      <w:r>
        <w:rPr>
          <w:rFonts w:hint="eastAsia" w:ascii="Times New Roman" w:hAnsi="Times New Roman" w:eastAsia="黑体" w:cs="Times New Roman"/>
          <w:bCs/>
          <w:kern w:val="2"/>
          <w:sz w:val="21"/>
          <w:highlight w:val="none"/>
          <w:lang w:val="en-US" w:eastAsia="zh-CN"/>
        </w:rPr>
        <w:t>本项目与密山市国土空间总体规划（2021—2035年）城乡空间规划图位置关系</w:t>
      </w:r>
    </w:p>
    <w:p w14:paraId="533F4655">
      <w:pPr>
        <w:pStyle w:val="5"/>
        <w:bidi w:val="0"/>
        <w:rPr>
          <w:rFonts w:hint="default"/>
          <w:highlight w:val="none"/>
        </w:rPr>
      </w:pPr>
      <w:bookmarkStart w:id="54" w:name="_Toc11827"/>
      <w:bookmarkStart w:id="55" w:name="_Toc31845"/>
      <w:bookmarkStart w:id="56" w:name="_Toc28964"/>
      <w:bookmarkStart w:id="57" w:name="_Toc24212"/>
      <w:bookmarkStart w:id="58" w:name="_Toc20668"/>
      <w:bookmarkStart w:id="59" w:name="_Toc6209"/>
      <w:r>
        <w:rPr>
          <w:rFonts w:hint="default"/>
          <w:highlight w:val="none"/>
        </w:rPr>
        <w:t>1.5关注的主要环境问题</w:t>
      </w:r>
      <w:bookmarkEnd w:id="54"/>
      <w:bookmarkEnd w:id="55"/>
      <w:bookmarkEnd w:id="56"/>
      <w:bookmarkEnd w:id="57"/>
      <w:bookmarkEnd w:id="58"/>
      <w:bookmarkEnd w:id="59"/>
    </w:p>
    <w:p w14:paraId="3E5DF03E">
      <w:pPr>
        <w:pStyle w:val="94"/>
        <w:adjustRightInd/>
        <w:snapToGrid/>
        <w:contextualSpacing/>
        <w:jc w:val="both"/>
        <w:rPr>
          <w:rFonts w:hint="default" w:ascii="Times New Roman" w:hAnsi="Times New Roman" w:eastAsia="宋体" w:cs="Times New Roman"/>
          <w:color w:val="auto"/>
          <w:highlight w:val="none"/>
        </w:rPr>
      </w:pPr>
      <w:bookmarkStart w:id="60" w:name="_Toc479252801"/>
      <w:r>
        <w:rPr>
          <w:rFonts w:hint="default" w:ascii="Times New Roman" w:hAnsi="Times New Roman" w:eastAsia="宋体" w:cs="Times New Roman"/>
          <w:color w:val="auto"/>
          <w:highlight w:val="none"/>
        </w:rPr>
        <w:t>根据本项目工程特点和项目周边环境现状，关注的主要环境问题为：</w:t>
      </w:r>
    </w:p>
    <w:p w14:paraId="712567D0">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（1）施工期主要关注的环境问题及影响：</w:t>
      </w:r>
    </w:p>
    <w:p w14:paraId="271BD0AB">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①大气：包括</w:t>
      </w:r>
      <w:r>
        <w:rPr>
          <w:rFonts w:hint="default" w:ascii="Times New Roman" w:hAnsi="Times New Roman" w:eastAsia="宋体" w:cs="Times New Roman"/>
          <w:snapToGrid w:val="0"/>
          <w:color w:val="auto"/>
          <w:highlight w:val="none"/>
        </w:rPr>
        <w:t>施工机械、运输车辆尾气，施工环节产生的扬尘</w:t>
      </w:r>
      <w:r>
        <w:rPr>
          <w:rFonts w:hint="default" w:ascii="Times New Roman" w:hAnsi="Times New Roman" w:eastAsia="宋体" w:cs="Times New Roman"/>
          <w:color w:val="auto"/>
          <w:highlight w:val="none"/>
        </w:rPr>
        <w:t>对周边大气环境的污染影响；</w:t>
      </w:r>
    </w:p>
    <w:p w14:paraId="4A003B97">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②废水：包括</w:t>
      </w:r>
      <w:r>
        <w:rPr>
          <w:rFonts w:hint="default" w:ascii="Times New Roman" w:hAnsi="Times New Roman" w:eastAsia="宋体" w:cs="Times New Roman"/>
          <w:color w:val="auto"/>
          <w:kern w:val="0"/>
          <w:highlight w:val="none"/>
        </w:rPr>
        <w:t>施工废水和生活污水</w:t>
      </w:r>
      <w:r>
        <w:rPr>
          <w:rFonts w:hint="default" w:ascii="Times New Roman" w:hAnsi="Times New Roman" w:eastAsia="宋体" w:cs="Times New Roman"/>
          <w:color w:val="auto"/>
          <w:highlight w:val="none"/>
        </w:rPr>
        <w:t>对周边水体的污染影响；</w:t>
      </w:r>
    </w:p>
    <w:p w14:paraId="5A2255A4">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③噪声：包括施工设施及运输车辆产生的噪声对周边声环境的污染影响；</w:t>
      </w:r>
    </w:p>
    <w:p w14:paraId="0078BD33">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④固体废物：包括</w:t>
      </w:r>
      <w:r>
        <w:rPr>
          <w:rFonts w:hint="default" w:ascii="Times New Roman" w:hAnsi="Times New Roman" w:eastAsia="宋体" w:cs="Times New Roman"/>
          <w:color w:val="auto"/>
          <w:highlight w:val="none"/>
          <w:lang w:val="zh-CN"/>
        </w:rPr>
        <w:t>建筑垃圾和生活垃圾</w:t>
      </w:r>
      <w:r>
        <w:rPr>
          <w:rFonts w:hint="default" w:ascii="Times New Roman" w:hAnsi="Times New Roman" w:eastAsia="宋体" w:cs="Times New Roman"/>
          <w:color w:val="auto"/>
          <w:highlight w:val="none"/>
        </w:rPr>
        <w:t>产生的污染影响；</w:t>
      </w:r>
    </w:p>
    <w:p w14:paraId="2A8DF867">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⑤生态环境：包括施工过程中土方开挖产生的水土流失以及施工期过程中造成的植被破坏、地表扰动、水土流失等生态影响。</w:t>
      </w:r>
    </w:p>
    <w:p w14:paraId="4ABDB0B3">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（2）营运期主要关注的环境问题及影响：</w:t>
      </w:r>
    </w:p>
    <w:p w14:paraId="2A8D3A01">
      <w:pPr>
        <w:pStyle w:val="94"/>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①大气：猪舍、固液分离间</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以及</w:t>
      </w:r>
      <w:r>
        <w:rPr>
          <w:rFonts w:hint="eastAsia" w:ascii="Times New Roman" w:hAnsi="Times New Roman" w:cs="Times New Roman"/>
          <w:color w:val="auto"/>
          <w:highlight w:val="none"/>
          <w:lang w:eastAsia="zh-CN"/>
        </w:rPr>
        <w:t>干粪堆积场</w:t>
      </w:r>
      <w:r>
        <w:rPr>
          <w:rFonts w:hint="default" w:ascii="Times New Roman" w:hAnsi="Times New Roman" w:cs="Times New Roman"/>
          <w:color w:val="auto"/>
          <w:highlight w:val="none"/>
        </w:rPr>
        <w:t>产生的恶臭气体；</w:t>
      </w:r>
    </w:p>
    <w:p w14:paraId="54E73D00">
      <w:pPr>
        <w:pStyle w:val="94"/>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②废水：猪尿、员工生活污水对区域地表水及地下水环境的影响；</w:t>
      </w:r>
    </w:p>
    <w:p w14:paraId="42E60B75">
      <w:pPr>
        <w:pStyle w:val="94"/>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③噪声：包括风机等设备产生的机械噪声影响。</w:t>
      </w:r>
    </w:p>
    <w:p w14:paraId="4F21655C">
      <w:pPr>
        <w:pStyle w:val="94"/>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④固体废物：包括</w:t>
      </w:r>
      <w:r>
        <w:rPr>
          <w:rFonts w:hint="default" w:ascii="Times New Roman" w:hAnsi="Times New Roman" w:cs="Times New Roman"/>
          <w:snapToGrid w:val="0"/>
          <w:color w:val="auto"/>
          <w:highlight w:val="none"/>
        </w:rPr>
        <w:t>猪粪、员工生活垃圾、病死猪及胎盘、</w:t>
      </w:r>
      <w:r>
        <w:rPr>
          <w:rFonts w:hint="eastAsia" w:ascii="Times New Roman" w:hAnsi="Times New Roman" w:cs="Times New Roman"/>
          <w:snapToGrid w:val="0"/>
          <w:color w:val="auto"/>
          <w:highlight w:val="none"/>
          <w:lang w:eastAsia="zh-CN"/>
        </w:rPr>
        <w:t>动物医疗废物</w:t>
      </w:r>
      <w:r>
        <w:rPr>
          <w:rFonts w:hint="default" w:ascii="Times New Roman" w:hAnsi="Times New Roman" w:cs="Times New Roman"/>
          <w:snapToGrid w:val="0"/>
          <w:color w:val="auto"/>
          <w:highlight w:val="none"/>
        </w:rPr>
        <w:t>、废脱硫剂、沼渣、废除臭剂桶</w:t>
      </w:r>
      <w:r>
        <w:rPr>
          <w:rFonts w:hint="default" w:ascii="Times New Roman" w:hAnsi="Times New Roman" w:cs="Times New Roman"/>
          <w:color w:val="auto"/>
          <w:highlight w:val="none"/>
        </w:rPr>
        <w:t>等固体废物产生的污染影响。</w:t>
      </w:r>
    </w:p>
    <w:p w14:paraId="2C11E12D">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针对上述问题，本报告提出了相应的环境保护措施，并给出了本项目的环境影响可行性分析结论。</w:t>
      </w:r>
    </w:p>
    <w:p w14:paraId="03E53D0C">
      <w:pPr>
        <w:pStyle w:val="5"/>
        <w:bidi w:val="0"/>
        <w:rPr>
          <w:rFonts w:hint="default"/>
          <w:highlight w:val="none"/>
        </w:rPr>
      </w:pPr>
      <w:bookmarkStart w:id="61" w:name="_Toc25782"/>
      <w:bookmarkStart w:id="62" w:name="_Toc16099"/>
      <w:bookmarkStart w:id="63" w:name="_Toc14754"/>
      <w:bookmarkStart w:id="64" w:name="_Toc18181"/>
      <w:bookmarkStart w:id="65" w:name="_Toc1716"/>
      <w:bookmarkStart w:id="66" w:name="_Toc18357"/>
      <w:r>
        <w:rPr>
          <w:rFonts w:hint="default"/>
          <w:highlight w:val="none"/>
        </w:rPr>
        <w:t>1.6环境影响评价主要结论</w:t>
      </w:r>
      <w:bookmarkEnd w:id="60"/>
      <w:bookmarkEnd w:id="61"/>
      <w:bookmarkEnd w:id="62"/>
      <w:bookmarkEnd w:id="63"/>
      <w:bookmarkEnd w:id="64"/>
      <w:bookmarkEnd w:id="65"/>
      <w:bookmarkEnd w:id="66"/>
    </w:p>
    <w:p w14:paraId="64DC968C">
      <w:pPr>
        <w:pStyle w:val="94"/>
        <w:adjustRightInd/>
        <w:snapToGrid/>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的建设符合当前国家产业政策要求，符合《黑龙江省国民经济和社会发展第十四个五年规划和二〇三五年远景目标纲要》，项目的选址符合《畜禽规模养殖污染防治条例》（国务院令第643号）、《畜禽养殖业污染防治技术规范》（HJ/T81-2001）的要求。对解决农村剩余劳动力就业、促进农民增收具有重要意义。</w:t>
      </w:r>
    </w:p>
    <w:p w14:paraId="67326636">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本项目猪舍采用</w:t>
      </w:r>
      <w:r>
        <w:rPr>
          <w:rFonts w:hint="eastAsia" w:ascii="Times New Roman" w:hAnsi="Times New Roman" w:cs="Times New Roman"/>
          <w:color w:val="auto"/>
          <w:highlight w:val="none"/>
          <w:lang w:eastAsia="zh-CN"/>
        </w:rPr>
        <w:t>尿泡粪—干清粪</w:t>
      </w:r>
      <w:r>
        <w:rPr>
          <w:rFonts w:hint="default" w:ascii="Times New Roman" w:hAnsi="Times New Roman" w:cs="Times New Roman"/>
          <w:color w:val="auto"/>
          <w:highlight w:val="none"/>
        </w:rPr>
        <w:t>的清粪方式，及时清运粪污；在日粮中添加EM菌、定期喷洒生物除臭剂、废气经排气窗排放；固液分离间对处理设施进行封闭，</w:t>
      </w:r>
      <w:r>
        <w:rPr>
          <w:rFonts w:hint="eastAsia" w:ascii="Times New Roman" w:hAnsi="Times New Roman" w:cs="Times New Roman"/>
          <w:snapToGrid w:val="0"/>
          <w:color w:val="auto"/>
          <w:sz w:val="24"/>
          <w:szCs w:val="24"/>
          <w:highlight w:val="none"/>
          <w:lang w:val="en-US" w:eastAsia="zh-CN" w:bidi="ar"/>
        </w:rPr>
        <w:t>干粪堆积场</w:t>
      </w:r>
      <w:r>
        <w:rPr>
          <w:rFonts w:hint="eastAsia" w:ascii="Times New Roman"/>
          <w:color w:val="auto"/>
          <w:highlight w:val="none"/>
          <w:lang w:val="en-US" w:eastAsia="zh-CN"/>
        </w:rPr>
        <w:t>臭气</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eastAsia" w:ascii="Times New Roman" w:hAnsi="Times New Roman" w:cs="Times New Roman"/>
          <w:bCs/>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lang w:val="en-US" w:eastAsia="zh-CN" w:bidi="ar"/>
        </w:rPr>
        <w:t>废气经</w:t>
      </w:r>
      <w:r>
        <w:rPr>
          <w:rFonts w:hint="eastAsia" w:ascii="Times New Roman" w:hAnsi="Times New Roman" w:cs="Times New Roman"/>
          <w:bCs/>
          <w:snapToGrid w:val="0"/>
          <w:color w:val="auto"/>
          <w:sz w:val="24"/>
          <w:szCs w:val="24"/>
          <w:highlight w:val="none"/>
          <w:lang w:val="en-US" w:eastAsia="zh-CN"/>
        </w:rPr>
        <w:t>车间排风口排放</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黑膜厌氧池定期喷洒微生物除臭剂，黑膜厌氧池全封闭；臭气浓度满足《畜禽养殖业污染物排放标准》（GB18596-2001）中表7标准，硫化氢、氨在厂界浓度满足《恶臭污染物排放标准》（GB14554-93）表1中新改扩建二级标准。</w:t>
      </w:r>
      <w:r>
        <w:rPr>
          <w:rFonts w:hint="default" w:ascii="Times New Roman" w:hAnsi="Times New Roman" w:cs="Times New Roman"/>
          <w:color w:val="auto"/>
          <w:highlight w:val="none"/>
        </w:rPr>
        <w:t>本项目选址和平面布局合理，及时清理畜禽养殖废弃物等手段，减少恶臭气体的污染。</w:t>
      </w:r>
    </w:p>
    <w:p w14:paraId="73145A82">
      <w:pPr>
        <w:spacing w:line="360" w:lineRule="auto"/>
        <w:ind w:firstLine="480" w:firstLineChars="200"/>
        <w:rPr>
          <w:rFonts w:hint="eastAsia"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rPr>
        <w:t>本项目排水执行“雨污分流制”，收集输送系统采取地下管道布设，场区雨水经设计雨排系统排出场区外。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cs="Times New Roman"/>
          <w:color w:val="auto"/>
          <w:highlight w:val="none"/>
          <w:lang w:val="en-US" w:eastAsia="zh-CN"/>
        </w:rPr>
        <w:t>沼液贮存池</w:t>
      </w:r>
      <w:r>
        <w:rPr>
          <w:rFonts w:hint="default" w:ascii="Times New Roman" w:hAnsi="Times New Roman" w:cs="Times New Roman"/>
          <w:color w:val="auto"/>
          <w:highlight w:val="none"/>
        </w:rPr>
        <w:t>。</w:t>
      </w:r>
    </w:p>
    <w:p w14:paraId="03A3D6CA">
      <w:pPr>
        <w:spacing w:line="360" w:lineRule="auto"/>
        <w:ind w:firstLine="480" w:firstLineChars="200"/>
        <w:rPr>
          <w:rFonts w:hint="default" w:ascii="Times New Roman" w:hAnsi="Times New Roman" w:cs="Times New Roman"/>
          <w:color w:val="auto"/>
          <w:highlight w:val="none"/>
          <w:lang w:val="zh-CN"/>
        </w:rPr>
      </w:pPr>
      <w:r>
        <w:rPr>
          <w:rFonts w:hint="default" w:ascii="Times New Roman" w:hAnsi="Times New Roman" w:cs="Times New Roman"/>
          <w:snapToGrid w:val="0"/>
          <w:color w:val="auto"/>
          <w:highlight w:val="none"/>
        </w:rPr>
        <w:t>本项目猪舍产生的猪粪、沼渣</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堆肥发酵后，作为肥料施用于项目周边区域的农田，实现资源化利用</w:t>
      </w:r>
      <w:r>
        <w:rPr>
          <w:rFonts w:hint="default" w:ascii="Times New Roman" w:hAnsi="Times New Roman" w:cs="Times New Roman"/>
          <w:color w:val="auto"/>
          <w:highlight w:val="none"/>
        </w:rPr>
        <w:t>；病死猪及胎盘委托</w:t>
      </w:r>
      <w:r>
        <w:rPr>
          <w:rFonts w:hint="eastAsia" w:ascii="Times New Roman" w:hAnsi="Times New Roman" w:cs="Times New Roman"/>
          <w:color w:val="auto"/>
          <w:highlight w:val="none"/>
          <w:lang w:eastAsia="zh-CN"/>
        </w:rPr>
        <w:t>鸡西市鑫农源固废处理有限公司进行无害化集中处理</w:t>
      </w:r>
      <w:r>
        <w:rPr>
          <w:rFonts w:hint="default" w:ascii="Times New Roman" w:hAnsi="Times New Roman" w:cs="Times New Roman"/>
          <w:color w:val="auto"/>
          <w:highlight w:val="none"/>
        </w:rPr>
        <w:t>；</w:t>
      </w:r>
      <w:r>
        <w:rPr>
          <w:rFonts w:hint="eastAsia" w:ascii="Times New Roman" w:hAnsi="Times New Roman" w:cs="Times New Roman"/>
          <w:snapToGrid w:val="0"/>
          <w:color w:val="auto"/>
          <w:highlight w:val="none"/>
          <w:lang w:eastAsia="zh-CN"/>
        </w:rPr>
        <w:t>动物医疗废物</w:t>
      </w:r>
      <w:r>
        <w:rPr>
          <w:rFonts w:hint="default" w:ascii="Times New Roman" w:hAnsi="Times New Roman" w:cs="Times New Roman"/>
          <w:snapToGrid w:val="0"/>
          <w:color w:val="auto"/>
          <w:highlight w:val="none"/>
        </w:rPr>
        <w:t>属于危险废物，</w:t>
      </w:r>
      <w:r>
        <w:rPr>
          <w:rFonts w:hint="default" w:ascii="Times New Roman" w:hAnsi="Times New Roman" w:cs="Times New Roman"/>
          <w:color w:val="auto"/>
          <w:highlight w:val="none"/>
        </w:rPr>
        <w:t>本项目产生</w:t>
      </w:r>
      <w:r>
        <w:rPr>
          <w:rFonts w:hint="default" w:ascii="Times New Roman" w:hAnsi="Times New Roman" w:cs="Times New Roman"/>
          <w:snapToGrid w:val="0"/>
          <w:color w:val="auto"/>
          <w:highlight w:val="none"/>
        </w:rPr>
        <w:t>的危险废物类别属于HW01，废物代码为841-001-01，于</w:t>
      </w:r>
      <w:r>
        <w:rPr>
          <w:rFonts w:hint="default" w:ascii="Times New Roman" w:hAnsi="Times New Roman" w:cs="Times New Roman"/>
          <w:snapToGrid w:val="0"/>
          <w:color w:val="auto"/>
          <w:highlight w:val="none"/>
          <w:lang w:val="en-US" w:eastAsia="zh-CN"/>
        </w:rPr>
        <w:t>医疗</w:t>
      </w:r>
      <w:r>
        <w:rPr>
          <w:rFonts w:hint="default" w:ascii="Times New Roman" w:hAnsi="Times New Roman" w:cs="Times New Roman"/>
          <w:snapToGrid w:val="0"/>
          <w:color w:val="auto"/>
          <w:highlight w:val="none"/>
        </w:rPr>
        <w:t>废物暂存间暂存，定期交由有资质单位处置；废脱硫剂、废除臭剂桶定期由厂家回收处理；生活垃圾集中收集后，由市政环卫部门统一清运处理。</w:t>
      </w:r>
    </w:p>
    <w:p w14:paraId="201C1375">
      <w:pPr>
        <w:pStyle w:val="94"/>
        <w:kinsoku w:val="0"/>
        <w:adjustRightInd/>
        <w:snapToGrid/>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严格管理、勤于维护，采用</w:t>
      </w:r>
      <w:r>
        <w:rPr>
          <w:rFonts w:hint="default" w:ascii="Times New Roman" w:hAnsi="Times New Roman" w:eastAsia="宋体" w:cs="Times New Roman"/>
          <w:snapToGrid w:val="0"/>
          <w:color w:val="auto"/>
          <w:highlight w:val="none"/>
        </w:rPr>
        <w:t>低噪声设备、安装基础减震、隔声措施</w:t>
      </w:r>
      <w:r>
        <w:rPr>
          <w:rFonts w:hint="default" w:ascii="Times New Roman" w:hAnsi="Times New Roman" w:eastAsia="宋体" w:cs="Times New Roman"/>
          <w:color w:val="auto"/>
          <w:highlight w:val="none"/>
        </w:rPr>
        <w:t>，</w:t>
      </w:r>
      <w:r>
        <w:rPr>
          <w:rFonts w:hint="default" w:ascii="Times New Roman" w:hAnsi="Times New Roman" w:eastAsia="宋体" w:cs="Times New Roman"/>
          <w:snapToGrid w:val="0"/>
          <w:color w:val="auto"/>
          <w:highlight w:val="none"/>
        </w:rPr>
        <w:t>厂界外1m处可满足</w:t>
      </w:r>
      <w:r>
        <w:rPr>
          <w:rFonts w:hint="default" w:ascii="Times New Roman" w:hAnsi="Times New Roman" w:eastAsia="宋体" w:cs="Times New Roman"/>
          <w:color w:val="auto"/>
          <w:highlight w:val="none"/>
        </w:rPr>
        <w:t>《工业企业厂界环境噪声排放标准》（GB12348-2008）表1中</w:t>
      </w:r>
      <w:r>
        <w:rPr>
          <w:rFonts w:hint="eastAsia" w:ascii="Times New Roman" w:hAnsi="Times New Roman" w:cs="Times New Roman"/>
          <w:color w:val="auto"/>
          <w:highlight w:val="none"/>
          <w:lang w:val="en-US" w:eastAsia="zh-CN"/>
        </w:rPr>
        <w:t>1类</w:t>
      </w:r>
      <w:r>
        <w:rPr>
          <w:rFonts w:hint="default" w:ascii="Times New Roman" w:hAnsi="Times New Roman" w:eastAsia="宋体" w:cs="Times New Roman"/>
          <w:color w:val="auto"/>
          <w:highlight w:val="none"/>
        </w:rPr>
        <w:t>标准限值的要求。</w:t>
      </w:r>
    </w:p>
    <w:p w14:paraId="2B055486">
      <w:pPr>
        <w:pStyle w:val="94"/>
        <w:adjustRightInd/>
        <w:snapToGrid/>
        <w:rPr>
          <w:rFonts w:hint="default" w:ascii="Times New Roman" w:hAnsi="Times New Roman" w:eastAsia="宋体" w:cs="Times New Roman"/>
          <w:color w:val="auto"/>
          <w:kern w:val="0"/>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color w:val="auto"/>
          <w:kern w:val="0"/>
          <w:highlight w:val="none"/>
        </w:rPr>
        <w:t>项目运营期各污染源采取合理控制措施后可以实现达标排放及综合利用；在认真落实本报告书所提出的各项环境保护措施和风险防范措施，严格贯彻“三同时”环保要求的前提下，拟建项目外排污染物对厂区周围环境的影响是可以接受的，从环境保护角度而言，本项目的建设是可行的。</w:t>
      </w:r>
    </w:p>
    <w:p w14:paraId="58D1F95F">
      <w:pPr>
        <w:pStyle w:val="4"/>
        <w:bidi w:val="0"/>
        <w:rPr>
          <w:rFonts w:hint="default"/>
          <w:highlight w:val="none"/>
        </w:rPr>
      </w:pPr>
      <w:bookmarkStart w:id="67" w:name="_Toc17739"/>
      <w:bookmarkStart w:id="68" w:name="_Toc479252802"/>
      <w:bookmarkStart w:id="69" w:name="_Toc6123"/>
      <w:bookmarkStart w:id="70" w:name="_Toc31420"/>
      <w:bookmarkStart w:id="71" w:name="_Toc20682"/>
      <w:bookmarkStart w:id="72" w:name="_Toc27880"/>
      <w:bookmarkStart w:id="73" w:name="_Toc8819"/>
      <w:r>
        <w:rPr>
          <w:rFonts w:hint="default"/>
          <w:highlight w:val="none"/>
        </w:rPr>
        <w:t>2总则</w:t>
      </w:r>
      <w:bookmarkEnd w:id="67"/>
      <w:bookmarkEnd w:id="68"/>
      <w:bookmarkEnd w:id="69"/>
      <w:bookmarkEnd w:id="70"/>
      <w:bookmarkEnd w:id="71"/>
      <w:bookmarkEnd w:id="72"/>
      <w:bookmarkEnd w:id="73"/>
    </w:p>
    <w:p w14:paraId="2C4EC74A">
      <w:pPr>
        <w:pStyle w:val="5"/>
        <w:bidi w:val="0"/>
        <w:rPr>
          <w:rFonts w:hint="default"/>
          <w:highlight w:val="none"/>
        </w:rPr>
      </w:pPr>
      <w:bookmarkStart w:id="74" w:name="_Toc30254"/>
      <w:bookmarkStart w:id="75" w:name="_Toc21606"/>
      <w:bookmarkStart w:id="76" w:name="_Toc479252803"/>
      <w:bookmarkStart w:id="77" w:name="_Toc21213"/>
      <w:bookmarkStart w:id="78" w:name="_Toc14135"/>
      <w:bookmarkStart w:id="79" w:name="_Toc13800"/>
      <w:bookmarkStart w:id="80" w:name="_Toc20821"/>
      <w:r>
        <w:rPr>
          <w:rFonts w:hint="default"/>
          <w:highlight w:val="none"/>
        </w:rPr>
        <w:t>2.1编制依据</w:t>
      </w:r>
      <w:bookmarkEnd w:id="74"/>
      <w:bookmarkEnd w:id="75"/>
      <w:bookmarkEnd w:id="76"/>
      <w:bookmarkEnd w:id="77"/>
      <w:bookmarkEnd w:id="78"/>
      <w:bookmarkEnd w:id="79"/>
      <w:bookmarkEnd w:id="80"/>
    </w:p>
    <w:p w14:paraId="0968A256">
      <w:pPr>
        <w:pStyle w:val="7"/>
        <w:bidi w:val="0"/>
        <w:rPr>
          <w:rFonts w:hint="default"/>
          <w:highlight w:val="none"/>
        </w:rPr>
      </w:pPr>
      <w:bookmarkStart w:id="81" w:name="_Toc31161"/>
      <w:bookmarkStart w:id="82" w:name="_Toc22963"/>
      <w:bookmarkStart w:id="83" w:name="_Toc23287"/>
      <w:bookmarkStart w:id="84" w:name="_Toc14480"/>
      <w:bookmarkStart w:id="85" w:name="_Toc4756"/>
      <w:r>
        <w:rPr>
          <w:rFonts w:hint="default"/>
          <w:highlight w:val="none"/>
        </w:rPr>
        <w:t>2.1.1</w:t>
      </w:r>
      <w:bookmarkEnd w:id="81"/>
      <w:r>
        <w:rPr>
          <w:rFonts w:hint="default"/>
          <w:highlight w:val="none"/>
        </w:rPr>
        <w:t>法律依据</w:t>
      </w:r>
      <w:bookmarkEnd w:id="82"/>
      <w:bookmarkEnd w:id="83"/>
      <w:bookmarkEnd w:id="84"/>
      <w:bookmarkEnd w:id="85"/>
    </w:p>
    <w:p w14:paraId="307AF3B0">
      <w:pPr>
        <w:pStyle w:val="19"/>
        <w:spacing w:after="0" w:line="360" w:lineRule="auto"/>
        <w:ind w:firstLine="480" w:firstLineChars="200"/>
        <w:rPr>
          <w:rFonts w:hint="default" w:ascii="Times New Roman" w:hAnsi="Times New Roman" w:eastAsia="宋体" w:cs="Times New Roman"/>
          <w:color w:val="auto"/>
          <w:sz w:val="24"/>
          <w:highlight w:val="none"/>
        </w:rPr>
      </w:pPr>
      <w:bookmarkStart w:id="86" w:name="_Toc20299"/>
      <w:bookmarkStart w:id="87" w:name="_Toc21091"/>
      <w:r>
        <w:rPr>
          <w:rFonts w:hint="default" w:ascii="Times New Roman" w:hAnsi="Times New Roman" w:eastAsia="宋体" w:cs="Times New Roman"/>
          <w:color w:val="auto"/>
          <w:sz w:val="24"/>
          <w:highlight w:val="none"/>
        </w:rPr>
        <w:t>（1）《中华人民共和国环境保护法》，2015年1月1日；</w:t>
      </w:r>
    </w:p>
    <w:p w14:paraId="3B7F2E91">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（2）《中华人民共和国环境影响评价法》</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2018年12月29日；</w:t>
      </w:r>
    </w:p>
    <w:p w14:paraId="1BCC4C39">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val="en-US" w:eastAsia="zh-CN"/>
        </w:rPr>
        <w:t>《中华人民共和国大气污染防治法》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2018年10月26日修订</w:t>
      </w:r>
      <w:r>
        <w:rPr>
          <w:rFonts w:hint="default" w:ascii="Times New Roman" w:hAnsi="Times New Roman" w:eastAsia="宋体" w:cs="Times New Roman"/>
          <w:color w:val="auto"/>
          <w:sz w:val="24"/>
          <w:highlight w:val="none"/>
        </w:rPr>
        <w:t>；</w:t>
      </w:r>
    </w:p>
    <w:p w14:paraId="78C8397D">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（4）《中华人民共和国水污染防治法》，2018年1月1日；</w:t>
      </w:r>
    </w:p>
    <w:p w14:paraId="1EF6A291">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中华人民共和国噪声污染防治法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2022年6月5日；</w:t>
      </w:r>
    </w:p>
    <w:p w14:paraId="2798BBF5">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（6）《中华人民共和国固体废物污染环境防治法》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2020年9月1日；</w:t>
      </w:r>
    </w:p>
    <w:p w14:paraId="300B3D34">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（7）《中华人民共和国土壤污染防治法》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2019年1月1日</w:t>
      </w:r>
      <w:r>
        <w:rPr>
          <w:rFonts w:hint="default" w:ascii="Times New Roman" w:hAnsi="Times New Roman" w:eastAsia="宋体" w:cs="Times New Roman"/>
          <w:color w:val="auto"/>
          <w:sz w:val="24"/>
          <w:highlight w:val="none"/>
          <w:lang w:eastAsia="zh-CN"/>
        </w:rPr>
        <w:t>；</w:t>
      </w:r>
    </w:p>
    <w:p w14:paraId="53F43629">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（8）《中华人民共和国动物防疫法》，20</w:t>
      </w:r>
      <w:r>
        <w:rPr>
          <w:rFonts w:hint="default"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日；</w:t>
      </w:r>
    </w:p>
    <w:p w14:paraId="5C4BF504">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（9）《中华人民共和国清洁生产促进法》，2012年7月1日；</w:t>
      </w:r>
    </w:p>
    <w:p w14:paraId="78604A55">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（10）《中华人民共和国农业法》，2013年1月1日；</w:t>
      </w:r>
    </w:p>
    <w:p w14:paraId="6E48D46B">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11</w:t>
      </w:r>
      <w:r>
        <w:rPr>
          <w:rFonts w:hint="default" w:ascii="Times New Roman" w:hAnsi="Times New Roman" w:eastAsia="宋体" w:cs="Times New Roman"/>
          <w:color w:val="auto"/>
          <w:sz w:val="24"/>
          <w:highlight w:val="none"/>
          <w:lang w:val="en-US" w:eastAsia="zh-CN"/>
        </w:rPr>
        <w:t>）《中华人民共和国节约能源法》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2018年10月26日；</w:t>
      </w:r>
    </w:p>
    <w:p w14:paraId="0F49CE9E">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）《中华人民共和国安全生产法》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2021年9月1日；</w:t>
      </w:r>
    </w:p>
    <w:p w14:paraId="5E468E8F">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）《中华人民共和国土地管理法》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2020年1月1日；</w:t>
      </w:r>
    </w:p>
    <w:p w14:paraId="1CAB27DD">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）《中华人民共和国水法》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2016年9月1日；</w:t>
      </w:r>
    </w:p>
    <w:p w14:paraId="36D9F5C8">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）《中华人民共和国畜牧法》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w:t>
      </w:r>
      <w:r>
        <w:rPr>
          <w:rFonts w:hint="eastAsia" w:ascii="Times New Roman" w:hAnsi="Times New Roman" w:cs="Times New Roman"/>
          <w:color w:val="auto"/>
          <w:sz w:val="24"/>
          <w:highlight w:val="none"/>
          <w:lang w:val="en-US" w:eastAsia="zh-CN"/>
        </w:rPr>
        <w:t>22</w:t>
      </w:r>
      <w:r>
        <w:rPr>
          <w:rFonts w:hint="default" w:ascii="Times New Roman" w:hAnsi="Times New Roman" w:eastAsia="宋体" w:cs="Times New Roman"/>
          <w:color w:val="auto"/>
          <w:sz w:val="24"/>
          <w:highlight w:val="none"/>
          <w:lang w:val="en-US" w:eastAsia="zh-CN"/>
        </w:rPr>
        <w:t>年</w:t>
      </w:r>
      <w:r>
        <w:rPr>
          <w:rFonts w:hint="eastAsia" w:ascii="Times New Roman" w:hAnsi="Times New Roman"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月</w:t>
      </w:r>
      <w:r>
        <w:rPr>
          <w:rFonts w:hint="eastAsia" w:ascii="Times New Roman" w:hAnsi="Times New Roman" w:cs="Times New Roman"/>
          <w:color w:val="auto"/>
          <w:sz w:val="24"/>
          <w:highlight w:val="none"/>
          <w:lang w:val="en-US" w:eastAsia="zh-CN"/>
        </w:rPr>
        <w:t>30</w:t>
      </w:r>
      <w:r>
        <w:rPr>
          <w:rFonts w:hint="default" w:ascii="Times New Roman" w:hAnsi="Times New Roman" w:eastAsia="宋体" w:cs="Times New Roman"/>
          <w:color w:val="auto"/>
          <w:sz w:val="24"/>
          <w:highlight w:val="none"/>
          <w:lang w:val="en-US" w:eastAsia="zh-CN"/>
        </w:rPr>
        <w:t>日</w:t>
      </w:r>
      <w:r>
        <w:rPr>
          <w:rFonts w:hint="eastAsia" w:ascii="Times New Roman" w:hAnsi="Times New Roman" w:cs="Times New Roman"/>
          <w:color w:val="auto"/>
          <w:sz w:val="24"/>
          <w:highlight w:val="none"/>
          <w:lang w:val="en-US" w:eastAsia="zh-CN"/>
        </w:rPr>
        <w:t>修订</w:t>
      </w:r>
      <w:r>
        <w:rPr>
          <w:rFonts w:hint="default" w:ascii="Times New Roman" w:hAnsi="Times New Roman" w:eastAsia="宋体" w:cs="Times New Roman"/>
          <w:color w:val="auto"/>
          <w:sz w:val="24"/>
          <w:highlight w:val="none"/>
          <w:lang w:val="en-US" w:eastAsia="zh-CN"/>
        </w:rPr>
        <w:t>；</w:t>
      </w:r>
    </w:p>
    <w:p w14:paraId="67E778BF">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（16）《中华人民共和国传染病防治法》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w:t>
      </w:r>
      <w:r>
        <w:rPr>
          <w:rFonts w:hint="eastAsia" w:ascii="Times New Roman" w:hAnsi="Times New Roman" w:cs="Times New Roman"/>
          <w:color w:val="auto"/>
          <w:sz w:val="24"/>
          <w:highlight w:val="none"/>
          <w:lang w:val="en-US" w:eastAsia="zh-CN"/>
        </w:rPr>
        <w:t>25</w:t>
      </w:r>
      <w:r>
        <w:rPr>
          <w:rFonts w:hint="default" w:ascii="Times New Roman" w:hAnsi="Times New Roman" w:eastAsia="宋体" w:cs="Times New Roman"/>
          <w:color w:val="auto"/>
          <w:sz w:val="24"/>
          <w:highlight w:val="none"/>
          <w:lang w:val="en-US" w:eastAsia="zh-CN"/>
        </w:rPr>
        <w:t>年</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月</w:t>
      </w:r>
      <w:r>
        <w:rPr>
          <w:rFonts w:hint="eastAsia"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日；</w:t>
      </w:r>
    </w:p>
    <w:p w14:paraId="42AE9F14">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（17）《中华人民共和国城乡规划法》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2019年4月23日</w:t>
      </w:r>
      <w:r>
        <w:rPr>
          <w:rFonts w:hint="eastAsia" w:ascii="Times New Roman" w:hAnsi="Times New Roman" w:cs="Times New Roman"/>
          <w:color w:val="auto"/>
          <w:sz w:val="24"/>
          <w:highlight w:val="none"/>
          <w:lang w:val="en-US" w:eastAsia="zh-CN"/>
        </w:rPr>
        <w:t>；</w:t>
      </w:r>
    </w:p>
    <w:p w14:paraId="6015C760">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highlight w:val="none"/>
        </w:rPr>
        <w:t>）《大气污染防治行动计划》（国务院）</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2013年9月10日；</w:t>
      </w:r>
    </w:p>
    <w:p w14:paraId="07B7F2DE">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rPr>
        <w:t>）《水污染防治行动计划》（国务院）</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2015年4月16日；</w:t>
      </w:r>
    </w:p>
    <w:p w14:paraId="7F6D601F">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20</w:t>
      </w:r>
      <w:r>
        <w:rPr>
          <w:rFonts w:hint="default" w:ascii="Times New Roman" w:hAnsi="Times New Roman" w:eastAsia="宋体" w:cs="Times New Roman"/>
          <w:color w:val="auto"/>
          <w:sz w:val="24"/>
          <w:highlight w:val="none"/>
        </w:rPr>
        <w:t>）《土壤污染防治行动计划》（国务院）</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2016年5月28日</w:t>
      </w:r>
    </w:p>
    <w:p w14:paraId="22395373">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21</w:t>
      </w:r>
      <w:r>
        <w:rPr>
          <w:rFonts w:hint="eastAsia" w:ascii="Times New Roman" w:hAnsi="Times New Roman" w:cs="Times New Roman"/>
          <w:color w:val="auto"/>
          <w:sz w:val="24"/>
          <w:highlight w:val="none"/>
          <w:lang w:eastAsia="zh-CN"/>
        </w:rPr>
        <w:t>）《中华人民共和国水土保持法》（2011年3月1日）</w:t>
      </w:r>
      <w:r>
        <w:rPr>
          <w:rFonts w:hint="default" w:ascii="Times New Roman" w:hAnsi="Times New Roman" w:eastAsia="宋体" w:cs="Times New Roman"/>
          <w:color w:val="auto"/>
          <w:sz w:val="24"/>
          <w:highlight w:val="none"/>
        </w:rPr>
        <w:t>。</w:t>
      </w:r>
    </w:p>
    <w:p w14:paraId="2295C138">
      <w:pPr>
        <w:pStyle w:val="7"/>
        <w:bidi w:val="0"/>
        <w:rPr>
          <w:rFonts w:hint="default"/>
          <w:highlight w:val="none"/>
        </w:rPr>
      </w:pPr>
      <w:bookmarkStart w:id="88" w:name="_Toc14677"/>
      <w:bookmarkStart w:id="89" w:name="_Toc17001"/>
      <w:bookmarkStart w:id="90" w:name="_Toc23790"/>
      <w:bookmarkStart w:id="91" w:name="_Toc6914"/>
      <w:r>
        <w:rPr>
          <w:rFonts w:hint="default"/>
          <w:highlight w:val="none"/>
        </w:rPr>
        <w:t>2.1.2行政法规、规范性文件及通知</w:t>
      </w:r>
      <w:bookmarkEnd w:id="86"/>
      <w:bookmarkEnd w:id="87"/>
      <w:bookmarkEnd w:id="88"/>
      <w:bookmarkEnd w:id="89"/>
      <w:bookmarkEnd w:id="90"/>
      <w:bookmarkEnd w:id="91"/>
    </w:p>
    <w:p w14:paraId="4698E2D7">
      <w:pPr>
        <w:pStyle w:val="30"/>
        <w:snapToGrid/>
        <w:spacing w:line="360" w:lineRule="auto"/>
        <w:ind w:firstLine="480" w:firstLineChars="200"/>
        <w:rPr>
          <w:rFonts w:hint="default" w:ascii="Times New Roman" w:hAnsi="Times New Roman" w:eastAsia="宋体" w:cs="Times New Roman"/>
          <w:bCs/>
          <w:color w:val="auto"/>
          <w:sz w:val="24"/>
          <w:szCs w:val="24"/>
          <w:highlight w:val="none"/>
        </w:rPr>
      </w:pPr>
      <w:bookmarkStart w:id="92" w:name="_Toc20098"/>
      <w:bookmarkStart w:id="93" w:name="_Toc6004"/>
      <w:bookmarkStart w:id="94" w:name="_Toc491609949"/>
      <w:bookmarkStart w:id="95" w:name="_Toc18004"/>
      <w:bookmarkStart w:id="96" w:name="_Toc484463373"/>
      <w:bookmarkStart w:id="97" w:name="_Toc29433"/>
      <w:bookmarkStart w:id="98" w:name="_Toc31155"/>
      <w:bookmarkStart w:id="99" w:name="_Toc29787"/>
      <w:bookmarkStart w:id="100" w:name="_Toc11617"/>
      <w:bookmarkStart w:id="101" w:name="_Toc25571"/>
      <w:r>
        <w:rPr>
          <w:rFonts w:hint="default" w:ascii="Times New Roman" w:hAnsi="Times New Roman" w:eastAsia="宋体" w:cs="Times New Roman"/>
          <w:bCs/>
          <w:color w:val="auto"/>
          <w:sz w:val="24"/>
          <w:szCs w:val="24"/>
          <w:highlight w:val="none"/>
        </w:rPr>
        <w:t>（1）国务院令第682号，《国务院关于修改〈建设项目环境保护管理条例〉的决定》</w:t>
      </w:r>
      <w:r>
        <w:rPr>
          <w:rFonts w:hint="eastAsia" w:ascii="Times New Roman" w:hAnsi="Times New Roman"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2017年7月16日；</w:t>
      </w:r>
    </w:p>
    <w:p w14:paraId="4F6398BC">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（2）生态环境部部令第16号，《</w:t>
      </w:r>
      <w:r>
        <w:rPr>
          <w:rFonts w:hint="default" w:ascii="Times New Roman" w:hAnsi="Times New Roman" w:eastAsia="宋体" w:cs="Times New Roman"/>
          <w:bCs/>
          <w:color w:val="auto"/>
          <w:sz w:val="24"/>
          <w:szCs w:val="24"/>
          <w:highlight w:val="none"/>
        </w:rPr>
        <w:t>建设项目环境影响评价分类管理名录（2021年版）</w:t>
      </w:r>
      <w:r>
        <w:rPr>
          <w:rFonts w:hint="default" w:ascii="Times New Roman" w:hAnsi="Times New Roman" w:eastAsia="宋体" w:cs="Times New Roman"/>
          <w:color w:val="auto"/>
          <w:sz w:val="24"/>
          <w:szCs w:val="24"/>
          <w:highlight w:val="none"/>
        </w:rPr>
        <w:t>》；</w:t>
      </w:r>
    </w:p>
    <w:p w14:paraId="1E1BB852">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bCs/>
          <w:color w:val="auto"/>
          <w:sz w:val="24"/>
          <w:szCs w:val="24"/>
          <w:highlight w:val="none"/>
        </w:rPr>
        <w:t>国务院令第643号《畜禽规模养殖污染防治条例》</w:t>
      </w:r>
      <w:r>
        <w:rPr>
          <w:rFonts w:hint="eastAsia" w:ascii="Times New Roman" w:hAnsi="Times New Roman"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2014年1月1日；</w:t>
      </w:r>
    </w:p>
    <w:p w14:paraId="2FD2EAC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（4）国务院，国发[2011]35号《国务院关于加强环境保护重点工作的意见》</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2011年10月20日；</w:t>
      </w:r>
    </w:p>
    <w:p w14:paraId="3FEC577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（5）国务院，国发[2015]17号《国务院关于印发水污染防治行动计划的通知》</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2015年4月16日；</w:t>
      </w:r>
    </w:p>
    <w:p w14:paraId="050FC35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）国务院，国发[2016]31号《国务院关于印发土壤污染防治行动计划的通知》</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2016年5月31日；</w:t>
      </w:r>
    </w:p>
    <w:p w14:paraId="15048B1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）国务院办公厅，国办发[2017]48号《关于加快推进畜禽养殖废弃物资源化利用的意见》</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2017年6月12日；</w:t>
      </w:r>
    </w:p>
    <w:p w14:paraId="41CAD80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）国家发展改革委</w:t>
      </w:r>
      <w:r>
        <w:rPr>
          <w:rFonts w:hint="default" w:ascii="Times New Roman" w:hAnsi="Times New Roman" w:eastAsia="宋体" w:cs="Times New Roman"/>
          <w:bCs/>
          <w:color w:val="auto"/>
          <w:sz w:val="24"/>
          <w:highlight w:val="none"/>
        </w:rPr>
        <w:t>，《</w:t>
      </w:r>
      <w:r>
        <w:rPr>
          <w:rFonts w:hint="eastAsia" w:ascii="Times New Roman" w:hAnsi="Times New Roman" w:cs="Times New Roman"/>
          <w:bCs/>
          <w:color w:val="auto"/>
          <w:sz w:val="24"/>
          <w:highlight w:val="none"/>
          <w:lang w:eastAsia="zh-CN"/>
        </w:rPr>
        <w:t>产业结构调整指导目录（2024年本）</w:t>
      </w:r>
      <w:r>
        <w:rPr>
          <w:rFonts w:hint="default" w:ascii="Times New Roman" w:hAnsi="Times New Roman" w:eastAsia="宋体" w:cs="Times New Roman"/>
          <w:bCs/>
          <w:color w:val="auto"/>
          <w:sz w:val="24"/>
          <w:highlight w:val="none"/>
        </w:rPr>
        <w:t>》（国家发展改革委令第</w:t>
      </w:r>
      <w:r>
        <w:rPr>
          <w:rFonts w:hint="eastAsia" w:ascii="Times New Roman" w:hAnsi="Times New Roman" w:cs="Times New Roman"/>
          <w:bCs/>
          <w:color w:val="auto"/>
          <w:sz w:val="24"/>
          <w:highlight w:val="none"/>
          <w:lang w:val="en-US" w:eastAsia="zh-CN"/>
        </w:rPr>
        <w:t>7</w:t>
      </w:r>
      <w:r>
        <w:rPr>
          <w:rFonts w:hint="default" w:ascii="Times New Roman" w:hAnsi="Times New Roman" w:eastAsia="宋体" w:cs="Times New Roman"/>
          <w:bCs/>
          <w:color w:val="auto"/>
          <w:sz w:val="24"/>
          <w:highlight w:val="none"/>
        </w:rPr>
        <w:t>号，20</w:t>
      </w:r>
      <w:r>
        <w:rPr>
          <w:rFonts w:hint="eastAsia" w:ascii="Times New Roman" w:hAnsi="Times New Roman" w:cs="Times New Roman"/>
          <w:bCs/>
          <w:color w:val="auto"/>
          <w:sz w:val="24"/>
          <w:highlight w:val="none"/>
          <w:lang w:val="en-US" w:eastAsia="zh-CN"/>
        </w:rPr>
        <w:t>24</w:t>
      </w:r>
      <w:r>
        <w:rPr>
          <w:rFonts w:hint="default" w:ascii="Times New Roman" w:hAnsi="Times New Roman" w:eastAsia="宋体" w:cs="Times New Roman"/>
          <w:bCs/>
          <w:color w:val="auto"/>
          <w:sz w:val="24"/>
          <w:highlight w:val="none"/>
        </w:rPr>
        <w:t>年</w:t>
      </w:r>
      <w:r>
        <w:rPr>
          <w:rFonts w:hint="eastAsia" w:ascii="Times New Roman" w:hAnsi="Times New Roman" w:cs="Times New Roman"/>
          <w:bCs/>
          <w:color w:val="auto"/>
          <w:sz w:val="24"/>
          <w:highlight w:val="none"/>
          <w:lang w:val="en-US" w:eastAsia="zh-CN"/>
        </w:rPr>
        <w:t>2</w:t>
      </w:r>
      <w:r>
        <w:rPr>
          <w:rFonts w:hint="default" w:ascii="Times New Roman" w:hAnsi="Times New Roman" w:eastAsia="宋体" w:cs="Times New Roman"/>
          <w:bCs/>
          <w:color w:val="auto"/>
          <w:sz w:val="24"/>
          <w:highlight w:val="none"/>
        </w:rPr>
        <w:t>月</w:t>
      </w:r>
      <w:r>
        <w:rPr>
          <w:rFonts w:hint="eastAsia" w:ascii="Times New Roman" w:hAnsi="Times New Roman" w:cs="Times New Roman"/>
          <w:bCs/>
          <w:color w:val="auto"/>
          <w:sz w:val="24"/>
          <w:highlight w:val="none"/>
          <w:lang w:val="en-US" w:eastAsia="zh-CN"/>
        </w:rPr>
        <w:t>1</w:t>
      </w:r>
      <w:r>
        <w:rPr>
          <w:rFonts w:hint="default" w:ascii="Times New Roman" w:hAnsi="Times New Roman" w:eastAsia="宋体" w:cs="Times New Roman"/>
          <w:bCs/>
          <w:color w:val="auto"/>
          <w:sz w:val="24"/>
          <w:highlight w:val="none"/>
        </w:rPr>
        <w:t>日</w:t>
      </w:r>
      <w:r>
        <w:rPr>
          <w:rFonts w:hint="default" w:ascii="Times New Roman" w:hAnsi="Times New Roman" w:eastAsia="宋体" w:cs="Times New Roman"/>
          <w:color w:val="auto"/>
          <w:sz w:val="24"/>
          <w:highlight w:val="none"/>
        </w:rPr>
        <w:t>；</w:t>
      </w:r>
    </w:p>
    <w:p w14:paraId="575115A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）《关于切实加强风险防范严格环境影响评价管理的通知》（环境保护部，环发[2012]98号）</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2012年8月7日；</w:t>
      </w:r>
    </w:p>
    <w:p w14:paraId="286E360A">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10</w:t>
      </w:r>
      <w:r>
        <w:rPr>
          <w:rFonts w:hint="eastAsia" w:ascii="Times New Roman" w:hAnsi="Times New Roman" w:cs="Times New Roman"/>
          <w:color w:val="auto"/>
          <w:sz w:val="24"/>
          <w:highlight w:val="none"/>
          <w:lang w:eastAsia="zh-CN"/>
        </w:rPr>
        <w:t>）《关于进一步加强环境影响评价管理防范环境风险的通知》（环境保护部，环发[2012]</w:t>
      </w:r>
      <w:r>
        <w:rPr>
          <w:rFonts w:hint="eastAsia" w:ascii="Times New Roman" w:hAnsi="Times New Roman" w:cs="Times New Roman"/>
          <w:color w:val="auto"/>
          <w:sz w:val="24"/>
          <w:highlight w:val="none"/>
          <w:lang w:val="en-US" w:eastAsia="zh-CN"/>
        </w:rPr>
        <w:t>77</w:t>
      </w:r>
      <w:r>
        <w:rPr>
          <w:rFonts w:hint="eastAsia" w:ascii="Times New Roman" w:hAnsi="Times New Roman" w:cs="Times New Roman"/>
          <w:color w:val="auto"/>
          <w:sz w:val="24"/>
          <w:highlight w:val="none"/>
          <w:lang w:eastAsia="zh-CN"/>
        </w:rPr>
        <w:t>号），</w:t>
      </w:r>
      <w:r>
        <w:rPr>
          <w:rFonts w:hint="eastAsia" w:ascii="Times New Roman" w:hAnsi="Times New Roman" w:cs="Times New Roman"/>
          <w:color w:val="auto"/>
          <w:sz w:val="24"/>
          <w:highlight w:val="none"/>
          <w:lang w:val="en-US" w:eastAsia="zh-CN"/>
        </w:rPr>
        <w:t>2012年7月3日；</w:t>
      </w:r>
    </w:p>
    <w:p w14:paraId="06B81D1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rPr>
        <w:t>）环境保护部办公厅，环办[2014]30号《关于落实大气污染防治行动计划严格环境影响评价准入的通知》</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2014年3月25日；</w:t>
      </w:r>
    </w:p>
    <w:p w14:paraId="524041A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rPr>
        <w:t>）国家环境保护部办公厅，环办[2012]134号《关于进一步加强环境保护信息公开工作的通知》</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2012年10月30日；</w:t>
      </w:r>
    </w:p>
    <w:p w14:paraId="1A4F1105">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rPr>
        <w:t>）生态环境部办公厅</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关于印发2021年《国家先进污染防治技术目录（大气污染防治、噪声与振动控制领域）》的通知</w:t>
      </w:r>
      <w:r>
        <w:rPr>
          <w:rFonts w:hint="eastAsia" w:ascii="Times New Roman" w:hAnsi="Times New Roman" w:cs="Times New Roman"/>
          <w:color w:val="auto"/>
          <w:sz w:val="24"/>
          <w:highlight w:val="none"/>
          <w:lang w:eastAsia="zh-CN"/>
        </w:rPr>
        <w:t>（环办科财函〔2021〕607号），2021</w:t>
      </w:r>
      <w:r>
        <w:rPr>
          <w:rFonts w:hint="eastAsia" w:ascii="Times New Roman" w:hAnsi="Times New Roman" w:cs="Times New Roman"/>
          <w:color w:val="auto"/>
          <w:sz w:val="24"/>
          <w:highlight w:val="none"/>
          <w:lang w:val="en-US" w:eastAsia="zh-CN"/>
        </w:rPr>
        <w:t>年</w:t>
      </w:r>
      <w:r>
        <w:rPr>
          <w:rFonts w:hint="eastAsia" w:ascii="Times New Roman" w:hAnsi="Times New Roman" w:cs="Times New Roman"/>
          <w:color w:val="auto"/>
          <w:sz w:val="24"/>
          <w:highlight w:val="none"/>
          <w:lang w:eastAsia="zh-CN"/>
        </w:rPr>
        <w:t>12</w:t>
      </w:r>
      <w:r>
        <w:rPr>
          <w:rFonts w:hint="eastAsia" w:ascii="Times New Roman" w:hAnsi="Times New Roman" w:cs="Times New Roman"/>
          <w:color w:val="auto"/>
          <w:sz w:val="24"/>
          <w:highlight w:val="none"/>
          <w:lang w:val="en-US" w:eastAsia="zh-CN"/>
        </w:rPr>
        <w:t>月</w:t>
      </w:r>
      <w:r>
        <w:rPr>
          <w:rFonts w:hint="eastAsia" w:ascii="Times New Roman" w:hAnsi="Times New Roman" w:cs="Times New Roman"/>
          <w:color w:val="auto"/>
          <w:sz w:val="24"/>
          <w:highlight w:val="none"/>
          <w:lang w:eastAsia="zh-CN"/>
        </w:rPr>
        <w:t>24</w:t>
      </w:r>
      <w:r>
        <w:rPr>
          <w:rFonts w:hint="eastAsia" w:ascii="Times New Roman" w:hAnsi="Times New Roman" w:cs="Times New Roman"/>
          <w:color w:val="auto"/>
          <w:sz w:val="24"/>
          <w:highlight w:val="none"/>
          <w:lang w:val="en-US" w:eastAsia="zh-CN"/>
        </w:rPr>
        <w:t>日；</w:t>
      </w:r>
    </w:p>
    <w:p w14:paraId="3DA9B57F">
      <w:pPr>
        <w:tabs>
          <w:tab w:val="left" w:pos="4830"/>
        </w:tabs>
        <w:spacing w:line="360" w:lineRule="auto"/>
        <w:ind w:firstLine="480" w:firstLineChars="200"/>
        <w:rPr>
          <w:rFonts w:hint="eastAsia"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14</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生态环境部办公厅</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关于印发2022年《国家先进污染防治技术目录（水污染防治领域）》的通知</w:t>
      </w:r>
      <w:r>
        <w:rPr>
          <w:rFonts w:hint="eastAsia" w:ascii="Times New Roman" w:hAnsi="Times New Roman" w:cs="Times New Roman"/>
          <w:color w:val="auto"/>
          <w:sz w:val="24"/>
          <w:highlight w:val="none"/>
          <w:lang w:eastAsia="zh-CN"/>
        </w:rPr>
        <w:t>（环办科财函〔2022〕500号），2022年12月29日；</w:t>
      </w:r>
    </w:p>
    <w:p w14:paraId="1AF623BE">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highlight w:val="none"/>
          <w:lang w:eastAsia="zh-CN"/>
        </w:rPr>
      </w:pP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15</w:t>
      </w:r>
      <w:r>
        <w:rPr>
          <w:rFonts w:hint="eastAsia" w:ascii="Times New Roman" w:hAnsi="Times New Roman" w:cs="Times New Roman"/>
          <w:highlight w:val="none"/>
          <w:lang w:eastAsia="zh-CN"/>
        </w:rPr>
        <w:t>）</w:t>
      </w:r>
      <w:r>
        <w:rPr>
          <w:rFonts w:hint="default" w:ascii="Times New Roman" w:hAnsi="Times New Roman" w:cs="Times New Roman"/>
          <w:highlight w:val="none"/>
          <w:lang w:eastAsia="zh-CN"/>
        </w:rPr>
        <w:t>工业和信息化部</w:t>
      </w:r>
      <w:r>
        <w:rPr>
          <w:rFonts w:hint="eastAsia" w:ascii="Times New Roman" w:hAnsi="Times New Roman" w:cs="Times New Roman"/>
          <w:highlight w:val="none"/>
          <w:lang w:eastAsia="zh-CN"/>
        </w:rPr>
        <w:t>、</w:t>
      </w:r>
      <w:r>
        <w:rPr>
          <w:rFonts w:hint="default" w:ascii="Times New Roman" w:hAnsi="Times New Roman" w:cs="Times New Roman"/>
          <w:highlight w:val="none"/>
          <w:lang w:eastAsia="zh-CN"/>
        </w:rPr>
        <w:t>生态环境部《国家鼓励发展的重大环保技术装备目录（2023年版）》</w:t>
      </w:r>
      <w:r>
        <w:rPr>
          <w:rFonts w:hint="eastAsia" w:ascii="Times New Roman" w:hAnsi="Times New Roman" w:cs="Times New Roman"/>
          <w:highlight w:val="none"/>
          <w:lang w:eastAsia="zh-CN"/>
        </w:rPr>
        <w:t>（中华人民共和国工业和信息化部 生态环境部公告2023年第33号），2023年12月11日；</w:t>
      </w:r>
    </w:p>
    <w:p w14:paraId="7D963A8F">
      <w:pPr>
        <w:tabs>
          <w:tab w:val="left" w:pos="48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6</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1"/>
          <w:sz w:val="24"/>
          <w:highlight w:val="none"/>
        </w:rPr>
        <w:t>环境保护部，部令第34号，《突发环境事件应急管理办法》</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2015年6月5日</w:t>
      </w:r>
      <w:r>
        <w:rPr>
          <w:rFonts w:hint="default" w:ascii="Times New Roman" w:hAnsi="Times New Roman" w:eastAsia="宋体" w:cs="Times New Roman"/>
          <w:color w:val="auto"/>
          <w:kern w:val="1"/>
          <w:sz w:val="24"/>
          <w:highlight w:val="none"/>
        </w:rPr>
        <w:t>；</w:t>
      </w:r>
    </w:p>
    <w:p w14:paraId="7A00EF59">
      <w:pPr>
        <w:tabs>
          <w:tab w:val="left" w:pos="4830"/>
        </w:tabs>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7</w:t>
      </w:r>
      <w:r>
        <w:rPr>
          <w:rFonts w:hint="default" w:ascii="Times New Roman" w:hAnsi="Times New Roman" w:eastAsia="宋体" w:cs="Times New Roman"/>
          <w:color w:val="auto"/>
          <w:sz w:val="24"/>
          <w:highlight w:val="none"/>
        </w:rPr>
        <w:t>）国土资源部、农业部，《关于促进规模化畜禽养殖有关用地政策的通知》（国土资发[2007]220号）</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2007年9月24日</w:t>
      </w:r>
      <w:r>
        <w:rPr>
          <w:rFonts w:hint="eastAsia" w:ascii="Times New Roman" w:hAnsi="Times New Roman" w:cs="Times New Roman"/>
          <w:color w:val="auto"/>
          <w:sz w:val="24"/>
          <w:highlight w:val="none"/>
          <w:lang w:eastAsia="zh-CN"/>
        </w:rPr>
        <w:t>；</w:t>
      </w:r>
    </w:p>
    <w:p w14:paraId="1881A744">
      <w:pPr>
        <w:tabs>
          <w:tab w:val="left" w:pos="4830"/>
        </w:tabs>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highlight w:val="none"/>
        </w:rPr>
        <w:t>）</w:t>
      </w:r>
      <w:r>
        <w:rPr>
          <w:rFonts w:hint="default" w:ascii="Times New Roman" w:hAnsi="Times New Roman" w:cs="Times New Roman"/>
          <w:bCs/>
          <w:color w:val="auto"/>
          <w:highlight w:val="none"/>
        </w:rPr>
        <w:t>《动物防疫条件审查办法》（农业农村部令2022年第8号，20</w:t>
      </w:r>
      <w:r>
        <w:rPr>
          <w:rFonts w:hint="default" w:ascii="Times New Roman" w:hAnsi="Times New Roman" w:cs="Times New Roman"/>
          <w:bCs/>
          <w:color w:val="auto"/>
          <w:highlight w:val="none"/>
          <w:lang w:val="en-US" w:eastAsia="zh-CN"/>
        </w:rPr>
        <w:t>22</w:t>
      </w:r>
      <w:r>
        <w:rPr>
          <w:rFonts w:hint="default" w:ascii="Times New Roman" w:hAnsi="Times New Roman" w:cs="Times New Roman"/>
          <w:bCs/>
          <w:color w:val="auto"/>
          <w:highlight w:val="none"/>
        </w:rPr>
        <w:t>年</w:t>
      </w:r>
      <w:r>
        <w:rPr>
          <w:rFonts w:hint="default" w:ascii="Times New Roman" w:hAnsi="Times New Roman" w:cs="Times New Roman"/>
          <w:bCs/>
          <w:color w:val="auto"/>
          <w:highlight w:val="none"/>
          <w:lang w:val="en-US" w:eastAsia="zh-CN"/>
        </w:rPr>
        <w:t>12</w:t>
      </w:r>
      <w:r>
        <w:rPr>
          <w:rFonts w:hint="default" w:ascii="Times New Roman" w:hAnsi="Times New Roman" w:cs="Times New Roman"/>
          <w:bCs/>
          <w:color w:val="auto"/>
          <w:highlight w:val="none"/>
        </w:rPr>
        <w:t>月1日；</w:t>
      </w:r>
    </w:p>
    <w:p w14:paraId="4FA4F55F">
      <w:pPr>
        <w:tabs>
          <w:tab w:val="left" w:pos="4830"/>
        </w:tabs>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rPr>
        <w:t>）《病死及病害动物无害化处理技术规范》（农业部</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，2017年7月3日；</w:t>
      </w:r>
    </w:p>
    <w:p w14:paraId="7E38ACD2">
      <w:pPr>
        <w:pStyle w:val="30"/>
        <w:snapToGrid/>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rPr>
        <w:t>）《建设项目危险废物环境影响评价技术指南》</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2017年9月1日；</w:t>
      </w:r>
    </w:p>
    <w:p w14:paraId="34DA622C">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rPr>
        <w:t>）《规模畜禽养殖场污染防治最佳可行技术指南》（HJ-BAT-10）</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2013；</w:t>
      </w:r>
    </w:p>
    <w:p w14:paraId="346A9611">
      <w:pPr>
        <w:pStyle w:val="30"/>
        <w:snapToGrid/>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rPr>
        <w:t>）《环境影响评价公众参与办法》</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2019年1月1日；</w:t>
      </w:r>
    </w:p>
    <w:p w14:paraId="1DACEE08">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）《畜禽养殖业污染治理工程技术规范》</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HJ497-2009</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2009年12月1日</w:t>
      </w:r>
      <w:r>
        <w:rPr>
          <w:rFonts w:hint="default" w:ascii="Times New Roman" w:hAnsi="Times New Roman" w:eastAsia="宋体" w:cs="Times New Roman"/>
          <w:bCs/>
          <w:color w:val="auto"/>
          <w:sz w:val="24"/>
          <w:szCs w:val="24"/>
          <w:highlight w:val="none"/>
        </w:rPr>
        <w:t>；</w:t>
      </w:r>
    </w:p>
    <w:p w14:paraId="78C35DE6">
      <w:pPr>
        <w:pStyle w:val="30"/>
        <w:snapToGrid/>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）《关于进一步做好当前生猪规模养殖环评管理相关工作的通知》</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环办环评函〔2019〕872号</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2019年11年29日</w:t>
      </w:r>
      <w:r>
        <w:rPr>
          <w:rFonts w:hint="default" w:ascii="Times New Roman" w:hAnsi="Times New Roman" w:eastAsia="宋体" w:cs="Times New Roman"/>
          <w:bCs/>
          <w:color w:val="auto"/>
          <w:sz w:val="24"/>
          <w:szCs w:val="24"/>
          <w:highlight w:val="none"/>
        </w:rPr>
        <w:t>；</w:t>
      </w:r>
    </w:p>
    <w:p w14:paraId="1FA9E149">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《关于做好畜禽规模养殖项目环境影响评价管理工作的通知》</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环办环评[2018]31号</w:t>
      </w:r>
      <w:r>
        <w:rPr>
          <w:rFonts w:hint="eastAsia" w:ascii="Times New Roman" w:hAnsi="Times New Roman" w:cs="Times New Roman"/>
          <w:color w:val="auto"/>
          <w:sz w:val="24"/>
          <w:szCs w:val="24"/>
          <w:highlight w:val="none"/>
          <w:lang w:val="en-US" w:eastAsia="zh-CN"/>
        </w:rPr>
        <w:t>，2018年10月12日</w:t>
      </w:r>
      <w:r>
        <w:rPr>
          <w:rFonts w:hint="default" w:ascii="Times New Roman" w:hAnsi="Times New Roman" w:eastAsia="宋体" w:cs="Times New Roman"/>
          <w:color w:val="auto"/>
          <w:sz w:val="24"/>
          <w:szCs w:val="24"/>
          <w:highlight w:val="none"/>
        </w:rPr>
        <w:t>；</w:t>
      </w:r>
    </w:p>
    <w:p w14:paraId="591EEFB7">
      <w:pPr>
        <w:pStyle w:val="30"/>
        <w:snapToGrid/>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Cs/>
          <w:color w:val="auto"/>
          <w:sz w:val="24"/>
          <w:szCs w:val="24"/>
          <w:highlight w:val="none"/>
        </w:rPr>
        <w:t>农业部办公厅，《畜禽粪污土地承载力测算技术指南》（农办牧[2018]1号）</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2018年1月15日；</w:t>
      </w:r>
    </w:p>
    <w:p w14:paraId="5939D895">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（2</w:t>
      </w:r>
      <w:r>
        <w:rPr>
          <w:rFonts w:hint="eastAsia" w:ascii="Times New Roman" w:hAnsi="Times New Roman" w:cs="Times New Roman"/>
          <w:bCs/>
          <w:color w:val="auto"/>
          <w:sz w:val="24"/>
          <w:szCs w:val="24"/>
          <w:highlight w:val="none"/>
          <w:lang w:val="en-US" w:eastAsia="zh-CN"/>
        </w:rPr>
        <w:t>7）</w:t>
      </w:r>
      <w:r>
        <w:rPr>
          <w:rFonts w:hint="default" w:ascii="Times New Roman" w:hAnsi="Times New Roman" w:eastAsia="宋体" w:cs="Times New Roman"/>
          <w:bCs/>
          <w:color w:val="auto"/>
          <w:sz w:val="24"/>
          <w:szCs w:val="24"/>
          <w:highlight w:val="none"/>
          <w:lang w:val="en-US" w:eastAsia="zh-CN"/>
        </w:rPr>
        <w:t>《农业农村部办公厅 生态环境部办公厅关于进一步明确畜禽粪污还田利用要求强化养殖污染监管的通知》农办牧〔2020〕23号</w:t>
      </w:r>
      <w:r>
        <w:rPr>
          <w:rFonts w:hint="eastAsia" w:ascii="Times New Roman" w:hAnsi="Times New Roman" w:cs="Times New Roman"/>
          <w:bCs/>
          <w:color w:val="auto"/>
          <w:sz w:val="24"/>
          <w:szCs w:val="24"/>
          <w:highlight w:val="none"/>
          <w:lang w:val="en-US" w:eastAsia="zh-CN"/>
        </w:rPr>
        <w:t>，</w:t>
      </w:r>
      <w:r>
        <w:rPr>
          <w:rFonts w:hint="eastAsia" w:ascii="Times New Roman" w:hAnsi="Times New Roman" w:cs="Times New Roman"/>
          <w:bCs/>
          <w:color w:val="auto"/>
          <w:sz w:val="24"/>
          <w:szCs w:val="24"/>
          <w:highlight w:val="none"/>
          <w:lang w:val="en-US" w:eastAsia="zh-CN"/>
        </w:rPr>
        <w:tab/>
      </w:r>
      <w:r>
        <w:rPr>
          <w:rFonts w:hint="eastAsia" w:ascii="Times New Roman" w:hAnsi="Times New Roman" w:cs="Times New Roman"/>
          <w:bCs/>
          <w:color w:val="auto"/>
          <w:sz w:val="24"/>
          <w:szCs w:val="24"/>
          <w:highlight w:val="none"/>
          <w:lang w:val="en-US" w:eastAsia="zh-CN"/>
        </w:rPr>
        <w:t>2020年06月04日</w:t>
      </w:r>
      <w:r>
        <w:rPr>
          <w:rFonts w:hint="default" w:ascii="Times New Roman" w:hAnsi="Times New Roman" w:eastAsia="宋体" w:cs="Times New Roman"/>
          <w:color w:val="auto"/>
          <w:sz w:val="24"/>
          <w:szCs w:val="24"/>
          <w:highlight w:val="none"/>
        </w:rPr>
        <w:t>；</w:t>
      </w:r>
    </w:p>
    <w:p w14:paraId="2D61F069">
      <w:pPr>
        <w:pStyle w:val="30"/>
        <w:snapToGrid/>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Cs/>
          <w:color w:val="auto"/>
          <w:sz w:val="24"/>
          <w:szCs w:val="24"/>
          <w:highlight w:val="none"/>
        </w:rPr>
        <w:t>（2</w:t>
      </w:r>
      <w:r>
        <w:rPr>
          <w:rFonts w:hint="eastAsia" w:ascii="Times New Roman" w:hAnsi="Times New Roman" w:cs="Times New Roman"/>
          <w:bCs/>
          <w:color w:val="auto"/>
          <w:sz w:val="24"/>
          <w:szCs w:val="24"/>
          <w:highlight w:val="none"/>
          <w:lang w:val="en-US" w:eastAsia="zh-CN"/>
        </w:rPr>
        <w:t>8</w:t>
      </w:r>
      <w:r>
        <w:rPr>
          <w:rFonts w:hint="default" w:ascii="Times New Roman" w:hAnsi="Times New Roman" w:eastAsia="宋体" w:cs="Times New Roman"/>
          <w:bCs/>
          <w:color w:val="auto"/>
          <w:sz w:val="24"/>
          <w:szCs w:val="24"/>
          <w:highlight w:val="none"/>
        </w:rPr>
        <w:t>）《农业农村污染治理攻坚战行动方案（2021—2025年）》</w:t>
      </w:r>
      <w:r>
        <w:rPr>
          <w:rFonts w:hint="eastAsia" w:ascii="Times New Roman" w:hAnsi="Times New Roman" w:cs="Times New Roman"/>
          <w:bCs/>
          <w:color w:val="auto"/>
          <w:sz w:val="24"/>
          <w:szCs w:val="24"/>
          <w:highlight w:val="none"/>
          <w:lang w:eastAsia="zh-CN"/>
        </w:rPr>
        <w:t>环土壤〔2022〕8号，2022年1月19日</w:t>
      </w:r>
      <w:r>
        <w:rPr>
          <w:rFonts w:hint="default" w:ascii="Times New Roman" w:hAnsi="Times New Roman" w:cs="Times New Roman"/>
          <w:color w:val="auto"/>
          <w:sz w:val="24"/>
          <w:szCs w:val="24"/>
          <w:highlight w:val="none"/>
          <w:lang w:eastAsia="zh-CN"/>
        </w:rPr>
        <w:t>。</w:t>
      </w:r>
    </w:p>
    <w:p w14:paraId="4502506A">
      <w:pPr>
        <w:pStyle w:val="7"/>
        <w:bidi w:val="0"/>
        <w:rPr>
          <w:rFonts w:hint="default"/>
          <w:highlight w:val="none"/>
        </w:rPr>
      </w:pPr>
      <w:r>
        <w:rPr>
          <w:rFonts w:hint="default"/>
          <w:highlight w:val="none"/>
        </w:rPr>
        <w:t>2.1.3</w:t>
      </w:r>
      <w:bookmarkEnd w:id="92"/>
      <w:bookmarkEnd w:id="93"/>
      <w:bookmarkEnd w:id="94"/>
      <w:bookmarkEnd w:id="95"/>
      <w:bookmarkEnd w:id="96"/>
      <w:bookmarkEnd w:id="97"/>
      <w:r>
        <w:rPr>
          <w:rFonts w:hint="default"/>
          <w:highlight w:val="none"/>
        </w:rPr>
        <w:t>地方法规、标准与规划</w:t>
      </w:r>
      <w:bookmarkEnd w:id="98"/>
      <w:bookmarkEnd w:id="99"/>
      <w:bookmarkEnd w:id="100"/>
      <w:bookmarkEnd w:id="101"/>
    </w:p>
    <w:p w14:paraId="57C027ED">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val="en-US" w:eastAsia="zh-CN"/>
        </w:rPr>
        <w:t>《建设项目环境保护管理条例》</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第682号国务院令，自2017年10月1日起施行</w:t>
      </w:r>
      <w:r>
        <w:rPr>
          <w:rFonts w:hint="default" w:ascii="Times New Roman" w:hAnsi="Times New Roman" w:eastAsia="宋体" w:cs="Times New Roman"/>
          <w:color w:val="auto"/>
          <w:sz w:val="24"/>
          <w:szCs w:val="24"/>
          <w:highlight w:val="none"/>
        </w:rPr>
        <w:t>；</w:t>
      </w:r>
    </w:p>
    <w:p w14:paraId="42429E71">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（2）《黑龙江省环境保护条例》</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2018年4月26日；</w:t>
      </w:r>
    </w:p>
    <w:p w14:paraId="3279B437">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（3）《黑龙江省大气污染防治条例》</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2018年12月27日；</w:t>
      </w:r>
    </w:p>
    <w:p w14:paraId="23E09BDC">
      <w:pPr>
        <w:pStyle w:val="30"/>
        <w:snapToGrid/>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（4）</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黑龙江省水污染防治条例</w:t>
      </w:r>
      <w:r>
        <w:rPr>
          <w:rFonts w:hint="eastAsia" w:ascii="Times New Roman" w:hAnsi="Times New Roman" w:cs="Times New Roman"/>
          <w:color w:val="auto"/>
          <w:sz w:val="24"/>
          <w:szCs w:val="24"/>
          <w:highlight w:val="none"/>
          <w:lang w:val="en-US" w:eastAsia="zh-CN"/>
        </w:rPr>
        <w:t>》，2023年12月1日；</w:t>
      </w:r>
    </w:p>
    <w:p w14:paraId="17B3C051">
      <w:pPr>
        <w:pStyle w:val="30"/>
        <w:snapToGrid/>
        <w:spacing w:line="360" w:lineRule="auto"/>
        <w:ind w:firstLine="480" w:firstLineChars="200"/>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《黑龙江省固体废物污染环境防治条例》</w:t>
      </w:r>
      <w:r>
        <w:rPr>
          <w:rFonts w:hint="eastAsia" w:ascii="Times New Roman" w:hAnsi="Times New Roman" w:cs="Times New Roman"/>
          <w:color w:val="auto"/>
          <w:sz w:val="24"/>
          <w:szCs w:val="24"/>
          <w:highlight w:val="none"/>
          <w:lang w:val="en-US" w:eastAsia="zh-CN"/>
        </w:rPr>
        <w:t>，2024年11月6日；</w:t>
      </w:r>
    </w:p>
    <w:p w14:paraId="23A6354A">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）《黑龙江省空气质量持续改善行动计划实施方案》</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黑政发〔2023〕19号，20</w:t>
      </w:r>
      <w:r>
        <w:rPr>
          <w:rFonts w:hint="eastAsia" w:ascii="Times New Roman" w:hAnsi="Times New Roman"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日；</w:t>
      </w:r>
    </w:p>
    <w:p w14:paraId="1C4E6738">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）《黑龙江省主体功能区规划》</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黑政发[2012]29号，2012年4月25日；</w:t>
      </w:r>
    </w:p>
    <w:p w14:paraId="5F0DC667">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）《黑龙江省畜禽养殖污染总量减排技术指南》（试行），2013年3月；</w:t>
      </w:r>
    </w:p>
    <w:p w14:paraId="671D9D8F">
      <w:pPr>
        <w:pStyle w:val="30"/>
        <w:spacing w:line="360" w:lineRule="auto"/>
        <w:ind w:firstLine="480" w:firstLineChars="200"/>
        <w:rPr>
          <w:rFonts w:hint="eastAsia" w:ascii="Times New Roman" w:hAnsi="Times New Roman"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）《黑龙江省畜禽养殖场（小区）备案程序管理办法》黑政办发[2010]13号，2010年3月27日</w:t>
      </w:r>
      <w:r>
        <w:rPr>
          <w:rFonts w:hint="eastAsia" w:ascii="Times New Roman" w:hAnsi="Times New Roman" w:cs="Times New Roman"/>
          <w:color w:val="auto"/>
          <w:sz w:val="24"/>
          <w:szCs w:val="24"/>
          <w:highlight w:val="none"/>
          <w:lang w:eastAsia="zh-CN"/>
        </w:rPr>
        <w:t>；</w:t>
      </w:r>
    </w:p>
    <w:p w14:paraId="3F5FD4D0">
      <w:pPr>
        <w:pStyle w:val="3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）《黑龙江省“十四五”生态环境保护规划》</w:t>
      </w:r>
      <w:r>
        <w:rPr>
          <w:rFonts w:hint="default" w:ascii="Times New Roman" w:hAnsi="Times New Roman" w:cs="Times New Roman"/>
          <w:color w:val="auto"/>
          <w:sz w:val="24"/>
          <w:szCs w:val="24"/>
          <w:highlight w:val="none"/>
          <w:lang w:eastAsia="zh-CN"/>
        </w:rPr>
        <w:t>黑政规〔2021〕18号，</w:t>
      </w:r>
      <w:r>
        <w:rPr>
          <w:rFonts w:hint="default" w:ascii="Times New Roman" w:hAnsi="Times New Roman" w:cs="Times New Roman"/>
          <w:color w:val="auto"/>
          <w:sz w:val="24"/>
          <w:szCs w:val="24"/>
          <w:highlight w:val="none"/>
          <w:lang w:val="en-US" w:eastAsia="zh-CN"/>
        </w:rPr>
        <w:t>2021年12月29日</w:t>
      </w:r>
      <w:r>
        <w:rPr>
          <w:rFonts w:hint="default" w:ascii="Times New Roman" w:hAnsi="Times New Roman" w:cs="Times New Roman"/>
          <w:color w:val="auto"/>
          <w:sz w:val="24"/>
          <w:szCs w:val="24"/>
          <w:highlight w:val="none"/>
          <w:lang w:eastAsia="zh-CN"/>
        </w:rPr>
        <w:t>；</w:t>
      </w:r>
    </w:p>
    <w:p w14:paraId="36A21368">
      <w:pPr>
        <w:pStyle w:val="30"/>
        <w:snapToGrid/>
        <w:spacing w:line="360" w:lineRule="auto"/>
        <w:ind w:firstLine="480" w:firstLineChars="200"/>
        <w:rPr>
          <w:rFonts w:hint="eastAsia"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11</w:t>
      </w:r>
      <w:r>
        <w:rPr>
          <w:rFonts w:hint="default" w:ascii="Times New Roman" w:hAnsi="Times New Roman" w:cs="Times New Roman"/>
          <w:color w:val="auto"/>
          <w:sz w:val="24"/>
          <w:szCs w:val="24"/>
          <w:highlight w:val="none"/>
          <w:lang w:eastAsia="zh-CN"/>
        </w:rPr>
        <w:t>）《黑龙江省国民经济和社会发展第十四个五年规划和二〇三五年远景目标纲要》黑政发〔2021〕5号，</w:t>
      </w:r>
      <w:r>
        <w:rPr>
          <w:rFonts w:hint="default" w:ascii="Times New Roman" w:hAnsi="Times New Roman" w:cs="Times New Roman"/>
          <w:color w:val="auto"/>
          <w:sz w:val="24"/>
          <w:szCs w:val="24"/>
          <w:highlight w:val="none"/>
          <w:lang w:val="en-US" w:eastAsia="zh-CN"/>
        </w:rPr>
        <w:t>2021年3月10日</w:t>
      </w:r>
      <w:r>
        <w:rPr>
          <w:rFonts w:hint="default" w:ascii="Times New Roman" w:hAnsi="Times New Roman" w:cs="Times New Roman"/>
          <w:color w:val="auto"/>
          <w:sz w:val="24"/>
          <w:szCs w:val="24"/>
          <w:highlight w:val="none"/>
          <w:lang w:eastAsia="zh-CN"/>
        </w:rPr>
        <w:t>；</w:t>
      </w:r>
    </w:p>
    <w:p w14:paraId="64B45753">
      <w:pPr>
        <w:pStyle w:val="3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《鸡西市人民政府印发鸡西市“十四五”生态环境保护规划的通知》鸡政规〔2022〕7号</w:t>
      </w:r>
      <w:r>
        <w:rPr>
          <w:rFonts w:hint="eastAsia" w:ascii="Times New Roman" w:hAnsi="Times New Roman" w:cs="Times New Roman"/>
          <w:color w:val="auto"/>
          <w:sz w:val="24"/>
          <w:szCs w:val="24"/>
          <w:highlight w:val="none"/>
          <w:lang w:val="en-US" w:eastAsia="zh-CN"/>
        </w:rPr>
        <w:t>，2022年6月29日</w:t>
      </w:r>
      <w:r>
        <w:rPr>
          <w:rFonts w:hint="default" w:ascii="Times New Roman" w:hAnsi="Times New Roman" w:cs="Times New Roman"/>
          <w:color w:val="auto"/>
          <w:sz w:val="24"/>
          <w:szCs w:val="24"/>
          <w:highlight w:val="none"/>
          <w:lang w:eastAsia="zh-CN"/>
        </w:rPr>
        <w:t>；</w:t>
      </w:r>
    </w:p>
    <w:p w14:paraId="45479172">
      <w:pPr>
        <w:pStyle w:val="30"/>
        <w:snapToGrid/>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13</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《鸡西市人民政府办公室印发鸡西市畜禽养殖废弃物资源化利用工作方案的通知》鸡政办规〔2019〕8号，2018年3月13日；</w:t>
      </w:r>
    </w:p>
    <w:p w14:paraId="624438C4">
      <w:pPr>
        <w:pStyle w:val="30"/>
        <w:snapToGrid/>
        <w:spacing w:line="360" w:lineRule="auto"/>
        <w:ind w:firstLine="480" w:firstLineChars="200"/>
        <w:rPr>
          <w:rFonts w:hint="eastAsia" w:ascii="Times New Roman" w:hAnsi="Times New Roman" w:cs="Times New Roman"/>
          <w:bCs/>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（14）</w:t>
      </w:r>
      <w:r>
        <w:rPr>
          <w:rFonts w:hint="eastAsia" w:ascii="Times New Roman" w:hAnsi="Times New Roman" w:cs="Times New Roman"/>
          <w:bCs/>
          <w:color w:val="auto"/>
          <w:sz w:val="24"/>
          <w:szCs w:val="24"/>
          <w:highlight w:val="none"/>
          <w:lang w:val="zh-CN" w:eastAsia="zh-CN"/>
        </w:rPr>
        <w:t>《密山市国土空间总体规划（2021—2035年）》，</w:t>
      </w:r>
      <w:r>
        <w:rPr>
          <w:rFonts w:hint="eastAsia" w:ascii="Times New Roman" w:hAnsi="Times New Roman" w:cs="Times New Roman"/>
          <w:bCs/>
          <w:color w:val="auto"/>
          <w:sz w:val="24"/>
          <w:szCs w:val="24"/>
          <w:highlight w:val="none"/>
          <w:lang w:val="en-US" w:eastAsia="zh-CN"/>
        </w:rPr>
        <w:t>2023年2月19日；</w:t>
      </w:r>
    </w:p>
    <w:p w14:paraId="61A1D970">
      <w:pPr>
        <w:pStyle w:val="30"/>
        <w:snapToGrid/>
        <w:spacing w:line="360" w:lineRule="auto"/>
        <w:ind w:firstLine="480" w:firstLineChars="200"/>
        <w:rPr>
          <w:rFonts w:hint="eastAsia" w:ascii="Times New Roman" w:hAnsi="Times New Roman" w:cs="Times New Roman"/>
          <w:bCs/>
          <w:color w:val="auto"/>
          <w:sz w:val="24"/>
          <w:szCs w:val="24"/>
          <w:highlight w:val="none"/>
          <w:lang w:val="en-US" w:eastAsia="zh-CN"/>
        </w:rPr>
      </w:pPr>
      <w:r>
        <w:rPr>
          <w:rFonts w:hint="eastAsia" w:ascii="Times New Roman" w:hAnsi="Times New Roman" w:cs="Times New Roman"/>
          <w:bCs/>
          <w:color w:val="auto"/>
          <w:sz w:val="24"/>
          <w:szCs w:val="24"/>
          <w:highlight w:val="none"/>
          <w:lang w:val="en-US" w:eastAsia="zh-CN"/>
        </w:rPr>
        <w:t>（15）《鸡西市国民经济和社会发展第十四个五年规划和二○三五年远景目标纲要》（鸡政发〔2021〕4号），2021年3月19日；</w:t>
      </w:r>
    </w:p>
    <w:p w14:paraId="7776A572">
      <w:pPr>
        <w:pStyle w:val="30"/>
        <w:snapToGrid/>
        <w:spacing w:line="360" w:lineRule="auto"/>
        <w:ind w:firstLine="480" w:firstLineChars="200"/>
        <w:rPr>
          <w:rFonts w:hint="eastAsia" w:ascii="Times New Roman" w:hAnsi="Times New Roman" w:cs="Times New Roman"/>
          <w:bCs/>
          <w:color w:val="auto"/>
          <w:sz w:val="24"/>
          <w:szCs w:val="24"/>
          <w:highlight w:val="none"/>
          <w:lang w:val="en-US" w:eastAsia="zh-CN"/>
        </w:rPr>
      </w:pPr>
      <w:r>
        <w:rPr>
          <w:rFonts w:hint="eastAsia" w:ascii="Times New Roman" w:hAnsi="Times New Roman" w:cs="Times New Roman"/>
          <w:bCs/>
          <w:color w:val="auto"/>
          <w:sz w:val="24"/>
          <w:szCs w:val="24"/>
          <w:highlight w:val="none"/>
          <w:lang w:val="en-US" w:eastAsia="zh-CN"/>
        </w:rPr>
        <w:t>（16）《密山市国民经济和社会发展第十四个五年规划纲要》（密政发〔2021〕5号），2021年4月21日；</w:t>
      </w:r>
    </w:p>
    <w:p w14:paraId="098322B9">
      <w:pPr>
        <w:pStyle w:val="30"/>
        <w:snapToGrid/>
        <w:spacing w:line="360" w:lineRule="auto"/>
        <w:ind w:firstLine="480" w:firstLineChars="200"/>
        <w:rPr>
          <w:rFonts w:hint="eastAsia" w:ascii="Times New Roman" w:hAnsi="Times New Roman" w:cs="Times New Roman"/>
          <w:color w:val="auto"/>
          <w:sz w:val="24"/>
          <w:szCs w:val="24"/>
          <w:highlight w:val="none"/>
          <w:lang w:val="zh-CN"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17</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zh-CN" w:eastAsia="zh-CN"/>
        </w:rPr>
        <w:t>《密山市畜禽养殖污染防治规划（2023-2025）》；</w:t>
      </w:r>
    </w:p>
    <w:p w14:paraId="3F0284FB">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18</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zh-CN" w:eastAsia="zh-CN"/>
        </w:rPr>
        <w:t>《鸡西市人民政府办公室印发鸡西市畜禽养殖禁养区划定方案的通知》，</w:t>
      </w:r>
      <w:r>
        <w:rPr>
          <w:rFonts w:hint="eastAsia" w:ascii="Times New Roman" w:hAnsi="Times New Roman" w:cs="Times New Roman"/>
          <w:color w:val="auto"/>
          <w:sz w:val="24"/>
          <w:szCs w:val="24"/>
          <w:highlight w:val="none"/>
          <w:lang w:val="en-US" w:eastAsia="zh-CN"/>
        </w:rPr>
        <w:t>2017年4月30日</w:t>
      </w:r>
      <w:r>
        <w:rPr>
          <w:rFonts w:hint="default" w:ascii="Times New Roman" w:hAnsi="Times New Roman" w:eastAsia="宋体" w:cs="Times New Roman"/>
          <w:color w:val="auto"/>
          <w:sz w:val="24"/>
          <w:szCs w:val="24"/>
          <w:highlight w:val="none"/>
        </w:rPr>
        <w:t>。</w:t>
      </w:r>
    </w:p>
    <w:p w14:paraId="2DDC80BE">
      <w:pPr>
        <w:pStyle w:val="7"/>
        <w:bidi w:val="0"/>
        <w:rPr>
          <w:rFonts w:hint="default"/>
          <w:highlight w:val="none"/>
        </w:rPr>
      </w:pPr>
      <w:bookmarkStart w:id="102" w:name="_Toc21823"/>
      <w:bookmarkStart w:id="103" w:name="_Toc2452"/>
      <w:bookmarkStart w:id="104" w:name="_Toc7526"/>
      <w:bookmarkStart w:id="105" w:name="_Toc27728"/>
      <w:bookmarkStart w:id="106" w:name="_Toc7640"/>
      <w:r>
        <w:rPr>
          <w:rFonts w:hint="default"/>
          <w:highlight w:val="none"/>
        </w:rPr>
        <w:t>2.1.4</w:t>
      </w:r>
      <w:bookmarkEnd w:id="102"/>
      <w:r>
        <w:rPr>
          <w:rFonts w:hint="default"/>
          <w:highlight w:val="none"/>
        </w:rPr>
        <w:t>相关导则及技术规范、标准</w:t>
      </w:r>
      <w:bookmarkEnd w:id="103"/>
      <w:bookmarkEnd w:id="104"/>
      <w:bookmarkEnd w:id="105"/>
      <w:bookmarkEnd w:id="106"/>
    </w:p>
    <w:p w14:paraId="673DFE85">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（1）《建设项目环境影响评价技术导则 总纲》（HJ2.1-2016）；</w:t>
      </w:r>
    </w:p>
    <w:p w14:paraId="3DFC8E12">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（2）《环境影响评价技术导则 大气环境》（HJ2.2-2018）；</w:t>
      </w:r>
    </w:p>
    <w:p w14:paraId="6AC9A5ED">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（3）《环境影响评价技术导则 地表水环境》（HJ2.3-2018）；</w:t>
      </w:r>
    </w:p>
    <w:p w14:paraId="1A187897">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（4）《环境影响评价技术导则 地下水环境》（HJ610-2016）；</w:t>
      </w:r>
    </w:p>
    <w:p w14:paraId="67D225BD">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（5）《环境影响评价技术导则 声环境》（HJ2.4-2021）；</w:t>
      </w:r>
    </w:p>
    <w:p w14:paraId="174245CA">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（6）《环境影响评价技术导则 生态影响》（HJ19-2022）；</w:t>
      </w:r>
    </w:p>
    <w:p w14:paraId="6F4EE316">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（7）《环境影响评价技术导则 土壤环境》（HJ964-2018）；</w:t>
      </w:r>
    </w:p>
    <w:p w14:paraId="15C58073">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（8）《建设项目环境风险评价技术导则》（HJ169-2018）；</w:t>
      </w:r>
    </w:p>
    <w:p w14:paraId="0A256A5D">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（9）《污染源源强核算技术指南 准则》（HJ884-2018）；</w:t>
      </w:r>
    </w:p>
    <w:p w14:paraId="6A46686F">
      <w:pPr>
        <w:pStyle w:val="30"/>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（10）《危险废物贮存污染控制标准》（GB 18597—2023）</w:t>
      </w:r>
      <w:r>
        <w:rPr>
          <w:rFonts w:hint="eastAsia" w:ascii="Times New Roman" w:hAnsi="Times New Roman" w:cs="Times New Roman"/>
          <w:color w:val="auto"/>
          <w:sz w:val="24"/>
          <w:szCs w:val="24"/>
          <w:highlight w:val="none"/>
          <w:lang w:eastAsia="zh-CN"/>
        </w:rPr>
        <w:t>；</w:t>
      </w:r>
    </w:p>
    <w:p w14:paraId="7A482254">
      <w:pPr>
        <w:pStyle w:val="3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11</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《一般固体废物分类与代码》(GB/T 39198-2020)；</w:t>
      </w:r>
    </w:p>
    <w:p w14:paraId="47933456">
      <w:pPr>
        <w:pStyle w:val="30"/>
        <w:numPr>
          <w:ilvl w:val="0"/>
          <w:numId w:val="0"/>
        </w:numPr>
        <w:spacing w:line="360" w:lineRule="auto"/>
        <w:ind w:firstLine="480" w:firstLineChars="200"/>
        <w:rPr>
          <w:rFonts w:hint="eastAsia" w:ascii="Times New Roman" w:hAnsi="Times New Roman" w:cs="Times New Roman"/>
          <w:color w:val="auto"/>
          <w:sz w:val="24"/>
          <w:szCs w:val="24"/>
          <w:highlight w:val="none"/>
          <w:lang w:eastAsia="zh-CN"/>
        </w:rPr>
      </w:pPr>
      <w:r>
        <w:rPr>
          <w:rFonts w:hint="eastAsia" w:ascii="Times New Roman" w:hAnsi="Times New Roman" w:eastAsia="宋体" w:cs="Times New Roman"/>
          <w:color w:val="auto"/>
          <w:kern w:val="0"/>
          <w:sz w:val="24"/>
          <w:szCs w:val="24"/>
          <w:highlight w:val="none"/>
          <w:lang w:val="en-US" w:eastAsia="zh-CN" w:bidi="ar-SA"/>
        </w:rPr>
        <w:t>（12）</w:t>
      </w:r>
      <w:r>
        <w:rPr>
          <w:rFonts w:hint="eastAsia" w:ascii="Times New Roman" w:hAnsi="Times New Roman" w:eastAsia="宋体" w:cs="Times New Roman"/>
          <w:color w:val="auto"/>
          <w:sz w:val="24"/>
          <w:szCs w:val="24"/>
          <w:highlight w:val="none"/>
          <w:lang w:eastAsia="zh-CN"/>
        </w:rPr>
        <w:t>《土壤环境质量 农用地土壤污染风险管控标准》（试行）（GB15618-2018）</w:t>
      </w:r>
      <w:r>
        <w:rPr>
          <w:rFonts w:hint="eastAsia" w:ascii="Times New Roman" w:hAnsi="Times New Roman" w:cs="Times New Roman"/>
          <w:color w:val="auto"/>
          <w:sz w:val="24"/>
          <w:szCs w:val="24"/>
          <w:highlight w:val="none"/>
          <w:lang w:eastAsia="zh-CN"/>
        </w:rPr>
        <w:t>；</w:t>
      </w:r>
    </w:p>
    <w:p w14:paraId="5FF6257F">
      <w:pPr>
        <w:pStyle w:val="30"/>
        <w:numPr>
          <w:ilvl w:val="0"/>
          <w:numId w:val="0"/>
        </w:numPr>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（13）</w:t>
      </w:r>
      <w:r>
        <w:rPr>
          <w:rFonts w:hint="eastAsia" w:ascii="Times New Roman" w:hAnsi="Times New Roman" w:cs="Times New Roman"/>
          <w:color w:val="auto"/>
          <w:sz w:val="24"/>
          <w:szCs w:val="24"/>
          <w:highlight w:val="none"/>
          <w:lang w:val="en-US" w:eastAsia="zh-CN"/>
        </w:rPr>
        <w:t>《环境保护图形标志固体废物贮存（处置）场》（GB 15562.2-1995）及《环境保护图形标志—固体废物贮存（处置）场》（GB 15562.2-1995）修改单；</w:t>
      </w:r>
    </w:p>
    <w:p w14:paraId="2C8CE2C0">
      <w:pPr>
        <w:pStyle w:val="30"/>
        <w:numPr>
          <w:ilvl w:val="0"/>
          <w:numId w:val="0"/>
        </w:numPr>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（14）</w:t>
      </w:r>
      <w:r>
        <w:rPr>
          <w:rFonts w:hint="eastAsia" w:ascii="Times New Roman" w:hAnsi="Times New Roman" w:cs="Times New Roman"/>
          <w:color w:val="auto"/>
          <w:sz w:val="24"/>
          <w:szCs w:val="24"/>
          <w:highlight w:val="none"/>
          <w:lang w:val="en-US" w:eastAsia="zh-CN"/>
        </w:rPr>
        <w:t>《畜禽养殖场（户）粪污处理设施建设技术指南》（农办牧〔2022〕19号）。</w:t>
      </w:r>
    </w:p>
    <w:p w14:paraId="50C2D6FB">
      <w:pPr>
        <w:pStyle w:val="7"/>
        <w:bidi w:val="0"/>
        <w:rPr>
          <w:rFonts w:hint="default"/>
          <w:highlight w:val="none"/>
        </w:rPr>
      </w:pPr>
      <w:bookmarkStart w:id="107" w:name="_Toc19815"/>
      <w:bookmarkStart w:id="108" w:name="_Toc15095"/>
      <w:bookmarkStart w:id="109" w:name="_Toc14790"/>
      <w:bookmarkStart w:id="110" w:name="_Toc15317"/>
      <w:r>
        <w:rPr>
          <w:rFonts w:hint="default"/>
          <w:highlight w:val="none"/>
        </w:rPr>
        <w:t>2.1.5畜禽行业标准及规范</w:t>
      </w:r>
      <w:bookmarkEnd w:id="107"/>
      <w:bookmarkEnd w:id="108"/>
      <w:bookmarkEnd w:id="109"/>
      <w:bookmarkEnd w:id="110"/>
    </w:p>
    <w:p w14:paraId="1D674FC7">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（1）《畜禽养殖产地环境评价规范》（HJ568-2010）；</w:t>
      </w:r>
    </w:p>
    <w:p w14:paraId="3292A01B">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（2）《畜禽养殖业污染防治技术规范》（HJ/T81-2001）；</w:t>
      </w:r>
    </w:p>
    <w:p w14:paraId="619EA419">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（3）《畜禽养殖业污染治理工程技术规范》（HJ497-2009）；</w:t>
      </w:r>
    </w:p>
    <w:p w14:paraId="0994A907">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）《排污许可证申请与核发技术规范 畜禽养殖行业》（HJ1029-2019）；</w:t>
      </w:r>
    </w:p>
    <w:p w14:paraId="748C815A">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）《畜禽粪便贮存设施设计要求》（GB/T27622-2011）；</w:t>
      </w:r>
    </w:p>
    <w:p w14:paraId="25D94E32">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）《畜禽场环境污染控制技术规范》（NY/T1169-2006）；</w:t>
      </w:r>
    </w:p>
    <w:p w14:paraId="4DB89D55">
      <w:pPr>
        <w:pStyle w:val="3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）《畜禽养殖污水贮存设施设计要求》（GB/T26624-2011）</w:t>
      </w:r>
    </w:p>
    <w:p w14:paraId="6C07E63B">
      <w:pPr>
        <w:pStyle w:val="30"/>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（8）《畜禽粪便无害化处理技术规范》（GB/T36195-2018）；</w:t>
      </w:r>
    </w:p>
    <w:p w14:paraId="3039C7F5">
      <w:pPr>
        <w:pStyle w:val="3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9</w:t>
      </w:r>
      <w:r>
        <w:rPr>
          <w:rFonts w:hint="default" w:ascii="Times New Roman" w:hAnsi="Times New Roman" w:cs="Times New Roman"/>
          <w:color w:val="auto"/>
          <w:sz w:val="24"/>
          <w:szCs w:val="24"/>
          <w:highlight w:val="none"/>
          <w:lang w:eastAsia="zh-CN"/>
        </w:rPr>
        <w:t>）《畜禽规模养殖污染防治条例》（国务院令第643号）；</w:t>
      </w:r>
    </w:p>
    <w:p w14:paraId="5D062C89">
      <w:pPr>
        <w:pStyle w:val="30"/>
        <w:numPr>
          <w:ilvl w:val="0"/>
          <w:numId w:val="0"/>
        </w:numPr>
        <w:spacing w:line="360" w:lineRule="auto"/>
        <w:ind w:firstLine="480" w:firstLineChars="200"/>
        <w:rPr>
          <w:rFonts w:hint="eastAsia"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）《禽畜养殖场（户）粪污处理设施建设技术指南》（农办牧【2022】19号）</w:t>
      </w:r>
      <w:r>
        <w:rPr>
          <w:rFonts w:hint="eastAsia" w:ascii="Times New Roman" w:hAnsi="Times New Roman" w:cs="Times New Roman"/>
          <w:color w:val="auto"/>
          <w:sz w:val="24"/>
          <w:szCs w:val="24"/>
          <w:highlight w:val="none"/>
          <w:lang w:eastAsia="zh-CN"/>
        </w:rPr>
        <w:t>；</w:t>
      </w:r>
    </w:p>
    <w:p w14:paraId="72E52539">
      <w:pPr>
        <w:pStyle w:val="30"/>
        <w:numPr>
          <w:ilvl w:val="0"/>
          <w:numId w:val="0"/>
        </w:num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SA"/>
        </w:rPr>
        <w:t>（1</w:t>
      </w:r>
      <w:r>
        <w:rPr>
          <w:rFonts w:hint="eastAsia" w:ascii="Times New Roman" w:hAnsi="Times New Roman" w:cs="Times New Roman"/>
          <w:color w:val="auto"/>
          <w:kern w:val="0"/>
          <w:sz w:val="24"/>
          <w:szCs w:val="24"/>
          <w:highlight w:val="none"/>
          <w:lang w:val="en-US" w:eastAsia="zh-CN" w:bidi="ar-SA"/>
        </w:rPr>
        <w:t>1</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sz w:val="24"/>
          <w:szCs w:val="24"/>
          <w:highlight w:val="none"/>
          <w:lang w:val="en-US" w:eastAsia="zh-CN"/>
        </w:rPr>
        <w:t>《病死畜禽和病害畜禽产品无害化处理管理办法》（中华人民共和国农业农村部令2022年第3号）</w:t>
      </w:r>
      <w:r>
        <w:rPr>
          <w:rFonts w:hint="default" w:ascii="Times New Roman" w:hAnsi="Times New Roman" w:eastAsia="宋体" w:cs="Times New Roman"/>
          <w:color w:val="auto"/>
          <w:sz w:val="24"/>
          <w:szCs w:val="24"/>
          <w:highlight w:val="none"/>
        </w:rPr>
        <w:t>。</w:t>
      </w:r>
    </w:p>
    <w:p w14:paraId="52882603">
      <w:pPr>
        <w:pStyle w:val="7"/>
        <w:bidi w:val="0"/>
        <w:rPr>
          <w:rFonts w:hint="default"/>
          <w:highlight w:val="none"/>
        </w:rPr>
      </w:pPr>
      <w:bookmarkStart w:id="111" w:name="_Toc10313"/>
      <w:bookmarkStart w:id="112" w:name="_Toc14395"/>
      <w:bookmarkStart w:id="113" w:name="_Toc4736"/>
      <w:bookmarkStart w:id="114" w:name="_Toc23585"/>
      <w:r>
        <w:rPr>
          <w:rFonts w:hint="default"/>
          <w:highlight w:val="none"/>
        </w:rPr>
        <w:t>2.1.6有关技术文件及工作文件</w:t>
      </w:r>
      <w:bookmarkEnd w:id="111"/>
      <w:bookmarkEnd w:id="112"/>
      <w:bookmarkEnd w:id="113"/>
      <w:bookmarkEnd w:id="114"/>
    </w:p>
    <w:p w14:paraId="76790AC5">
      <w:pPr>
        <w:pStyle w:val="30"/>
        <w:numPr>
          <w:ilvl w:val="0"/>
          <w:numId w:val="4"/>
        </w:numPr>
        <w:snapToGrid/>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密山市青辉禽畜养殖专业合作社设计图纸</w:t>
      </w:r>
    </w:p>
    <w:p w14:paraId="32A33949">
      <w:pPr>
        <w:pStyle w:val="30"/>
        <w:snapToGrid/>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w:t>
      </w:r>
      <w:r>
        <w:rPr>
          <w:rFonts w:hint="eastAsia" w:ascii="Times New Roman" w:hAnsi="Times New Roman" w:cs="Times New Roman"/>
          <w:snapToGrid w:val="0"/>
          <w:color w:val="auto"/>
          <w:kern w:val="0"/>
          <w:sz w:val="24"/>
          <w:szCs w:val="24"/>
          <w:highlight w:val="none"/>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）项目建设单位提供的其他资料</w:t>
      </w:r>
    </w:p>
    <w:p w14:paraId="771939B5">
      <w:pPr>
        <w:pStyle w:val="5"/>
        <w:bidi w:val="0"/>
        <w:rPr>
          <w:rFonts w:hint="default"/>
          <w:highlight w:val="none"/>
        </w:rPr>
      </w:pPr>
      <w:bookmarkStart w:id="115" w:name="_Toc5609"/>
      <w:bookmarkStart w:id="116" w:name="_Toc25936"/>
      <w:bookmarkStart w:id="117" w:name="_Toc32744"/>
      <w:bookmarkStart w:id="118" w:name="_Toc1821"/>
      <w:bookmarkStart w:id="119" w:name="_Toc7670"/>
      <w:bookmarkStart w:id="120" w:name="_Toc22540"/>
      <w:r>
        <w:rPr>
          <w:rFonts w:hint="default"/>
          <w:highlight w:val="none"/>
        </w:rPr>
        <w:t>2.2环境影响因素识别与评价因子筛选</w:t>
      </w:r>
      <w:bookmarkEnd w:id="115"/>
      <w:bookmarkEnd w:id="116"/>
      <w:bookmarkEnd w:id="117"/>
      <w:bookmarkEnd w:id="118"/>
      <w:bookmarkEnd w:id="119"/>
      <w:bookmarkEnd w:id="120"/>
    </w:p>
    <w:p w14:paraId="109AF6B3">
      <w:pPr>
        <w:pStyle w:val="7"/>
        <w:bidi w:val="0"/>
        <w:rPr>
          <w:rFonts w:hint="default"/>
          <w:highlight w:val="none"/>
        </w:rPr>
      </w:pPr>
      <w:bookmarkStart w:id="121" w:name="_Toc24643"/>
      <w:bookmarkStart w:id="122" w:name="_Toc19228"/>
      <w:bookmarkStart w:id="123" w:name="_Toc2320"/>
      <w:bookmarkStart w:id="124" w:name="_Toc8438"/>
      <w:r>
        <w:rPr>
          <w:rFonts w:hint="default"/>
          <w:highlight w:val="none"/>
        </w:rPr>
        <w:t>2.2.1环境影响因素识别</w:t>
      </w:r>
      <w:bookmarkEnd w:id="121"/>
      <w:bookmarkEnd w:id="122"/>
      <w:bookmarkEnd w:id="123"/>
      <w:bookmarkEnd w:id="124"/>
    </w:p>
    <w:p w14:paraId="442B6C2B">
      <w:pPr>
        <w:pStyle w:val="8"/>
        <w:bidi w:val="0"/>
        <w:rPr>
          <w:rFonts w:hint="default"/>
          <w:highlight w:val="none"/>
        </w:rPr>
      </w:pPr>
      <w:bookmarkStart w:id="125" w:name="_Toc24431"/>
      <w:bookmarkStart w:id="126" w:name="_Toc3857"/>
      <w:r>
        <w:rPr>
          <w:rFonts w:hint="default"/>
          <w:highlight w:val="none"/>
        </w:rPr>
        <w:t>2.2.1.1施工期环境影响因素识别</w:t>
      </w:r>
      <w:bookmarkEnd w:id="125"/>
      <w:bookmarkEnd w:id="126"/>
    </w:p>
    <w:p w14:paraId="6B6B4FAD">
      <w:pPr>
        <w:overflowPunct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施工期对环境造成的影响因素主要有：场地平整、建筑物基础开挖，建构筑物砌筑及建筑材料运输、装卸等产生的扬尘，施工机械设备排放的废气等会对环境空气产生不利影响；施工人员产生的生活污水，建设过程中产生的生产废水会对水环境产生不利影响；建设中各类施工机械运行和作业产生的噪声及运输车辆产生的噪声等会对声环境产生不利影响；施工人员产生的生活垃圾和工程建筑垃圾的不合理处置，会对生态环境产生不利影响。</w:t>
      </w:r>
    </w:p>
    <w:p w14:paraId="4364D45A">
      <w:pPr>
        <w:overflowPunct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本项目建设施工期的环境影响具有阶段性，是短期影响，会随着施工建设阶段结束而消失。</w:t>
      </w:r>
    </w:p>
    <w:p w14:paraId="73360074">
      <w:pPr>
        <w:pStyle w:val="8"/>
        <w:bidi w:val="0"/>
        <w:rPr>
          <w:rFonts w:hint="default"/>
          <w:highlight w:val="none"/>
        </w:rPr>
      </w:pPr>
      <w:bookmarkStart w:id="127" w:name="_Toc14904"/>
      <w:bookmarkStart w:id="128" w:name="_Toc28671"/>
      <w:r>
        <w:rPr>
          <w:rFonts w:hint="default"/>
          <w:highlight w:val="none"/>
        </w:rPr>
        <w:t>2.2.1.2运营期环境影响因素识别</w:t>
      </w:r>
      <w:bookmarkEnd w:id="127"/>
      <w:bookmarkEnd w:id="128"/>
    </w:p>
    <w:p w14:paraId="3F3A2BA3">
      <w:pPr>
        <w:overflowPunct w:val="0"/>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snapToGrid w:val="0"/>
          <w:color w:val="auto"/>
          <w:kern w:val="0"/>
          <w:sz w:val="24"/>
          <w:highlight w:val="none"/>
        </w:rPr>
        <w:t>废气包括</w:t>
      </w:r>
      <w:r>
        <w:rPr>
          <w:rFonts w:hint="default" w:ascii="Times New Roman" w:hAnsi="Times New Roman" w:eastAsia="宋体" w:cs="Times New Roman"/>
          <w:color w:val="auto"/>
          <w:sz w:val="24"/>
          <w:highlight w:val="none"/>
        </w:rPr>
        <w:t>猪舍、</w:t>
      </w:r>
      <w:r>
        <w:rPr>
          <w:rFonts w:hint="default" w:ascii="Times New Roman" w:hAnsi="Times New Roman" w:eastAsia="宋体" w:cs="Times New Roman"/>
          <w:color w:val="auto"/>
          <w:sz w:val="24"/>
          <w:highlight w:val="none"/>
          <w:lang w:val="en-US" w:eastAsia="zh-CN"/>
        </w:rPr>
        <w:t>固液分离间</w:t>
      </w:r>
      <w:r>
        <w:rPr>
          <w:rFonts w:hint="eastAsia" w:ascii="Times New Roman" w:hAnsi="Times New Roman" w:cs="Times New Roman"/>
          <w:color w:val="auto"/>
          <w:sz w:val="24"/>
          <w:highlight w:val="none"/>
          <w:lang w:val="en-US" w:eastAsia="zh-CN"/>
        </w:rPr>
        <w:t>、黑膜厌氧池、沼液贮存池</w:t>
      </w:r>
      <w:r>
        <w:rPr>
          <w:rFonts w:hint="default" w:ascii="Times New Roman" w:hAnsi="Times New Roman" w:eastAsia="宋体" w:cs="Times New Roman"/>
          <w:color w:val="auto"/>
          <w:sz w:val="24"/>
          <w:highlight w:val="none"/>
        </w:rPr>
        <w:t>以及</w:t>
      </w:r>
      <w:r>
        <w:rPr>
          <w:rFonts w:hint="eastAsia" w:ascii="Times New Roman" w:hAnsi="Times New Roman" w:cs="Times New Roman"/>
          <w:color w:val="auto"/>
          <w:sz w:val="24"/>
          <w:highlight w:val="none"/>
          <w:lang w:eastAsia="zh-CN"/>
        </w:rPr>
        <w:t>干粪堆积场</w:t>
      </w:r>
      <w:r>
        <w:rPr>
          <w:rFonts w:hint="default" w:ascii="Times New Roman" w:hAnsi="Times New Roman" w:eastAsia="宋体" w:cs="Times New Roman"/>
          <w:color w:val="auto"/>
          <w:sz w:val="24"/>
          <w:highlight w:val="none"/>
        </w:rPr>
        <w:t>产生的恶臭气体</w:t>
      </w:r>
      <w:r>
        <w:rPr>
          <w:rFonts w:hint="eastAsia" w:ascii="Times New Roman" w:hAnsi="Times New Roman" w:cs="Times New Roman"/>
          <w:color w:val="auto"/>
          <w:sz w:val="24"/>
          <w:highlight w:val="none"/>
          <w:lang w:val="en-US" w:eastAsia="zh-CN"/>
        </w:rPr>
        <w:t>和沼气燃烧废气</w:t>
      </w:r>
      <w:r>
        <w:rPr>
          <w:rFonts w:hint="default" w:ascii="Times New Roman" w:hAnsi="Times New Roman" w:eastAsia="宋体" w:cs="Times New Roman"/>
          <w:snapToGrid w:val="0"/>
          <w:color w:val="auto"/>
          <w:kern w:val="0"/>
          <w:sz w:val="24"/>
          <w:highlight w:val="none"/>
        </w:rPr>
        <w:t>；废水主要包括</w:t>
      </w:r>
      <w:r>
        <w:rPr>
          <w:rFonts w:hint="default" w:ascii="Times New Roman" w:hAnsi="Times New Roman" w:eastAsia="宋体" w:cs="Times New Roman"/>
          <w:color w:val="auto"/>
          <w:sz w:val="24"/>
          <w:highlight w:val="none"/>
          <w:lang w:val="en-US" w:eastAsia="zh-CN"/>
        </w:rPr>
        <w:t>养殖废水（猪尿、冲洗废水等）、</w:t>
      </w:r>
      <w:r>
        <w:rPr>
          <w:rFonts w:hint="default" w:ascii="Times New Roman" w:hAnsi="Times New Roman" w:eastAsia="宋体" w:cs="Times New Roman"/>
          <w:color w:val="auto"/>
          <w:sz w:val="24"/>
          <w:highlight w:val="none"/>
        </w:rPr>
        <w:t>员工生活污水对区域地表水及地下水环境的影响</w:t>
      </w:r>
      <w:r>
        <w:rPr>
          <w:rFonts w:hint="default" w:ascii="Times New Roman" w:hAnsi="Times New Roman" w:eastAsia="宋体" w:cs="Times New Roman"/>
          <w:snapToGrid w:val="0"/>
          <w:color w:val="auto"/>
          <w:kern w:val="0"/>
          <w:sz w:val="24"/>
          <w:highlight w:val="none"/>
        </w:rPr>
        <w:t>；噪声源主要包括</w:t>
      </w:r>
      <w:r>
        <w:rPr>
          <w:rFonts w:hint="default" w:ascii="Times New Roman" w:hAnsi="Times New Roman" w:eastAsia="宋体" w:cs="Times New Roman"/>
          <w:color w:val="auto"/>
          <w:sz w:val="24"/>
          <w:highlight w:val="none"/>
        </w:rPr>
        <w:t>风机等</w:t>
      </w:r>
      <w:r>
        <w:rPr>
          <w:rFonts w:hint="default" w:ascii="Times New Roman" w:hAnsi="Times New Roman" w:eastAsia="宋体" w:cs="Times New Roman"/>
          <w:snapToGrid w:val="0"/>
          <w:color w:val="auto"/>
          <w:kern w:val="0"/>
          <w:sz w:val="24"/>
          <w:highlight w:val="none"/>
        </w:rPr>
        <w:t>；固体废物</w:t>
      </w:r>
      <w:r>
        <w:rPr>
          <w:rFonts w:hint="default" w:ascii="Times New Roman" w:hAnsi="Times New Roman" w:eastAsia="宋体" w:cs="Times New Roman"/>
          <w:color w:val="auto"/>
          <w:highlight w:val="none"/>
        </w:rPr>
        <w:t>包括</w:t>
      </w:r>
      <w:r>
        <w:rPr>
          <w:rFonts w:hint="default" w:ascii="Times New Roman" w:hAnsi="Times New Roman" w:eastAsia="宋体" w:cs="Times New Roman"/>
          <w:color w:val="auto"/>
          <w:sz w:val="24"/>
          <w:highlight w:val="none"/>
        </w:rPr>
        <w:t>病死猪、胎盘、粪便、</w:t>
      </w:r>
      <w:r>
        <w:rPr>
          <w:rFonts w:hint="default" w:ascii="Times New Roman" w:hAnsi="Times New Roman" w:eastAsia="宋体" w:cs="Times New Roman"/>
          <w:color w:val="auto"/>
          <w:sz w:val="24"/>
          <w:highlight w:val="none"/>
          <w:lang w:val="en-US" w:eastAsia="zh-CN"/>
        </w:rPr>
        <w:t>沼渣、</w:t>
      </w:r>
      <w:r>
        <w:rPr>
          <w:rFonts w:hint="default" w:ascii="Times New Roman" w:hAnsi="Times New Roman" w:eastAsia="宋体" w:cs="Times New Roman"/>
          <w:color w:val="auto"/>
          <w:sz w:val="24"/>
          <w:highlight w:val="none"/>
        </w:rPr>
        <w:t>生活垃圾</w:t>
      </w:r>
      <w:r>
        <w:rPr>
          <w:rFonts w:hint="default" w:ascii="Times New Roman" w:hAnsi="Times New Roman" w:eastAsia="宋体" w:cs="Times New Roman"/>
          <w:color w:val="auto"/>
          <w:sz w:val="24"/>
          <w:highlight w:val="none"/>
          <w:lang w:eastAsia="zh-CN"/>
        </w:rPr>
        <w:t>、</w:t>
      </w:r>
      <w:r>
        <w:rPr>
          <w:rFonts w:hint="eastAsia" w:ascii="Times New Roman" w:hAnsi="Times New Roman" w:cs="Times New Roman"/>
          <w:color w:val="auto"/>
          <w:sz w:val="24"/>
          <w:highlight w:val="none"/>
          <w:lang w:val="en-US" w:eastAsia="zh-CN"/>
        </w:rPr>
        <w:t>动物医疗废物</w:t>
      </w:r>
      <w:r>
        <w:rPr>
          <w:rFonts w:hint="default"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废</w:t>
      </w:r>
      <w:r>
        <w:rPr>
          <w:rFonts w:hint="default" w:ascii="Times New Roman" w:hAnsi="Times New Roman" w:eastAsia="宋体" w:cs="Times New Roman"/>
          <w:color w:val="auto"/>
          <w:sz w:val="24"/>
          <w:highlight w:val="none"/>
          <w:lang w:val="en-US" w:eastAsia="zh-CN"/>
        </w:rPr>
        <w:t>脱硫剂</w:t>
      </w:r>
      <w:r>
        <w:rPr>
          <w:rFonts w:hint="eastAsia" w:ascii="Times New Roman" w:hAnsi="Times New Roman" w:cs="Times New Roman"/>
          <w:color w:val="auto"/>
          <w:sz w:val="24"/>
          <w:highlight w:val="none"/>
          <w:lang w:val="en-US" w:eastAsia="zh-CN"/>
        </w:rPr>
        <w:t>、废活性炭</w:t>
      </w:r>
      <w:r>
        <w:rPr>
          <w:rFonts w:hint="default" w:ascii="Times New Roman" w:hAnsi="Times New Roman" w:eastAsia="宋体" w:cs="Times New Roman"/>
          <w:color w:val="auto"/>
          <w:sz w:val="24"/>
          <w:highlight w:val="none"/>
        </w:rPr>
        <w:t>等固体废物</w:t>
      </w:r>
      <w:r>
        <w:rPr>
          <w:rFonts w:hint="default" w:ascii="Times New Roman" w:hAnsi="Times New Roman" w:eastAsia="宋体" w:cs="Times New Roman"/>
          <w:snapToGrid w:val="0"/>
          <w:color w:val="auto"/>
          <w:kern w:val="0"/>
          <w:sz w:val="24"/>
          <w:highlight w:val="none"/>
        </w:rPr>
        <w:t>。以上这些影响在整个运营期间都长期存在，需要通过有效的环保治理措施降低其影响程度。</w:t>
      </w:r>
    </w:p>
    <w:p w14:paraId="5E857E10">
      <w:pPr>
        <w:overflowPunct w:val="0"/>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根据以上分析结合本项目周边环境及项目特征，确定本项目环境影响因素识别见表2</w:t>
      </w:r>
      <w:r>
        <w:rPr>
          <w:rFonts w:hint="eastAsia" w:ascii="Times New Roman" w:hAnsi="Times New Roman" w:cs="Times New Roman"/>
          <w:snapToGrid w:val="0"/>
          <w:color w:val="auto"/>
          <w:kern w:val="0"/>
          <w:sz w:val="24"/>
          <w:highlight w:val="none"/>
          <w:lang w:val="en-US" w:eastAsia="zh-CN"/>
        </w:rPr>
        <w:t>.2</w:t>
      </w:r>
      <w:r>
        <w:rPr>
          <w:rFonts w:hint="default" w:ascii="Times New Roman" w:hAnsi="Times New Roman" w:eastAsia="宋体" w:cs="Times New Roman"/>
          <w:snapToGrid w:val="0"/>
          <w:color w:val="auto"/>
          <w:kern w:val="0"/>
          <w:sz w:val="24"/>
          <w:highlight w:val="none"/>
        </w:rPr>
        <w:t>-1。</w:t>
      </w:r>
    </w:p>
    <w:p w14:paraId="5FA64A64">
      <w:pPr>
        <w:widowControl w:val="0"/>
        <w:autoSpaceDE w:val="0"/>
        <w:autoSpaceDN w:val="0"/>
        <w:adjustRightInd w:val="0"/>
        <w:snapToGrid w:val="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2-1  环境影响因素识别一览表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1284"/>
        <w:gridCol w:w="3344"/>
        <w:gridCol w:w="3432"/>
      </w:tblGrid>
      <w:tr w14:paraId="4C5D81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024" w:type="pct"/>
            <w:gridSpan w:val="2"/>
            <w:noWrap w:val="0"/>
            <w:vAlign w:val="center"/>
          </w:tcPr>
          <w:p w14:paraId="5DCD97BE">
            <w:pPr>
              <w:adjustRightInd w:val="0"/>
              <w:snapToGrid w:val="0"/>
              <w:jc w:val="center"/>
              <w:rPr>
                <w:rFonts w:hint="default" w:ascii="Times New Roman" w:hAnsi="Times New Roman" w:cs="Times New Roman"/>
                <w:b/>
                <w:bCs/>
                <w:snapToGrid w:val="0"/>
                <w:color w:val="auto"/>
                <w:sz w:val="21"/>
                <w:szCs w:val="21"/>
                <w:highlight w:val="none"/>
                <w:lang w:val="zh-CN"/>
              </w:rPr>
            </w:pPr>
            <w:bookmarkStart w:id="129" w:name="_Toc14760"/>
            <w:bookmarkStart w:id="130" w:name="_Toc21772"/>
            <w:bookmarkStart w:id="131" w:name="_Toc23683"/>
            <w:bookmarkStart w:id="132" w:name="_Toc5877"/>
            <w:r>
              <w:rPr>
                <w:rFonts w:hint="default" w:ascii="Times New Roman" w:hAnsi="Times New Roman" w:cs="Times New Roman"/>
                <w:b/>
                <w:bCs/>
                <w:snapToGrid w:val="0"/>
                <w:color w:val="auto"/>
                <w:sz w:val="21"/>
                <w:szCs w:val="21"/>
                <w:highlight w:val="none"/>
                <w:lang w:val="zh-CN"/>
              </w:rPr>
              <w:t>污染物</w:t>
            </w:r>
          </w:p>
        </w:tc>
        <w:tc>
          <w:tcPr>
            <w:tcW w:w="1961" w:type="pct"/>
            <w:noWrap w:val="0"/>
            <w:vAlign w:val="center"/>
          </w:tcPr>
          <w:p w14:paraId="5FBA3B3E">
            <w:pPr>
              <w:adjustRightInd w:val="0"/>
              <w:snapToGrid w:val="0"/>
              <w:jc w:val="center"/>
              <w:rPr>
                <w:rFonts w:hint="default" w:ascii="Times New Roman" w:hAnsi="Times New Roman" w:cs="Times New Roman"/>
                <w:b/>
                <w:bCs/>
                <w:snapToGrid w:val="0"/>
                <w:color w:val="auto"/>
                <w:sz w:val="21"/>
                <w:szCs w:val="21"/>
                <w:highlight w:val="none"/>
                <w:lang w:val="zh-CN"/>
              </w:rPr>
            </w:pPr>
            <w:r>
              <w:rPr>
                <w:rFonts w:hint="default" w:ascii="Times New Roman" w:hAnsi="Times New Roman" w:cs="Times New Roman"/>
                <w:b/>
                <w:bCs/>
                <w:snapToGrid w:val="0"/>
                <w:color w:val="auto"/>
                <w:sz w:val="21"/>
                <w:szCs w:val="21"/>
                <w:highlight w:val="none"/>
                <w:lang w:val="zh-CN"/>
              </w:rPr>
              <w:t>污染来源</w:t>
            </w:r>
          </w:p>
        </w:tc>
        <w:tc>
          <w:tcPr>
            <w:tcW w:w="2013" w:type="pct"/>
            <w:noWrap w:val="0"/>
            <w:vAlign w:val="center"/>
          </w:tcPr>
          <w:p w14:paraId="41568BC2">
            <w:pPr>
              <w:adjustRightInd w:val="0"/>
              <w:snapToGrid w:val="0"/>
              <w:jc w:val="center"/>
              <w:rPr>
                <w:rFonts w:hint="default" w:ascii="Times New Roman" w:hAnsi="Times New Roman" w:cs="Times New Roman"/>
                <w:b/>
                <w:bCs/>
                <w:snapToGrid w:val="0"/>
                <w:color w:val="auto"/>
                <w:sz w:val="21"/>
                <w:szCs w:val="21"/>
                <w:highlight w:val="none"/>
                <w:lang w:val="zh-CN"/>
              </w:rPr>
            </w:pPr>
            <w:r>
              <w:rPr>
                <w:rFonts w:hint="default" w:ascii="Times New Roman" w:hAnsi="Times New Roman" w:cs="Times New Roman"/>
                <w:b/>
                <w:bCs/>
                <w:snapToGrid w:val="0"/>
                <w:color w:val="auto"/>
                <w:sz w:val="21"/>
                <w:szCs w:val="21"/>
                <w:highlight w:val="none"/>
                <w:lang w:val="zh-CN"/>
              </w:rPr>
              <w:t>主要影响因素</w:t>
            </w:r>
          </w:p>
        </w:tc>
      </w:tr>
      <w:tr w14:paraId="0E049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restart"/>
            <w:noWrap w:val="0"/>
            <w:vAlign w:val="center"/>
          </w:tcPr>
          <w:p w14:paraId="2FB54FA8">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施工期</w:t>
            </w:r>
          </w:p>
        </w:tc>
        <w:tc>
          <w:tcPr>
            <w:tcW w:w="753" w:type="pct"/>
            <w:noWrap w:val="0"/>
            <w:vAlign w:val="center"/>
          </w:tcPr>
          <w:p w14:paraId="3A6AB5EC">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废气</w:t>
            </w:r>
          </w:p>
        </w:tc>
        <w:tc>
          <w:tcPr>
            <w:tcW w:w="1961" w:type="pct"/>
            <w:noWrap w:val="0"/>
            <w:vAlign w:val="center"/>
          </w:tcPr>
          <w:p w14:paraId="15D39DD9">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施工活动、机械及施工车辆</w:t>
            </w:r>
          </w:p>
        </w:tc>
        <w:tc>
          <w:tcPr>
            <w:tcW w:w="2013" w:type="pct"/>
            <w:noWrap w:val="0"/>
            <w:vAlign w:val="center"/>
          </w:tcPr>
          <w:p w14:paraId="0DDBB757">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TSP</w:t>
            </w:r>
            <w:r>
              <w:rPr>
                <w:rFonts w:hint="default" w:ascii="Times New Roman" w:hAnsi="Times New Roman" w:eastAsia="宋体" w:cs="Times New Roman"/>
                <w:snapToGrid w:val="0"/>
                <w:color w:val="auto"/>
                <w:sz w:val="21"/>
                <w:szCs w:val="21"/>
                <w:highlight w:val="none"/>
                <w:lang w:val="zh-CN"/>
              </w:rPr>
              <w:t>、</w:t>
            </w:r>
            <w:r>
              <w:rPr>
                <w:rFonts w:hint="default" w:ascii="Times New Roman" w:hAnsi="Times New Roman" w:eastAsia="宋体" w:cs="Times New Roman"/>
                <w:snapToGrid w:val="0"/>
                <w:color w:val="auto"/>
                <w:sz w:val="21"/>
                <w:szCs w:val="21"/>
                <w:highlight w:val="none"/>
              </w:rPr>
              <w:t>CO</w:t>
            </w:r>
            <w:r>
              <w:rPr>
                <w:rFonts w:hint="default" w:ascii="Times New Roman" w:hAnsi="Times New Roman" w:eastAsia="宋体" w:cs="Times New Roman"/>
                <w:snapToGrid w:val="0"/>
                <w:color w:val="auto"/>
                <w:sz w:val="21"/>
                <w:szCs w:val="21"/>
                <w:highlight w:val="none"/>
                <w:lang w:val="zh-CN"/>
              </w:rPr>
              <w:t>、</w:t>
            </w:r>
            <w:r>
              <w:rPr>
                <w:rFonts w:hint="default" w:ascii="Times New Roman" w:hAnsi="Times New Roman" w:eastAsia="宋体" w:cs="Times New Roman"/>
                <w:snapToGrid w:val="0"/>
                <w:color w:val="auto"/>
                <w:sz w:val="21"/>
                <w:szCs w:val="21"/>
                <w:highlight w:val="none"/>
              </w:rPr>
              <w:t>NO</w:t>
            </w:r>
            <w:r>
              <w:rPr>
                <w:rFonts w:hint="default" w:ascii="Times New Roman" w:hAnsi="Times New Roman" w:eastAsia="宋体" w:cs="Times New Roman"/>
                <w:snapToGrid w:val="0"/>
                <w:color w:val="auto"/>
                <w:sz w:val="21"/>
                <w:szCs w:val="21"/>
                <w:highlight w:val="none"/>
                <w:vertAlign w:val="subscript"/>
              </w:rPr>
              <w:t>x</w:t>
            </w:r>
          </w:p>
        </w:tc>
      </w:tr>
      <w:tr w14:paraId="1A3BA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3A2E4F4A">
            <w:pPr>
              <w:adjustRightInd w:val="0"/>
              <w:snapToGrid w:val="0"/>
              <w:jc w:val="center"/>
              <w:rPr>
                <w:rFonts w:hint="default" w:ascii="Times New Roman" w:hAnsi="Times New Roman" w:eastAsia="宋体" w:cs="Times New Roman"/>
                <w:snapToGrid w:val="0"/>
                <w:color w:val="auto"/>
                <w:sz w:val="21"/>
                <w:szCs w:val="21"/>
                <w:highlight w:val="none"/>
              </w:rPr>
            </w:pPr>
          </w:p>
        </w:tc>
        <w:tc>
          <w:tcPr>
            <w:tcW w:w="753" w:type="pct"/>
            <w:noWrap w:val="0"/>
            <w:vAlign w:val="center"/>
          </w:tcPr>
          <w:p w14:paraId="20D3105E">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废水</w:t>
            </w:r>
          </w:p>
        </w:tc>
        <w:tc>
          <w:tcPr>
            <w:tcW w:w="1961" w:type="pct"/>
            <w:noWrap w:val="0"/>
            <w:vAlign w:val="center"/>
          </w:tcPr>
          <w:p w14:paraId="510BFC9E">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施工活动和施工人员生活</w:t>
            </w:r>
          </w:p>
        </w:tc>
        <w:tc>
          <w:tcPr>
            <w:tcW w:w="2013" w:type="pct"/>
            <w:noWrap w:val="0"/>
            <w:vAlign w:val="center"/>
          </w:tcPr>
          <w:p w14:paraId="2A93E9D7">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rPr>
              <w:t>COD、BOD</w:t>
            </w:r>
            <w:r>
              <w:rPr>
                <w:rFonts w:hint="default" w:ascii="Times New Roman" w:hAnsi="Times New Roman" w:eastAsia="宋体" w:cs="Times New Roman"/>
                <w:snapToGrid w:val="0"/>
                <w:color w:val="auto"/>
                <w:sz w:val="21"/>
                <w:szCs w:val="21"/>
                <w:highlight w:val="none"/>
                <w:vertAlign w:val="subscript"/>
              </w:rPr>
              <w:t>5</w:t>
            </w:r>
            <w:r>
              <w:rPr>
                <w:rFonts w:hint="default" w:ascii="Times New Roman" w:hAnsi="Times New Roman" w:eastAsia="宋体" w:cs="Times New Roman"/>
                <w:snapToGrid w:val="0"/>
                <w:color w:val="auto"/>
                <w:sz w:val="21"/>
                <w:szCs w:val="21"/>
                <w:highlight w:val="none"/>
              </w:rPr>
              <w:t>、氨氮、SS、石油类</w:t>
            </w:r>
          </w:p>
        </w:tc>
      </w:tr>
      <w:tr w14:paraId="0BBE1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053AF5AA">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3D68BCE7">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噪声</w:t>
            </w:r>
          </w:p>
        </w:tc>
        <w:tc>
          <w:tcPr>
            <w:tcW w:w="1961" w:type="pct"/>
            <w:noWrap w:val="0"/>
            <w:vAlign w:val="center"/>
          </w:tcPr>
          <w:p w14:paraId="373EAD8F">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施工活动和机械设备</w:t>
            </w:r>
          </w:p>
        </w:tc>
        <w:tc>
          <w:tcPr>
            <w:tcW w:w="2013" w:type="pct"/>
            <w:noWrap w:val="0"/>
            <w:vAlign w:val="center"/>
          </w:tcPr>
          <w:p w14:paraId="51A22F8A">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等效连续A声级Leq（A）</w:t>
            </w:r>
          </w:p>
        </w:tc>
      </w:tr>
      <w:tr w14:paraId="03BBB8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6F9B0C2E">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3617940B">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固体废物</w:t>
            </w:r>
          </w:p>
        </w:tc>
        <w:tc>
          <w:tcPr>
            <w:tcW w:w="1961" w:type="pct"/>
            <w:noWrap w:val="0"/>
            <w:vAlign w:val="center"/>
          </w:tcPr>
          <w:p w14:paraId="72E9E50F">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建筑物施工和施工人员生活</w:t>
            </w:r>
          </w:p>
        </w:tc>
        <w:tc>
          <w:tcPr>
            <w:tcW w:w="2013" w:type="pct"/>
            <w:noWrap w:val="0"/>
            <w:vAlign w:val="center"/>
          </w:tcPr>
          <w:p w14:paraId="5371C973">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建筑垃圾、施工人员生活垃圾</w:t>
            </w:r>
          </w:p>
        </w:tc>
      </w:tr>
      <w:tr w14:paraId="01938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6EB6A5E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51068AC8">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rPr>
              <w:t>生态影响</w:t>
            </w:r>
          </w:p>
        </w:tc>
        <w:tc>
          <w:tcPr>
            <w:tcW w:w="1961" w:type="pct"/>
            <w:noWrap w:val="0"/>
            <w:vAlign w:val="center"/>
          </w:tcPr>
          <w:p w14:paraId="2FEAD992">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土石方开挖等</w:t>
            </w:r>
          </w:p>
        </w:tc>
        <w:tc>
          <w:tcPr>
            <w:tcW w:w="2013" w:type="pct"/>
            <w:noWrap w:val="0"/>
            <w:vAlign w:val="center"/>
          </w:tcPr>
          <w:p w14:paraId="136FF530">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w:t>
            </w:r>
          </w:p>
        </w:tc>
      </w:tr>
      <w:tr w14:paraId="74245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restart"/>
            <w:noWrap w:val="0"/>
            <w:vAlign w:val="center"/>
          </w:tcPr>
          <w:p w14:paraId="740FD9D3">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营运期</w:t>
            </w:r>
          </w:p>
        </w:tc>
        <w:tc>
          <w:tcPr>
            <w:tcW w:w="753" w:type="pct"/>
            <w:noWrap w:val="0"/>
            <w:vAlign w:val="center"/>
          </w:tcPr>
          <w:p w14:paraId="2888D756">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废气</w:t>
            </w:r>
          </w:p>
        </w:tc>
        <w:tc>
          <w:tcPr>
            <w:tcW w:w="1961" w:type="pct"/>
            <w:noWrap w:val="0"/>
            <w:vAlign w:val="center"/>
          </w:tcPr>
          <w:p w14:paraId="25CE1934">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猪舍、</w:t>
            </w:r>
            <w:r>
              <w:rPr>
                <w:rFonts w:hint="default" w:ascii="Times New Roman" w:hAnsi="Times New Roman" w:eastAsia="宋体" w:cs="Times New Roman"/>
                <w:snapToGrid w:val="0"/>
                <w:color w:val="auto"/>
                <w:sz w:val="21"/>
                <w:szCs w:val="21"/>
                <w:highlight w:val="none"/>
                <w:lang w:val="zh-CN" w:eastAsia="zh-CN"/>
              </w:rPr>
              <w:t>固液分离间、黑膜厌氧池</w:t>
            </w:r>
            <w:r>
              <w:rPr>
                <w:rFonts w:hint="eastAsia" w:ascii="Times New Roman" w:hAnsi="Times New Roman" w:cs="Times New Roman"/>
                <w:snapToGrid w:val="0"/>
                <w:color w:val="auto"/>
                <w:sz w:val="21"/>
                <w:szCs w:val="21"/>
                <w:highlight w:val="none"/>
                <w:lang w:val="zh-CN" w:eastAsia="zh-CN"/>
              </w:rPr>
              <w:t>、沼液贮存池</w:t>
            </w:r>
            <w:r>
              <w:rPr>
                <w:rFonts w:hint="default" w:ascii="Times New Roman" w:hAnsi="Times New Roman" w:eastAsia="宋体" w:cs="Times New Roman"/>
                <w:snapToGrid w:val="0"/>
                <w:color w:val="auto"/>
                <w:sz w:val="21"/>
                <w:szCs w:val="21"/>
                <w:highlight w:val="none"/>
                <w:lang w:val="zh-CN"/>
              </w:rPr>
              <w:t>以及</w:t>
            </w:r>
            <w:r>
              <w:rPr>
                <w:rFonts w:hint="default" w:ascii="Times New Roman" w:hAnsi="Times New Roman" w:eastAsia="宋体" w:cs="Times New Roman"/>
                <w:snapToGrid w:val="0"/>
                <w:color w:val="auto"/>
                <w:sz w:val="21"/>
                <w:szCs w:val="21"/>
                <w:highlight w:val="none"/>
                <w:lang w:val="zh-CN" w:eastAsia="zh-CN"/>
              </w:rPr>
              <w:t>干粪堆积场和沼气燃烧废气</w:t>
            </w:r>
          </w:p>
        </w:tc>
        <w:tc>
          <w:tcPr>
            <w:tcW w:w="2013" w:type="pct"/>
            <w:noWrap w:val="0"/>
            <w:vAlign w:val="center"/>
          </w:tcPr>
          <w:p w14:paraId="5A55899C">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zh-CN"/>
              </w:rPr>
              <w:t>NH</w:t>
            </w:r>
            <w:r>
              <w:rPr>
                <w:rFonts w:hint="default" w:ascii="Times New Roman" w:hAnsi="Times New Roman" w:eastAsia="宋体" w:cs="Times New Roman"/>
                <w:snapToGrid w:val="0"/>
                <w:color w:val="auto"/>
                <w:sz w:val="21"/>
                <w:szCs w:val="21"/>
                <w:highlight w:val="none"/>
                <w:vertAlign w:val="subscript"/>
                <w:lang w:val="zh-CN"/>
              </w:rPr>
              <w:t>3</w:t>
            </w:r>
            <w:r>
              <w:rPr>
                <w:rFonts w:hint="default" w:ascii="Times New Roman" w:hAnsi="Times New Roman" w:eastAsia="宋体" w:cs="Times New Roman"/>
                <w:snapToGrid w:val="0"/>
                <w:color w:val="auto"/>
                <w:sz w:val="21"/>
                <w:szCs w:val="21"/>
                <w:highlight w:val="none"/>
                <w:lang w:val="zh-CN"/>
              </w:rPr>
              <w:t>、H</w:t>
            </w:r>
            <w:r>
              <w:rPr>
                <w:rFonts w:hint="default" w:ascii="Times New Roman" w:hAnsi="Times New Roman" w:eastAsia="宋体" w:cs="Times New Roman"/>
                <w:snapToGrid w:val="0"/>
                <w:color w:val="auto"/>
                <w:sz w:val="21"/>
                <w:szCs w:val="21"/>
                <w:highlight w:val="none"/>
                <w:vertAlign w:val="subscript"/>
                <w:lang w:val="zh-CN"/>
              </w:rPr>
              <w:t>2</w:t>
            </w:r>
            <w:r>
              <w:rPr>
                <w:rFonts w:hint="default" w:ascii="Times New Roman" w:hAnsi="Times New Roman" w:eastAsia="宋体" w:cs="Times New Roman"/>
                <w:snapToGrid w:val="0"/>
                <w:color w:val="auto"/>
                <w:sz w:val="21"/>
                <w:szCs w:val="21"/>
                <w:highlight w:val="none"/>
                <w:lang w:val="zh-CN"/>
              </w:rPr>
              <w:t>S、臭气浓度、</w:t>
            </w:r>
            <w:r>
              <w:rPr>
                <w:rFonts w:hint="default" w:ascii="Times New Roman" w:hAnsi="Times New Roman" w:eastAsia="宋体" w:cs="Times New Roman"/>
                <w:snapToGrid w:val="0"/>
                <w:color w:val="auto"/>
                <w:sz w:val="21"/>
                <w:szCs w:val="21"/>
                <w:highlight w:val="none"/>
                <w:lang w:val="en-US" w:eastAsia="zh-CN"/>
              </w:rPr>
              <w:t>颗粒物、SO</w:t>
            </w:r>
            <w:r>
              <w:rPr>
                <w:rFonts w:hint="default" w:ascii="Times New Roman" w:hAnsi="Times New Roman" w:eastAsia="宋体" w:cs="Times New Roman"/>
                <w:snapToGrid w:val="0"/>
                <w:color w:val="auto"/>
                <w:sz w:val="21"/>
                <w:szCs w:val="21"/>
                <w:highlight w:val="none"/>
                <w:vertAlign w:val="subscript"/>
                <w:lang w:val="en-US" w:eastAsia="zh-CN"/>
              </w:rPr>
              <w:t>2</w:t>
            </w:r>
            <w:r>
              <w:rPr>
                <w:rFonts w:hint="default" w:ascii="Times New Roman" w:hAnsi="Times New Roman" w:eastAsia="宋体" w:cs="Times New Roman"/>
                <w:snapToGrid w:val="0"/>
                <w:color w:val="auto"/>
                <w:sz w:val="21"/>
                <w:szCs w:val="21"/>
                <w:highlight w:val="none"/>
                <w:lang w:val="en-US" w:eastAsia="zh-CN"/>
              </w:rPr>
              <w:t>、NO</w:t>
            </w:r>
            <w:r>
              <w:rPr>
                <w:rFonts w:hint="default" w:ascii="Times New Roman" w:hAnsi="Times New Roman" w:eastAsia="宋体" w:cs="Times New Roman"/>
                <w:snapToGrid w:val="0"/>
                <w:color w:val="auto"/>
                <w:sz w:val="21"/>
                <w:szCs w:val="21"/>
                <w:highlight w:val="none"/>
                <w:vertAlign w:val="subscript"/>
                <w:lang w:val="en-US" w:eastAsia="zh-CN"/>
              </w:rPr>
              <w:t>X</w:t>
            </w:r>
          </w:p>
        </w:tc>
      </w:tr>
      <w:tr w14:paraId="1410B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0AA712A8">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restart"/>
            <w:noWrap w:val="0"/>
            <w:vAlign w:val="center"/>
          </w:tcPr>
          <w:p w14:paraId="7EFAC133">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废水</w:t>
            </w:r>
          </w:p>
        </w:tc>
        <w:tc>
          <w:tcPr>
            <w:tcW w:w="1961" w:type="pct"/>
            <w:noWrap w:val="0"/>
            <w:vAlign w:val="center"/>
          </w:tcPr>
          <w:p w14:paraId="01113E9F">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生产过程（猪尿、冲洗废水等）</w:t>
            </w:r>
          </w:p>
        </w:tc>
        <w:tc>
          <w:tcPr>
            <w:tcW w:w="2013" w:type="pct"/>
            <w:noWrap w:val="0"/>
            <w:vAlign w:val="center"/>
          </w:tcPr>
          <w:p w14:paraId="38EC52DF">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COD、NH</w:t>
            </w:r>
            <w:r>
              <w:rPr>
                <w:rFonts w:hint="default" w:ascii="Times New Roman" w:hAnsi="Times New Roman" w:eastAsia="宋体" w:cs="Times New Roman"/>
                <w:snapToGrid w:val="0"/>
                <w:color w:val="auto"/>
                <w:sz w:val="21"/>
                <w:szCs w:val="21"/>
                <w:highlight w:val="none"/>
                <w:vertAlign w:val="subscript"/>
                <w:lang w:val="zh-CN"/>
              </w:rPr>
              <w:t>3</w:t>
            </w:r>
            <w:r>
              <w:rPr>
                <w:rFonts w:hint="default" w:ascii="Times New Roman" w:hAnsi="Times New Roman" w:eastAsia="宋体" w:cs="Times New Roman"/>
                <w:snapToGrid w:val="0"/>
                <w:color w:val="auto"/>
                <w:sz w:val="21"/>
                <w:szCs w:val="21"/>
                <w:highlight w:val="none"/>
                <w:lang w:val="zh-CN"/>
              </w:rPr>
              <w:t>-N等</w:t>
            </w:r>
          </w:p>
        </w:tc>
      </w:tr>
      <w:tr w14:paraId="58C21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64AEA910">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6D9D149C">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59C24762">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rPr>
              <w:t>生活污水</w:t>
            </w:r>
          </w:p>
        </w:tc>
        <w:tc>
          <w:tcPr>
            <w:tcW w:w="2013" w:type="pct"/>
            <w:noWrap w:val="0"/>
            <w:vAlign w:val="center"/>
          </w:tcPr>
          <w:p w14:paraId="73AA6566">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COD、NH</w:t>
            </w:r>
            <w:r>
              <w:rPr>
                <w:rFonts w:hint="default" w:ascii="Times New Roman" w:hAnsi="Times New Roman" w:eastAsia="宋体" w:cs="Times New Roman"/>
                <w:snapToGrid w:val="0"/>
                <w:color w:val="auto"/>
                <w:sz w:val="21"/>
                <w:szCs w:val="21"/>
                <w:highlight w:val="none"/>
                <w:vertAlign w:val="subscript"/>
                <w:lang w:val="zh-CN"/>
              </w:rPr>
              <w:t>3</w:t>
            </w:r>
            <w:r>
              <w:rPr>
                <w:rFonts w:hint="default" w:ascii="Times New Roman" w:hAnsi="Times New Roman" w:eastAsia="宋体" w:cs="Times New Roman"/>
                <w:snapToGrid w:val="0"/>
                <w:color w:val="auto"/>
                <w:sz w:val="21"/>
                <w:szCs w:val="21"/>
                <w:highlight w:val="none"/>
                <w:lang w:val="zh-CN"/>
              </w:rPr>
              <w:t>-N等</w:t>
            </w:r>
          </w:p>
        </w:tc>
      </w:tr>
      <w:tr w14:paraId="0C007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0B0B159D">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4F5DF749">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噪声</w:t>
            </w:r>
          </w:p>
        </w:tc>
        <w:tc>
          <w:tcPr>
            <w:tcW w:w="1961" w:type="pct"/>
            <w:noWrap w:val="0"/>
            <w:tcMar>
              <w:left w:w="0" w:type="dxa"/>
              <w:right w:w="0" w:type="dxa"/>
            </w:tcMar>
            <w:vAlign w:val="center"/>
          </w:tcPr>
          <w:p w14:paraId="0166DF68">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风机等设备</w:t>
            </w:r>
          </w:p>
        </w:tc>
        <w:tc>
          <w:tcPr>
            <w:tcW w:w="2013" w:type="pct"/>
            <w:noWrap w:val="0"/>
            <w:vAlign w:val="center"/>
          </w:tcPr>
          <w:p w14:paraId="4AE14DA2">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等效连续A声级Leq（A）</w:t>
            </w:r>
          </w:p>
        </w:tc>
      </w:tr>
      <w:tr w14:paraId="29EB0A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5DEB0A39">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restart"/>
            <w:noWrap w:val="0"/>
            <w:vAlign w:val="center"/>
          </w:tcPr>
          <w:p w14:paraId="411E742C">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固体废物</w:t>
            </w:r>
          </w:p>
        </w:tc>
        <w:tc>
          <w:tcPr>
            <w:tcW w:w="1961" w:type="pct"/>
            <w:vMerge w:val="restart"/>
            <w:noWrap w:val="0"/>
            <w:vAlign w:val="center"/>
          </w:tcPr>
          <w:p w14:paraId="026ED537">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猪舍</w:t>
            </w:r>
          </w:p>
        </w:tc>
        <w:tc>
          <w:tcPr>
            <w:tcW w:w="2013" w:type="pct"/>
            <w:noWrap w:val="0"/>
            <w:vAlign w:val="center"/>
          </w:tcPr>
          <w:p w14:paraId="4538A44E">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猪粪</w:t>
            </w:r>
          </w:p>
        </w:tc>
      </w:tr>
      <w:tr w14:paraId="73A16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1B91C4EC">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3E9560A5">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vMerge w:val="continue"/>
            <w:noWrap w:val="0"/>
            <w:vAlign w:val="center"/>
          </w:tcPr>
          <w:p w14:paraId="5B86D638">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2013" w:type="pct"/>
            <w:noWrap w:val="0"/>
            <w:vAlign w:val="center"/>
          </w:tcPr>
          <w:p w14:paraId="04D5C43B">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病死猪、胎盘</w:t>
            </w:r>
          </w:p>
        </w:tc>
      </w:tr>
      <w:tr w14:paraId="5C3B46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6B09396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06E404AB">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vMerge w:val="continue"/>
            <w:noWrap w:val="0"/>
            <w:vAlign w:val="center"/>
          </w:tcPr>
          <w:p w14:paraId="1A3BFD7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2013" w:type="pct"/>
            <w:noWrap w:val="0"/>
            <w:vAlign w:val="center"/>
          </w:tcPr>
          <w:p w14:paraId="6D86C623">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eastAsia" w:ascii="Times New Roman" w:hAnsi="Times New Roman" w:cs="Times New Roman"/>
                <w:snapToGrid w:val="0"/>
                <w:color w:val="auto"/>
                <w:sz w:val="21"/>
                <w:szCs w:val="21"/>
                <w:highlight w:val="none"/>
                <w:lang w:val="zh-CN"/>
              </w:rPr>
              <w:t>动物医疗废物</w:t>
            </w:r>
          </w:p>
        </w:tc>
      </w:tr>
      <w:tr w14:paraId="7DA8E1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jc w:val="center"/>
        </w:trPr>
        <w:tc>
          <w:tcPr>
            <w:tcW w:w="271" w:type="pct"/>
            <w:vMerge w:val="continue"/>
            <w:noWrap w:val="0"/>
            <w:vAlign w:val="center"/>
          </w:tcPr>
          <w:p w14:paraId="3428FA5D">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67E5E7F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703A669E">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黑膜厌氧池</w:t>
            </w:r>
          </w:p>
        </w:tc>
        <w:tc>
          <w:tcPr>
            <w:tcW w:w="2013" w:type="pct"/>
            <w:noWrap w:val="0"/>
            <w:vAlign w:val="center"/>
          </w:tcPr>
          <w:p w14:paraId="0E71C58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沼渣</w:t>
            </w:r>
          </w:p>
        </w:tc>
      </w:tr>
      <w:tr w14:paraId="3374F1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16343C72">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1DE6437F">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7DCE9695">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固液分离</w:t>
            </w:r>
          </w:p>
        </w:tc>
        <w:tc>
          <w:tcPr>
            <w:tcW w:w="2013" w:type="pct"/>
            <w:noWrap w:val="0"/>
            <w:vAlign w:val="center"/>
          </w:tcPr>
          <w:p w14:paraId="58A64601">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干粪</w:t>
            </w:r>
          </w:p>
        </w:tc>
      </w:tr>
      <w:tr w14:paraId="25A31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582E8CDF">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569C96E4">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576E05C3">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猪舍、黑膜厌氧池、沼液贮存池</w:t>
            </w:r>
            <w:r>
              <w:rPr>
                <w:rFonts w:hint="eastAsia"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lang w:val="en-US" w:eastAsia="zh-CN"/>
              </w:rPr>
              <w:t>固液分离间以及干粪堆积场</w:t>
            </w:r>
          </w:p>
        </w:tc>
        <w:tc>
          <w:tcPr>
            <w:tcW w:w="2013" w:type="pct"/>
            <w:noWrap w:val="0"/>
            <w:vAlign w:val="center"/>
          </w:tcPr>
          <w:p w14:paraId="1424347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废除臭剂桶</w:t>
            </w:r>
          </w:p>
        </w:tc>
      </w:tr>
      <w:tr w14:paraId="52A10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2C9531DD">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477C239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586F2BFD">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沼气脱硫</w:t>
            </w:r>
          </w:p>
        </w:tc>
        <w:tc>
          <w:tcPr>
            <w:tcW w:w="2013" w:type="pct"/>
            <w:noWrap w:val="0"/>
            <w:vAlign w:val="center"/>
          </w:tcPr>
          <w:p w14:paraId="20DBF65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rPr>
              <w:t>脱硫剂</w:t>
            </w:r>
          </w:p>
        </w:tc>
      </w:tr>
      <w:tr w14:paraId="5261A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71" w:type="pct"/>
            <w:vMerge w:val="continue"/>
            <w:noWrap w:val="0"/>
            <w:vAlign w:val="center"/>
          </w:tcPr>
          <w:p w14:paraId="32B60754">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2BE60D91">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68EA2D80">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活性炭吸附装置除臭系统</w:t>
            </w:r>
          </w:p>
        </w:tc>
        <w:tc>
          <w:tcPr>
            <w:tcW w:w="2013" w:type="pct"/>
            <w:noWrap w:val="0"/>
            <w:vAlign w:val="center"/>
          </w:tcPr>
          <w:p w14:paraId="414E9DF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废活性炭</w:t>
            </w:r>
          </w:p>
        </w:tc>
      </w:tr>
      <w:tr w14:paraId="2A6C2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0978446C">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5C11F578">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2982E921">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员工日常生活</w:t>
            </w:r>
          </w:p>
        </w:tc>
        <w:tc>
          <w:tcPr>
            <w:tcW w:w="2013" w:type="pct"/>
            <w:noWrap w:val="0"/>
            <w:vAlign w:val="center"/>
          </w:tcPr>
          <w:p w14:paraId="4E66D057">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color w:val="auto"/>
                <w:sz w:val="21"/>
                <w:szCs w:val="21"/>
                <w:highlight w:val="none"/>
              </w:rPr>
              <w:t>生活垃圾</w:t>
            </w:r>
          </w:p>
        </w:tc>
      </w:tr>
      <w:tr w14:paraId="093ECF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1DAD55D0">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0BD3578F">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color w:val="auto"/>
                <w:sz w:val="21"/>
                <w:szCs w:val="21"/>
                <w:highlight w:val="none"/>
                <w:lang w:val="zh-CN"/>
              </w:rPr>
              <w:t>土壤</w:t>
            </w:r>
          </w:p>
        </w:tc>
        <w:tc>
          <w:tcPr>
            <w:tcW w:w="1961" w:type="pct"/>
            <w:noWrap w:val="0"/>
            <w:vAlign w:val="center"/>
          </w:tcPr>
          <w:p w14:paraId="5EE3690B">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猪舍</w:t>
            </w:r>
          </w:p>
        </w:tc>
        <w:tc>
          <w:tcPr>
            <w:tcW w:w="2013" w:type="pct"/>
            <w:noWrap w:val="0"/>
            <w:vAlign w:val="center"/>
          </w:tcPr>
          <w:p w14:paraId="1D51A034">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color w:val="auto"/>
                <w:sz w:val="21"/>
                <w:szCs w:val="21"/>
                <w:highlight w:val="none"/>
                <w:lang w:val="zh-CN"/>
              </w:rPr>
              <w:t>COD、氨氮</w:t>
            </w:r>
            <w:r>
              <w:rPr>
                <w:rFonts w:hint="default" w:ascii="Times New Roman" w:hAnsi="Times New Roman" w:eastAsia="宋体" w:cs="Times New Roman"/>
                <w:snapToGrid w:val="0"/>
                <w:color w:val="auto"/>
                <w:sz w:val="21"/>
                <w:szCs w:val="21"/>
                <w:highlight w:val="none"/>
                <w:lang w:val="zh-CN"/>
              </w:rPr>
              <w:t>等</w:t>
            </w:r>
          </w:p>
        </w:tc>
      </w:tr>
    </w:tbl>
    <w:p w14:paraId="2BC35041">
      <w:pPr>
        <w:pStyle w:val="7"/>
        <w:bidi w:val="0"/>
        <w:rPr>
          <w:rFonts w:hint="default"/>
          <w:highlight w:val="none"/>
        </w:rPr>
      </w:pPr>
      <w:r>
        <w:rPr>
          <w:rFonts w:hint="default"/>
          <w:highlight w:val="none"/>
        </w:rPr>
        <w:t>2.2.2评价因子筛选</w:t>
      </w:r>
      <w:bookmarkEnd w:id="129"/>
      <w:bookmarkEnd w:id="130"/>
      <w:bookmarkEnd w:id="131"/>
      <w:bookmarkEnd w:id="132"/>
    </w:p>
    <w:p w14:paraId="365CC51A">
      <w:pPr>
        <w:spacing w:line="360" w:lineRule="auto"/>
        <w:ind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sz w:val="24"/>
          <w:highlight w:val="none"/>
        </w:rPr>
        <w:t>依据环境影响因素识别结果，结合本项目的场址选址、营运工艺特点、施工方面的因素及主要原辅材料用量、污染物排放强度、排放方式和排放去向，确定本项目各排污环节可能出现的主要污染因子见</w:t>
      </w:r>
      <w:r>
        <w:rPr>
          <w:rFonts w:hint="default" w:ascii="Times New Roman" w:hAnsi="Times New Roman" w:cs="Times New Roman"/>
          <w:color w:val="auto"/>
          <w:sz w:val="24"/>
          <w:highlight w:val="none"/>
          <w:lang w:val="en-US" w:eastAsia="zh-CN"/>
        </w:rPr>
        <w:t>下</w:t>
      </w:r>
      <w:r>
        <w:rPr>
          <w:rFonts w:hint="default" w:ascii="Times New Roman" w:hAnsi="Times New Roman" w:eastAsia="宋体" w:cs="Times New Roman"/>
          <w:color w:val="auto"/>
          <w:sz w:val="24"/>
          <w:highlight w:val="none"/>
        </w:rPr>
        <w:t>表。</w:t>
      </w:r>
    </w:p>
    <w:p w14:paraId="43CD6B00">
      <w:pPr>
        <w:widowControl w:val="0"/>
        <w:autoSpaceDE w:val="0"/>
        <w:autoSpaceDN w:val="0"/>
        <w:adjustRightInd w:val="0"/>
        <w:snapToGrid w:val="0"/>
        <w:jc w:val="center"/>
        <w:rPr>
          <w:rFonts w:hint="default" w:ascii="Times New Roman" w:hAnsi="Times New Roman" w:eastAsia="黑体" w:cs="Times New Roman"/>
          <w:bCs/>
          <w:kern w:val="2"/>
          <w:sz w:val="21"/>
          <w:highlight w:val="none"/>
          <w:lang w:val="en-US" w:eastAsia="zh-CN"/>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2-2  环境评价因子筛选一览表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279"/>
        <w:gridCol w:w="4468"/>
        <w:gridCol w:w="2775"/>
      </w:tblGrid>
      <w:tr w14:paraId="7AA5FE8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0DDE6A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bookmarkStart w:id="133" w:name="_Toc15991632"/>
            <w:bookmarkStart w:id="134" w:name="_Toc14931"/>
            <w:r>
              <w:rPr>
                <w:rFonts w:hint="default" w:ascii="Times New Roman" w:hAnsi="Times New Roman" w:eastAsia="宋体" w:cs="Times New Roman"/>
                <w:b/>
                <w:color w:val="auto"/>
                <w:sz w:val="21"/>
                <w:szCs w:val="21"/>
                <w:highlight w:val="none"/>
              </w:rPr>
              <w:t>环境要素</w:t>
            </w:r>
          </w:p>
        </w:tc>
        <w:tc>
          <w:tcPr>
            <w:tcW w:w="4468" w:type="dxa"/>
            <w:tcBorders>
              <w:tl2br w:val="nil"/>
              <w:tr2bl w:val="nil"/>
            </w:tcBorders>
            <w:noWrap w:val="0"/>
            <w:vAlign w:val="center"/>
          </w:tcPr>
          <w:p w14:paraId="51B3ED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环境现状评价因子</w:t>
            </w:r>
          </w:p>
        </w:tc>
        <w:tc>
          <w:tcPr>
            <w:tcW w:w="2775" w:type="dxa"/>
            <w:tcBorders>
              <w:tl2br w:val="nil"/>
              <w:tr2bl w:val="nil"/>
            </w:tcBorders>
            <w:noWrap w:val="0"/>
            <w:vAlign w:val="center"/>
          </w:tcPr>
          <w:p w14:paraId="642790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环境影响预测因子</w:t>
            </w:r>
          </w:p>
        </w:tc>
      </w:tr>
      <w:tr w14:paraId="20F698D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033F5E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大气环境</w:t>
            </w:r>
          </w:p>
        </w:tc>
        <w:tc>
          <w:tcPr>
            <w:tcW w:w="4468" w:type="dxa"/>
            <w:tcBorders>
              <w:tl2br w:val="nil"/>
              <w:tr2bl w:val="nil"/>
            </w:tcBorders>
            <w:noWrap w:val="0"/>
            <w:vAlign w:val="center"/>
          </w:tcPr>
          <w:p w14:paraId="007684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rPr>
            </w:pPr>
            <w:r>
              <w:rPr>
                <w:rFonts w:hint="default" w:ascii="Times New Roman" w:hAnsi="Times New Roman" w:eastAsia="宋体" w:cs="Times New Roman"/>
                <w:snapToGrid w:val="0"/>
                <w:color w:val="auto"/>
                <w:kern w:val="0"/>
                <w:sz w:val="21"/>
                <w:szCs w:val="21"/>
                <w:highlight w:val="none"/>
                <w:lang w:val="de-DE"/>
              </w:rPr>
              <w:t>SO</w:t>
            </w:r>
            <w:r>
              <w:rPr>
                <w:rFonts w:hint="default" w:ascii="Times New Roman" w:hAnsi="Times New Roman" w:eastAsia="宋体" w:cs="Times New Roman"/>
                <w:snapToGrid w:val="0"/>
                <w:color w:val="auto"/>
                <w:kern w:val="0"/>
                <w:sz w:val="21"/>
                <w:szCs w:val="21"/>
                <w:highlight w:val="none"/>
                <w:vertAlign w:val="subscript"/>
                <w:lang w:val="de-DE"/>
              </w:rPr>
              <w:t>2</w:t>
            </w:r>
            <w:r>
              <w:rPr>
                <w:rFonts w:hint="default" w:ascii="Times New Roman" w:hAnsi="Times New Roman" w:eastAsia="宋体" w:cs="Times New Roman"/>
                <w:snapToGrid w:val="0"/>
                <w:color w:val="auto"/>
                <w:kern w:val="0"/>
                <w:sz w:val="21"/>
                <w:szCs w:val="21"/>
                <w:highlight w:val="none"/>
                <w:lang w:val="de-DE"/>
              </w:rPr>
              <w:t>、NO</w:t>
            </w:r>
            <w:r>
              <w:rPr>
                <w:rFonts w:hint="default" w:ascii="Times New Roman" w:hAnsi="Times New Roman" w:eastAsia="宋体" w:cs="Times New Roman"/>
                <w:snapToGrid w:val="0"/>
                <w:color w:val="auto"/>
                <w:kern w:val="0"/>
                <w:sz w:val="21"/>
                <w:szCs w:val="21"/>
                <w:highlight w:val="none"/>
                <w:vertAlign w:val="subscript"/>
                <w:lang w:val="de-DE"/>
              </w:rPr>
              <w:t>2</w:t>
            </w:r>
            <w:r>
              <w:rPr>
                <w:rFonts w:hint="default" w:ascii="Times New Roman" w:hAnsi="Times New Roman" w:eastAsia="宋体" w:cs="Times New Roman"/>
                <w:snapToGrid w:val="0"/>
                <w:color w:val="auto"/>
                <w:kern w:val="0"/>
                <w:sz w:val="21"/>
                <w:szCs w:val="21"/>
                <w:highlight w:val="none"/>
                <w:lang w:val="de-DE"/>
              </w:rPr>
              <w:t>、CO、</w:t>
            </w:r>
            <w:r>
              <w:rPr>
                <w:rFonts w:hint="default" w:ascii="Times New Roman" w:hAnsi="Times New Roman" w:eastAsia="宋体" w:cs="Times New Roman"/>
                <w:snapToGrid w:val="0"/>
                <w:color w:val="auto"/>
                <w:kern w:val="0"/>
                <w:sz w:val="21"/>
                <w:szCs w:val="21"/>
                <w:highlight w:val="none"/>
              </w:rPr>
              <w:t>O</w:t>
            </w:r>
            <w:r>
              <w:rPr>
                <w:rFonts w:hint="default" w:ascii="Times New Roman" w:hAnsi="Times New Roman" w:eastAsia="宋体" w:cs="Times New Roman"/>
                <w:snapToGrid w:val="0"/>
                <w:color w:val="auto"/>
                <w:kern w:val="0"/>
                <w:sz w:val="21"/>
                <w:szCs w:val="21"/>
                <w:highlight w:val="none"/>
                <w:vertAlign w:val="subscript"/>
              </w:rPr>
              <w:t>3</w:t>
            </w:r>
            <w:r>
              <w:rPr>
                <w:rFonts w:hint="default" w:ascii="Times New Roman" w:hAnsi="Times New Roman" w:eastAsia="宋体" w:cs="Times New Roman"/>
                <w:snapToGrid w:val="0"/>
                <w:color w:val="auto"/>
                <w:kern w:val="0"/>
                <w:sz w:val="21"/>
                <w:szCs w:val="21"/>
                <w:highlight w:val="none"/>
                <w:lang w:val="de-DE"/>
              </w:rPr>
              <w:t>、PM</w:t>
            </w:r>
            <w:r>
              <w:rPr>
                <w:rFonts w:hint="default" w:ascii="Times New Roman" w:hAnsi="Times New Roman" w:eastAsia="宋体" w:cs="Times New Roman"/>
                <w:snapToGrid w:val="0"/>
                <w:color w:val="auto"/>
                <w:kern w:val="0"/>
                <w:sz w:val="21"/>
                <w:szCs w:val="21"/>
                <w:highlight w:val="none"/>
                <w:vertAlign w:val="subscript"/>
                <w:lang w:val="de-DE"/>
              </w:rPr>
              <w:t>10</w:t>
            </w:r>
            <w:r>
              <w:rPr>
                <w:rFonts w:hint="default" w:ascii="Times New Roman" w:hAnsi="Times New Roman" w:eastAsia="宋体" w:cs="Times New Roman"/>
                <w:snapToGrid w:val="0"/>
                <w:color w:val="auto"/>
                <w:kern w:val="0"/>
                <w:sz w:val="21"/>
                <w:szCs w:val="21"/>
                <w:highlight w:val="none"/>
                <w:lang w:val="de-DE"/>
              </w:rPr>
              <w:t>、PM</w:t>
            </w:r>
            <w:r>
              <w:rPr>
                <w:rFonts w:hint="default" w:ascii="Times New Roman" w:hAnsi="Times New Roman" w:eastAsia="宋体" w:cs="Times New Roman"/>
                <w:snapToGrid w:val="0"/>
                <w:color w:val="auto"/>
                <w:kern w:val="0"/>
                <w:sz w:val="21"/>
                <w:szCs w:val="21"/>
                <w:highlight w:val="none"/>
                <w:vertAlign w:val="subscript"/>
                <w:lang w:val="de-DE"/>
              </w:rPr>
              <w:t>2.5</w:t>
            </w:r>
            <w:r>
              <w:rPr>
                <w:rFonts w:hint="default" w:ascii="Times New Roman" w:hAnsi="Times New Roman" w:eastAsia="宋体" w:cs="Times New Roman"/>
                <w:snapToGrid w:val="0"/>
                <w:color w:val="auto"/>
                <w:kern w:val="0"/>
                <w:sz w:val="21"/>
                <w:szCs w:val="21"/>
                <w:highlight w:val="none"/>
                <w:lang w:val="de-DE"/>
              </w:rPr>
              <w:t>、H</w:t>
            </w:r>
            <w:r>
              <w:rPr>
                <w:rFonts w:hint="default" w:ascii="Times New Roman" w:hAnsi="Times New Roman" w:eastAsia="宋体" w:cs="Times New Roman"/>
                <w:snapToGrid w:val="0"/>
                <w:color w:val="auto"/>
                <w:kern w:val="0"/>
                <w:sz w:val="21"/>
                <w:szCs w:val="21"/>
                <w:highlight w:val="none"/>
                <w:vertAlign w:val="subscript"/>
                <w:lang w:val="de-DE"/>
              </w:rPr>
              <w:t>2</w:t>
            </w:r>
            <w:r>
              <w:rPr>
                <w:rFonts w:hint="default" w:ascii="Times New Roman" w:hAnsi="Times New Roman" w:eastAsia="宋体" w:cs="Times New Roman"/>
                <w:snapToGrid w:val="0"/>
                <w:color w:val="auto"/>
                <w:kern w:val="0"/>
                <w:sz w:val="21"/>
                <w:szCs w:val="21"/>
                <w:highlight w:val="none"/>
                <w:lang w:val="de-DE"/>
              </w:rPr>
              <w:t>S、NH</w:t>
            </w:r>
            <w:r>
              <w:rPr>
                <w:rFonts w:hint="default" w:ascii="Times New Roman" w:hAnsi="Times New Roman" w:eastAsia="宋体" w:cs="Times New Roman"/>
                <w:snapToGrid w:val="0"/>
                <w:color w:val="auto"/>
                <w:kern w:val="0"/>
                <w:sz w:val="21"/>
                <w:szCs w:val="21"/>
                <w:highlight w:val="none"/>
                <w:vertAlign w:val="subscript"/>
                <w:lang w:val="de-DE"/>
              </w:rPr>
              <w:t>3</w:t>
            </w:r>
            <w:r>
              <w:rPr>
                <w:rFonts w:hint="default" w:ascii="Times New Roman" w:hAnsi="Times New Roman" w:eastAsia="宋体" w:cs="Times New Roman"/>
                <w:snapToGrid w:val="0"/>
                <w:color w:val="auto"/>
                <w:kern w:val="0"/>
                <w:sz w:val="21"/>
                <w:szCs w:val="21"/>
                <w:highlight w:val="none"/>
                <w:vertAlign w:val="baseline"/>
                <w:lang w:val="de-DE" w:eastAsia="zh-CN"/>
              </w:rPr>
              <w:t>、</w:t>
            </w:r>
            <w:r>
              <w:rPr>
                <w:rFonts w:hint="default" w:ascii="Times New Roman" w:hAnsi="Times New Roman" w:eastAsia="宋体" w:cs="Times New Roman"/>
                <w:snapToGrid w:val="0"/>
                <w:color w:val="auto"/>
                <w:kern w:val="0"/>
                <w:sz w:val="21"/>
                <w:szCs w:val="21"/>
                <w:highlight w:val="none"/>
                <w:vertAlign w:val="baseline"/>
                <w:lang w:val="en-US" w:eastAsia="zh-CN"/>
              </w:rPr>
              <w:t>臭气浓度、TSP</w:t>
            </w:r>
          </w:p>
        </w:tc>
        <w:tc>
          <w:tcPr>
            <w:tcW w:w="2775" w:type="dxa"/>
            <w:tcBorders>
              <w:tl2br w:val="nil"/>
              <w:tr2bl w:val="nil"/>
            </w:tcBorders>
            <w:noWrap w:val="0"/>
            <w:vAlign w:val="center"/>
          </w:tcPr>
          <w:p w14:paraId="202EB3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cs="Times New Roman"/>
                <w:color w:val="auto"/>
                <w:position w:val="2"/>
                <w:sz w:val="21"/>
                <w:szCs w:val="21"/>
                <w:highlight w:val="none"/>
              </w:rPr>
              <w:t>SO</w:t>
            </w:r>
            <w:r>
              <w:rPr>
                <w:rFonts w:hint="default" w:ascii="Times New Roman" w:hAnsi="Times New Roman" w:cs="Times New Roman"/>
                <w:color w:val="auto"/>
                <w:position w:val="2"/>
                <w:sz w:val="21"/>
                <w:szCs w:val="21"/>
                <w:highlight w:val="none"/>
                <w:vertAlign w:val="subscript"/>
              </w:rPr>
              <w:t>2</w:t>
            </w:r>
            <w:r>
              <w:rPr>
                <w:rFonts w:hint="default" w:ascii="Times New Roman" w:hAnsi="Times New Roman" w:cs="Times New Roman"/>
                <w:color w:val="auto"/>
                <w:position w:val="2"/>
                <w:sz w:val="21"/>
                <w:szCs w:val="21"/>
                <w:highlight w:val="none"/>
              </w:rPr>
              <w:t>、NO</w:t>
            </w:r>
            <w:r>
              <w:rPr>
                <w:rFonts w:hint="default" w:ascii="Times New Roman" w:hAnsi="Times New Roman" w:cs="Times New Roman"/>
                <w:color w:val="auto"/>
                <w:position w:val="2"/>
                <w:sz w:val="21"/>
                <w:szCs w:val="21"/>
                <w:highlight w:val="none"/>
                <w:vertAlign w:val="subscript"/>
              </w:rPr>
              <w:t>2</w:t>
            </w:r>
            <w:r>
              <w:rPr>
                <w:rFonts w:hint="default" w:ascii="Times New Roman" w:hAnsi="Times New Roman" w:cs="Times New Roman"/>
                <w:color w:val="auto"/>
                <w:position w:val="2"/>
                <w:sz w:val="21"/>
                <w:szCs w:val="21"/>
                <w:highlight w:val="none"/>
              </w:rPr>
              <w:t>、</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、臭气浓度、</w:t>
            </w:r>
            <w:r>
              <w:rPr>
                <w:rFonts w:hint="default" w:ascii="Times New Roman" w:hAnsi="Times New Roman" w:cs="Times New Roman"/>
                <w:snapToGrid w:val="0"/>
                <w:color w:val="auto"/>
                <w:sz w:val="21"/>
                <w:szCs w:val="21"/>
                <w:highlight w:val="none"/>
                <w:lang w:val="en-US" w:eastAsia="zh-CN"/>
              </w:rPr>
              <w:t>颗粒物</w:t>
            </w:r>
          </w:p>
        </w:tc>
      </w:tr>
      <w:tr w14:paraId="67197D5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19B05E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地表水环境</w:t>
            </w:r>
          </w:p>
        </w:tc>
        <w:tc>
          <w:tcPr>
            <w:tcW w:w="4468" w:type="dxa"/>
            <w:tcBorders>
              <w:tl2br w:val="nil"/>
              <w:tr2bl w:val="nil"/>
            </w:tcBorders>
            <w:noWrap w:val="0"/>
            <w:vAlign w:val="center"/>
          </w:tcPr>
          <w:p w14:paraId="3856A2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color w:val="auto"/>
                <w:sz w:val="21"/>
                <w:szCs w:val="21"/>
                <w:highlight w:val="none"/>
              </w:rPr>
              <w:t>pH、溶解氧、高锰酸盐指数、COD、BOD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、氨氮、总磷、总氮、粪大肠菌群、悬浮物</w:t>
            </w:r>
          </w:p>
        </w:tc>
        <w:tc>
          <w:tcPr>
            <w:tcW w:w="2775" w:type="dxa"/>
            <w:tcBorders>
              <w:tl2br w:val="nil"/>
              <w:tr2bl w:val="nil"/>
            </w:tcBorders>
            <w:noWrap w:val="0"/>
            <w:vAlign w:val="center"/>
          </w:tcPr>
          <w:p w14:paraId="7FD5BF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4"/>
                <w:kern w:val="0"/>
                <w:sz w:val="21"/>
                <w:szCs w:val="21"/>
                <w:highlight w:val="none"/>
              </w:rPr>
            </w:pPr>
            <w:r>
              <w:rPr>
                <w:rFonts w:hint="default" w:ascii="Times New Roman" w:hAnsi="Times New Roman" w:cs="Times New Roman"/>
                <w:color w:val="auto"/>
                <w:sz w:val="21"/>
                <w:szCs w:val="21"/>
                <w:highlight w:val="none"/>
                <w:lang w:val="en-US" w:eastAsia="zh-CN"/>
              </w:rPr>
              <w:t>/</w:t>
            </w:r>
          </w:p>
        </w:tc>
      </w:tr>
      <w:tr w14:paraId="0284A54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2ECD36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地下水环境</w:t>
            </w:r>
          </w:p>
        </w:tc>
        <w:tc>
          <w:tcPr>
            <w:tcW w:w="4468" w:type="dxa"/>
            <w:tcBorders>
              <w:tl2br w:val="nil"/>
              <w:tr2bl w:val="nil"/>
            </w:tcBorders>
            <w:noWrap w:val="0"/>
            <w:vAlign w:val="center"/>
          </w:tcPr>
          <w:p w14:paraId="6B5286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、Ca</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、HCO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、pH、氨氮、硝酸盐氮、亚硝酸盐氮、挥发酚、氰化物、砷、汞、铬（六价）、总硬度、铅、氟化物、镉、铁、锰、溶解性总固体、耗氧量、硫酸盐（SO</w:t>
            </w:r>
            <w:r>
              <w:rPr>
                <w:rFonts w:hint="default" w:ascii="Times New Roman" w:hAnsi="Times New Roman" w:eastAsia="宋体" w:cs="Times New Roman"/>
                <w:color w:val="auto"/>
                <w:sz w:val="21"/>
                <w:szCs w:val="21"/>
                <w:highlight w:val="none"/>
                <w:vertAlign w:val="subscript"/>
              </w:rPr>
              <w:t>4</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）、氯化物（Cl</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）、总大肠菌群、菌落总数</w:t>
            </w:r>
          </w:p>
        </w:tc>
        <w:tc>
          <w:tcPr>
            <w:tcW w:w="2775" w:type="dxa"/>
            <w:tcBorders>
              <w:tl2br w:val="nil"/>
              <w:tr2bl w:val="nil"/>
            </w:tcBorders>
            <w:noWrap w:val="0"/>
            <w:vAlign w:val="center"/>
          </w:tcPr>
          <w:p w14:paraId="68400C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pacing w:val="-4"/>
                <w:kern w:val="0"/>
                <w:sz w:val="21"/>
                <w:szCs w:val="21"/>
                <w:highlight w:val="none"/>
              </w:rPr>
              <w:t>COD</w:t>
            </w:r>
            <w:r>
              <w:rPr>
                <w:rFonts w:hint="default" w:ascii="Times New Roman" w:hAnsi="Times New Roman" w:eastAsia="宋体" w:cs="Times New Roman"/>
                <w:color w:val="auto"/>
                <w:sz w:val="21"/>
                <w:szCs w:val="21"/>
                <w:highlight w:val="none"/>
              </w:rPr>
              <w:t>、氨氮</w:t>
            </w:r>
          </w:p>
        </w:tc>
      </w:tr>
      <w:tr w14:paraId="68B0DFD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017FAC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声环境</w:t>
            </w:r>
          </w:p>
        </w:tc>
        <w:tc>
          <w:tcPr>
            <w:tcW w:w="4468" w:type="dxa"/>
            <w:tcBorders>
              <w:tl2br w:val="nil"/>
              <w:tr2bl w:val="nil"/>
            </w:tcBorders>
            <w:noWrap w:val="0"/>
            <w:vAlign w:val="center"/>
          </w:tcPr>
          <w:p w14:paraId="41B615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snapToGrid w:val="0"/>
                <w:color w:val="auto"/>
                <w:kern w:val="0"/>
                <w:sz w:val="21"/>
                <w:szCs w:val="21"/>
                <w:highlight w:val="none"/>
              </w:rPr>
              <w:t>等效连续A声级Leq（A）</w:t>
            </w:r>
          </w:p>
        </w:tc>
        <w:tc>
          <w:tcPr>
            <w:tcW w:w="2775" w:type="dxa"/>
            <w:tcBorders>
              <w:tl2br w:val="nil"/>
              <w:tr2bl w:val="nil"/>
            </w:tcBorders>
            <w:noWrap w:val="0"/>
            <w:vAlign w:val="center"/>
          </w:tcPr>
          <w:p w14:paraId="7603BB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等效连续A声级Leq（A）</w:t>
            </w:r>
          </w:p>
        </w:tc>
      </w:tr>
      <w:tr w14:paraId="33C0688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3DAA14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固体废物</w:t>
            </w:r>
          </w:p>
        </w:tc>
        <w:tc>
          <w:tcPr>
            <w:tcW w:w="4468" w:type="dxa"/>
            <w:tcBorders>
              <w:tl2br w:val="nil"/>
              <w:tr2bl w:val="nil"/>
            </w:tcBorders>
            <w:noWrap w:val="0"/>
            <w:vAlign w:val="center"/>
          </w:tcPr>
          <w:p w14:paraId="45EB0F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75" w:type="dxa"/>
            <w:tcBorders>
              <w:tl2br w:val="nil"/>
              <w:tr2bl w:val="nil"/>
            </w:tcBorders>
            <w:noWrap w:val="0"/>
            <w:vAlign w:val="center"/>
          </w:tcPr>
          <w:p w14:paraId="171DEE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病死猪、胎盘、粪便、生活垃圾</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脱硫剂、</w:t>
            </w:r>
            <w:r>
              <w:rPr>
                <w:rFonts w:hint="eastAsia" w:ascii="Times New Roman" w:hAnsi="Times New Roman" w:cs="Times New Roman"/>
                <w:color w:val="auto"/>
                <w:sz w:val="21"/>
                <w:szCs w:val="21"/>
                <w:highlight w:val="none"/>
                <w:lang w:val="en-US" w:eastAsia="zh-CN"/>
              </w:rPr>
              <w:t>动物医疗废物</w:t>
            </w:r>
            <w:r>
              <w:rPr>
                <w:rFonts w:hint="default" w:ascii="Times New Roman" w:hAnsi="Times New Roman" w:eastAsia="宋体" w:cs="Times New Roman"/>
                <w:color w:val="auto"/>
                <w:sz w:val="21"/>
                <w:szCs w:val="21"/>
                <w:highlight w:val="none"/>
                <w:lang w:val="en-US" w:eastAsia="zh-CN"/>
              </w:rPr>
              <w:t>、沼渣、</w:t>
            </w:r>
            <w:r>
              <w:rPr>
                <w:rFonts w:hint="eastAsia" w:ascii="Times New Roman" w:hAnsi="Times New Roman" w:cs="Times New Roman"/>
                <w:color w:val="auto"/>
                <w:sz w:val="21"/>
                <w:szCs w:val="21"/>
                <w:highlight w:val="none"/>
                <w:lang w:val="en-US" w:eastAsia="zh-CN"/>
              </w:rPr>
              <w:t>干粪</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snapToGrid w:val="0"/>
                <w:color w:val="auto"/>
                <w:sz w:val="21"/>
                <w:szCs w:val="21"/>
                <w:highlight w:val="none"/>
                <w:lang w:val="en-US" w:eastAsia="zh-CN"/>
              </w:rPr>
              <w:t>废除臭剂桶</w:t>
            </w:r>
            <w:r>
              <w:rPr>
                <w:rFonts w:hint="default" w:ascii="Times New Roman" w:hAnsi="Times New Roman" w:eastAsia="宋体" w:cs="Times New Roman"/>
                <w:color w:val="auto"/>
                <w:sz w:val="21"/>
                <w:szCs w:val="21"/>
                <w:highlight w:val="none"/>
                <w:lang w:val="en-US" w:eastAsia="zh-CN"/>
              </w:rPr>
              <w:t>等</w:t>
            </w:r>
          </w:p>
        </w:tc>
      </w:tr>
      <w:tr w14:paraId="787ADEE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281" w:hRule="atLeast"/>
          <w:jc w:val="center"/>
        </w:trPr>
        <w:tc>
          <w:tcPr>
            <w:tcW w:w="1279" w:type="dxa"/>
            <w:tcBorders>
              <w:tl2br w:val="nil"/>
              <w:tr2bl w:val="nil"/>
            </w:tcBorders>
            <w:noWrap w:val="0"/>
            <w:vAlign w:val="center"/>
          </w:tcPr>
          <w:p w14:paraId="50E9DD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土壤环境</w:t>
            </w:r>
          </w:p>
        </w:tc>
        <w:tc>
          <w:tcPr>
            <w:tcW w:w="4468" w:type="dxa"/>
            <w:tcBorders>
              <w:tl2br w:val="nil"/>
              <w:tr2bl w:val="nil"/>
            </w:tcBorders>
            <w:noWrap w:val="0"/>
            <w:vAlign w:val="center"/>
          </w:tcPr>
          <w:p w14:paraId="14F2E5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p w14:paraId="5AFE2A8C">
            <w:pPr>
              <w:pStyle w:val="2"/>
              <w:rPr>
                <w:rFonts w:hint="default"/>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镉</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zh-CN" w:eastAsia="zh-CN" w:bidi="ar-SA"/>
              </w:rPr>
              <w:t>汞</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砷</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铅</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铬</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铜</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镍</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锌</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六六六总量</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滴滴涕总量</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苯并[a]芘</w:t>
            </w:r>
            <w:r>
              <w:rPr>
                <w:rFonts w:hint="eastAsia" w:ascii="Times New Roman" w:hAnsi="Times New Roman" w:eastAsia="宋体" w:cs="Times New Roman"/>
                <w:color w:val="auto"/>
                <w:kern w:val="0"/>
                <w:sz w:val="21"/>
                <w:szCs w:val="21"/>
                <w:highlight w:val="none"/>
                <w:lang w:val="zh-CN" w:eastAsia="zh-CN" w:bidi="ar-SA"/>
              </w:rPr>
              <w:t>。</w:t>
            </w:r>
          </w:p>
        </w:tc>
        <w:tc>
          <w:tcPr>
            <w:tcW w:w="2775" w:type="dxa"/>
            <w:tcBorders>
              <w:tl2br w:val="nil"/>
              <w:tr2bl w:val="nil"/>
            </w:tcBorders>
            <w:noWrap w:val="0"/>
            <w:vAlign w:val="center"/>
          </w:tcPr>
          <w:p w14:paraId="13FD02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cs="Times New Roman"/>
                <w:color w:val="auto"/>
                <w:sz w:val="21"/>
                <w:szCs w:val="21"/>
                <w:highlight w:val="none"/>
                <w:lang w:val="en-US" w:eastAsia="zh-CN"/>
              </w:rPr>
              <w:t>/</w:t>
            </w:r>
          </w:p>
        </w:tc>
      </w:tr>
      <w:tr w14:paraId="4A3A073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2EFD27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环境风险</w:t>
            </w:r>
          </w:p>
        </w:tc>
        <w:tc>
          <w:tcPr>
            <w:tcW w:w="4468" w:type="dxa"/>
            <w:tcBorders>
              <w:tl2br w:val="nil"/>
              <w:tr2bl w:val="nil"/>
            </w:tcBorders>
            <w:noWrap w:val="0"/>
            <w:vAlign w:val="center"/>
          </w:tcPr>
          <w:p w14:paraId="2BBB41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775" w:type="dxa"/>
            <w:tcBorders>
              <w:tl2br w:val="nil"/>
              <w:tr2bl w:val="nil"/>
            </w:tcBorders>
            <w:noWrap w:val="0"/>
            <w:vAlign w:val="center"/>
          </w:tcPr>
          <w:p w14:paraId="24082E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eastAsia="zh-CN"/>
              </w:rPr>
            </w:pPr>
            <w:r>
              <w:rPr>
                <w:rFonts w:hint="default" w:ascii="Times New Roman" w:hAnsi="Times New Roman" w:cs="Times New Roman"/>
                <w:color w:val="auto"/>
                <w:kern w:val="2"/>
                <w:sz w:val="21"/>
                <w:szCs w:val="21"/>
                <w:highlight w:val="none"/>
                <w:lang w:eastAsia="zh-CN"/>
              </w:rPr>
              <w:t>黑膜厌氧池</w:t>
            </w:r>
            <w:r>
              <w:rPr>
                <w:rFonts w:hint="default" w:ascii="Times New Roman" w:hAnsi="Times New Roman" w:eastAsia="宋体" w:cs="Times New Roman"/>
                <w:snapToGrid w:val="0"/>
                <w:color w:val="auto"/>
                <w:kern w:val="0"/>
                <w:sz w:val="21"/>
                <w:szCs w:val="21"/>
                <w:highlight w:val="none"/>
              </w:rPr>
              <w:t>沼气泄漏以及火灾、爆炸等引发的伴生/次生污染物排放</w:t>
            </w:r>
            <w:r>
              <w:rPr>
                <w:rFonts w:hint="default" w:ascii="Times New Roman" w:hAnsi="Times New Roman" w:cs="Times New Roman"/>
                <w:snapToGrid w:val="0"/>
                <w:color w:val="auto"/>
                <w:kern w:val="0"/>
                <w:sz w:val="21"/>
                <w:szCs w:val="21"/>
                <w:highlight w:val="none"/>
                <w:lang w:eastAsia="zh-CN"/>
              </w:rPr>
              <w:t>。</w:t>
            </w:r>
          </w:p>
        </w:tc>
      </w:tr>
    </w:tbl>
    <w:p w14:paraId="2CB95ECF">
      <w:pPr>
        <w:widowControl w:val="0"/>
        <w:autoSpaceDE w:val="0"/>
        <w:autoSpaceDN w:val="0"/>
        <w:adjustRightInd w:val="0"/>
        <w:snapToGrid w:val="0"/>
        <w:jc w:val="center"/>
        <w:rPr>
          <w:rFonts w:hint="default" w:ascii="Times New Roman" w:hAnsi="Times New Roman" w:eastAsia="黑体" w:cs="Times New Roman"/>
          <w:bCs/>
          <w:kern w:val="2"/>
          <w:sz w:val="21"/>
          <w:highlight w:val="none"/>
          <w:lang w:val="en-US" w:eastAsia="zh-CN"/>
        </w:rPr>
      </w:pPr>
      <w:bookmarkStart w:id="135" w:name="_Toc32471"/>
      <w:bookmarkStart w:id="136" w:name="_Toc27409"/>
      <w:bookmarkStart w:id="137" w:name="_Toc21353"/>
      <w:bookmarkStart w:id="138" w:name="_Toc1528"/>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2-3 生态环境评价因子筛选一览表</w:t>
      </w:r>
    </w:p>
    <w:tbl>
      <w:tblPr>
        <w:tblStyle w:val="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6"/>
        <w:gridCol w:w="1759"/>
        <w:gridCol w:w="2332"/>
        <w:gridCol w:w="1868"/>
        <w:gridCol w:w="1063"/>
      </w:tblGrid>
      <w:tr w14:paraId="21A4F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76" w:type="dxa"/>
            <w:tcBorders>
              <w:tl2br w:val="nil"/>
              <w:tr2bl w:val="nil"/>
            </w:tcBorders>
            <w:vAlign w:val="center"/>
          </w:tcPr>
          <w:p w14:paraId="7B22DBD6">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受影响对象</w:t>
            </w:r>
          </w:p>
        </w:tc>
        <w:tc>
          <w:tcPr>
            <w:tcW w:w="1759" w:type="dxa"/>
            <w:tcBorders>
              <w:tl2br w:val="nil"/>
              <w:tr2bl w:val="nil"/>
            </w:tcBorders>
            <w:vAlign w:val="center"/>
          </w:tcPr>
          <w:p w14:paraId="553671F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评价因子</w:t>
            </w:r>
          </w:p>
        </w:tc>
        <w:tc>
          <w:tcPr>
            <w:tcW w:w="2332" w:type="dxa"/>
            <w:tcBorders>
              <w:tl2br w:val="nil"/>
              <w:tr2bl w:val="nil"/>
            </w:tcBorders>
            <w:vAlign w:val="center"/>
          </w:tcPr>
          <w:p w14:paraId="129C5590">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工程内容及影响方式</w:t>
            </w:r>
          </w:p>
        </w:tc>
        <w:tc>
          <w:tcPr>
            <w:tcW w:w="1868" w:type="dxa"/>
            <w:tcBorders>
              <w:tl2br w:val="nil"/>
              <w:tr2bl w:val="nil"/>
            </w:tcBorders>
            <w:vAlign w:val="center"/>
          </w:tcPr>
          <w:p w14:paraId="6659018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影响性质</w:t>
            </w:r>
          </w:p>
        </w:tc>
        <w:tc>
          <w:tcPr>
            <w:tcW w:w="1063" w:type="dxa"/>
            <w:tcBorders>
              <w:tl2br w:val="nil"/>
              <w:tr2bl w:val="nil"/>
            </w:tcBorders>
            <w:vAlign w:val="center"/>
          </w:tcPr>
          <w:p w14:paraId="63BA581E">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影响程度</w:t>
            </w:r>
          </w:p>
        </w:tc>
      </w:tr>
      <w:tr w14:paraId="39201D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376" w:type="dxa"/>
            <w:vMerge w:val="restart"/>
            <w:tcBorders>
              <w:tl2br w:val="nil"/>
              <w:tr2bl w:val="nil"/>
            </w:tcBorders>
            <w:vAlign w:val="center"/>
          </w:tcPr>
          <w:p w14:paraId="2CC7C014">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物种</w:t>
            </w:r>
          </w:p>
        </w:tc>
        <w:tc>
          <w:tcPr>
            <w:tcW w:w="1759" w:type="dxa"/>
            <w:vMerge w:val="restart"/>
            <w:tcBorders>
              <w:tl2br w:val="nil"/>
              <w:tr2bl w:val="nil"/>
            </w:tcBorders>
            <w:vAlign w:val="center"/>
          </w:tcPr>
          <w:p w14:paraId="622B322A">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分布范围、种群数量、种群结构、行为等</w:t>
            </w:r>
          </w:p>
        </w:tc>
        <w:tc>
          <w:tcPr>
            <w:tcW w:w="2332" w:type="dxa"/>
            <w:tcBorders>
              <w:tl2br w:val="nil"/>
              <w:tr2bl w:val="nil"/>
            </w:tcBorders>
            <w:vAlign w:val="center"/>
          </w:tcPr>
          <w:p w14:paraId="4493058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施工期噪声、施工活动直接生态影响</w:t>
            </w:r>
          </w:p>
        </w:tc>
        <w:tc>
          <w:tcPr>
            <w:tcW w:w="1868" w:type="dxa"/>
            <w:tcBorders>
              <w:tl2br w:val="nil"/>
              <w:tr2bl w:val="nil"/>
            </w:tcBorders>
            <w:vAlign w:val="center"/>
          </w:tcPr>
          <w:p w14:paraId="137D828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短期、可逆影响</w:t>
            </w:r>
          </w:p>
        </w:tc>
        <w:tc>
          <w:tcPr>
            <w:tcW w:w="1063" w:type="dxa"/>
            <w:tcBorders>
              <w:tl2br w:val="nil"/>
              <w:tr2bl w:val="nil"/>
            </w:tcBorders>
            <w:vAlign w:val="center"/>
          </w:tcPr>
          <w:p w14:paraId="40348F80">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r w14:paraId="17ECF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376" w:type="dxa"/>
            <w:vMerge w:val="continue"/>
            <w:tcBorders>
              <w:tl2br w:val="nil"/>
              <w:tr2bl w:val="nil"/>
            </w:tcBorders>
            <w:vAlign w:val="center"/>
          </w:tcPr>
          <w:p w14:paraId="18F9DA55">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1759" w:type="dxa"/>
            <w:vMerge w:val="continue"/>
            <w:tcBorders>
              <w:tl2br w:val="nil"/>
              <w:tr2bl w:val="nil"/>
            </w:tcBorders>
            <w:vAlign w:val="center"/>
          </w:tcPr>
          <w:p w14:paraId="5982662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2332" w:type="dxa"/>
            <w:tcBorders>
              <w:tl2br w:val="nil"/>
              <w:tr2bl w:val="nil"/>
            </w:tcBorders>
            <w:vAlign w:val="center"/>
          </w:tcPr>
          <w:p w14:paraId="68191C5F">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运营期永久占地直接生态影响</w:t>
            </w:r>
          </w:p>
        </w:tc>
        <w:tc>
          <w:tcPr>
            <w:tcW w:w="1868" w:type="dxa"/>
            <w:tcBorders>
              <w:tl2br w:val="nil"/>
              <w:tr2bl w:val="nil"/>
            </w:tcBorders>
            <w:vAlign w:val="center"/>
          </w:tcPr>
          <w:p w14:paraId="5F7EEE9B">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长期、不可逆影响</w:t>
            </w:r>
          </w:p>
        </w:tc>
        <w:tc>
          <w:tcPr>
            <w:tcW w:w="1063" w:type="dxa"/>
            <w:tcBorders>
              <w:tl2br w:val="nil"/>
              <w:tr2bl w:val="nil"/>
            </w:tcBorders>
            <w:vAlign w:val="center"/>
          </w:tcPr>
          <w:p w14:paraId="62EC2DB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r w14:paraId="7EA68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376" w:type="dxa"/>
            <w:vMerge w:val="restart"/>
            <w:tcBorders>
              <w:tl2br w:val="nil"/>
              <w:tr2bl w:val="nil"/>
            </w:tcBorders>
            <w:vAlign w:val="center"/>
          </w:tcPr>
          <w:p w14:paraId="185127EE">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生态系统</w:t>
            </w:r>
          </w:p>
        </w:tc>
        <w:tc>
          <w:tcPr>
            <w:tcW w:w="1759" w:type="dxa"/>
            <w:vMerge w:val="restart"/>
            <w:tcBorders>
              <w:tl2br w:val="nil"/>
              <w:tr2bl w:val="nil"/>
            </w:tcBorders>
            <w:vAlign w:val="center"/>
          </w:tcPr>
          <w:p w14:paraId="5CB1388B">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植被覆盖度、生产力、生物量、生态系统功能等</w:t>
            </w:r>
          </w:p>
        </w:tc>
        <w:tc>
          <w:tcPr>
            <w:tcW w:w="2332" w:type="dxa"/>
            <w:tcBorders>
              <w:tl2br w:val="nil"/>
              <w:tr2bl w:val="nil"/>
            </w:tcBorders>
            <w:vAlign w:val="center"/>
          </w:tcPr>
          <w:p w14:paraId="2AB9BC0D">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施工期施工活动</w:t>
            </w:r>
          </w:p>
          <w:p w14:paraId="5E1CDFE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直接生态影响</w:t>
            </w:r>
          </w:p>
        </w:tc>
        <w:tc>
          <w:tcPr>
            <w:tcW w:w="1868" w:type="dxa"/>
            <w:tcBorders>
              <w:tl2br w:val="nil"/>
              <w:tr2bl w:val="nil"/>
            </w:tcBorders>
            <w:vAlign w:val="center"/>
          </w:tcPr>
          <w:p w14:paraId="71C562CA">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短期、可逆影响</w:t>
            </w:r>
          </w:p>
        </w:tc>
        <w:tc>
          <w:tcPr>
            <w:tcW w:w="1063" w:type="dxa"/>
            <w:tcBorders>
              <w:tl2br w:val="nil"/>
              <w:tr2bl w:val="nil"/>
            </w:tcBorders>
            <w:vAlign w:val="center"/>
          </w:tcPr>
          <w:p w14:paraId="6F64C907">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r w14:paraId="4C969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376" w:type="dxa"/>
            <w:vMerge w:val="continue"/>
            <w:tcBorders>
              <w:tl2br w:val="nil"/>
              <w:tr2bl w:val="nil"/>
            </w:tcBorders>
            <w:vAlign w:val="center"/>
          </w:tcPr>
          <w:p w14:paraId="67E6A9D0">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1759" w:type="dxa"/>
            <w:vMerge w:val="continue"/>
            <w:tcBorders>
              <w:tl2br w:val="nil"/>
              <w:tr2bl w:val="nil"/>
            </w:tcBorders>
            <w:vAlign w:val="center"/>
          </w:tcPr>
          <w:p w14:paraId="6B158EDE">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2332" w:type="dxa"/>
            <w:tcBorders>
              <w:tl2br w:val="nil"/>
              <w:tr2bl w:val="nil"/>
            </w:tcBorders>
            <w:vAlign w:val="center"/>
          </w:tcPr>
          <w:p w14:paraId="441E56F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运营期永久占地直接生态影响</w:t>
            </w:r>
          </w:p>
        </w:tc>
        <w:tc>
          <w:tcPr>
            <w:tcW w:w="1868" w:type="dxa"/>
            <w:tcBorders>
              <w:tl2br w:val="nil"/>
              <w:tr2bl w:val="nil"/>
            </w:tcBorders>
            <w:vAlign w:val="center"/>
          </w:tcPr>
          <w:p w14:paraId="71305F0D">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长期、不可逆影响</w:t>
            </w:r>
          </w:p>
        </w:tc>
        <w:tc>
          <w:tcPr>
            <w:tcW w:w="1063" w:type="dxa"/>
            <w:tcBorders>
              <w:tl2br w:val="nil"/>
              <w:tr2bl w:val="nil"/>
            </w:tcBorders>
            <w:vAlign w:val="center"/>
          </w:tcPr>
          <w:p w14:paraId="3BA98F1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无</w:t>
            </w:r>
          </w:p>
        </w:tc>
      </w:tr>
      <w:tr w14:paraId="281AF0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376" w:type="dxa"/>
            <w:vMerge w:val="restart"/>
            <w:tcBorders>
              <w:tl2br w:val="nil"/>
              <w:tr2bl w:val="nil"/>
            </w:tcBorders>
            <w:vAlign w:val="center"/>
          </w:tcPr>
          <w:p w14:paraId="4A167DCB">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生态敏感区</w:t>
            </w:r>
          </w:p>
        </w:tc>
        <w:tc>
          <w:tcPr>
            <w:tcW w:w="1759" w:type="dxa"/>
            <w:vMerge w:val="restart"/>
            <w:tcBorders>
              <w:tl2br w:val="nil"/>
              <w:tr2bl w:val="nil"/>
            </w:tcBorders>
            <w:vAlign w:val="center"/>
          </w:tcPr>
          <w:p w14:paraId="0DC78C57">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主要保护对象、生态功能等</w:t>
            </w:r>
          </w:p>
        </w:tc>
        <w:tc>
          <w:tcPr>
            <w:tcW w:w="2332" w:type="dxa"/>
            <w:tcBorders>
              <w:tl2br w:val="nil"/>
              <w:tr2bl w:val="nil"/>
            </w:tcBorders>
            <w:vAlign w:val="center"/>
          </w:tcPr>
          <w:p w14:paraId="46C838B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施工期施工活动</w:t>
            </w:r>
          </w:p>
          <w:p w14:paraId="1BA53030">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直接生态影响</w:t>
            </w:r>
          </w:p>
        </w:tc>
        <w:tc>
          <w:tcPr>
            <w:tcW w:w="1868" w:type="dxa"/>
            <w:tcBorders>
              <w:tl2br w:val="nil"/>
              <w:tr2bl w:val="nil"/>
            </w:tcBorders>
            <w:vAlign w:val="center"/>
          </w:tcPr>
          <w:p w14:paraId="78E3D77C">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短期、可逆影响</w:t>
            </w:r>
          </w:p>
        </w:tc>
        <w:tc>
          <w:tcPr>
            <w:tcW w:w="1063" w:type="dxa"/>
            <w:tcBorders>
              <w:tl2br w:val="nil"/>
              <w:tr2bl w:val="nil"/>
            </w:tcBorders>
            <w:vAlign w:val="center"/>
          </w:tcPr>
          <w:p w14:paraId="38A7BCA4">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无</w:t>
            </w:r>
          </w:p>
        </w:tc>
      </w:tr>
      <w:tr w14:paraId="3107F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1376" w:type="dxa"/>
            <w:vMerge w:val="continue"/>
            <w:tcBorders>
              <w:tl2br w:val="nil"/>
              <w:tr2bl w:val="nil"/>
            </w:tcBorders>
            <w:vAlign w:val="center"/>
          </w:tcPr>
          <w:p w14:paraId="325B490D">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1759" w:type="dxa"/>
            <w:vMerge w:val="continue"/>
            <w:tcBorders>
              <w:tl2br w:val="nil"/>
              <w:tr2bl w:val="nil"/>
            </w:tcBorders>
            <w:vAlign w:val="center"/>
          </w:tcPr>
          <w:p w14:paraId="78B6221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2332" w:type="dxa"/>
            <w:tcBorders>
              <w:tl2br w:val="nil"/>
              <w:tr2bl w:val="nil"/>
            </w:tcBorders>
            <w:vAlign w:val="center"/>
          </w:tcPr>
          <w:p w14:paraId="77BCF12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运营期永久占地直接生态影响</w:t>
            </w:r>
          </w:p>
        </w:tc>
        <w:tc>
          <w:tcPr>
            <w:tcW w:w="1868" w:type="dxa"/>
            <w:tcBorders>
              <w:tl2br w:val="nil"/>
              <w:tr2bl w:val="nil"/>
            </w:tcBorders>
            <w:vAlign w:val="center"/>
          </w:tcPr>
          <w:p w14:paraId="7DF0DD6B">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长期、不可逆影响</w:t>
            </w:r>
          </w:p>
        </w:tc>
        <w:tc>
          <w:tcPr>
            <w:tcW w:w="1063" w:type="dxa"/>
            <w:tcBorders>
              <w:tl2br w:val="nil"/>
              <w:tr2bl w:val="nil"/>
            </w:tcBorders>
            <w:vAlign w:val="center"/>
          </w:tcPr>
          <w:p w14:paraId="06DEF97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无</w:t>
            </w:r>
          </w:p>
        </w:tc>
      </w:tr>
      <w:tr w14:paraId="7C079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376" w:type="dxa"/>
            <w:vMerge w:val="restart"/>
            <w:tcBorders>
              <w:tl2br w:val="nil"/>
              <w:tr2bl w:val="nil"/>
            </w:tcBorders>
            <w:vAlign w:val="center"/>
          </w:tcPr>
          <w:p w14:paraId="6772B68A">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自然景观</w:t>
            </w:r>
          </w:p>
        </w:tc>
        <w:tc>
          <w:tcPr>
            <w:tcW w:w="1759" w:type="dxa"/>
            <w:vMerge w:val="restart"/>
            <w:tcBorders>
              <w:tl2br w:val="nil"/>
              <w:tr2bl w:val="nil"/>
            </w:tcBorders>
            <w:vAlign w:val="center"/>
          </w:tcPr>
          <w:p w14:paraId="4E00374C">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景观多样性、完整性等</w:t>
            </w:r>
          </w:p>
        </w:tc>
        <w:tc>
          <w:tcPr>
            <w:tcW w:w="2332" w:type="dxa"/>
            <w:tcBorders>
              <w:tl2br w:val="nil"/>
              <w:tr2bl w:val="nil"/>
            </w:tcBorders>
            <w:vAlign w:val="center"/>
          </w:tcPr>
          <w:p w14:paraId="0C73BF0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施工期施工活动直接生态影响</w:t>
            </w:r>
          </w:p>
        </w:tc>
        <w:tc>
          <w:tcPr>
            <w:tcW w:w="1868" w:type="dxa"/>
            <w:tcBorders>
              <w:tl2br w:val="nil"/>
              <w:tr2bl w:val="nil"/>
            </w:tcBorders>
            <w:vAlign w:val="center"/>
          </w:tcPr>
          <w:p w14:paraId="0A768CF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短期、可逆影响</w:t>
            </w:r>
          </w:p>
        </w:tc>
        <w:tc>
          <w:tcPr>
            <w:tcW w:w="1063" w:type="dxa"/>
            <w:tcBorders>
              <w:tl2br w:val="nil"/>
              <w:tr2bl w:val="nil"/>
            </w:tcBorders>
            <w:vAlign w:val="center"/>
          </w:tcPr>
          <w:p w14:paraId="77F04FE1">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r w14:paraId="41F6A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376" w:type="dxa"/>
            <w:vMerge w:val="continue"/>
            <w:tcBorders>
              <w:tl2br w:val="nil"/>
              <w:tr2bl w:val="nil"/>
            </w:tcBorders>
            <w:vAlign w:val="center"/>
          </w:tcPr>
          <w:p w14:paraId="2B2AC0D1">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1759" w:type="dxa"/>
            <w:vMerge w:val="continue"/>
            <w:tcBorders>
              <w:tl2br w:val="nil"/>
              <w:tr2bl w:val="nil"/>
            </w:tcBorders>
            <w:vAlign w:val="center"/>
          </w:tcPr>
          <w:p w14:paraId="4286AE1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2332" w:type="dxa"/>
            <w:tcBorders>
              <w:tl2br w:val="nil"/>
              <w:tr2bl w:val="nil"/>
            </w:tcBorders>
            <w:vAlign w:val="center"/>
          </w:tcPr>
          <w:p w14:paraId="606CD19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运营期永久占地直接生态影响</w:t>
            </w:r>
          </w:p>
        </w:tc>
        <w:tc>
          <w:tcPr>
            <w:tcW w:w="1868" w:type="dxa"/>
            <w:tcBorders>
              <w:tl2br w:val="nil"/>
              <w:tr2bl w:val="nil"/>
            </w:tcBorders>
            <w:vAlign w:val="center"/>
          </w:tcPr>
          <w:p w14:paraId="04D91BC1">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长期、不可逆影响</w:t>
            </w:r>
          </w:p>
        </w:tc>
        <w:tc>
          <w:tcPr>
            <w:tcW w:w="1063" w:type="dxa"/>
            <w:tcBorders>
              <w:tl2br w:val="nil"/>
              <w:tr2bl w:val="nil"/>
            </w:tcBorders>
            <w:vAlign w:val="center"/>
          </w:tcPr>
          <w:p w14:paraId="0C1CE2D4">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无</w:t>
            </w:r>
          </w:p>
        </w:tc>
      </w:tr>
    </w:tbl>
    <w:p w14:paraId="3F86ED7E">
      <w:pPr>
        <w:pStyle w:val="5"/>
        <w:bidi w:val="0"/>
        <w:rPr>
          <w:rFonts w:hint="default"/>
          <w:highlight w:val="none"/>
        </w:rPr>
      </w:pPr>
      <w:bookmarkStart w:id="139" w:name="_Toc22471"/>
      <w:r>
        <w:rPr>
          <w:rFonts w:hint="default"/>
          <w:highlight w:val="none"/>
        </w:rPr>
        <w:t>2.3评价标准</w:t>
      </w:r>
      <w:bookmarkEnd w:id="133"/>
      <w:bookmarkEnd w:id="134"/>
      <w:bookmarkEnd w:id="135"/>
      <w:bookmarkEnd w:id="136"/>
      <w:bookmarkEnd w:id="137"/>
      <w:bookmarkEnd w:id="138"/>
      <w:bookmarkEnd w:id="139"/>
    </w:p>
    <w:p w14:paraId="3D4B6EC8">
      <w:pPr>
        <w:pStyle w:val="7"/>
        <w:bidi w:val="0"/>
        <w:rPr>
          <w:rFonts w:hint="default"/>
          <w:highlight w:val="none"/>
        </w:rPr>
      </w:pPr>
      <w:bookmarkStart w:id="140" w:name="_Toc32009"/>
      <w:bookmarkStart w:id="141" w:name="_Toc22291"/>
      <w:bookmarkStart w:id="142" w:name="_Toc15965"/>
      <w:bookmarkStart w:id="143" w:name="_Toc19514"/>
      <w:r>
        <w:rPr>
          <w:rFonts w:hint="default"/>
          <w:highlight w:val="none"/>
        </w:rPr>
        <w:t>2.3.1环境质量标准</w:t>
      </w:r>
      <w:bookmarkEnd w:id="140"/>
      <w:bookmarkEnd w:id="141"/>
      <w:bookmarkEnd w:id="142"/>
      <w:bookmarkEnd w:id="143"/>
    </w:p>
    <w:p w14:paraId="5BD15857">
      <w:pPr>
        <w:pStyle w:val="8"/>
        <w:bidi w:val="0"/>
        <w:rPr>
          <w:rFonts w:hint="default"/>
          <w:highlight w:val="none"/>
        </w:rPr>
      </w:pPr>
      <w:bookmarkStart w:id="144" w:name="_Toc29798"/>
      <w:bookmarkStart w:id="145" w:name="_Toc17131"/>
      <w:r>
        <w:rPr>
          <w:rFonts w:hint="default"/>
          <w:highlight w:val="none"/>
        </w:rPr>
        <w:t>2.3.1.1环境空气质量标准</w:t>
      </w:r>
      <w:bookmarkEnd w:id="144"/>
      <w:bookmarkEnd w:id="145"/>
    </w:p>
    <w:p w14:paraId="2FBAA832">
      <w:pPr>
        <w:spacing w:line="360" w:lineRule="auto"/>
        <w:ind w:firstLine="480" w:firstLineChars="200"/>
        <w:rPr>
          <w:rFonts w:hint="default" w:ascii="Times New Roman" w:hAnsi="Times New Roman" w:eastAsia="宋体" w:cs="Times New Roman"/>
          <w:b/>
          <w:bCs/>
          <w:color w:val="auto"/>
          <w:kern w:val="1"/>
          <w:sz w:val="24"/>
          <w:highlight w:val="none"/>
        </w:rPr>
      </w:pPr>
      <w:r>
        <w:rPr>
          <w:rFonts w:hint="default" w:ascii="Times New Roman" w:hAnsi="Times New Roman" w:eastAsia="宋体" w:cs="Times New Roman"/>
          <w:color w:val="auto"/>
          <w:kern w:val="1"/>
          <w:sz w:val="24"/>
          <w:highlight w:val="none"/>
        </w:rPr>
        <w:t>评价区域环境空气质量因子SO</w:t>
      </w:r>
      <w:r>
        <w:rPr>
          <w:rFonts w:hint="default" w:ascii="Times New Roman" w:hAnsi="Times New Roman" w:eastAsia="宋体" w:cs="Times New Roman"/>
          <w:color w:val="auto"/>
          <w:kern w:val="1"/>
          <w:sz w:val="24"/>
          <w:highlight w:val="none"/>
          <w:vertAlign w:val="subscript"/>
        </w:rPr>
        <w:t>2</w:t>
      </w:r>
      <w:r>
        <w:rPr>
          <w:rFonts w:hint="default" w:ascii="Times New Roman" w:hAnsi="Times New Roman" w:eastAsia="宋体" w:cs="Times New Roman"/>
          <w:color w:val="auto"/>
          <w:kern w:val="1"/>
          <w:sz w:val="24"/>
          <w:highlight w:val="none"/>
        </w:rPr>
        <w:t>、NO</w:t>
      </w:r>
      <w:r>
        <w:rPr>
          <w:rFonts w:hint="default" w:ascii="Times New Roman" w:hAnsi="Times New Roman" w:eastAsia="宋体" w:cs="Times New Roman"/>
          <w:color w:val="auto"/>
          <w:kern w:val="1"/>
          <w:sz w:val="24"/>
          <w:highlight w:val="none"/>
          <w:vertAlign w:val="subscript"/>
        </w:rPr>
        <w:t>2</w:t>
      </w:r>
      <w:r>
        <w:rPr>
          <w:rFonts w:hint="default" w:ascii="Times New Roman" w:hAnsi="Times New Roman" w:eastAsia="宋体" w:cs="Times New Roman"/>
          <w:color w:val="auto"/>
          <w:kern w:val="1"/>
          <w:sz w:val="24"/>
          <w:highlight w:val="none"/>
        </w:rPr>
        <w:t>、CO、O</w:t>
      </w:r>
      <w:r>
        <w:rPr>
          <w:rFonts w:hint="default" w:ascii="Times New Roman" w:hAnsi="Times New Roman" w:eastAsia="宋体" w:cs="Times New Roman"/>
          <w:color w:val="auto"/>
          <w:kern w:val="1"/>
          <w:sz w:val="24"/>
          <w:highlight w:val="none"/>
          <w:vertAlign w:val="subscript"/>
        </w:rPr>
        <w:t>3</w:t>
      </w:r>
      <w:r>
        <w:rPr>
          <w:rFonts w:hint="default" w:ascii="Times New Roman" w:hAnsi="Times New Roman" w:eastAsia="宋体" w:cs="Times New Roman"/>
          <w:color w:val="auto"/>
          <w:kern w:val="1"/>
          <w:sz w:val="24"/>
          <w:highlight w:val="none"/>
        </w:rPr>
        <w:t>、PM</w:t>
      </w:r>
      <w:r>
        <w:rPr>
          <w:rFonts w:hint="default" w:ascii="Times New Roman" w:hAnsi="Times New Roman" w:eastAsia="宋体" w:cs="Times New Roman"/>
          <w:color w:val="auto"/>
          <w:kern w:val="1"/>
          <w:sz w:val="24"/>
          <w:highlight w:val="none"/>
          <w:vertAlign w:val="subscript"/>
        </w:rPr>
        <w:t>10</w:t>
      </w:r>
      <w:r>
        <w:rPr>
          <w:rFonts w:hint="default" w:ascii="Times New Roman" w:hAnsi="Times New Roman" w:eastAsia="宋体" w:cs="Times New Roman"/>
          <w:color w:val="auto"/>
          <w:kern w:val="1"/>
          <w:sz w:val="24"/>
          <w:highlight w:val="none"/>
        </w:rPr>
        <w:t>、PM</w:t>
      </w:r>
      <w:r>
        <w:rPr>
          <w:rFonts w:hint="default" w:ascii="Times New Roman" w:hAnsi="Times New Roman" w:eastAsia="宋体" w:cs="Times New Roman"/>
          <w:color w:val="auto"/>
          <w:kern w:val="1"/>
          <w:sz w:val="24"/>
          <w:highlight w:val="none"/>
          <w:vertAlign w:val="subscript"/>
        </w:rPr>
        <w:t>2.5</w:t>
      </w:r>
      <w:r>
        <w:rPr>
          <w:rFonts w:hint="default" w:ascii="Times New Roman" w:hAnsi="Times New Roman" w:cs="Times New Roman"/>
          <w:color w:val="auto"/>
          <w:kern w:val="1"/>
          <w:highlight w:val="none"/>
          <w:vertAlign w:val="baseline"/>
          <w:lang w:eastAsia="zh-CN"/>
        </w:rPr>
        <w:t>、</w:t>
      </w:r>
      <w:r>
        <w:rPr>
          <w:rFonts w:hint="default" w:ascii="Times New Roman" w:hAnsi="Times New Roman" w:cs="Times New Roman"/>
          <w:color w:val="auto"/>
          <w:kern w:val="1"/>
          <w:highlight w:val="none"/>
          <w:vertAlign w:val="baseline"/>
          <w:lang w:val="en-US" w:eastAsia="zh-CN"/>
        </w:rPr>
        <w:t>TSP</w:t>
      </w:r>
      <w:r>
        <w:rPr>
          <w:rFonts w:hint="default" w:ascii="Times New Roman" w:hAnsi="Times New Roman" w:eastAsia="宋体" w:cs="Times New Roman"/>
          <w:color w:val="auto"/>
          <w:kern w:val="1"/>
          <w:sz w:val="24"/>
          <w:highlight w:val="none"/>
        </w:rPr>
        <w:t>执行《环境空气质量标准》（GB3095-2012及修改单）中二级标准，</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S、NH</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参考执行《环境影响评价技术导则 大气环境》（HJ2.2-2018）中附录D表D.1其他污染物空气质量浓度参考限值</w:t>
      </w:r>
      <w:r>
        <w:rPr>
          <w:rFonts w:hint="default" w:ascii="Times New Roman" w:hAnsi="Times New Roman" w:eastAsia="宋体" w:cs="Times New Roman"/>
          <w:color w:val="auto"/>
          <w:kern w:val="1"/>
          <w:sz w:val="24"/>
          <w:highlight w:val="none"/>
        </w:rPr>
        <w:t>。本项目环境空气质量现状执行的评价标准见表2</w:t>
      </w:r>
      <w:r>
        <w:rPr>
          <w:rFonts w:hint="eastAsia" w:ascii="Times New Roman" w:hAnsi="Times New Roman" w:cs="Times New Roman"/>
          <w:color w:val="auto"/>
          <w:kern w:val="1"/>
          <w:sz w:val="24"/>
          <w:highlight w:val="none"/>
          <w:lang w:val="en-US" w:eastAsia="zh-CN"/>
        </w:rPr>
        <w:t>.</w:t>
      </w:r>
      <w:r>
        <w:rPr>
          <w:rFonts w:hint="default" w:ascii="Times New Roman" w:hAnsi="Times New Roman" w:eastAsia="宋体" w:cs="Times New Roman"/>
          <w:color w:val="auto"/>
          <w:kern w:val="1"/>
          <w:sz w:val="24"/>
          <w:highlight w:val="none"/>
        </w:rPr>
        <w:t>3-1。</w:t>
      </w:r>
    </w:p>
    <w:p w14:paraId="5E3E71E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1"/>
          <w:position w:val="-2"/>
          <w:szCs w:val="21"/>
          <w:highlight w:val="none"/>
          <w:vertAlign w:val="superscript"/>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3-1  环境空气执行标准一览表</w:t>
      </w:r>
    </w:p>
    <w:tbl>
      <w:tblPr>
        <w:tblStyle w:val="48"/>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415"/>
        <w:gridCol w:w="1970"/>
        <w:gridCol w:w="1665"/>
        <w:gridCol w:w="898"/>
        <w:gridCol w:w="2574"/>
      </w:tblGrid>
      <w:tr w14:paraId="4414851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noWrap w:val="0"/>
            <w:vAlign w:val="center"/>
          </w:tcPr>
          <w:p w14:paraId="557118E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21"/>
                <w:szCs w:val="21"/>
                <w:highlight w:val="none"/>
              </w:rPr>
            </w:pPr>
            <w:bookmarkStart w:id="146" w:name="_Toc24889"/>
            <w:bookmarkStart w:id="147" w:name="_Toc5106"/>
            <w:r>
              <w:rPr>
                <w:rFonts w:hint="default" w:ascii="Times New Roman" w:hAnsi="Times New Roman" w:cs="Times New Roman"/>
                <w:b/>
                <w:bCs/>
                <w:color w:val="auto"/>
                <w:sz w:val="21"/>
                <w:szCs w:val="21"/>
                <w:highlight w:val="none"/>
              </w:rPr>
              <w:t>污染物</w:t>
            </w:r>
          </w:p>
        </w:tc>
        <w:tc>
          <w:tcPr>
            <w:tcW w:w="1970" w:type="dxa"/>
            <w:noWrap w:val="0"/>
            <w:vAlign w:val="center"/>
          </w:tcPr>
          <w:p w14:paraId="22567AF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取值时间</w:t>
            </w:r>
          </w:p>
        </w:tc>
        <w:tc>
          <w:tcPr>
            <w:tcW w:w="1665" w:type="dxa"/>
            <w:noWrap w:val="0"/>
            <w:vAlign w:val="center"/>
          </w:tcPr>
          <w:p w14:paraId="17939D1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浓度限值</w:t>
            </w:r>
          </w:p>
        </w:tc>
        <w:tc>
          <w:tcPr>
            <w:tcW w:w="898" w:type="dxa"/>
            <w:noWrap w:val="0"/>
            <w:vAlign w:val="center"/>
          </w:tcPr>
          <w:p w14:paraId="59BC85D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单位</w:t>
            </w:r>
          </w:p>
        </w:tc>
        <w:tc>
          <w:tcPr>
            <w:tcW w:w="2574" w:type="dxa"/>
            <w:noWrap w:val="0"/>
            <w:vAlign w:val="center"/>
          </w:tcPr>
          <w:p w14:paraId="2355806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color w:val="auto"/>
                <w:kern w:val="1"/>
                <w:sz w:val="21"/>
                <w:szCs w:val="21"/>
                <w:highlight w:val="none"/>
              </w:rPr>
              <w:t>标准来源</w:t>
            </w:r>
          </w:p>
        </w:tc>
      </w:tr>
      <w:tr w14:paraId="7829065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6BA5D00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970" w:type="dxa"/>
            <w:noWrap w:val="0"/>
            <w:vAlign w:val="center"/>
          </w:tcPr>
          <w:p w14:paraId="7FCC31A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年均</w:t>
            </w:r>
          </w:p>
        </w:tc>
        <w:tc>
          <w:tcPr>
            <w:tcW w:w="1665" w:type="dxa"/>
            <w:noWrap w:val="0"/>
            <w:vAlign w:val="center"/>
          </w:tcPr>
          <w:p w14:paraId="72E6D15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898" w:type="dxa"/>
            <w:vMerge w:val="restart"/>
            <w:noWrap w:val="0"/>
            <w:vAlign w:val="center"/>
          </w:tcPr>
          <w:p w14:paraId="2373A47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p>
        </w:tc>
        <w:tc>
          <w:tcPr>
            <w:tcW w:w="2574" w:type="dxa"/>
            <w:vMerge w:val="restart"/>
            <w:noWrap w:val="0"/>
            <w:vAlign w:val="center"/>
          </w:tcPr>
          <w:p w14:paraId="294EAD5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《环境空气质量标准》</w:t>
            </w:r>
          </w:p>
          <w:p w14:paraId="0C36AA4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(GB3095-2012及修改单)</w:t>
            </w:r>
          </w:p>
          <w:p w14:paraId="0DDAF9D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二级标准</w:t>
            </w:r>
          </w:p>
        </w:tc>
      </w:tr>
      <w:tr w14:paraId="1689DD3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3B67E1C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05A6880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34FE8F1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898" w:type="dxa"/>
            <w:vMerge w:val="continue"/>
            <w:noWrap w:val="0"/>
            <w:vAlign w:val="center"/>
          </w:tcPr>
          <w:p w14:paraId="2C3CCBD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200A32E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2407CE8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67A5A68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7E33E87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2BB62B1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898" w:type="dxa"/>
            <w:vMerge w:val="continue"/>
            <w:noWrap w:val="0"/>
            <w:vAlign w:val="center"/>
          </w:tcPr>
          <w:p w14:paraId="03EFA76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2C57526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01062A7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337A785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970" w:type="dxa"/>
            <w:noWrap w:val="0"/>
            <w:vAlign w:val="center"/>
          </w:tcPr>
          <w:p w14:paraId="4644D43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年均</w:t>
            </w:r>
          </w:p>
        </w:tc>
        <w:tc>
          <w:tcPr>
            <w:tcW w:w="1665" w:type="dxa"/>
            <w:noWrap w:val="0"/>
            <w:vAlign w:val="center"/>
          </w:tcPr>
          <w:p w14:paraId="6451425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898" w:type="dxa"/>
            <w:vMerge w:val="continue"/>
            <w:noWrap w:val="0"/>
            <w:vAlign w:val="center"/>
          </w:tcPr>
          <w:p w14:paraId="78F21FC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1CB3590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1D19CF3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3718373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268B714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74833DB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c>
          <w:tcPr>
            <w:tcW w:w="898" w:type="dxa"/>
            <w:vMerge w:val="continue"/>
            <w:noWrap w:val="0"/>
            <w:vAlign w:val="center"/>
          </w:tcPr>
          <w:p w14:paraId="6DEE3FA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254F451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3349333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7F195B8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127A6C7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387FBEB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898" w:type="dxa"/>
            <w:vMerge w:val="continue"/>
            <w:noWrap w:val="0"/>
            <w:vAlign w:val="center"/>
          </w:tcPr>
          <w:p w14:paraId="548553E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3D02460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5431DE2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5FAAB18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970" w:type="dxa"/>
            <w:noWrap w:val="0"/>
            <w:vAlign w:val="center"/>
          </w:tcPr>
          <w:p w14:paraId="5377D02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1D66A53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898" w:type="dxa"/>
            <w:vMerge w:val="restart"/>
            <w:noWrap w:val="0"/>
            <w:vAlign w:val="center"/>
          </w:tcPr>
          <w:p w14:paraId="52277EC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2574" w:type="dxa"/>
            <w:vMerge w:val="continue"/>
            <w:noWrap w:val="0"/>
            <w:vAlign w:val="center"/>
          </w:tcPr>
          <w:p w14:paraId="5003B6F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4FF6C1F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664D1D5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4452EDC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4686A9C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898" w:type="dxa"/>
            <w:vMerge w:val="continue"/>
            <w:noWrap w:val="0"/>
            <w:vAlign w:val="center"/>
          </w:tcPr>
          <w:p w14:paraId="23C6CB3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07695C7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7BC99D7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22BF38A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highlight w:val="none"/>
                <w:lang w:eastAsia="en-US"/>
              </w:rPr>
              <w:t>O</w:t>
            </w:r>
            <w:r>
              <w:rPr>
                <w:rFonts w:hint="default" w:ascii="Times New Roman" w:hAnsi="Times New Roman" w:cs="Times New Roman"/>
                <w:color w:val="auto"/>
                <w:spacing w:val="-1"/>
                <w:position w:val="-2"/>
                <w:sz w:val="21"/>
                <w:szCs w:val="21"/>
                <w:highlight w:val="none"/>
                <w:vertAlign w:val="subscript"/>
              </w:rPr>
              <w:t>3</w:t>
            </w:r>
          </w:p>
        </w:tc>
        <w:tc>
          <w:tcPr>
            <w:tcW w:w="1970" w:type="dxa"/>
            <w:noWrap w:val="0"/>
            <w:vAlign w:val="center"/>
          </w:tcPr>
          <w:p w14:paraId="648285E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日最大8小时平均</w:t>
            </w:r>
          </w:p>
        </w:tc>
        <w:tc>
          <w:tcPr>
            <w:tcW w:w="1665" w:type="dxa"/>
            <w:noWrap w:val="0"/>
            <w:vAlign w:val="center"/>
          </w:tcPr>
          <w:p w14:paraId="76C9662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898" w:type="dxa"/>
            <w:vMerge w:val="restart"/>
            <w:noWrap w:val="0"/>
            <w:vAlign w:val="center"/>
          </w:tcPr>
          <w:p w14:paraId="5783616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p>
        </w:tc>
        <w:tc>
          <w:tcPr>
            <w:tcW w:w="2574" w:type="dxa"/>
            <w:vMerge w:val="continue"/>
            <w:noWrap w:val="0"/>
            <w:vAlign w:val="center"/>
          </w:tcPr>
          <w:p w14:paraId="0461049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0CB0AA6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2821940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07FDC02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6DE9767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898" w:type="dxa"/>
            <w:vMerge w:val="continue"/>
            <w:noWrap w:val="0"/>
            <w:vAlign w:val="center"/>
          </w:tcPr>
          <w:p w14:paraId="2507869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38EAF42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7726D3B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2FA1E83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970" w:type="dxa"/>
            <w:noWrap w:val="0"/>
            <w:vAlign w:val="center"/>
          </w:tcPr>
          <w:p w14:paraId="39BFB1F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年均</w:t>
            </w:r>
          </w:p>
        </w:tc>
        <w:tc>
          <w:tcPr>
            <w:tcW w:w="1665" w:type="dxa"/>
            <w:noWrap w:val="0"/>
            <w:vAlign w:val="center"/>
          </w:tcPr>
          <w:p w14:paraId="184EAB9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898" w:type="dxa"/>
            <w:vMerge w:val="continue"/>
            <w:noWrap w:val="0"/>
            <w:vAlign w:val="center"/>
          </w:tcPr>
          <w:p w14:paraId="151A871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578923D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66AFCAC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327FE95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24F78A1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6C1A620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898" w:type="dxa"/>
            <w:vMerge w:val="continue"/>
            <w:noWrap w:val="0"/>
            <w:vAlign w:val="center"/>
          </w:tcPr>
          <w:p w14:paraId="16455ED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266A5F7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64C5B17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6628A4F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970" w:type="dxa"/>
            <w:noWrap w:val="0"/>
            <w:vAlign w:val="center"/>
          </w:tcPr>
          <w:p w14:paraId="72F9BA6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年均</w:t>
            </w:r>
          </w:p>
        </w:tc>
        <w:tc>
          <w:tcPr>
            <w:tcW w:w="1665" w:type="dxa"/>
            <w:noWrap w:val="0"/>
            <w:vAlign w:val="center"/>
          </w:tcPr>
          <w:p w14:paraId="37C534E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p>
        </w:tc>
        <w:tc>
          <w:tcPr>
            <w:tcW w:w="898" w:type="dxa"/>
            <w:vMerge w:val="continue"/>
            <w:noWrap w:val="0"/>
            <w:vAlign w:val="center"/>
          </w:tcPr>
          <w:p w14:paraId="19CF193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409265B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2E16A0D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57D8EEF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58663C7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6409178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898" w:type="dxa"/>
            <w:vMerge w:val="continue"/>
            <w:noWrap w:val="0"/>
            <w:vAlign w:val="center"/>
          </w:tcPr>
          <w:p w14:paraId="6344C45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7B8F923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782CFFC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5071678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TSP</w:t>
            </w:r>
          </w:p>
        </w:tc>
        <w:tc>
          <w:tcPr>
            <w:tcW w:w="1970" w:type="dxa"/>
            <w:noWrap w:val="0"/>
            <w:vAlign w:val="center"/>
          </w:tcPr>
          <w:p w14:paraId="30CE55A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年均</w:t>
            </w:r>
          </w:p>
        </w:tc>
        <w:tc>
          <w:tcPr>
            <w:tcW w:w="1665" w:type="dxa"/>
            <w:noWrap w:val="0"/>
            <w:vAlign w:val="center"/>
          </w:tcPr>
          <w:p w14:paraId="788DE3C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200</w:t>
            </w:r>
          </w:p>
        </w:tc>
        <w:tc>
          <w:tcPr>
            <w:tcW w:w="898" w:type="dxa"/>
            <w:vMerge w:val="continue"/>
            <w:noWrap w:val="0"/>
            <w:vAlign w:val="center"/>
          </w:tcPr>
          <w:p w14:paraId="13692C2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4CB98C8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1AB620B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258D2BC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63614F6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24小时平均</w:t>
            </w:r>
          </w:p>
        </w:tc>
        <w:tc>
          <w:tcPr>
            <w:tcW w:w="1665" w:type="dxa"/>
            <w:noWrap w:val="0"/>
            <w:vAlign w:val="center"/>
          </w:tcPr>
          <w:p w14:paraId="065291C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300</w:t>
            </w:r>
          </w:p>
        </w:tc>
        <w:tc>
          <w:tcPr>
            <w:tcW w:w="898" w:type="dxa"/>
            <w:vMerge w:val="continue"/>
            <w:noWrap w:val="0"/>
            <w:vAlign w:val="center"/>
          </w:tcPr>
          <w:p w14:paraId="0A1CF67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39C20D9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65E7333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492" w:hRule="atLeast"/>
          <w:jc w:val="center"/>
        </w:trPr>
        <w:tc>
          <w:tcPr>
            <w:tcW w:w="1416" w:type="dxa"/>
            <w:noWrap w:val="0"/>
            <w:vAlign w:val="center"/>
          </w:tcPr>
          <w:p w14:paraId="44FA012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970" w:type="dxa"/>
            <w:noWrap w:val="0"/>
            <w:vAlign w:val="center"/>
          </w:tcPr>
          <w:p w14:paraId="5190E17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14354BC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898" w:type="dxa"/>
            <w:vMerge w:val="continue"/>
            <w:noWrap w:val="0"/>
            <w:vAlign w:val="center"/>
          </w:tcPr>
          <w:p w14:paraId="028FBA0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restart"/>
            <w:noWrap w:val="0"/>
            <w:vAlign w:val="center"/>
          </w:tcPr>
          <w:p w14:paraId="0B852C8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《环境影响评价技术导则 大气环境》（HJ2.2-2018）中附录D表D.1其他污染物空气质量浓度参考限值</w:t>
            </w:r>
          </w:p>
        </w:tc>
      </w:tr>
      <w:tr w14:paraId="2859741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noWrap w:val="0"/>
            <w:vAlign w:val="center"/>
          </w:tcPr>
          <w:p w14:paraId="442BB5F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970" w:type="dxa"/>
            <w:noWrap w:val="0"/>
            <w:vAlign w:val="center"/>
          </w:tcPr>
          <w:p w14:paraId="1B99DC4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50A1315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898" w:type="dxa"/>
            <w:vMerge w:val="continue"/>
            <w:noWrap w:val="0"/>
            <w:vAlign w:val="center"/>
          </w:tcPr>
          <w:p w14:paraId="432FDD4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0D7E5CB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bookmarkEnd w:id="146"/>
      <w:bookmarkEnd w:id="147"/>
    </w:tbl>
    <w:p w14:paraId="5906A384">
      <w:pPr>
        <w:pStyle w:val="8"/>
        <w:bidi w:val="0"/>
        <w:rPr>
          <w:rFonts w:hint="default"/>
          <w:highlight w:val="none"/>
        </w:rPr>
      </w:pPr>
      <w:bookmarkStart w:id="148" w:name="_Toc15384"/>
      <w:bookmarkStart w:id="149" w:name="_Toc25184"/>
      <w:r>
        <w:rPr>
          <w:rFonts w:hint="default"/>
          <w:highlight w:val="none"/>
        </w:rPr>
        <w:t>2.3.1.3地下水环境质量标准</w:t>
      </w:r>
      <w:bookmarkEnd w:id="148"/>
      <w:bookmarkEnd w:id="149"/>
    </w:p>
    <w:p w14:paraId="03882E0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评价区域地下水环境质量执行《地下水质量标准》（GB/T14848-2017）Ⅲ类标准。具体标准值见表</w:t>
      </w:r>
      <w:r>
        <w:rPr>
          <w:rFonts w:hint="default" w:ascii="Times New Roman" w:hAnsi="Times New Roman" w:eastAsia="宋体" w:cs="Times New Roman"/>
          <w:color w:val="auto"/>
          <w:kern w:val="1"/>
          <w:sz w:val="24"/>
          <w:highlight w:val="none"/>
        </w:rPr>
        <w:t>2.3-</w:t>
      </w:r>
      <w:r>
        <w:rPr>
          <w:rFonts w:hint="eastAsia" w:ascii="Times New Roman" w:hAnsi="Times New Roman" w:cs="Times New Roman"/>
          <w:color w:val="auto"/>
          <w:kern w:val="1"/>
          <w:sz w:val="24"/>
          <w:highlight w:val="none"/>
          <w:lang w:val="en-US" w:eastAsia="zh-CN"/>
        </w:rPr>
        <w:t>2</w:t>
      </w:r>
      <w:r>
        <w:rPr>
          <w:rFonts w:hint="default" w:ascii="Times New Roman" w:hAnsi="Times New Roman" w:eastAsia="宋体" w:cs="Times New Roman"/>
          <w:color w:val="auto"/>
          <w:sz w:val="24"/>
          <w:highlight w:val="none"/>
        </w:rPr>
        <w:t>。</w:t>
      </w:r>
    </w:p>
    <w:p w14:paraId="7454EB47">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color w:val="auto"/>
          <w:szCs w:val="21"/>
          <w:highlight w:val="none"/>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w:t>
      </w:r>
      <w:r>
        <w:rPr>
          <w:rFonts w:hint="eastAsia" w:ascii="Times New Roman" w:hAnsi="Times New Roman" w:eastAsia="黑体" w:cs="Times New Roman"/>
          <w:bCs/>
          <w:kern w:val="2"/>
          <w:sz w:val="21"/>
          <w:highlight w:val="none"/>
          <w:lang w:val="en-US" w:eastAsia="zh-CN"/>
        </w:rPr>
        <w:t>2</w:t>
      </w:r>
      <w:r>
        <w:rPr>
          <w:rFonts w:hint="default" w:ascii="Times New Roman" w:hAnsi="Times New Roman" w:eastAsia="黑体" w:cs="Times New Roman"/>
          <w:bCs/>
          <w:kern w:val="2"/>
          <w:sz w:val="21"/>
          <w:highlight w:val="none"/>
          <w:lang w:val="en-US" w:eastAsia="zh-CN"/>
        </w:rPr>
        <w:t xml:space="preserve">  地下水质量执行标准一览表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89"/>
        <w:gridCol w:w="1953"/>
        <w:gridCol w:w="1726"/>
        <w:gridCol w:w="1726"/>
        <w:gridCol w:w="2328"/>
      </w:tblGrid>
      <w:tr w14:paraId="4373CC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463" w:type="pct"/>
            <w:tcBorders>
              <w:tl2br w:val="nil"/>
              <w:tr2bl w:val="nil"/>
            </w:tcBorders>
            <w:vAlign w:val="center"/>
          </w:tcPr>
          <w:p w14:paraId="475332C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序号</w:t>
            </w:r>
          </w:p>
        </w:tc>
        <w:tc>
          <w:tcPr>
            <w:tcW w:w="1145" w:type="pct"/>
            <w:tcBorders>
              <w:tl2br w:val="nil"/>
              <w:tr2bl w:val="nil"/>
            </w:tcBorders>
            <w:vAlign w:val="center"/>
          </w:tcPr>
          <w:p w14:paraId="64CAA88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污染物</w:t>
            </w:r>
          </w:p>
        </w:tc>
        <w:tc>
          <w:tcPr>
            <w:tcW w:w="1012" w:type="pct"/>
            <w:tcBorders>
              <w:tl2br w:val="nil"/>
              <w:tr2bl w:val="nil"/>
            </w:tcBorders>
            <w:vAlign w:val="center"/>
          </w:tcPr>
          <w:p w14:paraId="4DDA7D8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标准限值</w:t>
            </w:r>
          </w:p>
        </w:tc>
        <w:tc>
          <w:tcPr>
            <w:tcW w:w="1012" w:type="pct"/>
            <w:tcBorders>
              <w:tl2br w:val="nil"/>
              <w:tr2bl w:val="nil"/>
            </w:tcBorders>
            <w:vAlign w:val="center"/>
          </w:tcPr>
          <w:p w14:paraId="65333FC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单位</w:t>
            </w:r>
          </w:p>
        </w:tc>
        <w:tc>
          <w:tcPr>
            <w:tcW w:w="1365" w:type="pct"/>
            <w:tcBorders>
              <w:tl2br w:val="nil"/>
              <w:tr2bl w:val="nil"/>
            </w:tcBorders>
            <w:vAlign w:val="center"/>
          </w:tcPr>
          <w:p w14:paraId="15369FE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标准来源</w:t>
            </w:r>
          </w:p>
        </w:tc>
      </w:tr>
      <w:tr w14:paraId="450021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45FE3D4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w:t>
            </w:r>
          </w:p>
        </w:tc>
        <w:tc>
          <w:tcPr>
            <w:tcW w:w="1145" w:type="pct"/>
            <w:tcBorders>
              <w:tl2br w:val="nil"/>
              <w:tr2bl w:val="nil"/>
            </w:tcBorders>
            <w:vAlign w:val="center"/>
          </w:tcPr>
          <w:p w14:paraId="4D812E2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pH</w:t>
            </w:r>
          </w:p>
        </w:tc>
        <w:tc>
          <w:tcPr>
            <w:tcW w:w="1012" w:type="pct"/>
            <w:tcBorders>
              <w:tl2br w:val="nil"/>
              <w:tr2bl w:val="nil"/>
            </w:tcBorders>
            <w:vAlign w:val="center"/>
          </w:tcPr>
          <w:p w14:paraId="09DF390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6.5-8.5</w:t>
            </w:r>
          </w:p>
        </w:tc>
        <w:tc>
          <w:tcPr>
            <w:tcW w:w="1012" w:type="pct"/>
            <w:tcBorders>
              <w:tl2br w:val="nil"/>
              <w:tr2bl w:val="nil"/>
            </w:tcBorders>
            <w:vAlign w:val="center"/>
          </w:tcPr>
          <w:p w14:paraId="220E1F7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无量纲</w:t>
            </w:r>
          </w:p>
        </w:tc>
        <w:tc>
          <w:tcPr>
            <w:tcW w:w="1365" w:type="pct"/>
            <w:vMerge w:val="restart"/>
            <w:tcBorders>
              <w:tl2br w:val="nil"/>
              <w:tr2bl w:val="nil"/>
            </w:tcBorders>
            <w:vAlign w:val="center"/>
          </w:tcPr>
          <w:p w14:paraId="3FB1FE0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《地下水质量标准》（GB/T14848-2017）中Ⅲ类</w:t>
            </w:r>
          </w:p>
        </w:tc>
      </w:tr>
      <w:tr w14:paraId="6E7A89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68BAE95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w:t>
            </w:r>
          </w:p>
        </w:tc>
        <w:tc>
          <w:tcPr>
            <w:tcW w:w="1145" w:type="pct"/>
            <w:tcBorders>
              <w:tl2br w:val="nil"/>
              <w:tr2bl w:val="nil"/>
            </w:tcBorders>
            <w:vAlign w:val="center"/>
          </w:tcPr>
          <w:p w14:paraId="4346AB0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0" w:name="_Toc10297"/>
            <w:r>
              <w:rPr>
                <w:rFonts w:hint="default" w:ascii="Times New Roman" w:hAnsi="Times New Roman" w:eastAsia="宋体" w:cs="Times New Roman"/>
                <w:b w:val="0"/>
                <w:bCs/>
                <w:color w:val="auto"/>
                <w:sz w:val="21"/>
                <w:szCs w:val="21"/>
                <w:highlight w:val="none"/>
              </w:rPr>
              <w:t>氨氮</w:t>
            </w:r>
            <w:bookmarkEnd w:id="150"/>
          </w:p>
        </w:tc>
        <w:tc>
          <w:tcPr>
            <w:tcW w:w="1012" w:type="pct"/>
            <w:tcBorders>
              <w:tl2br w:val="nil"/>
              <w:tr2bl w:val="nil"/>
            </w:tcBorders>
            <w:vAlign w:val="center"/>
          </w:tcPr>
          <w:p w14:paraId="054A2C0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1" w:name="_Toc2891"/>
            <w:r>
              <w:rPr>
                <w:rFonts w:hint="default" w:ascii="Times New Roman" w:hAnsi="Times New Roman" w:eastAsia="宋体" w:cs="Times New Roman"/>
                <w:b w:val="0"/>
                <w:bCs/>
                <w:color w:val="auto"/>
                <w:sz w:val="21"/>
                <w:szCs w:val="21"/>
                <w:highlight w:val="none"/>
              </w:rPr>
              <w:t>≤0.5</w:t>
            </w:r>
            <w:bookmarkEnd w:id="151"/>
          </w:p>
        </w:tc>
        <w:tc>
          <w:tcPr>
            <w:tcW w:w="1012" w:type="pct"/>
            <w:tcBorders>
              <w:tl2br w:val="nil"/>
              <w:tr2bl w:val="nil"/>
            </w:tcBorders>
            <w:vAlign w:val="center"/>
          </w:tcPr>
          <w:p w14:paraId="3692334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2" w:name="_Toc11302"/>
            <w:r>
              <w:rPr>
                <w:rFonts w:hint="default" w:ascii="Times New Roman" w:hAnsi="Times New Roman" w:eastAsia="宋体" w:cs="Times New Roman"/>
                <w:b w:val="0"/>
                <w:bCs/>
                <w:color w:val="auto"/>
                <w:sz w:val="21"/>
                <w:szCs w:val="21"/>
                <w:highlight w:val="none"/>
              </w:rPr>
              <w:t>mg/L</w:t>
            </w:r>
            <w:bookmarkEnd w:id="152"/>
          </w:p>
        </w:tc>
        <w:tc>
          <w:tcPr>
            <w:tcW w:w="1365" w:type="pct"/>
            <w:vMerge w:val="continue"/>
            <w:tcBorders>
              <w:tl2br w:val="nil"/>
              <w:tr2bl w:val="nil"/>
            </w:tcBorders>
            <w:vAlign w:val="center"/>
          </w:tcPr>
          <w:p w14:paraId="204386D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58BA3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0E8CD7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3</w:t>
            </w:r>
          </w:p>
        </w:tc>
        <w:tc>
          <w:tcPr>
            <w:tcW w:w="1145" w:type="pct"/>
            <w:tcBorders>
              <w:tl2br w:val="nil"/>
              <w:tr2bl w:val="nil"/>
            </w:tcBorders>
            <w:vAlign w:val="center"/>
          </w:tcPr>
          <w:p w14:paraId="68F5C52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3" w:name="_Toc27156"/>
            <w:r>
              <w:rPr>
                <w:rFonts w:hint="default" w:ascii="Times New Roman" w:hAnsi="Times New Roman" w:eastAsia="宋体" w:cs="Times New Roman"/>
                <w:b w:val="0"/>
                <w:bCs/>
                <w:color w:val="auto"/>
                <w:sz w:val="21"/>
                <w:szCs w:val="21"/>
                <w:highlight w:val="none"/>
              </w:rPr>
              <w:t>硝酸盐氮</w:t>
            </w:r>
            <w:bookmarkEnd w:id="153"/>
          </w:p>
        </w:tc>
        <w:tc>
          <w:tcPr>
            <w:tcW w:w="1012" w:type="pct"/>
            <w:tcBorders>
              <w:tl2br w:val="nil"/>
              <w:tr2bl w:val="nil"/>
            </w:tcBorders>
            <w:vAlign w:val="center"/>
          </w:tcPr>
          <w:p w14:paraId="3114B91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4" w:name="_Toc4792"/>
            <w:r>
              <w:rPr>
                <w:rFonts w:hint="default" w:ascii="Times New Roman" w:hAnsi="Times New Roman" w:eastAsia="宋体" w:cs="Times New Roman"/>
                <w:b w:val="0"/>
                <w:bCs/>
                <w:color w:val="auto"/>
                <w:sz w:val="21"/>
                <w:szCs w:val="21"/>
                <w:highlight w:val="none"/>
              </w:rPr>
              <w:t>≤20.0</w:t>
            </w:r>
            <w:bookmarkEnd w:id="154"/>
          </w:p>
        </w:tc>
        <w:tc>
          <w:tcPr>
            <w:tcW w:w="1012" w:type="pct"/>
            <w:tcBorders>
              <w:tl2br w:val="nil"/>
              <w:tr2bl w:val="nil"/>
            </w:tcBorders>
            <w:vAlign w:val="center"/>
          </w:tcPr>
          <w:p w14:paraId="584BE6A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5" w:name="_Toc26030"/>
            <w:r>
              <w:rPr>
                <w:rFonts w:hint="default" w:ascii="Times New Roman" w:hAnsi="Times New Roman" w:eastAsia="宋体" w:cs="Times New Roman"/>
                <w:b w:val="0"/>
                <w:bCs/>
                <w:color w:val="auto"/>
                <w:sz w:val="21"/>
                <w:szCs w:val="21"/>
                <w:highlight w:val="none"/>
              </w:rPr>
              <w:t>mg/L</w:t>
            </w:r>
            <w:bookmarkEnd w:id="155"/>
          </w:p>
        </w:tc>
        <w:tc>
          <w:tcPr>
            <w:tcW w:w="1365" w:type="pct"/>
            <w:vMerge w:val="continue"/>
            <w:tcBorders>
              <w:tl2br w:val="nil"/>
              <w:tr2bl w:val="nil"/>
            </w:tcBorders>
            <w:vAlign w:val="center"/>
          </w:tcPr>
          <w:p w14:paraId="1DC26A1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7C377B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5018BD2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4</w:t>
            </w:r>
          </w:p>
        </w:tc>
        <w:tc>
          <w:tcPr>
            <w:tcW w:w="1145" w:type="pct"/>
            <w:tcBorders>
              <w:tl2br w:val="nil"/>
              <w:tr2bl w:val="nil"/>
            </w:tcBorders>
            <w:vAlign w:val="center"/>
          </w:tcPr>
          <w:p w14:paraId="4E976ED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6" w:name="_Toc27031"/>
            <w:r>
              <w:rPr>
                <w:rFonts w:hint="default" w:ascii="Times New Roman" w:hAnsi="Times New Roman" w:eastAsia="宋体" w:cs="Times New Roman"/>
                <w:b w:val="0"/>
                <w:bCs/>
                <w:color w:val="auto"/>
                <w:sz w:val="21"/>
                <w:szCs w:val="21"/>
                <w:highlight w:val="none"/>
              </w:rPr>
              <w:t>亚硝酸盐氮</w:t>
            </w:r>
            <w:bookmarkEnd w:id="156"/>
          </w:p>
        </w:tc>
        <w:tc>
          <w:tcPr>
            <w:tcW w:w="1012" w:type="pct"/>
            <w:tcBorders>
              <w:tl2br w:val="nil"/>
              <w:tr2bl w:val="nil"/>
            </w:tcBorders>
            <w:vAlign w:val="center"/>
          </w:tcPr>
          <w:p w14:paraId="5AFD132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7" w:name="_Toc32046"/>
            <w:r>
              <w:rPr>
                <w:rFonts w:hint="default" w:ascii="Times New Roman" w:hAnsi="Times New Roman" w:eastAsia="宋体" w:cs="Times New Roman"/>
                <w:b w:val="0"/>
                <w:bCs/>
                <w:color w:val="auto"/>
                <w:sz w:val="21"/>
                <w:szCs w:val="21"/>
                <w:highlight w:val="none"/>
              </w:rPr>
              <w:t>≤1.00</w:t>
            </w:r>
            <w:bookmarkEnd w:id="157"/>
          </w:p>
        </w:tc>
        <w:tc>
          <w:tcPr>
            <w:tcW w:w="1012" w:type="pct"/>
            <w:tcBorders>
              <w:tl2br w:val="nil"/>
              <w:tr2bl w:val="nil"/>
            </w:tcBorders>
            <w:vAlign w:val="center"/>
          </w:tcPr>
          <w:p w14:paraId="75E2275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8" w:name="_Toc25441"/>
            <w:r>
              <w:rPr>
                <w:rFonts w:hint="default" w:ascii="Times New Roman" w:hAnsi="Times New Roman" w:eastAsia="宋体" w:cs="Times New Roman"/>
                <w:b w:val="0"/>
                <w:bCs/>
                <w:color w:val="auto"/>
                <w:sz w:val="21"/>
                <w:szCs w:val="21"/>
                <w:highlight w:val="none"/>
              </w:rPr>
              <w:t>mg/L</w:t>
            </w:r>
            <w:bookmarkEnd w:id="158"/>
          </w:p>
        </w:tc>
        <w:tc>
          <w:tcPr>
            <w:tcW w:w="1365" w:type="pct"/>
            <w:vMerge w:val="continue"/>
            <w:tcBorders>
              <w:tl2br w:val="nil"/>
              <w:tr2bl w:val="nil"/>
            </w:tcBorders>
            <w:vAlign w:val="center"/>
          </w:tcPr>
          <w:p w14:paraId="4618792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EFEEB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57EFFC2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5</w:t>
            </w:r>
          </w:p>
        </w:tc>
        <w:tc>
          <w:tcPr>
            <w:tcW w:w="1145" w:type="pct"/>
            <w:tcBorders>
              <w:tl2br w:val="nil"/>
              <w:tr2bl w:val="nil"/>
            </w:tcBorders>
            <w:vAlign w:val="center"/>
          </w:tcPr>
          <w:p w14:paraId="3610784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9" w:name="_Toc4372"/>
            <w:r>
              <w:rPr>
                <w:rFonts w:hint="default" w:ascii="Times New Roman" w:hAnsi="Times New Roman" w:eastAsia="宋体" w:cs="Times New Roman"/>
                <w:b w:val="0"/>
                <w:bCs/>
                <w:color w:val="auto"/>
                <w:sz w:val="21"/>
                <w:szCs w:val="21"/>
                <w:highlight w:val="none"/>
              </w:rPr>
              <w:t>挥发酚</w:t>
            </w:r>
            <w:bookmarkEnd w:id="159"/>
          </w:p>
        </w:tc>
        <w:tc>
          <w:tcPr>
            <w:tcW w:w="1012" w:type="pct"/>
            <w:tcBorders>
              <w:tl2br w:val="nil"/>
              <w:tr2bl w:val="nil"/>
            </w:tcBorders>
            <w:vAlign w:val="center"/>
          </w:tcPr>
          <w:p w14:paraId="7DFF628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0" w:name="_Toc23945"/>
            <w:r>
              <w:rPr>
                <w:rFonts w:hint="default" w:ascii="Times New Roman" w:hAnsi="Times New Roman" w:eastAsia="宋体" w:cs="Times New Roman"/>
                <w:b w:val="0"/>
                <w:bCs/>
                <w:color w:val="auto"/>
                <w:sz w:val="21"/>
                <w:szCs w:val="21"/>
                <w:highlight w:val="none"/>
              </w:rPr>
              <w:t>≤0.002</w:t>
            </w:r>
            <w:bookmarkEnd w:id="160"/>
          </w:p>
        </w:tc>
        <w:tc>
          <w:tcPr>
            <w:tcW w:w="1012" w:type="pct"/>
            <w:tcBorders>
              <w:tl2br w:val="nil"/>
              <w:tr2bl w:val="nil"/>
            </w:tcBorders>
            <w:vAlign w:val="center"/>
          </w:tcPr>
          <w:p w14:paraId="1DE22F3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1" w:name="_Toc21547"/>
            <w:r>
              <w:rPr>
                <w:rFonts w:hint="default" w:ascii="Times New Roman" w:hAnsi="Times New Roman" w:eastAsia="宋体" w:cs="Times New Roman"/>
                <w:b w:val="0"/>
                <w:bCs/>
                <w:color w:val="auto"/>
                <w:sz w:val="21"/>
                <w:szCs w:val="21"/>
                <w:highlight w:val="none"/>
              </w:rPr>
              <w:t>mg/L</w:t>
            </w:r>
            <w:bookmarkEnd w:id="161"/>
          </w:p>
        </w:tc>
        <w:tc>
          <w:tcPr>
            <w:tcW w:w="1365" w:type="pct"/>
            <w:vMerge w:val="continue"/>
            <w:tcBorders>
              <w:tl2br w:val="nil"/>
              <w:tr2bl w:val="nil"/>
            </w:tcBorders>
            <w:vAlign w:val="center"/>
          </w:tcPr>
          <w:p w14:paraId="321709B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201ED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64DB61E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w:t>
            </w:r>
          </w:p>
        </w:tc>
        <w:tc>
          <w:tcPr>
            <w:tcW w:w="1145" w:type="pct"/>
            <w:tcBorders>
              <w:tl2br w:val="nil"/>
              <w:tr2bl w:val="nil"/>
            </w:tcBorders>
            <w:vAlign w:val="center"/>
          </w:tcPr>
          <w:p w14:paraId="332DCE6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2" w:name="_Toc1584"/>
            <w:r>
              <w:rPr>
                <w:rFonts w:hint="default" w:ascii="Times New Roman" w:hAnsi="Times New Roman" w:eastAsia="宋体" w:cs="Times New Roman"/>
                <w:b w:val="0"/>
                <w:bCs/>
                <w:color w:val="auto"/>
                <w:sz w:val="21"/>
                <w:szCs w:val="21"/>
                <w:highlight w:val="none"/>
              </w:rPr>
              <w:t>氰化物</w:t>
            </w:r>
            <w:bookmarkEnd w:id="162"/>
          </w:p>
        </w:tc>
        <w:tc>
          <w:tcPr>
            <w:tcW w:w="1012" w:type="pct"/>
            <w:tcBorders>
              <w:tl2br w:val="nil"/>
              <w:tr2bl w:val="nil"/>
            </w:tcBorders>
            <w:vAlign w:val="center"/>
          </w:tcPr>
          <w:p w14:paraId="2AB6709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3" w:name="_Toc28817"/>
            <w:r>
              <w:rPr>
                <w:rFonts w:hint="default" w:ascii="Times New Roman" w:hAnsi="Times New Roman" w:eastAsia="宋体" w:cs="Times New Roman"/>
                <w:b w:val="0"/>
                <w:bCs/>
                <w:color w:val="auto"/>
                <w:sz w:val="21"/>
                <w:szCs w:val="21"/>
                <w:highlight w:val="none"/>
              </w:rPr>
              <w:t>≤0.05</w:t>
            </w:r>
            <w:bookmarkEnd w:id="163"/>
          </w:p>
        </w:tc>
        <w:tc>
          <w:tcPr>
            <w:tcW w:w="1012" w:type="pct"/>
            <w:tcBorders>
              <w:tl2br w:val="nil"/>
              <w:tr2bl w:val="nil"/>
            </w:tcBorders>
            <w:vAlign w:val="center"/>
          </w:tcPr>
          <w:p w14:paraId="2313A48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4" w:name="_Toc10638"/>
            <w:r>
              <w:rPr>
                <w:rFonts w:hint="default" w:ascii="Times New Roman" w:hAnsi="Times New Roman" w:eastAsia="宋体" w:cs="Times New Roman"/>
                <w:b w:val="0"/>
                <w:bCs/>
                <w:color w:val="auto"/>
                <w:sz w:val="21"/>
                <w:szCs w:val="21"/>
                <w:highlight w:val="none"/>
              </w:rPr>
              <w:t>mg/L</w:t>
            </w:r>
            <w:bookmarkEnd w:id="164"/>
          </w:p>
        </w:tc>
        <w:tc>
          <w:tcPr>
            <w:tcW w:w="1365" w:type="pct"/>
            <w:vMerge w:val="continue"/>
            <w:tcBorders>
              <w:tl2br w:val="nil"/>
              <w:tr2bl w:val="nil"/>
            </w:tcBorders>
            <w:vAlign w:val="center"/>
          </w:tcPr>
          <w:p w14:paraId="65CC66B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1CAD4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10DF85A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7</w:t>
            </w:r>
          </w:p>
        </w:tc>
        <w:tc>
          <w:tcPr>
            <w:tcW w:w="1145" w:type="pct"/>
            <w:tcBorders>
              <w:tl2br w:val="nil"/>
              <w:tr2bl w:val="nil"/>
            </w:tcBorders>
            <w:vAlign w:val="center"/>
          </w:tcPr>
          <w:p w14:paraId="6DB786C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5" w:name="_Toc27108"/>
            <w:r>
              <w:rPr>
                <w:rFonts w:hint="default" w:ascii="Times New Roman" w:hAnsi="Times New Roman" w:eastAsia="宋体" w:cs="Times New Roman"/>
                <w:b w:val="0"/>
                <w:bCs/>
                <w:color w:val="auto"/>
                <w:sz w:val="21"/>
                <w:szCs w:val="21"/>
                <w:highlight w:val="none"/>
              </w:rPr>
              <w:t>砷</w:t>
            </w:r>
            <w:bookmarkEnd w:id="165"/>
          </w:p>
        </w:tc>
        <w:tc>
          <w:tcPr>
            <w:tcW w:w="1012" w:type="pct"/>
            <w:tcBorders>
              <w:tl2br w:val="nil"/>
              <w:tr2bl w:val="nil"/>
            </w:tcBorders>
            <w:vAlign w:val="center"/>
          </w:tcPr>
          <w:p w14:paraId="2344B81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6" w:name="_Toc11246"/>
            <w:r>
              <w:rPr>
                <w:rFonts w:hint="default" w:ascii="Times New Roman" w:hAnsi="Times New Roman" w:eastAsia="宋体" w:cs="Times New Roman"/>
                <w:b w:val="0"/>
                <w:bCs/>
                <w:color w:val="auto"/>
                <w:sz w:val="21"/>
                <w:szCs w:val="21"/>
                <w:highlight w:val="none"/>
              </w:rPr>
              <w:t>≤0.01</w:t>
            </w:r>
            <w:bookmarkEnd w:id="166"/>
          </w:p>
        </w:tc>
        <w:tc>
          <w:tcPr>
            <w:tcW w:w="1012" w:type="pct"/>
            <w:tcBorders>
              <w:tl2br w:val="nil"/>
              <w:tr2bl w:val="nil"/>
            </w:tcBorders>
            <w:vAlign w:val="center"/>
          </w:tcPr>
          <w:p w14:paraId="3B5FE8C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7" w:name="_Toc19935"/>
            <w:r>
              <w:rPr>
                <w:rFonts w:hint="default" w:ascii="Times New Roman" w:hAnsi="Times New Roman" w:eastAsia="宋体" w:cs="Times New Roman"/>
                <w:b w:val="0"/>
                <w:bCs/>
                <w:color w:val="auto"/>
                <w:sz w:val="21"/>
                <w:szCs w:val="21"/>
                <w:highlight w:val="none"/>
              </w:rPr>
              <w:t>mg/L</w:t>
            </w:r>
            <w:bookmarkEnd w:id="167"/>
          </w:p>
        </w:tc>
        <w:tc>
          <w:tcPr>
            <w:tcW w:w="1365" w:type="pct"/>
            <w:vMerge w:val="continue"/>
            <w:tcBorders>
              <w:tl2br w:val="nil"/>
              <w:tr2bl w:val="nil"/>
            </w:tcBorders>
            <w:vAlign w:val="center"/>
          </w:tcPr>
          <w:p w14:paraId="448DB21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286968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39F0E8F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8</w:t>
            </w:r>
          </w:p>
        </w:tc>
        <w:tc>
          <w:tcPr>
            <w:tcW w:w="1145" w:type="pct"/>
            <w:tcBorders>
              <w:tl2br w:val="nil"/>
              <w:tr2bl w:val="nil"/>
            </w:tcBorders>
            <w:vAlign w:val="center"/>
          </w:tcPr>
          <w:p w14:paraId="007698A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8" w:name="_Toc7245"/>
            <w:r>
              <w:rPr>
                <w:rFonts w:hint="default" w:ascii="Times New Roman" w:hAnsi="Times New Roman" w:eastAsia="宋体" w:cs="Times New Roman"/>
                <w:b w:val="0"/>
                <w:bCs/>
                <w:color w:val="auto"/>
                <w:sz w:val="21"/>
                <w:szCs w:val="21"/>
                <w:highlight w:val="none"/>
              </w:rPr>
              <w:t>汞</w:t>
            </w:r>
            <w:bookmarkEnd w:id="168"/>
          </w:p>
        </w:tc>
        <w:tc>
          <w:tcPr>
            <w:tcW w:w="1012" w:type="pct"/>
            <w:tcBorders>
              <w:tl2br w:val="nil"/>
              <w:tr2bl w:val="nil"/>
            </w:tcBorders>
            <w:vAlign w:val="center"/>
          </w:tcPr>
          <w:p w14:paraId="16293AD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9" w:name="_Toc3830"/>
            <w:r>
              <w:rPr>
                <w:rFonts w:hint="default" w:ascii="Times New Roman" w:hAnsi="Times New Roman" w:eastAsia="宋体" w:cs="Times New Roman"/>
                <w:b w:val="0"/>
                <w:bCs/>
                <w:color w:val="auto"/>
                <w:sz w:val="21"/>
                <w:szCs w:val="21"/>
                <w:highlight w:val="none"/>
              </w:rPr>
              <w:t>≤0.001</w:t>
            </w:r>
            <w:bookmarkEnd w:id="169"/>
          </w:p>
        </w:tc>
        <w:tc>
          <w:tcPr>
            <w:tcW w:w="1012" w:type="pct"/>
            <w:tcBorders>
              <w:tl2br w:val="nil"/>
              <w:tr2bl w:val="nil"/>
            </w:tcBorders>
            <w:vAlign w:val="center"/>
          </w:tcPr>
          <w:p w14:paraId="71C6E35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0" w:name="_Toc27921"/>
            <w:r>
              <w:rPr>
                <w:rFonts w:hint="default" w:ascii="Times New Roman" w:hAnsi="Times New Roman" w:eastAsia="宋体" w:cs="Times New Roman"/>
                <w:b w:val="0"/>
                <w:bCs/>
                <w:color w:val="auto"/>
                <w:sz w:val="21"/>
                <w:szCs w:val="21"/>
                <w:highlight w:val="none"/>
              </w:rPr>
              <w:t>mg/L</w:t>
            </w:r>
            <w:bookmarkEnd w:id="170"/>
          </w:p>
        </w:tc>
        <w:tc>
          <w:tcPr>
            <w:tcW w:w="1365" w:type="pct"/>
            <w:vMerge w:val="continue"/>
            <w:tcBorders>
              <w:tl2br w:val="nil"/>
              <w:tr2bl w:val="nil"/>
            </w:tcBorders>
            <w:vAlign w:val="center"/>
          </w:tcPr>
          <w:p w14:paraId="7E9AF26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86F8C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479BAFE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9</w:t>
            </w:r>
          </w:p>
        </w:tc>
        <w:tc>
          <w:tcPr>
            <w:tcW w:w="1145" w:type="pct"/>
            <w:tcBorders>
              <w:tl2br w:val="nil"/>
              <w:tr2bl w:val="nil"/>
            </w:tcBorders>
            <w:vAlign w:val="center"/>
          </w:tcPr>
          <w:p w14:paraId="7D87ACF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1" w:name="_Toc173"/>
            <w:r>
              <w:rPr>
                <w:rFonts w:hint="default" w:ascii="Times New Roman" w:hAnsi="Times New Roman" w:eastAsia="宋体" w:cs="Times New Roman"/>
                <w:b w:val="0"/>
                <w:bCs/>
                <w:color w:val="auto"/>
                <w:sz w:val="21"/>
                <w:szCs w:val="21"/>
                <w:highlight w:val="none"/>
              </w:rPr>
              <w:t>铬（六价）</w:t>
            </w:r>
            <w:bookmarkEnd w:id="171"/>
          </w:p>
        </w:tc>
        <w:tc>
          <w:tcPr>
            <w:tcW w:w="1012" w:type="pct"/>
            <w:tcBorders>
              <w:tl2br w:val="nil"/>
              <w:tr2bl w:val="nil"/>
            </w:tcBorders>
            <w:vAlign w:val="center"/>
          </w:tcPr>
          <w:p w14:paraId="0E33255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2" w:name="_Toc2945"/>
            <w:r>
              <w:rPr>
                <w:rFonts w:hint="default" w:ascii="Times New Roman" w:hAnsi="Times New Roman" w:eastAsia="宋体" w:cs="Times New Roman"/>
                <w:b w:val="0"/>
                <w:bCs/>
                <w:color w:val="auto"/>
                <w:sz w:val="21"/>
                <w:szCs w:val="21"/>
                <w:highlight w:val="none"/>
              </w:rPr>
              <w:t>≤0.05</w:t>
            </w:r>
            <w:bookmarkEnd w:id="172"/>
          </w:p>
        </w:tc>
        <w:tc>
          <w:tcPr>
            <w:tcW w:w="1012" w:type="pct"/>
            <w:tcBorders>
              <w:tl2br w:val="nil"/>
              <w:tr2bl w:val="nil"/>
            </w:tcBorders>
            <w:vAlign w:val="center"/>
          </w:tcPr>
          <w:p w14:paraId="16C71A6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3" w:name="_Toc27578"/>
            <w:r>
              <w:rPr>
                <w:rFonts w:hint="default" w:ascii="Times New Roman" w:hAnsi="Times New Roman" w:eastAsia="宋体" w:cs="Times New Roman"/>
                <w:b w:val="0"/>
                <w:bCs/>
                <w:color w:val="auto"/>
                <w:sz w:val="21"/>
                <w:szCs w:val="21"/>
                <w:highlight w:val="none"/>
              </w:rPr>
              <w:t>mg/L</w:t>
            </w:r>
            <w:bookmarkEnd w:id="173"/>
          </w:p>
        </w:tc>
        <w:tc>
          <w:tcPr>
            <w:tcW w:w="1365" w:type="pct"/>
            <w:vMerge w:val="continue"/>
            <w:tcBorders>
              <w:tl2br w:val="nil"/>
              <w:tr2bl w:val="nil"/>
            </w:tcBorders>
            <w:vAlign w:val="center"/>
          </w:tcPr>
          <w:p w14:paraId="2ED662D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5A06F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51E7045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145" w:type="pct"/>
            <w:tcBorders>
              <w:tl2br w:val="nil"/>
              <w:tr2bl w:val="nil"/>
            </w:tcBorders>
            <w:vAlign w:val="center"/>
          </w:tcPr>
          <w:p w14:paraId="1A14C89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4" w:name="_Toc5086"/>
            <w:r>
              <w:rPr>
                <w:rFonts w:hint="default" w:ascii="Times New Roman" w:hAnsi="Times New Roman" w:eastAsia="宋体" w:cs="Times New Roman"/>
                <w:b w:val="0"/>
                <w:bCs/>
                <w:color w:val="auto"/>
                <w:sz w:val="21"/>
                <w:szCs w:val="21"/>
                <w:highlight w:val="none"/>
              </w:rPr>
              <w:t>总硬度</w:t>
            </w:r>
            <w:bookmarkEnd w:id="174"/>
          </w:p>
        </w:tc>
        <w:tc>
          <w:tcPr>
            <w:tcW w:w="1012" w:type="pct"/>
            <w:tcBorders>
              <w:tl2br w:val="nil"/>
              <w:tr2bl w:val="nil"/>
            </w:tcBorders>
            <w:vAlign w:val="center"/>
          </w:tcPr>
          <w:p w14:paraId="5D7B590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5" w:name="_Toc8249"/>
            <w:r>
              <w:rPr>
                <w:rFonts w:hint="default" w:ascii="Times New Roman" w:hAnsi="Times New Roman" w:eastAsia="宋体" w:cs="Times New Roman"/>
                <w:b w:val="0"/>
                <w:bCs/>
                <w:color w:val="auto"/>
                <w:sz w:val="21"/>
                <w:szCs w:val="21"/>
                <w:highlight w:val="none"/>
              </w:rPr>
              <w:t>≤450</w:t>
            </w:r>
            <w:bookmarkEnd w:id="175"/>
          </w:p>
        </w:tc>
        <w:tc>
          <w:tcPr>
            <w:tcW w:w="1012" w:type="pct"/>
            <w:tcBorders>
              <w:tl2br w:val="nil"/>
              <w:tr2bl w:val="nil"/>
            </w:tcBorders>
            <w:vAlign w:val="center"/>
          </w:tcPr>
          <w:p w14:paraId="34CB52B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6" w:name="_Toc3909"/>
            <w:r>
              <w:rPr>
                <w:rFonts w:hint="default" w:ascii="Times New Roman" w:hAnsi="Times New Roman" w:eastAsia="宋体" w:cs="Times New Roman"/>
                <w:b w:val="0"/>
                <w:bCs/>
                <w:color w:val="auto"/>
                <w:sz w:val="21"/>
                <w:szCs w:val="21"/>
                <w:highlight w:val="none"/>
              </w:rPr>
              <w:t>mg/L</w:t>
            </w:r>
            <w:bookmarkEnd w:id="176"/>
          </w:p>
        </w:tc>
        <w:tc>
          <w:tcPr>
            <w:tcW w:w="1365" w:type="pct"/>
            <w:vMerge w:val="continue"/>
            <w:tcBorders>
              <w:tl2br w:val="nil"/>
              <w:tr2bl w:val="nil"/>
            </w:tcBorders>
            <w:vAlign w:val="center"/>
          </w:tcPr>
          <w:p w14:paraId="6CA130D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748D33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5DB2624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11</w:t>
            </w:r>
          </w:p>
        </w:tc>
        <w:tc>
          <w:tcPr>
            <w:tcW w:w="1145" w:type="pct"/>
            <w:tcBorders>
              <w:tl2br w:val="nil"/>
              <w:tr2bl w:val="nil"/>
            </w:tcBorders>
            <w:vAlign w:val="center"/>
          </w:tcPr>
          <w:p w14:paraId="542FEF8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7" w:name="_Toc24184"/>
            <w:r>
              <w:rPr>
                <w:rFonts w:hint="default" w:ascii="Times New Roman" w:hAnsi="Times New Roman" w:eastAsia="宋体" w:cs="Times New Roman"/>
                <w:b w:val="0"/>
                <w:bCs/>
                <w:color w:val="auto"/>
                <w:sz w:val="21"/>
                <w:szCs w:val="21"/>
                <w:highlight w:val="none"/>
              </w:rPr>
              <w:t>铅</w:t>
            </w:r>
            <w:bookmarkEnd w:id="177"/>
          </w:p>
        </w:tc>
        <w:tc>
          <w:tcPr>
            <w:tcW w:w="1012" w:type="pct"/>
            <w:tcBorders>
              <w:tl2br w:val="nil"/>
              <w:tr2bl w:val="nil"/>
            </w:tcBorders>
            <w:vAlign w:val="center"/>
          </w:tcPr>
          <w:p w14:paraId="52165B3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8" w:name="_Toc20944"/>
            <w:r>
              <w:rPr>
                <w:rFonts w:hint="default" w:ascii="Times New Roman" w:hAnsi="Times New Roman" w:eastAsia="宋体" w:cs="Times New Roman"/>
                <w:b w:val="0"/>
                <w:bCs/>
                <w:color w:val="auto"/>
                <w:sz w:val="21"/>
                <w:szCs w:val="21"/>
                <w:highlight w:val="none"/>
              </w:rPr>
              <w:t>≤0.01</w:t>
            </w:r>
            <w:bookmarkEnd w:id="178"/>
          </w:p>
        </w:tc>
        <w:tc>
          <w:tcPr>
            <w:tcW w:w="1012" w:type="pct"/>
            <w:tcBorders>
              <w:tl2br w:val="nil"/>
              <w:tr2bl w:val="nil"/>
            </w:tcBorders>
            <w:vAlign w:val="center"/>
          </w:tcPr>
          <w:p w14:paraId="655A702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9" w:name="_Toc29473"/>
            <w:r>
              <w:rPr>
                <w:rFonts w:hint="default" w:ascii="Times New Roman" w:hAnsi="Times New Roman" w:eastAsia="宋体" w:cs="Times New Roman"/>
                <w:b w:val="0"/>
                <w:bCs/>
                <w:color w:val="auto"/>
                <w:sz w:val="21"/>
                <w:szCs w:val="21"/>
                <w:highlight w:val="none"/>
              </w:rPr>
              <w:t>mg/L</w:t>
            </w:r>
            <w:bookmarkEnd w:id="179"/>
          </w:p>
        </w:tc>
        <w:tc>
          <w:tcPr>
            <w:tcW w:w="1365" w:type="pct"/>
            <w:vMerge w:val="continue"/>
            <w:tcBorders>
              <w:tl2br w:val="nil"/>
              <w:tr2bl w:val="nil"/>
            </w:tcBorders>
            <w:vAlign w:val="center"/>
          </w:tcPr>
          <w:p w14:paraId="4675298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2FC67E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EAE321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12</w:t>
            </w:r>
          </w:p>
        </w:tc>
        <w:tc>
          <w:tcPr>
            <w:tcW w:w="1145" w:type="pct"/>
            <w:tcBorders>
              <w:tl2br w:val="nil"/>
              <w:tr2bl w:val="nil"/>
            </w:tcBorders>
            <w:vAlign w:val="center"/>
          </w:tcPr>
          <w:p w14:paraId="5C3CFE4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0" w:name="_Toc654"/>
            <w:r>
              <w:rPr>
                <w:rFonts w:hint="default" w:ascii="Times New Roman" w:hAnsi="Times New Roman" w:eastAsia="宋体" w:cs="Times New Roman"/>
                <w:b w:val="0"/>
                <w:bCs/>
                <w:color w:val="auto"/>
                <w:sz w:val="21"/>
                <w:szCs w:val="21"/>
                <w:highlight w:val="none"/>
              </w:rPr>
              <w:t>氟化物</w:t>
            </w:r>
            <w:bookmarkEnd w:id="180"/>
          </w:p>
        </w:tc>
        <w:tc>
          <w:tcPr>
            <w:tcW w:w="1012" w:type="pct"/>
            <w:tcBorders>
              <w:tl2br w:val="nil"/>
              <w:tr2bl w:val="nil"/>
            </w:tcBorders>
            <w:vAlign w:val="center"/>
          </w:tcPr>
          <w:p w14:paraId="4B168ED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1" w:name="_Toc2519"/>
            <w:r>
              <w:rPr>
                <w:rFonts w:hint="default" w:ascii="Times New Roman" w:hAnsi="Times New Roman" w:eastAsia="宋体" w:cs="Times New Roman"/>
                <w:b w:val="0"/>
                <w:bCs/>
                <w:color w:val="auto"/>
                <w:sz w:val="21"/>
                <w:szCs w:val="21"/>
                <w:highlight w:val="none"/>
              </w:rPr>
              <w:t>≤1.0</w:t>
            </w:r>
            <w:bookmarkEnd w:id="181"/>
          </w:p>
        </w:tc>
        <w:tc>
          <w:tcPr>
            <w:tcW w:w="1012" w:type="pct"/>
            <w:tcBorders>
              <w:tl2br w:val="nil"/>
              <w:tr2bl w:val="nil"/>
            </w:tcBorders>
            <w:vAlign w:val="center"/>
          </w:tcPr>
          <w:p w14:paraId="6A03B97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2" w:name="_Toc25661"/>
            <w:r>
              <w:rPr>
                <w:rFonts w:hint="default" w:ascii="Times New Roman" w:hAnsi="Times New Roman" w:eastAsia="宋体" w:cs="Times New Roman"/>
                <w:b w:val="0"/>
                <w:bCs/>
                <w:color w:val="auto"/>
                <w:sz w:val="21"/>
                <w:szCs w:val="21"/>
                <w:highlight w:val="none"/>
              </w:rPr>
              <w:t>mg/L</w:t>
            </w:r>
            <w:bookmarkEnd w:id="182"/>
          </w:p>
        </w:tc>
        <w:tc>
          <w:tcPr>
            <w:tcW w:w="1365" w:type="pct"/>
            <w:vMerge w:val="continue"/>
            <w:tcBorders>
              <w:tl2br w:val="nil"/>
              <w:tr2bl w:val="nil"/>
            </w:tcBorders>
            <w:vAlign w:val="center"/>
          </w:tcPr>
          <w:p w14:paraId="68C1818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8F5D1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3D1113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13</w:t>
            </w:r>
          </w:p>
        </w:tc>
        <w:tc>
          <w:tcPr>
            <w:tcW w:w="1145" w:type="pct"/>
            <w:tcBorders>
              <w:tl2br w:val="nil"/>
              <w:tr2bl w:val="nil"/>
            </w:tcBorders>
            <w:vAlign w:val="center"/>
          </w:tcPr>
          <w:p w14:paraId="3C80707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3" w:name="_Toc4471"/>
            <w:r>
              <w:rPr>
                <w:rFonts w:hint="default" w:ascii="Times New Roman" w:hAnsi="Times New Roman" w:eastAsia="宋体" w:cs="Times New Roman"/>
                <w:b w:val="0"/>
                <w:bCs/>
                <w:color w:val="auto"/>
                <w:sz w:val="21"/>
                <w:szCs w:val="21"/>
                <w:highlight w:val="none"/>
              </w:rPr>
              <w:t>镉</w:t>
            </w:r>
            <w:bookmarkEnd w:id="183"/>
          </w:p>
        </w:tc>
        <w:tc>
          <w:tcPr>
            <w:tcW w:w="1012" w:type="pct"/>
            <w:tcBorders>
              <w:tl2br w:val="nil"/>
              <w:tr2bl w:val="nil"/>
            </w:tcBorders>
            <w:vAlign w:val="center"/>
          </w:tcPr>
          <w:p w14:paraId="04B07FF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4" w:name="_Toc27897"/>
            <w:r>
              <w:rPr>
                <w:rFonts w:hint="default" w:ascii="Times New Roman" w:hAnsi="Times New Roman" w:eastAsia="宋体" w:cs="Times New Roman"/>
                <w:b w:val="0"/>
                <w:bCs/>
                <w:color w:val="auto"/>
                <w:sz w:val="21"/>
                <w:szCs w:val="21"/>
                <w:highlight w:val="none"/>
              </w:rPr>
              <w:t>≤0.005</w:t>
            </w:r>
            <w:bookmarkEnd w:id="184"/>
          </w:p>
        </w:tc>
        <w:tc>
          <w:tcPr>
            <w:tcW w:w="1012" w:type="pct"/>
            <w:tcBorders>
              <w:tl2br w:val="nil"/>
              <w:tr2bl w:val="nil"/>
            </w:tcBorders>
            <w:vAlign w:val="center"/>
          </w:tcPr>
          <w:p w14:paraId="04F5B6B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5" w:name="_Toc10136"/>
            <w:r>
              <w:rPr>
                <w:rFonts w:hint="default" w:ascii="Times New Roman" w:hAnsi="Times New Roman" w:eastAsia="宋体" w:cs="Times New Roman"/>
                <w:b w:val="0"/>
                <w:bCs/>
                <w:color w:val="auto"/>
                <w:sz w:val="21"/>
                <w:szCs w:val="21"/>
                <w:highlight w:val="none"/>
              </w:rPr>
              <w:t>mg/L</w:t>
            </w:r>
            <w:bookmarkEnd w:id="185"/>
          </w:p>
        </w:tc>
        <w:tc>
          <w:tcPr>
            <w:tcW w:w="1365" w:type="pct"/>
            <w:vMerge w:val="continue"/>
            <w:tcBorders>
              <w:tl2br w:val="nil"/>
              <w:tr2bl w:val="nil"/>
            </w:tcBorders>
            <w:vAlign w:val="center"/>
          </w:tcPr>
          <w:p w14:paraId="6420664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735325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4E981C7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14</w:t>
            </w:r>
          </w:p>
        </w:tc>
        <w:tc>
          <w:tcPr>
            <w:tcW w:w="1145" w:type="pct"/>
            <w:tcBorders>
              <w:tl2br w:val="nil"/>
              <w:tr2bl w:val="nil"/>
            </w:tcBorders>
            <w:vAlign w:val="center"/>
          </w:tcPr>
          <w:p w14:paraId="2A58C82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6" w:name="_Toc27703"/>
            <w:r>
              <w:rPr>
                <w:rFonts w:hint="default" w:ascii="Times New Roman" w:hAnsi="Times New Roman" w:eastAsia="宋体" w:cs="Times New Roman"/>
                <w:b w:val="0"/>
                <w:bCs/>
                <w:color w:val="auto"/>
                <w:sz w:val="21"/>
                <w:szCs w:val="21"/>
                <w:highlight w:val="none"/>
              </w:rPr>
              <w:t>铁</w:t>
            </w:r>
            <w:bookmarkEnd w:id="186"/>
          </w:p>
        </w:tc>
        <w:tc>
          <w:tcPr>
            <w:tcW w:w="1012" w:type="pct"/>
            <w:tcBorders>
              <w:tl2br w:val="nil"/>
              <w:tr2bl w:val="nil"/>
            </w:tcBorders>
            <w:vAlign w:val="center"/>
          </w:tcPr>
          <w:p w14:paraId="35E1ABB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7" w:name="_Toc27923"/>
            <w:r>
              <w:rPr>
                <w:rFonts w:hint="default" w:ascii="Times New Roman" w:hAnsi="Times New Roman" w:eastAsia="宋体" w:cs="Times New Roman"/>
                <w:b w:val="0"/>
                <w:bCs/>
                <w:color w:val="auto"/>
                <w:sz w:val="21"/>
                <w:szCs w:val="21"/>
                <w:highlight w:val="none"/>
              </w:rPr>
              <w:t>≤0.3</w:t>
            </w:r>
            <w:bookmarkEnd w:id="187"/>
          </w:p>
        </w:tc>
        <w:tc>
          <w:tcPr>
            <w:tcW w:w="1012" w:type="pct"/>
            <w:tcBorders>
              <w:tl2br w:val="nil"/>
              <w:tr2bl w:val="nil"/>
            </w:tcBorders>
            <w:vAlign w:val="center"/>
          </w:tcPr>
          <w:p w14:paraId="0548C99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8" w:name="_Toc14791"/>
            <w:r>
              <w:rPr>
                <w:rFonts w:hint="default" w:ascii="Times New Roman" w:hAnsi="Times New Roman" w:eastAsia="宋体" w:cs="Times New Roman"/>
                <w:b w:val="0"/>
                <w:bCs/>
                <w:color w:val="auto"/>
                <w:sz w:val="21"/>
                <w:szCs w:val="21"/>
                <w:highlight w:val="none"/>
              </w:rPr>
              <w:t>mg/L</w:t>
            </w:r>
            <w:bookmarkEnd w:id="188"/>
          </w:p>
        </w:tc>
        <w:tc>
          <w:tcPr>
            <w:tcW w:w="1365" w:type="pct"/>
            <w:vMerge w:val="continue"/>
            <w:tcBorders>
              <w:tl2br w:val="nil"/>
              <w:tr2bl w:val="nil"/>
            </w:tcBorders>
            <w:vAlign w:val="center"/>
          </w:tcPr>
          <w:p w14:paraId="521F6B6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DCC76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77C525D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15</w:t>
            </w:r>
          </w:p>
        </w:tc>
        <w:tc>
          <w:tcPr>
            <w:tcW w:w="1145" w:type="pct"/>
            <w:tcBorders>
              <w:tl2br w:val="nil"/>
              <w:tr2bl w:val="nil"/>
            </w:tcBorders>
            <w:vAlign w:val="center"/>
          </w:tcPr>
          <w:p w14:paraId="4372F57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9" w:name="_Toc29572"/>
            <w:r>
              <w:rPr>
                <w:rFonts w:hint="default" w:ascii="Times New Roman" w:hAnsi="Times New Roman" w:eastAsia="宋体" w:cs="Times New Roman"/>
                <w:b w:val="0"/>
                <w:bCs/>
                <w:color w:val="auto"/>
                <w:sz w:val="21"/>
                <w:szCs w:val="21"/>
                <w:highlight w:val="none"/>
              </w:rPr>
              <w:t>锰</w:t>
            </w:r>
            <w:bookmarkEnd w:id="189"/>
          </w:p>
        </w:tc>
        <w:tc>
          <w:tcPr>
            <w:tcW w:w="1012" w:type="pct"/>
            <w:tcBorders>
              <w:tl2br w:val="nil"/>
              <w:tr2bl w:val="nil"/>
            </w:tcBorders>
            <w:vAlign w:val="center"/>
          </w:tcPr>
          <w:p w14:paraId="6DBF4EA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0" w:name="_Toc32177"/>
            <w:r>
              <w:rPr>
                <w:rFonts w:hint="default" w:ascii="Times New Roman" w:hAnsi="Times New Roman" w:eastAsia="宋体" w:cs="Times New Roman"/>
                <w:b w:val="0"/>
                <w:bCs/>
                <w:color w:val="auto"/>
                <w:sz w:val="21"/>
                <w:szCs w:val="21"/>
                <w:highlight w:val="none"/>
              </w:rPr>
              <w:t>≤0.10</w:t>
            </w:r>
            <w:bookmarkEnd w:id="190"/>
          </w:p>
        </w:tc>
        <w:tc>
          <w:tcPr>
            <w:tcW w:w="1012" w:type="pct"/>
            <w:tcBorders>
              <w:tl2br w:val="nil"/>
              <w:tr2bl w:val="nil"/>
            </w:tcBorders>
            <w:vAlign w:val="center"/>
          </w:tcPr>
          <w:p w14:paraId="3EB034D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1" w:name="_Toc24613"/>
            <w:r>
              <w:rPr>
                <w:rFonts w:hint="default" w:ascii="Times New Roman" w:hAnsi="Times New Roman" w:eastAsia="宋体" w:cs="Times New Roman"/>
                <w:b w:val="0"/>
                <w:bCs/>
                <w:color w:val="auto"/>
                <w:sz w:val="21"/>
                <w:szCs w:val="21"/>
                <w:highlight w:val="none"/>
              </w:rPr>
              <w:t>mg/L</w:t>
            </w:r>
            <w:bookmarkEnd w:id="191"/>
          </w:p>
        </w:tc>
        <w:tc>
          <w:tcPr>
            <w:tcW w:w="1365" w:type="pct"/>
            <w:vMerge w:val="continue"/>
            <w:tcBorders>
              <w:tl2br w:val="nil"/>
              <w:tr2bl w:val="nil"/>
            </w:tcBorders>
            <w:vAlign w:val="center"/>
          </w:tcPr>
          <w:p w14:paraId="565DBAA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3977A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382855C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16</w:t>
            </w:r>
          </w:p>
        </w:tc>
        <w:tc>
          <w:tcPr>
            <w:tcW w:w="1145" w:type="pct"/>
            <w:tcBorders>
              <w:tl2br w:val="nil"/>
              <w:tr2bl w:val="nil"/>
            </w:tcBorders>
            <w:vAlign w:val="center"/>
          </w:tcPr>
          <w:p w14:paraId="0B21491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2" w:name="_Toc17059"/>
            <w:r>
              <w:rPr>
                <w:rFonts w:hint="default" w:ascii="Times New Roman" w:hAnsi="Times New Roman" w:eastAsia="宋体" w:cs="Times New Roman"/>
                <w:b w:val="0"/>
                <w:bCs/>
                <w:color w:val="auto"/>
                <w:sz w:val="21"/>
                <w:szCs w:val="21"/>
                <w:highlight w:val="none"/>
              </w:rPr>
              <w:t>溶解性总固体</w:t>
            </w:r>
            <w:bookmarkEnd w:id="192"/>
          </w:p>
        </w:tc>
        <w:tc>
          <w:tcPr>
            <w:tcW w:w="1012" w:type="pct"/>
            <w:tcBorders>
              <w:tl2br w:val="nil"/>
              <w:tr2bl w:val="nil"/>
            </w:tcBorders>
            <w:vAlign w:val="center"/>
          </w:tcPr>
          <w:p w14:paraId="3F725D1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3" w:name="_Toc10722"/>
            <w:r>
              <w:rPr>
                <w:rFonts w:hint="default" w:ascii="Times New Roman" w:hAnsi="Times New Roman" w:eastAsia="宋体" w:cs="Times New Roman"/>
                <w:b w:val="0"/>
                <w:bCs/>
                <w:color w:val="auto"/>
                <w:sz w:val="21"/>
                <w:szCs w:val="21"/>
                <w:highlight w:val="none"/>
              </w:rPr>
              <w:t>≤1000</w:t>
            </w:r>
            <w:bookmarkEnd w:id="193"/>
          </w:p>
        </w:tc>
        <w:tc>
          <w:tcPr>
            <w:tcW w:w="1012" w:type="pct"/>
            <w:tcBorders>
              <w:tl2br w:val="nil"/>
              <w:tr2bl w:val="nil"/>
            </w:tcBorders>
            <w:vAlign w:val="center"/>
          </w:tcPr>
          <w:p w14:paraId="2F511AB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4" w:name="_Toc16939"/>
            <w:r>
              <w:rPr>
                <w:rFonts w:hint="default" w:ascii="Times New Roman" w:hAnsi="Times New Roman" w:eastAsia="宋体" w:cs="Times New Roman"/>
                <w:b w:val="0"/>
                <w:bCs/>
                <w:color w:val="auto"/>
                <w:sz w:val="21"/>
                <w:szCs w:val="21"/>
                <w:highlight w:val="none"/>
              </w:rPr>
              <w:t>mg/L</w:t>
            </w:r>
            <w:bookmarkEnd w:id="194"/>
          </w:p>
        </w:tc>
        <w:tc>
          <w:tcPr>
            <w:tcW w:w="1365" w:type="pct"/>
            <w:vMerge w:val="continue"/>
            <w:tcBorders>
              <w:tl2br w:val="nil"/>
              <w:tr2bl w:val="nil"/>
            </w:tcBorders>
            <w:vAlign w:val="center"/>
          </w:tcPr>
          <w:p w14:paraId="0D7616E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778B43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A4D3AC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17</w:t>
            </w:r>
          </w:p>
        </w:tc>
        <w:tc>
          <w:tcPr>
            <w:tcW w:w="1145" w:type="pct"/>
            <w:tcBorders>
              <w:tl2br w:val="nil"/>
              <w:tr2bl w:val="nil"/>
            </w:tcBorders>
            <w:vAlign w:val="center"/>
          </w:tcPr>
          <w:p w14:paraId="6EB6BE1F">
            <w:pPr>
              <w:keepNext w:val="0"/>
              <w:keepLines w:val="0"/>
              <w:pageBreakBefore w:val="0"/>
              <w:widowControl/>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val="0"/>
                <w:bCs/>
                <w:color w:val="auto"/>
                <w:sz w:val="21"/>
                <w:szCs w:val="21"/>
                <w:highlight w:val="none"/>
                <w:lang w:eastAsia="zh-CN"/>
              </w:rPr>
            </w:pPr>
            <w:bookmarkStart w:id="195" w:name="_Toc24753"/>
            <w:r>
              <w:rPr>
                <w:rFonts w:hint="default" w:ascii="Times New Roman" w:hAnsi="Times New Roman" w:eastAsia="宋体" w:cs="Times New Roman"/>
                <w:b w:val="0"/>
                <w:bCs/>
                <w:color w:val="auto"/>
                <w:sz w:val="21"/>
                <w:szCs w:val="21"/>
                <w:highlight w:val="none"/>
              </w:rPr>
              <w:t>耗氧量</w:t>
            </w:r>
            <w:bookmarkEnd w:id="195"/>
            <w:r>
              <w:rPr>
                <w:rFonts w:hint="eastAsia" w:ascii="Times New Roman" w:hAnsi="Times New Roman" w:cs="Times New Roman"/>
                <w:b w:val="0"/>
                <w:bCs/>
                <w:color w:val="auto"/>
                <w:sz w:val="21"/>
                <w:szCs w:val="21"/>
                <w:highlight w:val="none"/>
                <w:lang w:eastAsia="zh-CN"/>
              </w:rPr>
              <w:t>（</w:t>
            </w:r>
            <w:r>
              <w:rPr>
                <w:rFonts w:hint="eastAsia" w:ascii="Times New Roman" w:hAnsi="Times New Roman" w:cs="Times New Roman"/>
                <w:b w:val="0"/>
                <w:bCs/>
                <w:color w:val="auto"/>
                <w:sz w:val="21"/>
                <w:szCs w:val="21"/>
                <w:highlight w:val="none"/>
                <w:lang w:val="en-US" w:eastAsia="zh-CN"/>
              </w:rPr>
              <w:t>COD</w:t>
            </w:r>
            <w:r>
              <w:rPr>
                <w:rFonts w:hint="eastAsia" w:ascii="Times New Roman" w:hAnsi="Times New Roman" w:cs="Times New Roman"/>
                <w:b w:val="0"/>
                <w:bCs/>
                <w:color w:val="auto"/>
                <w:sz w:val="21"/>
                <w:szCs w:val="21"/>
                <w:highlight w:val="none"/>
                <w:vertAlign w:val="subscript"/>
                <w:lang w:val="en-US" w:eastAsia="zh-CN"/>
              </w:rPr>
              <w:t>Mn</w:t>
            </w:r>
            <w:r>
              <w:rPr>
                <w:rFonts w:hint="eastAsia" w:ascii="Times New Roman" w:hAnsi="Times New Roman" w:cs="Times New Roman"/>
                <w:b w:val="0"/>
                <w:bCs/>
                <w:color w:val="auto"/>
                <w:sz w:val="21"/>
                <w:szCs w:val="21"/>
                <w:highlight w:val="none"/>
                <w:vertAlign w:val="baseline"/>
                <w:lang w:val="en-US" w:eastAsia="zh-CN"/>
              </w:rPr>
              <w:t>法，以O</w:t>
            </w:r>
            <w:r>
              <w:rPr>
                <w:rFonts w:hint="eastAsia" w:ascii="Times New Roman" w:hAnsi="Times New Roman" w:cs="Times New Roman"/>
                <w:b w:val="0"/>
                <w:bCs/>
                <w:color w:val="auto"/>
                <w:sz w:val="21"/>
                <w:szCs w:val="21"/>
                <w:highlight w:val="none"/>
                <w:vertAlign w:val="subscript"/>
                <w:lang w:val="en-US" w:eastAsia="zh-CN"/>
              </w:rPr>
              <w:t>2</w:t>
            </w:r>
            <w:r>
              <w:rPr>
                <w:rFonts w:hint="eastAsia" w:ascii="Times New Roman" w:hAnsi="Times New Roman" w:cs="Times New Roman"/>
                <w:b w:val="0"/>
                <w:bCs/>
                <w:color w:val="auto"/>
                <w:sz w:val="21"/>
                <w:szCs w:val="21"/>
                <w:highlight w:val="none"/>
                <w:vertAlign w:val="baseline"/>
                <w:lang w:val="en-US" w:eastAsia="zh-CN"/>
              </w:rPr>
              <w:t>计</w:t>
            </w:r>
            <w:r>
              <w:rPr>
                <w:rFonts w:hint="eastAsia" w:ascii="Times New Roman" w:hAnsi="Times New Roman" w:cs="Times New Roman"/>
                <w:b w:val="0"/>
                <w:bCs/>
                <w:color w:val="auto"/>
                <w:sz w:val="21"/>
                <w:szCs w:val="21"/>
                <w:highlight w:val="none"/>
                <w:lang w:eastAsia="zh-CN"/>
              </w:rPr>
              <w:t>）</w:t>
            </w:r>
          </w:p>
        </w:tc>
        <w:tc>
          <w:tcPr>
            <w:tcW w:w="1012" w:type="pct"/>
            <w:tcBorders>
              <w:tl2br w:val="nil"/>
              <w:tr2bl w:val="nil"/>
            </w:tcBorders>
            <w:vAlign w:val="center"/>
          </w:tcPr>
          <w:p w14:paraId="44E0F09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6" w:name="_Toc6831"/>
            <w:r>
              <w:rPr>
                <w:rFonts w:hint="default" w:ascii="Times New Roman" w:hAnsi="Times New Roman" w:eastAsia="宋体" w:cs="Times New Roman"/>
                <w:b w:val="0"/>
                <w:bCs/>
                <w:color w:val="auto"/>
                <w:sz w:val="21"/>
                <w:szCs w:val="21"/>
                <w:highlight w:val="none"/>
              </w:rPr>
              <w:t>≤3.0</w:t>
            </w:r>
            <w:bookmarkEnd w:id="196"/>
          </w:p>
        </w:tc>
        <w:tc>
          <w:tcPr>
            <w:tcW w:w="1012" w:type="pct"/>
            <w:tcBorders>
              <w:tl2br w:val="nil"/>
              <w:tr2bl w:val="nil"/>
            </w:tcBorders>
            <w:vAlign w:val="center"/>
          </w:tcPr>
          <w:p w14:paraId="295A669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7" w:name="_Toc2287"/>
            <w:r>
              <w:rPr>
                <w:rFonts w:hint="default" w:ascii="Times New Roman" w:hAnsi="Times New Roman" w:eastAsia="宋体" w:cs="Times New Roman"/>
                <w:b w:val="0"/>
                <w:bCs/>
                <w:color w:val="auto"/>
                <w:sz w:val="21"/>
                <w:szCs w:val="21"/>
                <w:highlight w:val="none"/>
              </w:rPr>
              <w:t>mg/L</w:t>
            </w:r>
            <w:bookmarkEnd w:id="197"/>
          </w:p>
        </w:tc>
        <w:tc>
          <w:tcPr>
            <w:tcW w:w="1365" w:type="pct"/>
            <w:vMerge w:val="continue"/>
            <w:tcBorders>
              <w:tl2br w:val="nil"/>
              <w:tr2bl w:val="nil"/>
            </w:tcBorders>
            <w:vAlign w:val="center"/>
          </w:tcPr>
          <w:p w14:paraId="235F406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85CE2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36AD5BF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18</w:t>
            </w:r>
          </w:p>
        </w:tc>
        <w:tc>
          <w:tcPr>
            <w:tcW w:w="1145" w:type="pct"/>
            <w:tcBorders>
              <w:tl2br w:val="nil"/>
              <w:tr2bl w:val="nil"/>
            </w:tcBorders>
            <w:vAlign w:val="center"/>
          </w:tcPr>
          <w:p w14:paraId="68C0351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8" w:name="_Toc4791"/>
            <w:r>
              <w:rPr>
                <w:rFonts w:hint="default" w:ascii="Times New Roman" w:hAnsi="Times New Roman" w:eastAsia="宋体" w:cs="Times New Roman"/>
                <w:b w:val="0"/>
                <w:bCs/>
                <w:color w:val="auto"/>
                <w:sz w:val="21"/>
                <w:szCs w:val="21"/>
                <w:highlight w:val="none"/>
              </w:rPr>
              <w:t>硫酸盐</w:t>
            </w:r>
            <w:bookmarkEnd w:id="198"/>
          </w:p>
        </w:tc>
        <w:tc>
          <w:tcPr>
            <w:tcW w:w="1012" w:type="pct"/>
            <w:tcBorders>
              <w:tl2br w:val="nil"/>
              <w:tr2bl w:val="nil"/>
            </w:tcBorders>
            <w:vAlign w:val="center"/>
          </w:tcPr>
          <w:p w14:paraId="32852FC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9" w:name="_Toc15419"/>
            <w:r>
              <w:rPr>
                <w:rFonts w:hint="default" w:ascii="Times New Roman" w:hAnsi="Times New Roman" w:eastAsia="宋体" w:cs="Times New Roman"/>
                <w:b w:val="0"/>
                <w:bCs/>
                <w:color w:val="auto"/>
                <w:sz w:val="21"/>
                <w:szCs w:val="21"/>
                <w:highlight w:val="none"/>
              </w:rPr>
              <w:t>≤250</w:t>
            </w:r>
            <w:bookmarkEnd w:id="199"/>
          </w:p>
        </w:tc>
        <w:tc>
          <w:tcPr>
            <w:tcW w:w="1012" w:type="pct"/>
            <w:tcBorders>
              <w:tl2br w:val="nil"/>
              <w:tr2bl w:val="nil"/>
            </w:tcBorders>
            <w:vAlign w:val="center"/>
          </w:tcPr>
          <w:p w14:paraId="241FDED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0" w:name="_Toc24008"/>
            <w:r>
              <w:rPr>
                <w:rFonts w:hint="default" w:ascii="Times New Roman" w:hAnsi="Times New Roman" w:eastAsia="宋体" w:cs="Times New Roman"/>
                <w:b w:val="0"/>
                <w:bCs/>
                <w:color w:val="auto"/>
                <w:sz w:val="21"/>
                <w:szCs w:val="21"/>
                <w:highlight w:val="none"/>
              </w:rPr>
              <w:t>mg/L</w:t>
            </w:r>
            <w:bookmarkEnd w:id="200"/>
          </w:p>
        </w:tc>
        <w:tc>
          <w:tcPr>
            <w:tcW w:w="1365" w:type="pct"/>
            <w:vMerge w:val="continue"/>
            <w:tcBorders>
              <w:tl2br w:val="nil"/>
              <w:tr2bl w:val="nil"/>
            </w:tcBorders>
            <w:vAlign w:val="center"/>
          </w:tcPr>
          <w:p w14:paraId="7CADBB1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B63FC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36525E6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19</w:t>
            </w:r>
          </w:p>
        </w:tc>
        <w:tc>
          <w:tcPr>
            <w:tcW w:w="1145" w:type="pct"/>
            <w:tcBorders>
              <w:tl2br w:val="nil"/>
              <w:tr2bl w:val="nil"/>
            </w:tcBorders>
            <w:vAlign w:val="center"/>
          </w:tcPr>
          <w:p w14:paraId="7A9FDE3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1" w:name="_Toc1732"/>
            <w:r>
              <w:rPr>
                <w:rFonts w:hint="default" w:ascii="Times New Roman" w:hAnsi="Times New Roman" w:eastAsia="宋体" w:cs="Times New Roman"/>
                <w:b w:val="0"/>
                <w:bCs/>
                <w:color w:val="auto"/>
                <w:sz w:val="21"/>
                <w:szCs w:val="21"/>
                <w:highlight w:val="none"/>
              </w:rPr>
              <w:t>氯化物</w:t>
            </w:r>
            <w:bookmarkEnd w:id="201"/>
          </w:p>
        </w:tc>
        <w:tc>
          <w:tcPr>
            <w:tcW w:w="1012" w:type="pct"/>
            <w:tcBorders>
              <w:tl2br w:val="nil"/>
              <w:tr2bl w:val="nil"/>
            </w:tcBorders>
            <w:vAlign w:val="center"/>
          </w:tcPr>
          <w:p w14:paraId="40D1746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2" w:name="_Toc27413"/>
            <w:r>
              <w:rPr>
                <w:rFonts w:hint="default" w:ascii="Times New Roman" w:hAnsi="Times New Roman" w:eastAsia="宋体" w:cs="Times New Roman"/>
                <w:b w:val="0"/>
                <w:bCs/>
                <w:color w:val="auto"/>
                <w:sz w:val="21"/>
                <w:szCs w:val="21"/>
                <w:highlight w:val="none"/>
              </w:rPr>
              <w:t>≤250</w:t>
            </w:r>
            <w:bookmarkEnd w:id="202"/>
          </w:p>
        </w:tc>
        <w:tc>
          <w:tcPr>
            <w:tcW w:w="1012" w:type="pct"/>
            <w:tcBorders>
              <w:tl2br w:val="nil"/>
              <w:tr2bl w:val="nil"/>
            </w:tcBorders>
            <w:vAlign w:val="center"/>
          </w:tcPr>
          <w:p w14:paraId="3C7FCD7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3" w:name="_Toc18376"/>
            <w:r>
              <w:rPr>
                <w:rFonts w:hint="default" w:ascii="Times New Roman" w:hAnsi="Times New Roman" w:eastAsia="宋体" w:cs="Times New Roman"/>
                <w:b w:val="0"/>
                <w:bCs/>
                <w:color w:val="auto"/>
                <w:sz w:val="21"/>
                <w:szCs w:val="21"/>
                <w:highlight w:val="none"/>
              </w:rPr>
              <w:t>mg/L</w:t>
            </w:r>
            <w:bookmarkEnd w:id="203"/>
          </w:p>
        </w:tc>
        <w:tc>
          <w:tcPr>
            <w:tcW w:w="1365" w:type="pct"/>
            <w:vMerge w:val="continue"/>
            <w:tcBorders>
              <w:tl2br w:val="nil"/>
              <w:tr2bl w:val="nil"/>
            </w:tcBorders>
            <w:vAlign w:val="center"/>
          </w:tcPr>
          <w:p w14:paraId="25BC598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B0DD6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E54BF1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20</w:t>
            </w:r>
          </w:p>
        </w:tc>
        <w:tc>
          <w:tcPr>
            <w:tcW w:w="1145" w:type="pct"/>
            <w:tcBorders>
              <w:tl2br w:val="nil"/>
              <w:tr2bl w:val="nil"/>
            </w:tcBorders>
            <w:vAlign w:val="center"/>
          </w:tcPr>
          <w:p w14:paraId="6139087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4" w:name="_Toc24169"/>
            <w:r>
              <w:rPr>
                <w:rFonts w:hint="default" w:ascii="Times New Roman" w:hAnsi="Times New Roman" w:eastAsia="宋体" w:cs="Times New Roman"/>
                <w:b w:val="0"/>
                <w:bCs/>
                <w:color w:val="auto"/>
                <w:sz w:val="21"/>
                <w:szCs w:val="21"/>
                <w:highlight w:val="none"/>
              </w:rPr>
              <w:t>总大肠菌群</w:t>
            </w:r>
            <w:bookmarkEnd w:id="204"/>
          </w:p>
        </w:tc>
        <w:tc>
          <w:tcPr>
            <w:tcW w:w="1012" w:type="pct"/>
            <w:tcBorders>
              <w:tl2br w:val="nil"/>
              <w:tr2bl w:val="nil"/>
            </w:tcBorders>
            <w:vAlign w:val="center"/>
          </w:tcPr>
          <w:p w14:paraId="5CF6097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5" w:name="_Toc30530"/>
            <w:r>
              <w:rPr>
                <w:rFonts w:hint="default" w:ascii="Times New Roman" w:hAnsi="Times New Roman" w:eastAsia="宋体" w:cs="Times New Roman"/>
                <w:b w:val="0"/>
                <w:bCs/>
                <w:color w:val="auto"/>
                <w:sz w:val="21"/>
                <w:szCs w:val="21"/>
                <w:highlight w:val="none"/>
              </w:rPr>
              <w:t>≤3.0</w:t>
            </w:r>
            <w:bookmarkEnd w:id="205"/>
          </w:p>
        </w:tc>
        <w:tc>
          <w:tcPr>
            <w:tcW w:w="1012" w:type="pct"/>
            <w:tcBorders>
              <w:tl2br w:val="nil"/>
              <w:tr2bl w:val="nil"/>
            </w:tcBorders>
            <w:vAlign w:val="center"/>
          </w:tcPr>
          <w:p w14:paraId="6C3D810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6" w:name="_Toc11699"/>
            <w:r>
              <w:rPr>
                <w:rFonts w:hint="default" w:ascii="Times New Roman" w:hAnsi="Times New Roman" w:eastAsia="宋体" w:cs="Times New Roman"/>
                <w:b w:val="0"/>
                <w:bCs/>
                <w:color w:val="auto"/>
                <w:sz w:val="21"/>
                <w:szCs w:val="21"/>
                <w:highlight w:val="none"/>
              </w:rPr>
              <w:t>MPN/100mL</w:t>
            </w:r>
            <w:bookmarkEnd w:id="206"/>
          </w:p>
        </w:tc>
        <w:tc>
          <w:tcPr>
            <w:tcW w:w="1365" w:type="pct"/>
            <w:vMerge w:val="continue"/>
            <w:tcBorders>
              <w:tl2br w:val="nil"/>
              <w:tr2bl w:val="nil"/>
            </w:tcBorders>
            <w:vAlign w:val="center"/>
          </w:tcPr>
          <w:p w14:paraId="0138BA3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AAE18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4818A3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21</w:t>
            </w:r>
          </w:p>
        </w:tc>
        <w:tc>
          <w:tcPr>
            <w:tcW w:w="1145" w:type="pct"/>
            <w:tcBorders>
              <w:tl2br w:val="nil"/>
              <w:tr2bl w:val="nil"/>
            </w:tcBorders>
            <w:vAlign w:val="center"/>
          </w:tcPr>
          <w:p w14:paraId="60C0EBE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7" w:name="_Toc477"/>
            <w:r>
              <w:rPr>
                <w:rFonts w:hint="default" w:ascii="Times New Roman" w:hAnsi="Times New Roman" w:eastAsia="宋体" w:cs="Times New Roman"/>
                <w:b w:val="0"/>
                <w:bCs/>
                <w:color w:val="auto"/>
                <w:sz w:val="21"/>
                <w:szCs w:val="21"/>
                <w:highlight w:val="none"/>
              </w:rPr>
              <w:t>菌落总数</w:t>
            </w:r>
            <w:bookmarkEnd w:id="207"/>
          </w:p>
        </w:tc>
        <w:tc>
          <w:tcPr>
            <w:tcW w:w="1012" w:type="pct"/>
            <w:tcBorders>
              <w:tl2br w:val="nil"/>
              <w:tr2bl w:val="nil"/>
            </w:tcBorders>
            <w:vAlign w:val="center"/>
          </w:tcPr>
          <w:p w14:paraId="17D9A7D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8" w:name="_Toc28571"/>
            <w:r>
              <w:rPr>
                <w:rFonts w:hint="default" w:ascii="Times New Roman" w:hAnsi="Times New Roman" w:eastAsia="宋体" w:cs="Times New Roman"/>
                <w:b w:val="0"/>
                <w:bCs/>
                <w:color w:val="auto"/>
                <w:sz w:val="21"/>
                <w:szCs w:val="21"/>
                <w:highlight w:val="none"/>
              </w:rPr>
              <w:t>≤100</w:t>
            </w:r>
            <w:bookmarkEnd w:id="208"/>
          </w:p>
        </w:tc>
        <w:tc>
          <w:tcPr>
            <w:tcW w:w="1012" w:type="pct"/>
            <w:tcBorders>
              <w:tl2br w:val="nil"/>
              <w:tr2bl w:val="nil"/>
            </w:tcBorders>
            <w:vAlign w:val="center"/>
          </w:tcPr>
          <w:p w14:paraId="5A0B71E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9" w:name="_Toc13728"/>
            <w:r>
              <w:rPr>
                <w:rFonts w:hint="default" w:ascii="Times New Roman" w:hAnsi="Times New Roman" w:eastAsia="宋体" w:cs="Times New Roman"/>
                <w:b w:val="0"/>
                <w:bCs/>
                <w:color w:val="auto"/>
                <w:sz w:val="21"/>
                <w:szCs w:val="21"/>
                <w:highlight w:val="none"/>
              </w:rPr>
              <w:t>CFU/mL</w:t>
            </w:r>
            <w:bookmarkEnd w:id="209"/>
          </w:p>
        </w:tc>
        <w:tc>
          <w:tcPr>
            <w:tcW w:w="1365" w:type="pct"/>
            <w:vMerge w:val="continue"/>
            <w:tcBorders>
              <w:tl2br w:val="nil"/>
              <w:tr2bl w:val="nil"/>
            </w:tcBorders>
            <w:vAlign w:val="center"/>
          </w:tcPr>
          <w:p w14:paraId="5FD3A26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bl>
    <w:p w14:paraId="38D3DDED">
      <w:pPr>
        <w:pStyle w:val="8"/>
        <w:bidi w:val="0"/>
        <w:rPr>
          <w:rFonts w:hint="default"/>
          <w:highlight w:val="none"/>
        </w:rPr>
      </w:pPr>
      <w:bookmarkStart w:id="210" w:name="_Toc3074"/>
      <w:bookmarkStart w:id="211" w:name="_Toc24868"/>
      <w:r>
        <w:rPr>
          <w:rFonts w:hint="default"/>
          <w:highlight w:val="none"/>
        </w:rPr>
        <w:t>2.3.1.2地表水环境质量标准</w:t>
      </w:r>
    </w:p>
    <w:p w14:paraId="719FF088">
      <w:pPr>
        <w:spacing w:line="360" w:lineRule="auto"/>
        <w:ind w:firstLine="480" w:firstLineChars="20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本项目附近地表水体为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highlight w:val="none"/>
          <w:lang w:val="en-US" w:eastAsia="zh-CN"/>
        </w:rPr>
        <w:t>柳毛河</w:t>
      </w:r>
      <w:r>
        <w:rPr>
          <w:rFonts w:hint="default" w:ascii="Times New Roman" w:hAnsi="Times New Roman" w:cs="Times New Roman"/>
          <w:color w:val="auto"/>
          <w:sz w:val="24"/>
          <w:highlight w:val="none"/>
          <w:lang w:val="en-US" w:eastAsia="zh-CN"/>
        </w:rPr>
        <w:t>为穆棱河一级支流，</w:t>
      </w:r>
      <w:r>
        <w:rPr>
          <w:rFonts w:hint="default" w:ascii="Times New Roman" w:hAnsi="Times New Roman" w:cs="Times New Roman"/>
          <w:color w:val="auto"/>
          <w:sz w:val="24"/>
          <w:highlight w:val="none"/>
        </w:rPr>
        <w:t>根据《水利部 国家发展和改革委员会 环境保护部关于印发全国重要江河湖泊水功能区划（2011-2030年）的通知》，</w:t>
      </w:r>
      <w:r>
        <w:rPr>
          <w:rFonts w:hint="default" w:ascii="Times New Roman" w:hAnsi="Times New Roman" w:cs="Times New Roman"/>
          <w:color w:val="auto"/>
          <w:sz w:val="24"/>
          <w:highlight w:val="none"/>
          <w:lang w:val="en-US" w:eastAsia="zh-CN"/>
        </w:rPr>
        <w:t>评价区穆棱河</w:t>
      </w:r>
      <w:r>
        <w:rPr>
          <w:rFonts w:hint="default" w:ascii="Times New Roman" w:hAnsi="Times New Roman" w:cs="Times New Roman"/>
          <w:color w:val="auto"/>
          <w:sz w:val="24"/>
          <w:highlight w:val="none"/>
        </w:rPr>
        <w:t>水体执行《地表水环境质量标准》（GB3838-2002）</w:t>
      </w:r>
      <w:r>
        <w:rPr>
          <w:rFonts w:hint="default" w:ascii="Times New Roman" w:hAnsi="Times New Roman" w:cs="Times New Roman"/>
          <w:color w:val="auto"/>
          <w:sz w:val="24"/>
          <w:highlight w:val="none"/>
          <w:lang w:val="en-US" w:eastAsia="zh-CN"/>
        </w:rPr>
        <w:t>Ⅲ</w:t>
      </w:r>
      <w:r>
        <w:rPr>
          <w:rFonts w:hint="default" w:ascii="Times New Roman" w:hAnsi="Times New Roman" w:cs="Times New Roman"/>
          <w:color w:val="auto"/>
          <w:sz w:val="24"/>
          <w:highlight w:val="none"/>
        </w:rPr>
        <w:t>类水体标准限值</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因此</w:t>
      </w:r>
      <w:r>
        <w:rPr>
          <w:rFonts w:hint="eastAsia" w:ascii="Times New Roman" w:hAnsi="Times New Roman" w:cs="Times New Roman"/>
          <w:color w:val="auto"/>
          <w:sz w:val="24"/>
          <w:highlight w:val="none"/>
          <w:lang w:val="en-US" w:eastAsia="zh-CN"/>
        </w:rPr>
        <w:t>柳毛河</w:t>
      </w:r>
      <w:r>
        <w:rPr>
          <w:rFonts w:hint="default" w:ascii="Times New Roman" w:hAnsi="Times New Roman" w:cs="Times New Roman"/>
          <w:color w:val="auto"/>
          <w:sz w:val="24"/>
          <w:highlight w:val="none"/>
          <w:lang w:val="en-US" w:eastAsia="zh-CN"/>
        </w:rPr>
        <w:t>水质均参照Ⅲ</w:t>
      </w:r>
      <w:r>
        <w:rPr>
          <w:rFonts w:hint="default" w:ascii="Times New Roman" w:hAnsi="Times New Roman" w:cs="Times New Roman"/>
          <w:color w:val="auto"/>
          <w:sz w:val="24"/>
          <w:highlight w:val="none"/>
        </w:rPr>
        <w:t>类水体标准限值</w:t>
      </w:r>
      <w:r>
        <w:rPr>
          <w:rFonts w:hint="default" w:ascii="Times New Roman" w:hAnsi="Times New Roman" w:cs="Times New Roman"/>
          <w:color w:val="auto"/>
          <w:sz w:val="24"/>
          <w:highlight w:val="none"/>
          <w:lang w:val="en-US" w:eastAsia="zh-CN"/>
        </w:rPr>
        <w:t>执行</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highlight w:val="none"/>
          <w:lang w:val="en-US" w:eastAsia="zh-CN"/>
        </w:rPr>
        <w:t>具体标准值见表2</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3-</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p>
    <w:p w14:paraId="20346D1B">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黑体" w:cs="Times New Roman"/>
          <w:bCs/>
          <w:kern w:val="2"/>
          <w:sz w:val="21"/>
          <w:highlight w:val="none"/>
          <w:lang w:val="en-US" w:eastAsia="zh-CN"/>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w:t>
      </w:r>
      <w:r>
        <w:rPr>
          <w:rFonts w:hint="eastAsia" w:ascii="Times New Roman" w:hAnsi="Times New Roman" w:eastAsia="黑体" w:cs="Times New Roman"/>
          <w:bCs/>
          <w:kern w:val="2"/>
          <w:sz w:val="21"/>
          <w:highlight w:val="none"/>
          <w:lang w:val="en-US" w:eastAsia="zh-CN"/>
        </w:rPr>
        <w:t>3</w:t>
      </w:r>
      <w:r>
        <w:rPr>
          <w:rFonts w:hint="default" w:ascii="Times New Roman" w:hAnsi="Times New Roman" w:eastAsia="黑体" w:cs="Times New Roman"/>
          <w:bCs/>
          <w:kern w:val="2"/>
          <w:sz w:val="21"/>
          <w:highlight w:val="none"/>
          <w:lang w:val="en-US" w:eastAsia="zh-CN"/>
        </w:rPr>
        <w:t xml:space="preserve">  地表水环境质量执行标准一览表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89"/>
        <w:gridCol w:w="1953"/>
        <w:gridCol w:w="1726"/>
        <w:gridCol w:w="1726"/>
        <w:gridCol w:w="2328"/>
      </w:tblGrid>
      <w:tr w14:paraId="5D901C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463" w:type="pct"/>
            <w:tcBorders>
              <w:tl2br w:val="nil"/>
              <w:tr2bl w:val="nil"/>
            </w:tcBorders>
            <w:vAlign w:val="center"/>
          </w:tcPr>
          <w:p w14:paraId="5FAA23C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序号</w:t>
            </w:r>
          </w:p>
        </w:tc>
        <w:tc>
          <w:tcPr>
            <w:tcW w:w="1145" w:type="pct"/>
            <w:tcBorders>
              <w:tl2br w:val="nil"/>
              <w:tr2bl w:val="nil"/>
            </w:tcBorders>
            <w:vAlign w:val="center"/>
          </w:tcPr>
          <w:p w14:paraId="736E921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污染物</w:t>
            </w:r>
          </w:p>
        </w:tc>
        <w:tc>
          <w:tcPr>
            <w:tcW w:w="1012" w:type="pct"/>
            <w:tcBorders>
              <w:tl2br w:val="nil"/>
              <w:tr2bl w:val="nil"/>
            </w:tcBorders>
            <w:vAlign w:val="center"/>
          </w:tcPr>
          <w:p w14:paraId="0E95A23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标准限值</w:t>
            </w:r>
          </w:p>
        </w:tc>
        <w:tc>
          <w:tcPr>
            <w:tcW w:w="1012" w:type="pct"/>
            <w:tcBorders>
              <w:tl2br w:val="nil"/>
              <w:tr2bl w:val="nil"/>
            </w:tcBorders>
            <w:vAlign w:val="center"/>
          </w:tcPr>
          <w:p w14:paraId="054FD59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单位</w:t>
            </w:r>
          </w:p>
        </w:tc>
        <w:tc>
          <w:tcPr>
            <w:tcW w:w="1365" w:type="pct"/>
            <w:tcBorders>
              <w:tl2br w:val="nil"/>
              <w:tr2bl w:val="nil"/>
            </w:tcBorders>
            <w:vAlign w:val="center"/>
          </w:tcPr>
          <w:p w14:paraId="417DABA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标准来源</w:t>
            </w:r>
          </w:p>
        </w:tc>
      </w:tr>
      <w:tr w14:paraId="043637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7EDD953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w:t>
            </w:r>
          </w:p>
        </w:tc>
        <w:tc>
          <w:tcPr>
            <w:tcW w:w="1145" w:type="pct"/>
            <w:tcBorders>
              <w:tl2br w:val="nil"/>
              <w:tr2bl w:val="nil"/>
            </w:tcBorders>
            <w:vAlign w:val="center"/>
          </w:tcPr>
          <w:p w14:paraId="31E07D4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水温</w:t>
            </w:r>
          </w:p>
        </w:tc>
        <w:tc>
          <w:tcPr>
            <w:tcW w:w="1012" w:type="pct"/>
            <w:tcBorders>
              <w:tl2br w:val="nil"/>
              <w:tr2bl w:val="nil"/>
            </w:tcBorders>
            <w:vAlign w:val="center"/>
          </w:tcPr>
          <w:p w14:paraId="555943E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w:t>
            </w:r>
          </w:p>
        </w:tc>
        <w:tc>
          <w:tcPr>
            <w:tcW w:w="1012" w:type="pct"/>
            <w:tcBorders>
              <w:tl2br w:val="nil"/>
              <w:tr2bl w:val="nil"/>
            </w:tcBorders>
            <w:vAlign w:val="center"/>
          </w:tcPr>
          <w:p w14:paraId="203B62E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w:t>
            </w:r>
          </w:p>
        </w:tc>
        <w:tc>
          <w:tcPr>
            <w:tcW w:w="1365" w:type="pct"/>
            <w:vMerge w:val="restart"/>
            <w:tcBorders>
              <w:tl2br w:val="nil"/>
              <w:tr2bl w:val="nil"/>
            </w:tcBorders>
            <w:vAlign w:val="center"/>
          </w:tcPr>
          <w:p w14:paraId="0B70E6D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《地表水环境质量标准》（GB3838-2002）中的III类标准</w:t>
            </w:r>
          </w:p>
        </w:tc>
      </w:tr>
      <w:tr w14:paraId="532943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7BC9C9F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w:t>
            </w:r>
          </w:p>
        </w:tc>
        <w:tc>
          <w:tcPr>
            <w:tcW w:w="1145" w:type="pct"/>
            <w:tcBorders>
              <w:tl2br w:val="nil"/>
              <w:tr2bl w:val="nil"/>
            </w:tcBorders>
            <w:vAlign w:val="center"/>
          </w:tcPr>
          <w:p w14:paraId="4DA020E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pH值</w:t>
            </w:r>
          </w:p>
        </w:tc>
        <w:tc>
          <w:tcPr>
            <w:tcW w:w="1012" w:type="pct"/>
            <w:tcBorders>
              <w:tl2br w:val="nil"/>
              <w:tr2bl w:val="nil"/>
            </w:tcBorders>
            <w:vAlign w:val="center"/>
          </w:tcPr>
          <w:p w14:paraId="2A12F05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6-9</w:t>
            </w:r>
          </w:p>
        </w:tc>
        <w:tc>
          <w:tcPr>
            <w:tcW w:w="1012" w:type="pct"/>
            <w:tcBorders>
              <w:tl2br w:val="nil"/>
              <w:tr2bl w:val="nil"/>
            </w:tcBorders>
            <w:vAlign w:val="center"/>
          </w:tcPr>
          <w:p w14:paraId="4D67D7C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无量纲</w:t>
            </w:r>
          </w:p>
        </w:tc>
        <w:tc>
          <w:tcPr>
            <w:tcW w:w="1365" w:type="pct"/>
            <w:vMerge w:val="continue"/>
            <w:tcBorders>
              <w:tl2br w:val="nil"/>
              <w:tr2bl w:val="nil"/>
            </w:tcBorders>
            <w:vAlign w:val="center"/>
          </w:tcPr>
          <w:p w14:paraId="219B837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4F634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22FF670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3</w:t>
            </w:r>
          </w:p>
        </w:tc>
        <w:tc>
          <w:tcPr>
            <w:tcW w:w="1145" w:type="pct"/>
            <w:tcBorders>
              <w:tl2br w:val="nil"/>
              <w:tr2bl w:val="nil"/>
            </w:tcBorders>
            <w:vAlign w:val="center"/>
          </w:tcPr>
          <w:p w14:paraId="5EFE3DE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溶解氧</w:t>
            </w:r>
          </w:p>
        </w:tc>
        <w:tc>
          <w:tcPr>
            <w:tcW w:w="1012" w:type="pct"/>
            <w:tcBorders>
              <w:tl2br w:val="nil"/>
              <w:tr2bl w:val="nil"/>
            </w:tcBorders>
            <w:vAlign w:val="center"/>
          </w:tcPr>
          <w:p w14:paraId="237EAD8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≥5</w:t>
            </w:r>
          </w:p>
        </w:tc>
        <w:tc>
          <w:tcPr>
            <w:tcW w:w="1012" w:type="pct"/>
            <w:tcBorders>
              <w:tl2br w:val="nil"/>
              <w:tr2bl w:val="nil"/>
            </w:tcBorders>
            <w:vAlign w:val="center"/>
          </w:tcPr>
          <w:p w14:paraId="14E5413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644996B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CAE28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61526E8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4</w:t>
            </w:r>
          </w:p>
        </w:tc>
        <w:tc>
          <w:tcPr>
            <w:tcW w:w="1145" w:type="pct"/>
            <w:tcBorders>
              <w:tl2br w:val="nil"/>
              <w:tr2bl w:val="nil"/>
            </w:tcBorders>
            <w:vAlign w:val="center"/>
          </w:tcPr>
          <w:p w14:paraId="1E4D3D3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高锰酸盐指数</w:t>
            </w:r>
          </w:p>
        </w:tc>
        <w:tc>
          <w:tcPr>
            <w:tcW w:w="1012" w:type="pct"/>
            <w:tcBorders>
              <w:tl2br w:val="nil"/>
              <w:tr2bl w:val="nil"/>
            </w:tcBorders>
            <w:vAlign w:val="center"/>
          </w:tcPr>
          <w:p w14:paraId="6AA599C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w:t>
            </w:r>
          </w:p>
        </w:tc>
        <w:tc>
          <w:tcPr>
            <w:tcW w:w="1012" w:type="pct"/>
            <w:tcBorders>
              <w:tl2br w:val="nil"/>
              <w:tr2bl w:val="nil"/>
            </w:tcBorders>
            <w:vAlign w:val="center"/>
          </w:tcPr>
          <w:p w14:paraId="27CAA47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32F54CF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E2B23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48D2648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5</w:t>
            </w:r>
          </w:p>
        </w:tc>
        <w:tc>
          <w:tcPr>
            <w:tcW w:w="1145" w:type="pct"/>
            <w:tcBorders>
              <w:tl2br w:val="nil"/>
              <w:tr2bl w:val="nil"/>
            </w:tcBorders>
            <w:vAlign w:val="center"/>
          </w:tcPr>
          <w:p w14:paraId="33B4A25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COD</w:t>
            </w:r>
          </w:p>
        </w:tc>
        <w:tc>
          <w:tcPr>
            <w:tcW w:w="1012" w:type="pct"/>
            <w:tcBorders>
              <w:tl2br w:val="nil"/>
              <w:tr2bl w:val="nil"/>
            </w:tcBorders>
            <w:vAlign w:val="center"/>
          </w:tcPr>
          <w:p w14:paraId="04410C3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≤20</w:t>
            </w:r>
          </w:p>
        </w:tc>
        <w:tc>
          <w:tcPr>
            <w:tcW w:w="1012" w:type="pct"/>
            <w:tcBorders>
              <w:tl2br w:val="nil"/>
              <w:tr2bl w:val="nil"/>
            </w:tcBorders>
            <w:vAlign w:val="center"/>
          </w:tcPr>
          <w:p w14:paraId="2499385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616CA87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66F89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75AB17F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w:t>
            </w:r>
          </w:p>
        </w:tc>
        <w:tc>
          <w:tcPr>
            <w:tcW w:w="1145" w:type="pct"/>
            <w:tcBorders>
              <w:tl2br w:val="nil"/>
              <w:tr2bl w:val="nil"/>
            </w:tcBorders>
            <w:vAlign w:val="center"/>
          </w:tcPr>
          <w:p w14:paraId="72E4DE6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BOD</w:t>
            </w:r>
            <w:r>
              <w:rPr>
                <w:rFonts w:hint="default" w:ascii="Times New Roman" w:hAnsi="Times New Roman" w:eastAsia="宋体" w:cs="Times New Roman"/>
                <w:b w:val="0"/>
                <w:bCs/>
                <w:color w:val="auto"/>
                <w:sz w:val="21"/>
                <w:szCs w:val="21"/>
                <w:highlight w:val="none"/>
                <w:vertAlign w:val="subscript"/>
              </w:rPr>
              <w:t>5</w:t>
            </w:r>
          </w:p>
        </w:tc>
        <w:tc>
          <w:tcPr>
            <w:tcW w:w="1012" w:type="pct"/>
            <w:tcBorders>
              <w:tl2br w:val="nil"/>
              <w:tr2bl w:val="nil"/>
            </w:tcBorders>
            <w:vAlign w:val="center"/>
          </w:tcPr>
          <w:p w14:paraId="35016FF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≤4</w:t>
            </w:r>
          </w:p>
        </w:tc>
        <w:tc>
          <w:tcPr>
            <w:tcW w:w="1012" w:type="pct"/>
            <w:tcBorders>
              <w:tl2br w:val="nil"/>
              <w:tr2bl w:val="nil"/>
            </w:tcBorders>
            <w:vAlign w:val="center"/>
          </w:tcPr>
          <w:p w14:paraId="5B335C2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EE632A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E5A01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D396F4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7</w:t>
            </w:r>
          </w:p>
        </w:tc>
        <w:tc>
          <w:tcPr>
            <w:tcW w:w="1145" w:type="pct"/>
            <w:tcBorders>
              <w:tl2br w:val="nil"/>
              <w:tr2bl w:val="nil"/>
            </w:tcBorders>
            <w:vAlign w:val="center"/>
          </w:tcPr>
          <w:p w14:paraId="0B600FE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氨氮</w:t>
            </w:r>
          </w:p>
        </w:tc>
        <w:tc>
          <w:tcPr>
            <w:tcW w:w="1012" w:type="pct"/>
            <w:tcBorders>
              <w:tl2br w:val="nil"/>
              <w:tr2bl w:val="nil"/>
            </w:tcBorders>
            <w:vAlign w:val="center"/>
          </w:tcPr>
          <w:p w14:paraId="5F073DD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224C997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3566E98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F3DF6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21FC3E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8</w:t>
            </w:r>
          </w:p>
        </w:tc>
        <w:tc>
          <w:tcPr>
            <w:tcW w:w="1145" w:type="pct"/>
            <w:tcBorders>
              <w:tl2br w:val="nil"/>
              <w:tr2bl w:val="nil"/>
            </w:tcBorders>
            <w:vAlign w:val="center"/>
          </w:tcPr>
          <w:p w14:paraId="433EA20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总磷</w:t>
            </w:r>
          </w:p>
        </w:tc>
        <w:tc>
          <w:tcPr>
            <w:tcW w:w="1012" w:type="pct"/>
            <w:tcBorders>
              <w:tl2br w:val="nil"/>
              <w:tr2bl w:val="nil"/>
            </w:tcBorders>
            <w:vAlign w:val="center"/>
          </w:tcPr>
          <w:p w14:paraId="3097772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≤0.2</w:t>
            </w:r>
          </w:p>
        </w:tc>
        <w:tc>
          <w:tcPr>
            <w:tcW w:w="1012" w:type="pct"/>
            <w:tcBorders>
              <w:tl2br w:val="nil"/>
              <w:tr2bl w:val="nil"/>
            </w:tcBorders>
            <w:vAlign w:val="center"/>
          </w:tcPr>
          <w:p w14:paraId="1440552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2F37CFF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4AD57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4E30803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9</w:t>
            </w:r>
          </w:p>
        </w:tc>
        <w:tc>
          <w:tcPr>
            <w:tcW w:w="1145" w:type="pct"/>
            <w:tcBorders>
              <w:tl2br w:val="nil"/>
              <w:tr2bl w:val="nil"/>
            </w:tcBorders>
            <w:vAlign w:val="center"/>
          </w:tcPr>
          <w:p w14:paraId="36201A0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总氮</w:t>
            </w:r>
          </w:p>
        </w:tc>
        <w:tc>
          <w:tcPr>
            <w:tcW w:w="1012" w:type="pct"/>
            <w:tcBorders>
              <w:tl2br w:val="nil"/>
              <w:tr2bl w:val="nil"/>
            </w:tcBorders>
            <w:vAlign w:val="center"/>
          </w:tcPr>
          <w:p w14:paraId="642C558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0648D17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C82E01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EBB92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4BE482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145" w:type="pct"/>
            <w:tcBorders>
              <w:tl2br w:val="nil"/>
              <w:tr2bl w:val="nil"/>
            </w:tcBorders>
            <w:vAlign w:val="center"/>
          </w:tcPr>
          <w:p w14:paraId="003AB51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铜</w:t>
            </w:r>
          </w:p>
        </w:tc>
        <w:tc>
          <w:tcPr>
            <w:tcW w:w="1012" w:type="pct"/>
            <w:tcBorders>
              <w:tl2br w:val="nil"/>
              <w:tr2bl w:val="nil"/>
            </w:tcBorders>
            <w:vAlign w:val="center"/>
          </w:tcPr>
          <w:p w14:paraId="13B17AE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6768241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42D25E1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0F746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B54DAC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11</w:t>
            </w:r>
          </w:p>
        </w:tc>
        <w:tc>
          <w:tcPr>
            <w:tcW w:w="1145" w:type="pct"/>
            <w:tcBorders>
              <w:tl2br w:val="nil"/>
              <w:tr2bl w:val="nil"/>
            </w:tcBorders>
            <w:vAlign w:val="center"/>
          </w:tcPr>
          <w:p w14:paraId="1747381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锌</w:t>
            </w:r>
          </w:p>
        </w:tc>
        <w:tc>
          <w:tcPr>
            <w:tcW w:w="1012" w:type="pct"/>
            <w:tcBorders>
              <w:tl2br w:val="nil"/>
              <w:tr2bl w:val="nil"/>
            </w:tcBorders>
            <w:vAlign w:val="center"/>
          </w:tcPr>
          <w:p w14:paraId="28B8EBB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60A5980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7EAB2AB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69B836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4C0361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12</w:t>
            </w:r>
          </w:p>
        </w:tc>
        <w:tc>
          <w:tcPr>
            <w:tcW w:w="1145" w:type="pct"/>
            <w:tcBorders>
              <w:tl2br w:val="nil"/>
              <w:tr2bl w:val="nil"/>
            </w:tcBorders>
            <w:vAlign w:val="center"/>
          </w:tcPr>
          <w:p w14:paraId="731A069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氟化物</w:t>
            </w:r>
          </w:p>
        </w:tc>
        <w:tc>
          <w:tcPr>
            <w:tcW w:w="1012" w:type="pct"/>
            <w:tcBorders>
              <w:tl2br w:val="nil"/>
              <w:tr2bl w:val="nil"/>
            </w:tcBorders>
            <w:vAlign w:val="center"/>
          </w:tcPr>
          <w:p w14:paraId="38B592B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5625A12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9414FF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4FEAB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618E7D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13</w:t>
            </w:r>
          </w:p>
        </w:tc>
        <w:tc>
          <w:tcPr>
            <w:tcW w:w="1145" w:type="pct"/>
            <w:tcBorders>
              <w:tl2br w:val="nil"/>
              <w:tr2bl w:val="nil"/>
            </w:tcBorders>
            <w:vAlign w:val="center"/>
          </w:tcPr>
          <w:p w14:paraId="0C9D85D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硒</w:t>
            </w:r>
          </w:p>
        </w:tc>
        <w:tc>
          <w:tcPr>
            <w:tcW w:w="1012" w:type="pct"/>
            <w:tcBorders>
              <w:tl2br w:val="nil"/>
              <w:tr2bl w:val="nil"/>
            </w:tcBorders>
            <w:vAlign w:val="center"/>
          </w:tcPr>
          <w:p w14:paraId="02A9C34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≤0.01</w:t>
            </w:r>
          </w:p>
        </w:tc>
        <w:tc>
          <w:tcPr>
            <w:tcW w:w="1012" w:type="pct"/>
            <w:tcBorders>
              <w:tl2br w:val="nil"/>
              <w:tr2bl w:val="nil"/>
            </w:tcBorders>
            <w:vAlign w:val="center"/>
          </w:tcPr>
          <w:p w14:paraId="3027FB8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27126E2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68FE12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0E1551B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14</w:t>
            </w:r>
          </w:p>
        </w:tc>
        <w:tc>
          <w:tcPr>
            <w:tcW w:w="1145" w:type="pct"/>
            <w:tcBorders>
              <w:tl2br w:val="nil"/>
              <w:tr2bl w:val="nil"/>
            </w:tcBorders>
            <w:vAlign w:val="center"/>
          </w:tcPr>
          <w:p w14:paraId="35110BF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砷</w:t>
            </w:r>
          </w:p>
        </w:tc>
        <w:tc>
          <w:tcPr>
            <w:tcW w:w="1012" w:type="pct"/>
            <w:tcBorders>
              <w:tl2br w:val="nil"/>
              <w:tr2bl w:val="nil"/>
            </w:tcBorders>
            <w:vAlign w:val="center"/>
          </w:tcPr>
          <w:p w14:paraId="1EEBCB8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≤0.05</w:t>
            </w:r>
          </w:p>
        </w:tc>
        <w:tc>
          <w:tcPr>
            <w:tcW w:w="1012" w:type="pct"/>
            <w:tcBorders>
              <w:tl2br w:val="nil"/>
              <w:tr2bl w:val="nil"/>
            </w:tcBorders>
            <w:vAlign w:val="center"/>
          </w:tcPr>
          <w:p w14:paraId="0788707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2E293E3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3C0DC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7D5E237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15</w:t>
            </w:r>
          </w:p>
        </w:tc>
        <w:tc>
          <w:tcPr>
            <w:tcW w:w="1145" w:type="pct"/>
            <w:tcBorders>
              <w:tl2br w:val="nil"/>
              <w:tr2bl w:val="nil"/>
            </w:tcBorders>
            <w:vAlign w:val="center"/>
          </w:tcPr>
          <w:p w14:paraId="5C356A1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汞</w:t>
            </w:r>
          </w:p>
        </w:tc>
        <w:tc>
          <w:tcPr>
            <w:tcW w:w="1012" w:type="pct"/>
            <w:tcBorders>
              <w:tl2br w:val="nil"/>
              <w:tr2bl w:val="nil"/>
            </w:tcBorders>
            <w:vAlign w:val="center"/>
          </w:tcPr>
          <w:p w14:paraId="30CC81A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≤0.001</w:t>
            </w:r>
          </w:p>
        </w:tc>
        <w:tc>
          <w:tcPr>
            <w:tcW w:w="1012" w:type="pct"/>
            <w:tcBorders>
              <w:tl2br w:val="nil"/>
              <w:tr2bl w:val="nil"/>
            </w:tcBorders>
            <w:vAlign w:val="center"/>
          </w:tcPr>
          <w:p w14:paraId="4DE2200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363EF0B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76045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9CBE33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16</w:t>
            </w:r>
          </w:p>
        </w:tc>
        <w:tc>
          <w:tcPr>
            <w:tcW w:w="1145" w:type="pct"/>
            <w:tcBorders>
              <w:tl2br w:val="nil"/>
              <w:tr2bl w:val="nil"/>
            </w:tcBorders>
            <w:vAlign w:val="center"/>
          </w:tcPr>
          <w:p w14:paraId="4699F94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镉</w:t>
            </w:r>
          </w:p>
        </w:tc>
        <w:tc>
          <w:tcPr>
            <w:tcW w:w="1012" w:type="pct"/>
            <w:tcBorders>
              <w:tl2br w:val="nil"/>
              <w:tr2bl w:val="nil"/>
            </w:tcBorders>
            <w:vAlign w:val="center"/>
          </w:tcPr>
          <w:p w14:paraId="71B1D95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≤0.0001</w:t>
            </w:r>
          </w:p>
        </w:tc>
        <w:tc>
          <w:tcPr>
            <w:tcW w:w="1012" w:type="pct"/>
            <w:tcBorders>
              <w:tl2br w:val="nil"/>
              <w:tr2bl w:val="nil"/>
            </w:tcBorders>
            <w:vAlign w:val="center"/>
          </w:tcPr>
          <w:p w14:paraId="47478AA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410B29D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20D1CD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1E82D60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17</w:t>
            </w:r>
          </w:p>
        </w:tc>
        <w:tc>
          <w:tcPr>
            <w:tcW w:w="1145" w:type="pct"/>
            <w:tcBorders>
              <w:tl2br w:val="nil"/>
              <w:tr2bl w:val="nil"/>
            </w:tcBorders>
            <w:vAlign w:val="center"/>
          </w:tcPr>
          <w:p w14:paraId="4FE5C72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铬（六价）</w:t>
            </w:r>
          </w:p>
        </w:tc>
        <w:tc>
          <w:tcPr>
            <w:tcW w:w="1012" w:type="pct"/>
            <w:tcBorders>
              <w:tl2br w:val="nil"/>
              <w:tr2bl w:val="nil"/>
            </w:tcBorders>
            <w:vAlign w:val="center"/>
          </w:tcPr>
          <w:p w14:paraId="7526E9F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≤0.05</w:t>
            </w:r>
          </w:p>
        </w:tc>
        <w:tc>
          <w:tcPr>
            <w:tcW w:w="1012" w:type="pct"/>
            <w:tcBorders>
              <w:tl2br w:val="nil"/>
              <w:tr2bl w:val="nil"/>
            </w:tcBorders>
            <w:vAlign w:val="center"/>
          </w:tcPr>
          <w:p w14:paraId="7D8CADE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2D9FE57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30F19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44E1847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18</w:t>
            </w:r>
          </w:p>
        </w:tc>
        <w:tc>
          <w:tcPr>
            <w:tcW w:w="1145" w:type="pct"/>
            <w:tcBorders>
              <w:tl2br w:val="nil"/>
              <w:tr2bl w:val="nil"/>
            </w:tcBorders>
            <w:vAlign w:val="center"/>
          </w:tcPr>
          <w:p w14:paraId="6DF15C7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铅</w:t>
            </w:r>
          </w:p>
        </w:tc>
        <w:tc>
          <w:tcPr>
            <w:tcW w:w="1012" w:type="pct"/>
            <w:tcBorders>
              <w:tl2br w:val="nil"/>
              <w:tr2bl w:val="nil"/>
            </w:tcBorders>
            <w:vAlign w:val="center"/>
          </w:tcPr>
          <w:p w14:paraId="6E7B2AD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≤0.05</w:t>
            </w:r>
          </w:p>
        </w:tc>
        <w:tc>
          <w:tcPr>
            <w:tcW w:w="1012" w:type="pct"/>
            <w:tcBorders>
              <w:tl2br w:val="nil"/>
              <w:tr2bl w:val="nil"/>
            </w:tcBorders>
            <w:vAlign w:val="center"/>
          </w:tcPr>
          <w:p w14:paraId="7328208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1508687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435EB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0AEB554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19</w:t>
            </w:r>
          </w:p>
        </w:tc>
        <w:tc>
          <w:tcPr>
            <w:tcW w:w="1145" w:type="pct"/>
            <w:tcBorders>
              <w:tl2br w:val="nil"/>
              <w:tr2bl w:val="nil"/>
            </w:tcBorders>
            <w:vAlign w:val="center"/>
          </w:tcPr>
          <w:p w14:paraId="1BC6C30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氰化物</w:t>
            </w:r>
          </w:p>
        </w:tc>
        <w:tc>
          <w:tcPr>
            <w:tcW w:w="1012" w:type="pct"/>
            <w:tcBorders>
              <w:tl2br w:val="nil"/>
              <w:tr2bl w:val="nil"/>
            </w:tcBorders>
            <w:vAlign w:val="center"/>
          </w:tcPr>
          <w:p w14:paraId="0F35645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≤0.2</w:t>
            </w:r>
          </w:p>
        </w:tc>
        <w:tc>
          <w:tcPr>
            <w:tcW w:w="1012" w:type="pct"/>
            <w:tcBorders>
              <w:tl2br w:val="nil"/>
              <w:tr2bl w:val="nil"/>
            </w:tcBorders>
            <w:vAlign w:val="center"/>
          </w:tcPr>
          <w:p w14:paraId="0DED539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6885954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27ADEB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009817D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20</w:t>
            </w:r>
          </w:p>
        </w:tc>
        <w:tc>
          <w:tcPr>
            <w:tcW w:w="1145" w:type="pct"/>
            <w:tcBorders>
              <w:tl2br w:val="nil"/>
              <w:tr2bl w:val="nil"/>
            </w:tcBorders>
            <w:vAlign w:val="center"/>
          </w:tcPr>
          <w:p w14:paraId="137B06B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挥发酚</w:t>
            </w:r>
          </w:p>
        </w:tc>
        <w:tc>
          <w:tcPr>
            <w:tcW w:w="1012" w:type="pct"/>
            <w:tcBorders>
              <w:tl2br w:val="nil"/>
              <w:tr2bl w:val="nil"/>
            </w:tcBorders>
            <w:vAlign w:val="center"/>
          </w:tcPr>
          <w:p w14:paraId="72D2783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≤0.005</w:t>
            </w:r>
          </w:p>
        </w:tc>
        <w:tc>
          <w:tcPr>
            <w:tcW w:w="1012" w:type="pct"/>
            <w:tcBorders>
              <w:tl2br w:val="nil"/>
              <w:tr2bl w:val="nil"/>
            </w:tcBorders>
            <w:vAlign w:val="center"/>
          </w:tcPr>
          <w:p w14:paraId="7F7F5FA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7E341F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66AE48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31D3040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21</w:t>
            </w:r>
          </w:p>
        </w:tc>
        <w:tc>
          <w:tcPr>
            <w:tcW w:w="1145" w:type="pct"/>
            <w:tcBorders>
              <w:tl2br w:val="nil"/>
              <w:tr2bl w:val="nil"/>
            </w:tcBorders>
            <w:vAlign w:val="center"/>
          </w:tcPr>
          <w:p w14:paraId="72CE828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石油类</w:t>
            </w:r>
          </w:p>
        </w:tc>
        <w:tc>
          <w:tcPr>
            <w:tcW w:w="1012" w:type="pct"/>
            <w:tcBorders>
              <w:tl2br w:val="nil"/>
              <w:tr2bl w:val="nil"/>
            </w:tcBorders>
            <w:vAlign w:val="center"/>
          </w:tcPr>
          <w:p w14:paraId="6FB25BB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≤0.05</w:t>
            </w:r>
          </w:p>
        </w:tc>
        <w:tc>
          <w:tcPr>
            <w:tcW w:w="1012" w:type="pct"/>
            <w:tcBorders>
              <w:tl2br w:val="nil"/>
              <w:tr2bl w:val="nil"/>
            </w:tcBorders>
            <w:vAlign w:val="center"/>
          </w:tcPr>
          <w:p w14:paraId="56BB74C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422E824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00DD9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055ABCC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22</w:t>
            </w:r>
          </w:p>
        </w:tc>
        <w:tc>
          <w:tcPr>
            <w:tcW w:w="1145" w:type="pct"/>
            <w:tcBorders>
              <w:tl2br w:val="nil"/>
              <w:tr2bl w:val="nil"/>
            </w:tcBorders>
            <w:vAlign w:val="center"/>
          </w:tcPr>
          <w:p w14:paraId="399D60D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阴离子表面活性剂</w:t>
            </w:r>
          </w:p>
        </w:tc>
        <w:tc>
          <w:tcPr>
            <w:tcW w:w="1012" w:type="pct"/>
            <w:tcBorders>
              <w:tl2br w:val="nil"/>
              <w:tr2bl w:val="nil"/>
            </w:tcBorders>
            <w:vAlign w:val="center"/>
          </w:tcPr>
          <w:p w14:paraId="0A6EB27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≤0.2</w:t>
            </w:r>
          </w:p>
        </w:tc>
        <w:tc>
          <w:tcPr>
            <w:tcW w:w="1012" w:type="pct"/>
            <w:tcBorders>
              <w:tl2br w:val="nil"/>
              <w:tr2bl w:val="nil"/>
            </w:tcBorders>
            <w:vAlign w:val="center"/>
          </w:tcPr>
          <w:p w14:paraId="5400D13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7E2F47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61E854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C14423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23</w:t>
            </w:r>
          </w:p>
        </w:tc>
        <w:tc>
          <w:tcPr>
            <w:tcW w:w="1145" w:type="pct"/>
            <w:tcBorders>
              <w:tl2br w:val="nil"/>
              <w:tr2bl w:val="nil"/>
            </w:tcBorders>
            <w:vAlign w:val="center"/>
          </w:tcPr>
          <w:p w14:paraId="2DEB9A3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硫化物</w:t>
            </w:r>
          </w:p>
        </w:tc>
        <w:tc>
          <w:tcPr>
            <w:tcW w:w="1012" w:type="pct"/>
            <w:tcBorders>
              <w:tl2br w:val="nil"/>
              <w:tr2bl w:val="nil"/>
            </w:tcBorders>
            <w:vAlign w:val="center"/>
          </w:tcPr>
          <w:p w14:paraId="2BE0F52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≤0.2</w:t>
            </w:r>
          </w:p>
        </w:tc>
        <w:tc>
          <w:tcPr>
            <w:tcW w:w="1012" w:type="pct"/>
            <w:tcBorders>
              <w:tl2br w:val="nil"/>
              <w:tr2bl w:val="nil"/>
            </w:tcBorders>
            <w:vAlign w:val="center"/>
          </w:tcPr>
          <w:p w14:paraId="5DF4F75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98935D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17C6E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5ECD37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24</w:t>
            </w:r>
          </w:p>
        </w:tc>
        <w:tc>
          <w:tcPr>
            <w:tcW w:w="1145" w:type="pct"/>
            <w:tcBorders>
              <w:tl2br w:val="nil"/>
              <w:tr2bl w:val="nil"/>
            </w:tcBorders>
            <w:vAlign w:val="center"/>
          </w:tcPr>
          <w:p w14:paraId="5618AF1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粪大肠菌群</w:t>
            </w:r>
          </w:p>
        </w:tc>
        <w:tc>
          <w:tcPr>
            <w:tcW w:w="1012" w:type="pct"/>
            <w:tcBorders>
              <w:tl2br w:val="nil"/>
              <w:tr2bl w:val="nil"/>
            </w:tcBorders>
            <w:vAlign w:val="center"/>
          </w:tcPr>
          <w:p w14:paraId="7C8B008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≤10000</w:t>
            </w:r>
          </w:p>
        </w:tc>
        <w:tc>
          <w:tcPr>
            <w:tcW w:w="1012" w:type="pct"/>
            <w:tcBorders>
              <w:tl2br w:val="nil"/>
              <w:tr2bl w:val="nil"/>
            </w:tcBorders>
            <w:vAlign w:val="center"/>
          </w:tcPr>
          <w:p w14:paraId="1BE35C4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个/L</w:t>
            </w:r>
          </w:p>
        </w:tc>
        <w:tc>
          <w:tcPr>
            <w:tcW w:w="1365" w:type="pct"/>
            <w:vMerge w:val="continue"/>
            <w:tcBorders>
              <w:tl2br w:val="nil"/>
              <w:tr2bl w:val="nil"/>
            </w:tcBorders>
            <w:vAlign w:val="center"/>
          </w:tcPr>
          <w:p w14:paraId="3234B16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bl>
    <w:p w14:paraId="07C228B1">
      <w:pPr>
        <w:pStyle w:val="8"/>
        <w:bidi w:val="0"/>
        <w:rPr>
          <w:rFonts w:hint="default"/>
          <w:highlight w:val="none"/>
        </w:rPr>
      </w:pPr>
      <w:r>
        <w:rPr>
          <w:rFonts w:hint="default"/>
          <w:highlight w:val="none"/>
        </w:rPr>
        <w:t>2.3.1.4声环境质量标准</w:t>
      </w:r>
      <w:bookmarkEnd w:id="210"/>
      <w:bookmarkEnd w:id="211"/>
    </w:p>
    <w:p w14:paraId="56C0DA8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本项目所在地声环境质量执行</w:t>
      </w:r>
      <w:r>
        <w:rPr>
          <w:rFonts w:hint="default" w:ascii="Times New Roman" w:hAnsi="Times New Roman" w:cs="Times New Roman"/>
          <w:color w:val="auto"/>
          <w:sz w:val="24"/>
          <w:highlight w:val="none"/>
          <w:lang w:eastAsia="zh-CN"/>
        </w:rPr>
        <w:t>《声环境质量标准》（GB3096-2008）</w:t>
      </w:r>
      <w:r>
        <w:rPr>
          <w:rFonts w:hint="eastAsia"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类</w:t>
      </w:r>
      <w:r>
        <w:rPr>
          <w:rFonts w:hint="default" w:ascii="Times New Roman" w:hAnsi="Times New Roman" w:eastAsia="宋体" w:cs="Times New Roman"/>
          <w:color w:val="auto"/>
          <w:sz w:val="24"/>
          <w:highlight w:val="none"/>
        </w:rPr>
        <w:t>声环境功能区。具体标准值见表2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3-4。</w:t>
      </w:r>
    </w:p>
    <w:p w14:paraId="1E28B46A">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黑体" w:cs="Times New Roman"/>
          <w:bCs/>
          <w:kern w:val="2"/>
          <w:sz w:val="21"/>
          <w:highlight w:val="none"/>
          <w:lang w:val="en-US" w:eastAsia="zh-CN"/>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3-4  声环境质量执行标准一览表     单位：dB(A)</w:t>
      </w:r>
    </w:p>
    <w:tbl>
      <w:tblPr>
        <w:tblStyle w:val="48"/>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297"/>
        <w:gridCol w:w="1615"/>
        <w:gridCol w:w="1616"/>
        <w:gridCol w:w="2994"/>
      </w:tblGrid>
      <w:tr w14:paraId="65030E6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24" w:hRule="atLeast"/>
          <w:tblHeader/>
          <w:jc w:val="center"/>
        </w:trPr>
        <w:tc>
          <w:tcPr>
            <w:tcW w:w="1347" w:type="pct"/>
            <w:tcBorders>
              <w:tl2br w:val="nil"/>
              <w:tr2bl w:val="nil"/>
            </w:tcBorders>
            <w:vAlign w:val="center"/>
          </w:tcPr>
          <w:p w14:paraId="7E775927">
            <w:pPr>
              <w:jc w:val="center"/>
              <w:rPr>
                <w:rFonts w:hint="default" w:ascii="Times New Roman" w:hAnsi="Times New Roman" w:eastAsia="宋体" w:cs="Times New Roman"/>
                <w:b/>
                <w:color w:val="auto"/>
                <w:kern w:val="1"/>
                <w:sz w:val="21"/>
                <w:szCs w:val="21"/>
                <w:highlight w:val="none"/>
              </w:rPr>
            </w:pPr>
            <w:r>
              <w:rPr>
                <w:rFonts w:hint="default" w:ascii="Times New Roman" w:hAnsi="Times New Roman" w:eastAsia="宋体" w:cs="Times New Roman"/>
                <w:b/>
                <w:color w:val="auto"/>
                <w:kern w:val="1"/>
                <w:sz w:val="21"/>
                <w:szCs w:val="21"/>
                <w:highlight w:val="none"/>
              </w:rPr>
              <w:t>厂界外声环境功能区类别</w:t>
            </w:r>
          </w:p>
        </w:tc>
        <w:tc>
          <w:tcPr>
            <w:tcW w:w="947" w:type="pct"/>
            <w:tcBorders>
              <w:tl2br w:val="nil"/>
              <w:tr2bl w:val="nil"/>
            </w:tcBorders>
            <w:vAlign w:val="center"/>
          </w:tcPr>
          <w:p w14:paraId="2A2CA774">
            <w:pPr>
              <w:jc w:val="center"/>
              <w:rPr>
                <w:rFonts w:hint="default" w:ascii="Times New Roman" w:hAnsi="Times New Roman" w:eastAsia="宋体" w:cs="Times New Roman"/>
                <w:b/>
                <w:color w:val="auto"/>
                <w:kern w:val="1"/>
                <w:sz w:val="21"/>
                <w:szCs w:val="21"/>
                <w:highlight w:val="none"/>
              </w:rPr>
            </w:pPr>
            <w:r>
              <w:rPr>
                <w:rFonts w:hint="default" w:ascii="Times New Roman" w:hAnsi="Times New Roman" w:eastAsia="宋体" w:cs="Times New Roman"/>
                <w:b/>
                <w:color w:val="auto"/>
                <w:kern w:val="1"/>
                <w:sz w:val="21"/>
                <w:szCs w:val="21"/>
                <w:highlight w:val="none"/>
              </w:rPr>
              <w:t>时段</w:t>
            </w:r>
          </w:p>
        </w:tc>
        <w:tc>
          <w:tcPr>
            <w:tcW w:w="948" w:type="pct"/>
            <w:tcBorders>
              <w:tl2br w:val="nil"/>
              <w:tr2bl w:val="nil"/>
            </w:tcBorders>
            <w:vAlign w:val="center"/>
          </w:tcPr>
          <w:p w14:paraId="29F2BA15">
            <w:pPr>
              <w:jc w:val="center"/>
              <w:rPr>
                <w:rFonts w:hint="default" w:ascii="Times New Roman" w:hAnsi="Times New Roman" w:eastAsia="宋体" w:cs="Times New Roman"/>
                <w:b/>
                <w:color w:val="auto"/>
                <w:kern w:val="1"/>
                <w:sz w:val="21"/>
                <w:szCs w:val="21"/>
                <w:highlight w:val="none"/>
              </w:rPr>
            </w:pPr>
            <w:r>
              <w:rPr>
                <w:rFonts w:hint="default" w:ascii="Times New Roman" w:hAnsi="Times New Roman" w:eastAsia="宋体" w:cs="Times New Roman"/>
                <w:b/>
                <w:color w:val="auto"/>
                <w:kern w:val="1"/>
                <w:sz w:val="21"/>
                <w:szCs w:val="21"/>
                <w:highlight w:val="none"/>
              </w:rPr>
              <w:t>标准限值</w:t>
            </w:r>
          </w:p>
        </w:tc>
        <w:tc>
          <w:tcPr>
            <w:tcW w:w="1756" w:type="pct"/>
            <w:tcBorders>
              <w:tl2br w:val="nil"/>
              <w:tr2bl w:val="nil"/>
            </w:tcBorders>
            <w:vAlign w:val="center"/>
          </w:tcPr>
          <w:p w14:paraId="4A6C4660">
            <w:pPr>
              <w:jc w:val="center"/>
              <w:rPr>
                <w:rFonts w:hint="default" w:ascii="Times New Roman" w:hAnsi="Times New Roman" w:eastAsia="宋体" w:cs="Times New Roman"/>
                <w:b/>
                <w:color w:val="auto"/>
                <w:kern w:val="1"/>
                <w:sz w:val="21"/>
                <w:szCs w:val="21"/>
                <w:highlight w:val="none"/>
              </w:rPr>
            </w:pPr>
            <w:r>
              <w:rPr>
                <w:rFonts w:hint="default" w:ascii="Times New Roman" w:hAnsi="Times New Roman" w:eastAsia="宋体" w:cs="Times New Roman"/>
                <w:b/>
                <w:color w:val="auto"/>
                <w:kern w:val="1"/>
                <w:sz w:val="21"/>
                <w:szCs w:val="21"/>
                <w:highlight w:val="none"/>
              </w:rPr>
              <w:t>标准来源</w:t>
            </w:r>
          </w:p>
        </w:tc>
      </w:tr>
      <w:tr w14:paraId="5744732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9" w:hRule="atLeast"/>
          <w:jc w:val="center"/>
        </w:trPr>
        <w:tc>
          <w:tcPr>
            <w:tcW w:w="1347" w:type="pct"/>
            <w:vMerge w:val="restart"/>
            <w:tcBorders>
              <w:tl2br w:val="nil"/>
              <w:tr2bl w:val="nil"/>
            </w:tcBorders>
            <w:vAlign w:val="center"/>
          </w:tcPr>
          <w:p w14:paraId="4976BAC8">
            <w:pPr>
              <w:jc w:val="center"/>
              <w:rPr>
                <w:rFonts w:hint="default" w:ascii="Times New Roman" w:hAnsi="Times New Roman" w:eastAsia="宋体" w:cs="Times New Roman"/>
                <w:color w:val="auto"/>
                <w:kern w:val="1"/>
                <w:sz w:val="21"/>
                <w:szCs w:val="21"/>
                <w:highlight w:val="none"/>
              </w:rPr>
            </w:pPr>
            <w:r>
              <w:rPr>
                <w:rFonts w:hint="eastAsia" w:ascii="Times New Roman" w:hAnsi="Times New Roman" w:cs="Times New Roman"/>
                <w:color w:val="auto"/>
                <w:kern w:val="1"/>
                <w:sz w:val="21"/>
                <w:szCs w:val="21"/>
                <w:highlight w:val="none"/>
                <w:lang w:val="en-US" w:eastAsia="zh-CN"/>
              </w:rPr>
              <w:t>1类</w:t>
            </w:r>
          </w:p>
        </w:tc>
        <w:tc>
          <w:tcPr>
            <w:tcW w:w="947" w:type="pct"/>
            <w:tcBorders>
              <w:tl2br w:val="nil"/>
              <w:tr2bl w:val="nil"/>
            </w:tcBorders>
            <w:vAlign w:val="center"/>
          </w:tcPr>
          <w:p w14:paraId="480B54A5">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昼间</w:t>
            </w:r>
          </w:p>
        </w:tc>
        <w:tc>
          <w:tcPr>
            <w:tcW w:w="948" w:type="pct"/>
            <w:tcBorders>
              <w:tl2br w:val="nil"/>
              <w:tr2bl w:val="nil"/>
            </w:tcBorders>
            <w:vAlign w:val="center"/>
          </w:tcPr>
          <w:p w14:paraId="5726E5A4">
            <w:pPr>
              <w:jc w:val="center"/>
              <w:rPr>
                <w:rFonts w:hint="default" w:ascii="Times New Roman" w:hAnsi="Times New Roman" w:eastAsia="宋体" w:cs="Times New Roman"/>
                <w:color w:val="auto"/>
                <w:kern w:val="1"/>
                <w:sz w:val="21"/>
                <w:szCs w:val="21"/>
                <w:highlight w:val="none"/>
                <w:lang w:val="en-US" w:eastAsia="zh-CN"/>
              </w:rPr>
            </w:pPr>
            <w:r>
              <w:rPr>
                <w:rFonts w:hint="eastAsia" w:ascii="Times New Roman" w:hAnsi="Times New Roman" w:cs="Times New Roman"/>
                <w:color w:val="auto"/>
                <w:kern w:val="1"/>
                <w:sz w:val="21"/>
                <w:szCs w:val="21"/>
                <w:highlight w:val="none"/>
                <w:lang w:val="en-US" w:eastAsia="zh-CN"/>
              </w:rPr>
              <w:t>55</w:t>
            </w:r>
          </w:p>
        </w:tc>
        <w:tc>
          <w:tcPr>
            <w:tcW w:w="1756" w:type="pct"/>
            <w:vMerge w:val="restart"/>
            <w:tcBorders>
              <w:tl2br w:val="nil"/>
              <w:tr2bl w:val="nil"/>
            </w:tcBorders>
            <w:vAlign w:val="center"/>
          </w:tcPr>
          <w:p w14:paraId="57248D21">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cs="Times New Roman"/>
                <w:color w:val="auto"/>
                <w:kern w:val="1"/>
                <w:sz w:val="21"/>
                <w:szCs w:val="21"/>
                <w:highlight w:val="none"/>
                <w:lang w:eastAsia="zh-CN"/>
              </w:rPr>
              <w:t>《声环境质量标准》（GB3096-2008）</w:t>
            </w:r>
            <w:r>
              <w:rPr>
                <w:rFonts w:hint="eastAsia" w:ascii="Times New Roman" w:hAnsi="Times New Roman" w:cs="Times New Roman"/>
                <w:color w:val="auto"/>
                <w:kern w:val="1"/>
                <w:sz w:val="21"/>
                <w:szCs w:val="21"/>
                <w:highlight w:val="none"/>
                <w:lang w:val="en-US" w:eastAsia="zh-CN"/>
              </w:rPr>
              <w:t>1</w:t>
            </w:r>
            <w:r>
              <w:rPr>
                <w:rFonts w:hint="default" w:ascii="Times New Roman" w:hAnsi="Times New Roman" w:cs="Times New Roman"/>
                <w:color w:val="auto"/>
                <w:kern w:val="1"/>
                <w:sz w:val="21"/>
                <w:szCs w:val="21"/>
                <w:highlight w:val="none"/>
                <w:lang w:eastAsia="zh-CN"/>
              </w:rPr>
              <w:t>类</w:t>
            </w:r>
            <w:r>
              <w:rPr>
                <w:rFonts w:hint="default" w:ascii="Times New Roman" w:hAnsi="Times New Roman" w:eastAsia="宋体" w:cs="Times New Roman"/>
                <w:color w:val="auto"/>
                <w:kern w:val="1"/>
                <w:sz w:val="21"/>
                <w:szCs w:val="21"/>
                <w:highlight w:val="none"/>
              </w:rPr>
              <w:t>区标准</w:t>
            </w:r>
          </w:p>
        </w:tc>
      </w:tr>
      <w:tr w14:paraId="6FA3A80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347" w:type="pct"/>
            <w:vMerge w:val="continue"/>
            <w:tcBorders>
              <w:tl2br w:val="nil"/>
              <w:tr2bl w:val="nil"/>
            </w:tcBorders>
            <w:vAlign w:val="center"/>
          </w:tcPr>
          <w:p w14:paraId="369939F3">
            <w:pPr>
              <w:jc w:val="center"/>
              <w:rPr>
                <w:rFonts w:hint="default" w:ascii="Times New Roman" w:hAnsi="Times New Roman" w:eastAsia="宋体" w:cs="Times New Roman"/>
                <w:color w:val="auto"/>
                <w:kern w:val="1"/>
                <w:sz w:val="21"/>
                <w:szCs w:val="21"/>
                <w:highlight w:val="none"/>
              </w:rPr>
            </w:pPr>
          </w:p>
        </w:tc>
        <w:tc>
          <w:tcPr>
            <w:tcW w:w="947" w:type="pct"/>
            <w:tcBorders>
              <w:tl2br w:val="nil"/>
              <w:tr2bl w:val="nil"/>
            </w:tcBorders>
            <w:vAlign w:val="center"/>
          </w:tcPr>
          <w:p w14:paraId="7B170323">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夜间</w:t>
            </w:r>
          </w:p>
        </w:tc>
        <w:tc>
          <w:tcPr>
            <w:tcW w:w="948" w:type="pct"/>
            <w:tcBorders>
              <w:tl2br w:val="nil"/>
              <w:tr2bl w:val="nil"/>
            </w:tcBorders>
            <w:vAlign w:val="center"/>
          </w:tcPr>
          <w:p w14:paraId="0810BD6E">
            <w:pPr>
              <w:jc w:val="center"/>
              <w:rPr>
                <w:rFonts w:hint="default" w:ascii="Times New Roman" w:hAnsi="Times New Roman" w:eastAsia="宋体" w:cs="Times New Roman"/>
                <w:color w:val="auto"/>
                <w:kern w:val="1"/>
                <w:sz w:val="21"/>
                <w:szCs w:val="21"/>
                <w:highlight w:val="none"/>
                <w:lang w:val="en-US" w:eastAsia="zh-CN"/>
              </w:rPr>
            </w:pPr>
            <w:r>
              <w:rPr>
                <w:rFonts w:hint="eastAsia" w:ascii="Times New Roman" w:hAnsi="Times New Roman" w:cs="Times New Roman"/>
                <w:color w:val="auto"/>
                <w:kern w:val="1"/>
                <w:sz w:val="21"/>
                <w:szCs w:val="21"/>
                <w:highlight w:val="none"/>
                <w:lang w:val="en-US" w:eastAsia="zh-CN"/>
              </w:rPr>
              <w:t>45</w:t>
            </w:r>
          </w:p>
        </w:tc>
        <w:tc>
          <w:tcPr>
            <w:tcW w:w="1756" w:type="pct"/>
            <w:vMerge w:val="continue"/>
            <w:tcBorders>
              <w:tl2br w:val="nil"/>
              <w:tr2bl w:val="nil"/>
            </w:tcBorders>
            <w:vAlign w:val="center"/>
          </w:tcPr>
          <w:p w14:paraId="1836AE80">
            <w:pPr>
              <w:jc w:val="left"/>
              <w:rPr>
                <w:rFonts w:hint="default" w:ascii="Times New Roman" w:hAnsi="Times New Roman" w:eastAsia="宋体" w:cs="Times New Roman"/>
                <w:color w:val="auto"/>
                <w:kern w:val="1"/>
                <w:sz w:val="21"/>
                <w:szCs w:val="21"/>
                <w:highlight w:val="none"/>
              </w:rPr>
            </w:pPr>
          </w:p>
        </w:tc>
      </w:tr>
    </w:tbl>
    <w:p w14:paraId="5E591D4D">
      <w:pPr>
        <w:pStyle w:val="8"/>
        <w:bidi w:val="0"/>
        <w:rPr>
          <w:rFonts w:hint="default"/>
          <w:highlight w:val="none"/>
        </w:rPr>
      </w:pPr>
      <w:bookmarkStart w:id="212" w:name="_Toc19706"/>
      <w:bookmarkStart w:id="213" w:name="_Toc23265"/>
      <w:r>
        <w:rPr>
          <w:rFonts w:hint="default"/>
          <w:highlight w:val="none"/>
        </w:rPr>
        <w:t>2.3.1.5土壤环境质量标准</w:t>
      </w:r>
      <w:bookmarkEnd w:id="212"/>
      <w:bookmarkEnd w:id="213"/>
    </w:p>
    <w:p w14:paraId="4662E1C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评价区域土壤环境质量执行</w:t>
      </w:r>
      <w:r>
        <w:rPr>
          <w:rFonts w:hint="default" w:ascii="Times New Roman" w:hAnsi="Times New Roman" w:cs="Times New Roman"/>
          <w:color w:val="auto"/>
          <w:highlight w:val="none"/>
          <w:lang w:val="zh-CN"/>
        </w:rPr>
        <w:t>《土壤环境质量 建设用地土壤污染风险管控标准（试行）》（GB36600-2018）表1建设用地土壤污染风险筛选值（基本工程）中第二类用地风险筛选值</w:t>
      </w:r>
      <w:r>
        <w:rPr>
          <w:rFonts w:hint="eastAsia" w:ascii="Times New Roman" w:hAnsi="Times New Roman" w:cs="Times New Roman"/>
          <w:color w:val="auto"/>
          <w:highlight w:val="none"/>
          <w:lang w:val="zh-CN"/>
        </w:rPr>
        <w:t>，</w:t>
      </w:r>
      <w:r>
        <w:rPr>
          <w:rFonts w:hint="default" w:ascii="Times New Roman" w:hAnsi="Times New Roman" w:eastAsia="宋体" w:cs="Times New Roman"/>
          <w:color w:val="auto"/>
          <w:sz w:val="24"/>
          <w:highlight w:val="none"/>
        </w:rPr>
        <w:t>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3-5。</w:t>
      </w:r>
    </w:p>
    <w:p w14:paraId="48D10B10">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kern w:val="1"/>
          <w:sz w:val="24"/>
          <w:highlight w:val="none"/>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3-5  土壤环境质量执行标准一览表     单位：mg/kg</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2226"/>
        <w:gridCol w:w="1096"/>
        <w:gridCol w:w="842"/>
        <w:gridCol w:w="2407"/>
        <w:gridCol w:w="1148"/>
      </w:tblGrid>
      <w:tr w14:paraId="7DB25C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jc w:val="center"/>
        </w:trPr>
        <w:tc>
          <w:tcPr>
            <w:tcW w:w="469" w:type="pct"/>
            <w:tcBorders>
              <w:tl2br w:val="nil"/>
              <w:tr2bl w:val="nil"/>
            </w:tcBorders>
            <w:noWrap w:val="0"/>
            <w:vAlign w:val="center"/>
          </w:tcPr>
          <w:p w14:paraId="77AC9D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序号</w:t>
            </w:r>
          </w:p>
        </w:tc>
        <w:tc>
          <w:tcPr>
            <w:tcW w:w="1306" w:type="pct"/>
            <w:tcBorders>
              <w:tl2br w:val="nil"/>
              <w:tr2bl w:val="nil"/>
            </w:tcBorders>
            <w:noWrap w:val="0"/>
            <w:vAlign w:val="center"/>
          </w:tcPr>
          <w:p w14:paraId="21298C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污染物项目</w:t>
            </w:r>
          </w:p>
        </w:tc>
        <w:tc>
          <w:tcPr>
            <w:tcW w:w="643" w:type="pct"/>
            <w:tcBorders>
              <w:tl2br w:val="nil"/>
              <w:tr2bl w:val="nil"/>
            </w:tcBorders>
            <w:noWrap w:val="0"/>
            <w:vAlign w:val="center"/>
          </w:tcPr>
          <w:p w14:paraId="78F61A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筛选值</w:t>
            </w:r>
          </w:p>
        </w:tc>
        <w:tc>
          <w:tcPr>
            <w:tcW w:w="494" w:type="pct"/>
            <w:tcBorders>
              <w:tl2br w:val="nil"/>
              <w:tr2bl w:val="nil"/>
            </w:tcBorders>
            <w:noWrap w:val="0"/>
            <w:vAlign w:val="center"/>
          </w:tcPr>
          <w:p w14:paraId="25BC28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序号</w:t>
            </w:r>
          </w:p>
        </w:tc>
        <w:tc>
          <w:tcPr>
            <w:tcW w:w="1412" w:type="pct"/>
            <w:tcBorders>
              <w:tl2br w:val="nil"/>
              <w:tr2bl w:val="nil"/>
            </w:tcBorders>
            <w:noWrap w:val="0"/>
            <w:vAlign w:val="center"/>
          </w:tcPr>
          <w:p w14:paraId="30BC48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污染物项目</w:t>
            </w:r>
          </w:p>
        </w:tc>
        <w:tc>
          <w:tcPr>
            <w:tcW w:w="673" w:type="pct"/>
            <w:tcBorders>
              <w:tl2br w:val="nil"/>
              <w:tr2bl w:val="nil"/>
            </w:tcBorders>
            <w:noWrap w:val="0"/>
            <w:vAlign w:val="center"/>
          </w:tcPr>
          <w:p w14:paraId="65DDE8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筛选值</w:t>
            </w:r>
          </w:p>
        </w:tc>
      </w:tr>
      <w:tr w14:paraId="093A67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6CC56A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w:t>
            </w:r>
          </w:p>
        </w:tc>
        <w:tc>
          <w:tcPr>
            <w:tcW w:w="1306" w:type="pct"/>
            <w:tcBorders>
              <w:tl2br w:val="nil"/>
              <w:tr2bl w:val="nil"/>
            </w:tcBorders>
            <w:noWrap w:val="0"/>
            <w:vAlign w:val="center"/>
          </w:tcPr>
          <w:p w14:paraId="6E320C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砷</w:t>
            </w:r>
          </w:p>
        </w:tc>
        <w:tc>
          <w:tcPr>
            <w:tcW w:w="643" w:type="pct"/>
            <w:tcBorders>
              <w:tl2br w:val="nil"/>
              <w:tr2bl w:val="nil"/>
            </w:tcBorders>
            <w:noWrap w:val="0"/>
            <w:vAlign w:val="center"/>
          </w:tcPr>
          <w:p w14:paraId="10C1CD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60</w:t>
            </w:r>
          </w:p>
        </w:tc>
        <w:tc>
          <w:tcPr>
            <w:tcW w:w="494" w:type="pct"/>
            <w:tcBorders>
              <w:tl2br w:val="nil"/>
              <w:tr2bl w:val="nil"/>
            </w:tcBorders>
            <w:noWrap w:val="0"/>
            <w:vAlign w:val="center"/>
          </w:tcPr>
          <w:p w14:paraId="34981C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24</w:t>
            </w:r>
          </w:p>
        </w:tc>
        <w:tc>
          <w:tcPr>
            <w:tcW w:w="1412" w:type="pct"/>
            <w:tcBorders>
              <w:tl2br w:val="nil"/>
              <w:tr2bl w:val="nil"/>
            </w:tcBorders>
            <w:noWrap w:val="0"/>
            <w:vAlign w:val="center"/>
          </w:tcPr>
          <w:p w14:paraId="33DB92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1，2，3-三氯丙烷</w:t>
            </w:r>
          </w:p>
        </w:tc>
        <w:tc>
          <w:tcPr>
            <w:tcW w:w="673" w:type="pct"/>
            <w:tcBorders>
              <w:tl2br w:val="nil"/>
              <w:tr2bl w:val="nil"/>
            </w:tcBorders>
            <w:noWrap w:val="0"/>
            <w:vAlign w:val="center"/>
          </w:tcPr>
          <w:p w14:paraId="11D9DE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0.5</w:t>
            </w:r>
          </w:p>
        </w:tc>
      </w:tr>
      <w:tr w14:paraId="391B4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10FB6D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w:t>
            </w:r>
          </w:p>
        </w:tc>
        <w:tc>
          <w:tcPr>
            <w:tcW w:w="1306" w:type="pct"/>
            <w:tcBorders>
              <w:tl2br w:val="nil"/>
              <w:tr2bl w:val="nil"/>
            </w:tcBorders>
            <w:noWrap w:val="0"/>
            <w:vAlign w:val="center"/>
          </w:tcPr>
          <w:p w14:paraId="0A3BA3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镉</w:t>
            </w:r>
          </w:p>
        </w:tc>
        <w:tc>
          <w:tcPr>
            <w:tcW w:w="643" w:type="pct"/>
            <w:tcBorders>
              <w:tl2br w:val="nil"/>
              <w:tr2bl w:val="nil"/>
            </w:tcBorders>
            <w:noWrap w:val="0"/>
            <w:vAlign w:val="center"/>
          </w:tcPr>
          <w:p w14:paraId="231016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65</w:t>
            </w:r>
          </w:p>
        </w:tc>
        <w:tc>
          <w:tcPr>
            <w:tcW w:w="494" w:type="pct"/>
            <w:tcBorders>
              <w:tl2br w:val="nil"/>
              <w:tr2bl w:val="nil"/>
            </w:tcBorders>
            <w:noWrap w:val="0"/>
            <w:vAlign w:val="center"/>
          </w:tcPr>
          <w:p w14:paraId="3F4BBE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25</w:t>
            </w:r>
          </w:p>
        </w:tc>
        <w:tc>
          <w:tcPr>
            <w:tcW w:w="1412" w:type="pct"/>
            <w:tcBorders>
              <w:tl2br w:val="nil"/>
              <w:tr2bl w:val="nil"/>
            </w:tcBorders>
            <w:noWrap w:val="0"/>
            <w:vAlign w:val="center"/>
          </w:tcPr>
          <w:p w14:paraId="5C0A3B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氯乙烯</w:t>
            </w:r>
          </w:p>
        </w:tc>
        <w:tc>
          <w:tcPr>
            <w:tcW w:w="673" w:type="pct"/>
            <w:tcBorders>
              <w:tl2br w:val="nil"/>
              <w:tr2bl w:val="nil"/>
            </w:tcBorders>
            <w:noWrap w:val="0"/>
            <w:vAlign w:val="center"/>
          </w:tcPr>
          <w:p w14:paraId="080222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0.43</w:t>
            </w:r>
          </w:p>
        </w:tc>
      </w:tr>
      <w:tr w14:paraId="670DB1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123446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w:t>
            </w:r>
          </w:p>
        </w:tc>
        <w:tc>
          <w:tcPr>
            <w:tcW w:w="1306" w:type="pct"/>
            <w:tcBorders>
              <w:tl2br w:val="nil"/>
              <w:tr2bl w:val="nil"/>
            </w:tcBorders>
            <w:noWrap w:val="0"/>
            <w:vAlign w:val="center"/>
          </w:tcPr>
          <w:p w14:paraId="44E004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铬（六价）</w:t>
            </w:r>
          </w:p>
        </w:tc>
        <w:tc>
          <w:tcPr>
            <w:tcW w:w="643" w:type="pct"/>
            <w:tcBorders>
              <w:tl2br w:val="nil"/>
              <w:tr2bl w:val="nil"/>
            </w:tcBorders>
            <w:noWrap w:val="0"/>
            <w:vAlign w:val="center"/>
          </w:tcPr>
          <w:p w14:paraId="69EB1C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5.7</w:t>
            </w:r>
          </w:p>
        </w:tc>
        <w:tc>
          <w:tcPr>
            <w:tcW w:w="494" w:type="pct"/>
            <w:tcBorders>
              <w:tl2br w:val="nil"/>
              <w:tr2bl w:val="nil"/>
            </w:tcBorders>
            <w:noWrap w:val="0"/>
            <w:vAlign w:val="center"/>
          </w:tcPr>
          <w:p w14:paraId="234A0E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26</w:t>
            </w:r>
          </w:p>
        </w:tc>
        <w:tc>
          <w:tcPr>
            <w:tcW w:w="1412" w:type="pct"/>
            <w:tcBorders>
              <w:tl2br w:val="nil"/>
              <w:tr2bl w:val="nil"/>
            </w:tcBorders>
            <w:noWrap w:val="0"/>
            <w:vAlign w:val="center"/>
          </w:tcPr>
          <w:p w14:paraId="559929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w:t>
            </w:r>
          </w:p>
        </w:tc>
        <w:tc>
          <w:tcPr>
            <w:tcW w:w="673" w:type="pct"/>
            <w:tcBorders>
              <w:tl2br w:val="nil"/>
              <w:tr2bl w:val="nil"/>
            </w:tcBorders>
            <w:noWrap w:val="0"/>
            <w:vAlign w:val="center"/>
          </w:tcPr>
          <w:p w14:paraId="41E0DA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w:t>
            </w:r>
          </w:p>
        </w:tc>
      </w:tr>
      <w:tr w14:paraId="363C8D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66FC47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w:t>
            </w:r>
          </w:p>
        </w:tc>
        <w:tc>
          <w:tcPr>
            <w:tcW w:w="1306" w:type="pct"/>
            <w:tcBorders>
              <w:tl2br w:val="nil"/>
              <w:tr2bl w:val="nil"/>
            </w:tcBorders>
            <w:noWrap w:val="0"/>
            <w:vAlign w:val="center"/>
          </w:tcPr>
          <w:p w14:paraId="56D27F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铜</w:t>
            </w:r>
          </w:p>
        </w:tc>
        <w:tc>
          <w:tcPr>
            <w:tcW w:w="643" w:type="pct"/>
            <w:tcBorders>
              <w:tl2br w:val="nil"/>
              <w:tr2bl w:val="nil"/>
            </w:tcBorders>
            <w:noWrap w:val="0"/>
            <w:vAlign w:val="center"/>
          </w:tcPr>
          <w:p w14:paraId="53A9A3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18000</w:t>
            </w:r>
          </w:p>
        </w:tc>
        <w:tc>
          <w:tcPr>
            <w:tcW w:w="494" w:type="pct"/>
            <w:tcBorders>
              <w:tl2br w:val="nil"/>
              <w:tr2bl w:val="nil"/>
            </w:tcBorders>
            <w:noWrap w:val="0"/>
            <w:vAlign w:val="center"/>
          </w:tcPr>
          <w:p w14:paraId="76292B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27</w:t>
            </w:r>
          </w:p>
        </w:tc>
        <w:tc>
          <w:tcPr>
            <w:tcW w:w="1412" w:type="pct"/>
            <w:tcBorders>
              <w:tl2br w:val="nil"/>
              <w:tr2bl w:val="nil"/>
            </w:tcBorders>
            <w:noWrap w:val="0"/>
            <w:vAlign w:val="center"/>
          </w:tcPr>
          <w:p w14:paraId="134F45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氯苯</w:t>
            </w:r>
          </w:p>
        </w:tc>
        <w:tc>
          <w:tcPr>
            <w:tcW w:w="673" w:type="pct"/>
            <w:tcBorders>
              <w:tl2br w:val="nil"/>
              <w:tr2bl w:val="nil"/>
            </w:tcBorders>
            <w:noWrap w:val="0"/>
            <w:vAlign w:val="center"/>
          </w:tcPr>
          <w:p w14:paraId="076F68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270</w:t>
            </w:r>
          </w:p>
        </w:tc>
      </w:tr>
      <w:tr w14:paraId="64858E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7C5915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w:t>
            </w:r>
          </w:p>
        </w:tc>
        <w:tc>
          <w:tcPr>
            <w:tcW w:w="1306" w:type="pct"/>
            <w:tcBorders>
              <w:tl2br w:val="nil"/>
              <w:tr2bl w:val="nil"/>
            </w:tcBorders>
            <w:noWrap w:val="0"/>
            <w:vAlign w:val="center"/>
          </w:tcPr>
          <w:p w14:paraId="7A63CE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铅</w:t>
            </w:r>
          </w:p>
        </w:tc>
        <w:tc>
          <w:tcPr>
            <w:tcW w:w="643" w:type="pct"/>
            <w:tcBorders>
              <w:tl2br w:val="nil"/>
              <w:tr2bl w:val="nil"/>
            </w:tcBorders>
            <w:noWrap w:val="0"/>
            <w:vAlign w:val="center"/>
          </w:tcPr>
          <w:p w14:paraId="168B16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800</w:t>
            </w:r>
          </w:p>
        </w:tc>
        <w:tc>
          <w:tcPr>
            <w:tcW w:w="494" w:type="pct"/>
            <w:tcBorders>
              <w:tl2br w:val="nil"/>
              <w:tr2bl w:val="nil"/>
            </w:tcBorders>
            <w:noWrap w:val="0"/>
            <w:vAlign w:val="center"/>
          </w:tcPr>
          <w:p w14:paraId="3FDE2F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c>
          <w:tcPr>
            <w:tcW w:w="1412" w:type="pct"/>
            <w:tcBorders>
              <w:tl2br w:val="nil"/>
              <w:tr2bl w:val="nil"/>
            </w:tcBorders>
            <w:noWrap w:val="0"/>
            <w:vAlign w:val="center"/>
          </w:tcPr>
          <w:p w14:paraId="76372A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1，2-二氯苯</w:t>
            </w:r>
          </w:p>
        </w:tc>
        <w:tc>
          <w:tcPr>
            <w:tcW w:w="673" w:type="pct"/>
            <w:tcBorders>
              <w:tl2br w:val="nil"/>
              <w:tr2bl w:val="nil"/>
            </w:tcBorders>
            <w:noWrap w:val="0"/>
            <w:vAlign w:val="center"/>
          </w:tcPr>
          <w:p w14:paraId="742492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560</w:t>
            </w:r>
          </w:p>
        </w:tc>
      </w:tr>
      <w:tr w14:paraId="73005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69" w:type="pct"/>
            <w:tcBorders>
              <w:tl2br w:val="nil"/>
              <w:tr2bl w:val="nil"/>
            </w:tcBorders>
            <w:noWrap w:val="0"/>
            <w:vAlign w:val="center"/>
          </w:tcPr>
          <w:p w14:paraId="661166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w:t>
            </w:r>
          </w:p>
        </w:tc>
        <w:tc>
          <w:tcPr>
            <w:tcW w:w="1306" w:type="pct"/>
            <w:tcBorders>
              <w:tl2br w:val="nil"/>
              <w:tr2bl w:val="nil"/>
            </w:tcBorders>
            <w:noWrap w:val="0"/>
            <w:vAlign w:val="center"/>
          </w:tcPr>
          <w:p w14:paraId="0D885F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汞</w:t>
            </w:r>
          </w:p>
        </w:tc>
        <w:tc>
          <w:tcPr>
            <w:tcW w:w="643" w:type="pct"/>
            <w:tcBorders>
              <w:tl2br w:val="nil"/>
              <w:tr2bl w:val="nil"/>
            </w:tcBorders>
            <w:noWrap w:val="0"/>
            <w:vAlign w:val="center"/>
          </w:tcPr>
          <w:p w14:paraId="3C695C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38</w:t>
            </w:r>
          </w:p>
        </w:tc>
        <w:tc>
          <w:tcPr>
            <w:tcW w:w="494" w:type="pct"/>
            <w:tcBorders>
              <w:tl2br w:val="nil"/>
              <w:tr2bl w:val="nil"/>
            </w:tcBorders>
            <w:noWrap w:val="0"/>
            <w:vAlign w:val="center"/>
          </w:tcPr>
          <w:p w14:paraId="58E396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29</w:t>
            </w:r>
          </w:p>
        </w:tc>
        <w:tc>
          <w:tcPr>
            <w:tcW w:w="1412" w:type="pct"/>
            <w:tcBorders>
              <w:tl2br w:val="nil"/>
              <w:tr2bl w:val="nil"/>
            </w:tcBorders>
            <w:noWrap w:val="0"/>
            <w:vAlign w:val="center"/>
          </w:tcPr>
          <w:p w14:paraId="0CDB30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1，4-二氯苯</w:t>
            </w:r>
          </w:p>
        </w:tc>
        <w:tc>
          <w:tcPr>
            <w:tcW w:w="673" w:type="pct"/>
            <w:tcBorders>
              <w:tl2br w:val="nil"/>
              <w:tr2bl w:val="nil"/>
            </w:tcBorders>
            <w:noWrap w:val="0"/>
            <w:vAlign w:val="center"/>
          </w:tcPr>
          <w:p w14:paraId="02CE21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20</w:t>
            </w:r>
          </w:p>
        </w:tc>
      </w:tr>
      <w:tr w14:paraId="770D46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5560FB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7</w:t>
            </w:r>
          </w:p>
        </w:tc>
        <w:tc>
          <w:tcPr>
            <w:tcW w:w="1306" w:type="pct"/>
            <w:tcBorders>
              <w:tl2br w:val="nil"/>
              <w:tr2bl w:val="nil"/>
            </w:tcBorders>
            <w:noWrap w:val="0"/>
            <w:vAlign w:val="center"/>
          </w:tcPr>
          <w:p w14:paraId="2A8B7C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镍</w:t>
            </w:r>
          </w:p>
        </w:tc>
        <w:tc>
          <w:tcPr>
            <w:tcW w:w="643" w:type="pct"/>
            <w:tcBorders>
              <w:tl2br w:val="nil"/>
              <w:tr2bl w:val="nil"/>
            </w:tcBorders>
            <w:noWrap w:val="0"/>
            <w:vAlign w:val="center"/>
          </w:tcPr>
          <w:p w14:paraId="33BA31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900</w:t>
            </w:r>
          </w:p>
        </w:tc>
        <w:tc>
          <w:tcPr>
            <w:tcW w:w="494" w:type="pct"/>
            <w:tcBorders>
              <w:tl2br w:val="nil"/>
              <w:tr2bl w:val="nil"/>
            </w:tcBorders>
            <w:noWrap w:val="0"/>
            <w:vAlign w:val="center"/>
          </w:tcPr>
          <w:p w14:paraId="7D93FF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30</w:t>
            </w:r>
          </w:p>
        </w:tc>
        <w:tc>
          <w:tcPr>
            <w:tcW w:w="1412" w:type="pct"/>
            <w:tcBorders>
              <w:tl2br w:val="nil"/>
              <w:tr2bl w:val="nil"/>
            </w:tcBorders>
            <w:noWrap w:val="0"/>
            <w:vAlign w:val="center"/>
          </w:tcPr>
          <w:p w14:paraId="6BB1DF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乙苯</w:t>
            </w:r>
          </w:p>
        </w:tc>
        <w:tc>
          <w:tcPr>
            <w:tcW w:w="673" w:type="pct"/>
            <w:tcBorders>
              <w:tl2br w:val="nil"/>
              <w:tr2bl w:val="nil"/>
            </w:tcBorders>
            <w:noWrap w:val="0"/>
            <w:vAlign w:val="center"/>
          </w:tcPr>
          <w:p w14:paraId="13AC45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r>
      <w:tr w14:paraId="3072D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38E7C4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8</w:t>
            </w:r>
          </w:p>
        </w:tc>
        <w:tc>
          <w:tcPr>
            <w:tcW w:w="1306" w:type="pct"/>
            <w:tcBorders>
              <w:tl2br w:val="nil"/>
              <w:tr2bl w:val="nil"/>
            </w:tcBorders>
            <w:noWrap w:val="0"/>
            <w:vAlign w:val="center"/>
          </w:tcPr>
          <w:p w14:paraId="14F992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四氯化碳</w:t>
            </w:r>
          </w:p>
        </w:tc>
        <w:tc>
          <w:tcPr>
            <w:tcW w:w="643" w:type="pct"/>
            <w:tcBorders>
              <w:tl2br w:val="nil"/>
              <w:tr2bl w:val="nil"/>
            </w:tcBorders>
            <w:noWrap w:val="0"/>
            <w:vAlign w:val="center"/>
          </w:tcPr>
          <w:p w14:paraId="3A6FBB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c>
          <w:tcPr>
            <w:tcW w:w="494" w:type="pct"/>
            <w:tcBorders>
              <w:tl2br w:val="nil"/>
              <w:tr2bl w:val="nil"/>
            </w:tcBorders>
            <w:noWrap w:val="0"/>
            <w:vAlign w:val="center"/>
          </w:tcPr>
          <w:p w14:paraId="51D1CC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31</w:t>
            </w:r>
          </w:p>
        </w:tc>
        <w:tc>
          <w:tcPr>
            <w:tcW w:w="1412" w:type="pct"/>
            <w:tcBorders>
              <w:tl2br w:val="nil"/>
              <w:tr2bl w:val="nil"/>
            </w:tcBorders>
            <w:noWrap w:val="0"/>
            <w:vAlign w:val="center"/>
          </w:tcPr>
          <w:p w14:paraId="6F7D56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苯乙烯</w:t>
            </w:r>
          </w:p>
        </w:tc>
        <w:tc>
          <w:tcPr>
            <w:tcW w:w="673" w:type="pct"/>
            <w:tcBorders>
              <w:tl2br w:val="nil"/>
              <w:tr2bl w:val="nil"/>
            </w:tcBorders>
            <w:noWrap w:val="0"/>
            <w:vAlign w:val="center"/>
          </w:tcPr>
          <w:p w14:paraId="75C3F5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1290</w:t>
            </w:r>
          </w:p>
        </w:tc>
      </w:tr>
      <w:tr w14:paraId="2333F6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6D7C92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9</w:t>
            </w:r>
          </w:p>
        </w:tc>
        <w:tc>
          <w:tcPr>
            <w:tcW w:w="1306" w:type="pct"/>
            <w:tcBorders>
              <w:tl2br w:val="nil"/>
              <w:tr2bl w:val="nil"/>
            </w:tcBorders>
            <w:noWrap w:val="0"/>
            <w:vAlign w:val="center"/>
          </w:tcPr>
          <w:p w14:paraId="6A9C2B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氯仿</w:t>
            </w:r>
          </w:p>
        </w:tc>
        <w:tc>
          <w:tcPr>
            <w:tcW w:w="643" w:type="pct"/>
            <w:tcBorders>
              <w:tl2br w:val="nil"/>
              <w:tr2bl w:val="nil"/>
            </w:tcBorders>
            <w:noWrap w:val="0"/>
            <w:vAlign w:val="center"/>
          </w:tcPr>
          <w:p w14:paraId="62A7B8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0.9</w:t>
            </w:r>
          </w:p>
        </w:tc>
        <w:tc>
          <w:tcPr>
            <w:tcW w:w="494" w:type="pct"/>
            <w:tcBorders>
              <w:tl2br w:val="nil"/>
              <w:tr2bl w:val="nil"/>
            </w:tcBorders>
            <w:noWrap w:val="0"/>
            <w:vAlign w:val="center"/>
          </w:tcPr>
          <w:p w14:paraId="50260B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32</w:t>
            </w:r>
          </w:p>
        </w:tc>
        <w:tc>
          <w:tcPr>
            <w:tcW w:w="1412" w:type="pct"/>
            <w:tcBorders>
              <w:tl2br w:val="nil"/>
              <w:tr2bl w:val="nil"/>
            </w:tcBorders>
            <w:noWrap w:val="0"/>
            <w:vAlign w:val="center"/>
          </w:tcPr>
          <w:p w14:paraId="512AB7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甲苯</w:t>
            </w:r>
          </w:p>
        </w:tc>
        <w:tc>
          <w:tcPr>
            <w:tcW w:w="673" w:type="pct"/>
            <w:tcBorders>
              <w:tl2br w:val="nil"/>
              <w:tr2bl w:val="nil"/>
            </w:tcBorders>
            <w:noWrap w:val="0"/>
            <w:vAlign w:val="center"/>
          </w:tcPr>
          <w:p w14:paraId="2FB106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1200</w:t>
            </w:r>
          </w:p>
        </w:tc>
      </w:tr>
      <w:tr w14:paraId="465F5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00416B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10</w:t>
            </w:r>
          </w:p>
        </w:tc>
        <w:tc>
          <w:tcPr>
            <w:tcW w:w="1306" w:type="pct"/>
            <w:tcBorders>
              <w:tl2br w:val="nil"/>
              <w:tr2bl w:val="nil"/>
            </w:tcBorders>
            <w:noWrap w:val="0"/>
            <w:vAlign w:val="center"/>
          </w:tcPr>
          <w:p w14:paraId="1F8ECB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氯甲烷</w:t>
            </w:r>
          </w:p>
        </w:tc>
        <w:tc>
          <w:tcPr>
            <w:tcW w:w="643" w:type="pct"/>
            <w:tcBorders>
              <w:tl2br w:val="nil"/>
              <w:tr2bl w:val="nil"/>
            </w:tcBorders>
            <w:noWrap w:val="0"/>
            <w:vAlign w:val="center"/>
          </w:tcPr>
          <w:p w14:paraId="56A576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37</w:t>
            </w:r>
          </w:p>
        </w:tc>
        <w:tc>
          <w:tcPr>
            <w:tcW w:w="494" w:type="pct"/>
            <w:tcBorders>
              <w:tl2br w:val="nil"/>
              <w:tr2bl w:val="nil"/>
            </w:tcBorders>
            <w:noWrap w:val="0"/>
            <w:vAlign w:val="center"/>
          </w:tcPr>
          <w:p w14:paraId="7B9E18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33</w:t>
            </w:r>
          </w:p>
        </w:tc>
        <w:tc>
          <w:tcPr>
            <w:tcW w:w="1412" w:type="pct"/>
            <w:tcBorders>
              <w:tl2br w:val="nil"/>
              <w:tr2bl w:val="nil"/>
            </w:tcBorders>
            <w:noWrap w:val="0"/>
            <w:vAlign w:val="center"/>
          </w:tcPr>
          <w:p w14:paraId="3EB325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间二甲苯+对二甲苯</w:t>
            </w:r>
          </w:p>
        </w:tc>
        <w:tc>
          <w:tcPr>
            <w:tcW w:w="673" w:type="pct"/>
            <w:tcBorders>
              <w:tl2br w:val="nil"/>
              <w:tr2bl w:val="nil"/>
            </w:tcBorders>
            <w:noWrap w:val="0"/>
            <w:vAlign w:val="center"/>
          </w:tcPr>
          <w:p w14:paraId="138D52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570</w:t>
            </w:r>
          </w:p>
        </w:tc>
      </w:tr>
      <w:tr w14:paraId="7D763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0C7723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w:t>
            </w:r>
          </w:p>
        </w:tc>
        <w:tc>
          <w:tcPr>
            <w:tcW w:w="1306" w:type="pct"/>
            <w:tcBorders>
              <w:tl2br w:val="nil"/>
              <w:tr2bl w:val="nil"/>
            </w:tcBorders>
            <w:noWrap w:val="0"/>
            <w:vAlign w:val="center"/>
          </w:tcPr>
          <w:p w14:paraId="0D3657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1，1-二氯乙烷</w:t>
            </w:r>
          </w:p>
        </w:tc>
        <w:tc>
          <w:tcPr>
            <w:tcW w:w="643" w:type="pct"/>
            <w:tcBorders>
              <w:tl2br w:val="nil"/>
              <w:tr2bl w:val="nil"/>
            </w:tcBorders>
            <w:noWrap w:val="0"/>
            <w:vAlign w:val="center"/>
          </w:tcPr>
          <w:p w14:paraId="38830F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9</w:t>
            </w:r>
          </w:p>
        </w:tc>
        <w:tc>
          <w:tcPr>
            <w:tcW w:w="494" w:type="pct"/>
            <w:tcBorders>
              <w:tl2br w:val="nil"/>
              <w:tr2bl w:val="nil"/>
            </w:tcBorders>
            <w:noWrap w:val="0"/>
            <w:vAlign w:val="center"/>
          </w:tcPr>
          <w:p w14:paraId="12F5ED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34</w:t>
            </w:r>
          </w:p>
        </w:tc>
        <w:tc>
          <w:tcPr>
            <w:tcW w:w="1412" w:type="pct"/>
            <w:tcBorders>
              <w:tl2br w:val="nil"/>
              <w:tr2bl w:val="nil"/>
            </w:tcBorders>
            <w:noWrap w:val="0"/>
            <w:vAlign w:val="center"/>
          </w:tcPr>
          <w:p w14:paraId="586AEE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邻二甲苯</w:t>
            </w:r>
          </w:p>
        </w:tc>
        <w:tc>
          <w:tcPr>
            <w:tcW w:w="673" w:type="pct"/>
            <w:tcBorders>
              <w:tl2br w:val="nil"/>
              <w:tr2bl w:val="nil"/>
            </w:tcBorders>
            <w:noWrap w:val="0"/>
            <w:vAlign w:val="center"/>
          </w:tcPr>
          <w:p w14:paraId="36C3C5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640</w:t>
            </w:r>
          </w:p>
        </w:tc>
      </w:tr>
      <w:tr w14:paraId="06DF8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43D0A0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w:t>
            </w:r>
          </w:p>
        </w:tc>
        <w:tc>
          <w:tcPr>
            <w:tcW w:w="1306" w:type="pct"/>
            <w:tcBorders>
              <w:tl2br w:val="nil"/>
              <w:tr2bl w:val="nil"/>
            </w:tcBorders>
            <w:noWrap w:val="0"/>
            <w:vAlign w:val="center"/>
          </w:tcPr>
          <w:p w14:paraId="77E088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1，2-二氯乙烷</w:t>
            </w:r>
          </w:p>
        </w:tc>
        <w:tc>
          <w:tcPr>
            <w:tcW w:w="643" w:type="pct"/>
            <w:tcBorders>
              <w:tl2br w:val="nil"/>
              <w:tr2bl w:val="nil"/>
            </w:tcBorders>
            <w:noWrap w:val="0"/>
            <w:vAlign w:val="center"/>
          </w:tcPr>
          <w:p w14:paraId="02C343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w:t>
            </w:r>
          </w:p>
        </w:tc>
        <w:tc>
          <w:tcPr>
            <w:tcW w:w="494" w:type="pct"/>
            <w:tcBorders>
              <w:tl2br w:val="nil"/>
              <w:tr2bl w:val="nil"/>
            </w:tcBorders>
            <w:noWrap w:val="0"/>
            <w:vAlign w:val="center"/>
          </w:tcPr>
          <w:p w14:paraId="18F02D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35</w:t>
            </w:r>
          </w:p>
        </w:tc>
        <w:tc>
          <w:tcPr>
            <w:tcW w:w="1412" w:type="pct"/>
            <w:tcBorders>
              <w:tl2br w:val="nil"/>
              <w:tr2bl w:val="nil"/>
            </w:tcBorders>
            <w:noWrap w:val="0"/>
            <w:vAlign w:val="center"/>
          </w:tcPr>
          <w:p w14:paraId="4FFFE6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硝基苯</w:t>
            </w:r>
          </w:p>
        </w:tc>
        <w:tc>
          <w:tcPr>
            <w:tcW w:w="673" w:type="pct"/>
            <w:tcBorders>
              <w:tl2br w:val="nil"/>
              <w:tr2bl w:val="nil"/>
            </w:tcBorders>
            <w:noWrap w:val="0"/>
            <w:vAlign w:val="center"/>
          </w:tcPr>
          <w:p w14:paraId="122F3D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76</w:t>
            </w:r>
          </w:p>
        </w:tc>
      </w:tr>
      <w:tr w14:paraId="6F904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74E3BB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13</w:t>
            </w:r>
          </w:p>
        </w:tc>
        <w:tc>
          <w:tcPr>
            <w:tcW w:w="1306" w:type="pct"/>
            <w:tcBorders>
              <w:tl2br w:val="nil"/>
              <w:tr2bl w:val="nil"/>
            </w:tcBorders>
            <w:noWrap w:val="0"/>
            <w:vAlign w:val="center"/>
          </w:tcPr>
          <w:p w14:paraId="31ED0C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1，1-二氯乙烯</w:t>
            </w:r>
          </w:p>
        </w:tc>
        <w:tc>
          <w:tcPr>
            <w:tcW w:w="643" w:type="pct"/>
            <w:tcBorders>
              <w:tl2br w:val="nil"/>
              <w:tr2bl w:val="nil"/>
            </w:tcBorders>
            <w:noWrap w:val="0"/>
            <w:vAlign w:val="center"/>
          </w:tcPr>
          <w:p w14:paraId="20F72A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66</w:t>
            </w:r>
          </w:p>
        </w:tc>
        <w:tc>
          <w:tcPr>
            <w:tcW w:w="494" w:type="pct"/>
            <w:tcBorders>
              <w:tl2br w:val="nil"/>
              <w:tr2bl w:val="nil"/>
            </w:tcBorders>
            <w:noWrap w:val="0"/>
            <w:vAlign w:val="center"/>
          </w:tcPr>
          <w:p w14:paraId="55B8DF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36</w:t>
            </w:r>
          </w:p>
        </w:tc>
        <w:tc>
          <w:tcPr>
            <w:tcW w:w="1412" w:type="pct"/>
            <w:tcBorders>
              <w:tl2br w:val="nil"/>
              <w:tr2bl w:val="nil"/>
            </w:tcBorders>
            <w:noWrap w:val="0"/>
            <w:vAlign w:val="center"/>
          </w:tcPr>
          <w:p w14:paraId="4EA3F8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苯胺</w:t>
            </w:r>
          </w:p>
        </w:tc>
        <w:tc>
          <w:tcPr>
            <w:tcW w:w="673" w:type="pct"/>
            <w:tcBorders>
              <w:tl2br w:val="nil"/>
              <w:tr2bl w:val="nil"/>
            </w:tcBorders>
            <w:noWrap w:val="0"/>
            <w:vAlign w:val="center"/>
          </w:tcPr>
          <w:p w14:paraId="51867F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260</w:t>
            </w:r>
          </w:p>
        </w:tc>
      </w:tr>
      <w:tr w14:paraId="60506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508DF8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14</w:t>
            </w:r>
          </w:p>
        </w:tc>
        <w:tc>
          <w:tcPr>
            <w:tcW w:w="1306" w:type="pct"/>
            <w:tcBorders>
              <w:tl2br w:val="nil"/>
              <w:tr2bl w:val="nil"/>
            </w:tcBorders>
            <w:noWrap w:val="0"/>
            <w:vAlign w:val="center"/>
          </w:tcPr>
          <w:p w14:paraId="4ABB9B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顺-1，2-二氯乙烯</w:t>
            </w:r>
          </w:p>
        </w:tc>
        <w:tc>
          <w:tcPr>
            <w:tcW w:w="643" w:type="pct"/>
            <w:tcBorders>
              <w:tl2br w:val="nil"/>
              <w:tr2bl w:val="nil"/>
            </w:tcBorders>
            <w:noWrap w:val="0"/>
            <w:vAlign w:val="center"/>
          </w:tcPr>
          <w:p w14:paraId="575457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596</w:t>
            </w:r>
          </w:p>
        </w:tc>
        <w:tc>
          <w:tcPr>
            <w:tcW w:w="494" w:type="pct"/>
            <w:tcBorders>
              <w:tl2br w:val="nil"/>
              <w:tr2bl w:val="nil"/>
            </w:tcBorders>
            <w:noWrap w:val="0"/>
            <w:vAlign w:val="center"/>
          </w:tcPr>
          <w:p w14:paraId="490CD3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37</w:t>
            </w:r>
          </w:p>
        </w:tc>
        <w:tc>
          <w:tcPr>
            <w:tcW w:w="1412" w:type="pct"/>
            <w:tcBorders>
              <w:tl2br w:val="nil"/>
              <w:tr2bl w:val="nil"/>
            </w:tcBorders>
            <w:noWrap w:val="0"/>
            <w:vAlign w:val="center"/>
          </w:tcPr>
          <w:p w14:paraId="237B3E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2-氯酚</w:t>
            </w:r>
          </w:p>
        </w:tc>
        <w:tc>
          <w:tcPr>
            <w:tcW w:w="673" w:type="pct"/>
            <w:tcBorders>
              <w:tl2br w:val="nil"/>
              <w:tr2bl w:val="nil"/>
            </w:tcBorders>
            <w:noWrap w:val="0"/>
            <w:vAlign w:val="center"/>
          </w:tcPr>
          <w:p w14:paraId="151F1F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2256</w:t>
            </w:r>
          </w:p>
        </w:tc>
      </w:tr>
      <w:tr w14:paraId="4C6EB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43AD34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c>
          <w:tcPr>
            <w:tcW w:w="1306" w:type="pct"/>
            <w:tcBorders>
              <w:tl2br w:val="nil"/>
              <w:tr2bl w:val="nil"/>
            </w:tcBorders>
            <w:noWrap w:val="0"/>
            <w:vAlign w:val="center"/>
          </w:tcPr>
          <w:p w14:paraId="163C88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反-1，2-二氯乙烯</w:t>
            </w:r>
          </w:p>
        </w:tc>
        <w:tc>
          <w:tcPr>
            <w:tcW w:w="643" w:type="pct"/>
            <w:tcBorders>
              <w:tl2br w:val="nil"/>
              <w:tr2bl w:val="nil"/>
            </w:tcBorders>
            <w:noWrap w:val="0"/>
            <w:vAlign w:val="center"/>
          </w:tcPr>
          <w:p w14:paraId="1FA472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54</w:t>
            </w:r>
          </w:p>
        </w:tc>
        <w:tc>
          <w:tcPr>
            <w:tcW w:w="494" w:type="pct"/>
            <w:tcBorders>
              <w:tl2br w:val="nil"/>
              <w:tr2bl w:val="nil"/>
            </w:tcBorders>
            <w:noWrap w:val="0"/>
            <w:vAlign w:val="center"/>
          </w:tcPr>
          <w:p w14:paraId="632738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38</w:t>
            </w:r>
          </w:p>
        </w:tc>
        <w:tc>
          <w:tcPr>
            <w:tcW w:w="1412" w:type="pct"/>
            <w:tcBorders>
              <w:tl2br w:val="nil"/>
              <w:tr2bl w:val="nil"/>
            </w:tcBorders>
            <w:noWrap w:val="0"/>
            <w:vAlign w:val="center"/>
          </w:tcPr>
          <w:p w14:paraId="26EC5C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苯并〔a〕蒽</w:t>
            </w:r>
          </w:p>
        </w:tc>
        <w:tc>
          <w:tcPr>
            <w:tcW w:w="673" w:type="pct"/>
            <w:tcBorders>
              <w:tl2br w:val="nil"/>
              <w:tr2bl w:val="nil"/>
            </w:tcBorders>
            <w:noWrap w:val="0"/>
            <w:vAlign w:val="center"/>
          </w:tcPr>
          <w:p w14:paraId="76D79A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2FECB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269554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16</w:t>
            </w:r>
          </w:p>
        </w:tc>
        <w:tc>
          <w:tcPr>
            <w:tcW w:w="1306" w:type="pct"/>
            <w:tcBorders>
              <w:tl2br w:val="nil"/>
              <w:tr2bl w:val="nil"/>
            </w:tcBorders>
            <w:noWrap w:val="0"/>
            <w:vAlign w:val="center"/>
          </w:tcPr>
          <w:p w14:paraId="6559BA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二氯甲烷</w:t>
            </w:r>
          </w:p>
        </w:tc>
        <w:tc>
          <w:tcPr>
            <w:tcW w:w="643" w:type="pct"/>
            <w:tcBorders>
              <w:tl2br w:val="nil"/>
              <w:tr2bl w:val="nil"/>
            </w:tcBorders>
            <w:noWrap w:val="0"/>
            <w:vAlign w:val="center"/>
          </w:tcPr>
          <w:p w14:paraId="4FDF0D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616</w:t>
            </w:r>
          </w:p>
        </w:tc>
        <w:tc>
          <w:tcPr>
            <w:tcW w:w="494" w:type="pct"/>
            <w:tcBorders>
              <w:tl2br w:val="nil"/>
              <w:tr2bl w:val="nil"/>
            </w:tcBorders>
            <w:noWrap w:val="0"/>
            <w:vAlign w:val="center"/>
          </w:tcPr>
          <w:p w14:paraId="109F0E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39</w:t>
            </w:r>
          </w:p>
        </w:tc>
        <w:tc>
          <w:tcPr>
            <w:tcW w:w="1412" w:type="pct"/>
            <w:tcBorders>
              <w:tl2br w:val="nil"/>
              <w:tr2bl w:val="nil"/>
            </w:tcBorders>
            <w:noWrap w:val="0"/>
            <w:vAlign w:val="center"/>
          </w:tcPr>
          <w:p w14:paraId="1012FC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苯并〔a〕芘</w:t>
            </w:r>
          </w:p>
        </w:tc>
        <w:tc>
          <w:tcPr>
            <w:tcW w:w="673" w:type="pct"/>
            <w:tcBorders>
              <w:tl2br w:val="nil"/>
              <w:tr2bl w:val="nil"/>
            </w:tcBorders>
            <w:noWrap w:val="0"/>
            <w:vAlign w:val="center"/>
          </w:tcPr>
          <w:p w14:paraId="32EA63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39ED3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671769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17</w:t>
            </w:r>
          </w:p>
        </w:tc>
        <w:tc>
          <w:tcPr>
            <w:tcW w:w="1306" w:type="pct"/>
            <w:tcBorders>
              <w:tl2br w:val="nil"/>
              <w:tr2bl w:val="nil"/>
            </w:tcBorders>
            <w:noWrap w:val="0"/>
            <w:vAlign w:val="center"/>
          </w:tcPr>
          <w:p w14:paraId="5217A2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1，2-二氯丙烷</w:t>
            </w:r>
          </w:p>
        </w:tc>
        <w:tc>
          <w:tcPr>
            <w:tcW w:w="643" w:type="pct"/>
            <w:tcBorders>
              <w:tl2br w:val="nil"/>
              <w:tr2bl w:val="nil"/>
            </w:tcBorders>
            <w:noWrap w:val="0"/>
            <w:vAlign w:val="center"/>
          </w:tcPr>
          <w:p w14:paraId="699FED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w:t>
            </w:r>
          </w:p>
        </w:tc>
        <w:tc>
          <w:tcPr>
            <w:tcW w:w="494" w:type="pct"/>
            <w:tcBorders>
              <w:tl2br w:val="nil"/>
              <w:tr2bl w:val="nil"/>
            </w:tcBorders>
            <w:noWrap w:val="0"/>
            <w:vAlign w:val="center"/>
          </w:tcPr>
          <w:p w14:paraId="0ED759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40</w:t>
            </w:r>
          </w:p>
        </w:tc>
        <w:tc>
          <w:tcPr>
            <w:tcW w:w="1412" w:type="pct"/>
            <w:tcBorders>
              <w:tl2br w:val="nil"/>
              <w:tr2bl w:val="nil"/>
            </w:tcBorders>
            <w:noWrap w:val="0"/>
            <w:vAlign w:val="center"/>
          </w:tcPr>
          <w:p w14:paraId="47BE3C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苯并〔b〕荧蒽</w:t>
            </w:r>
          </w:p>
        </w:tc>
        <w:tc>
          <w:tcPr>
            <w:tcW w:w="673" w:type="pct"/>
            <w:tcBorders>
              <w:tl2br w:val="nil"/>
              <w:tr2bl w:val="nil"/>
            </w:tcBorders>
            <w:noWrap w:val="0"/>
            <w:vAlign w:val="center"/>
          </w:tcPr>
          <w:p w14:paraId="1AE671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7F86E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08E573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18</w:t>
            </w:r>
          </w:p>
        </w:tc>
        <w:tc>
          <w:tcPr>
            <w:tcW w:w="1306" w:type="pct"/>
            <w:tcBorders>
              <w:tl2br w:val="nil"/>
              <w:tr2bl w:val="nil"/>
            </w:tcBorders>
            <w:noWrap w:val="0"/>
            <w:vAlign w:val="center"/>
          </w:tcPr>
          <w:p w14:paraId="10D98C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1，1，1，2-四氯乙烷</w:t>
            </w:r>
          </w:p>
        </w:tc>
        <w:tc>
          <w:tcPr>
            <w:tcW w:w="643" w:type="pct"/>
            <w:tcBorders>
              <w:tl2br w:val="nil"/>
              <w:tr2bl w:val="nil"/>
            </w:tcBorders>
            <w:noWrap w:val="0"/>
            <w:vAlign w:val="center"/>
          </w:tcPr>
          <w:p w14:paraId="2C2240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10</w:t>
            </w:r>
          </w:p>
        </w:tc>
        <w:tc>
          <w:tcPr>
            <w:tcW w:w="494" w:type="pct"/>
            <w:tcBorders>
              <w:tl2br w:val="nil"/>
              <w:tr2bl w:val="nil"/>
            </w:tcBorders>
            <w:noWrap w:val="0"/>
            <w:vAlign w:val="center"/>
          </w:tcPr>
          <w:p w14:paraId="1329D9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41</w:t>
            </w:r>
          </w:p>
        </w:tc>
        <w:tc>
          <w:tcPr>
            <w:tcW w:w="1412" w:type="pct"/>
            <w:tcBorders>
              <w:tl2br w:val="nil"/>
              <w:tr2bl w:val="nil"/>
            </w:tcBorders>
            <w:noWrap w:val="0"/>
            <w:vAlign w:val="center"/>
          </w:tcPr>
          <w:p w14:paraId="571613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苯并〔k〕荧蒽</w:t>
            </w:r>
          </w:p>
        </w:tc>
        <w:tc>
          <w:tcPr>
            <w:tcW w:w="673" w:type="pct"/>
            <w:tcBorders>
              <w:tl2br w:val="nil"/>
              <w:tr2bl w:val="nil"/>
            </w:tcBorders>
            <w:noWrap w:val="0"/>
            <w:vAlign w:val="center"/>
          </w:tcPr>
          <w:p w14:paraId="3D6EEC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151</w:t>
            </w:r>
          </w:p>
        </w:tc>
      </w:tr>
      <w:tr w14:paraId="12B14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3F2E60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19</w:t>
            </w:r>
          </w:p>
        </w:tc>
        <w:tc>
          <w:tcPr>
            <w:tcW w:w="1306" w:type="pct"/>
            <w:tcBorders>
              <w:tl2br w:val="nil"/>
              <w:tr2bl w:val="nil"/>
            </w:tcBorders>
            <w:noWrap w:val="0"/>
            <w:vAlign w:val="center"/>
          </w:tcPr>
          <w:p w14:paraId="24BC92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1，1，2，2-四氯乙烷</w:t>
            </w:r>
          </w:p>
        </w:tc>
        <w:tc>
          <w:tcPr>
            <w:tcW w:w="643" w:type="pct"/>
            <w:tcBorders>
              <w:tl2br w:val="nil"/>
              <w:tr2bl w:val="nil"/>
            </w:tcBorders>
            <w:noWrap w:val="0"/>
            <w:vAlign w:val="center"/>
          </w:tcPr>
          <w:p w14:paraId="0EA8BA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6.8</w:t>
            </w:r>
          </w:p>
        </w:tc>
        <w:tc>
          <w:tcPr>
            <w:tcW w:w="494" w:type="pct"/>
            <w:tcBorders>
              <w:tl2br w:val="nil"/>
              <w:tr2bl w:val="nil"/>
            </w:tcBorders>
            <w:noWrap w:val="0"/>
            <w:vAlign w:val="center"/>
          </w:tcPr>
          <w:p w14:paraId="652DD2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42</w:t>
            </w:r>
          </w:p>
        </w:tc>
        <w:tc>
          <w:tcPr>
            <w:tcW w:w="1412" w:type="pct"/>
            <w:tcBorders>
              <w:tl2br w:val="nil"/>
              <w:tr2bl w:val="nil"/>
            </w:tcBorders>
            <w:noWrap w:val="0"/>
            <w:vAlign w:val="center"/>
          </w:tcPr>
          <w:p w14:paraId="35D8E8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䓛</w:t>
            </w:r>
          </w:p>
        </w:tc>
        <w:tc>
          <w:tcPr>
            <w:tcW w:w="673" w:type="pct"/>
            <w:tcBorders>
              <w:tl2br w:val="nil"/>
              <w:tr2bl w:val="nil"/>
            </w:tcBorders>
            <w:noWrap w:val="0"/>
            <w:vAlign w:val="center"/>
          </w:tcPr>
          <w:p w14:paraId="5FDED9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1293</w:t>
            </w:r>
          </w:p>
        </w:tc>
      </w:tr>
      <w:tr w14:paraId="7AB8B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7E2D84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20</w:t>
            </w:r>
          </w:p>
        </w:tc>
        <w:tc>
          <w:tcPr>
            <w:tcW w:w="1306" w:type="pct"/>
            <w:tcBorders>
              <w:tl2br w:val="nil"/>
              <w:tr2bl w:val="nil"/>
            </w:tcBorders>
            <w:noWrap w:val="0"/>
            <w:vAlign w:val="center"/>
          </w:tcPr>
          <w:p w14:paraId="7FD5BC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四氯乙烯</w:t>
            </w:r>
          </w:p>
        </w:tc>
        <w:tc>
          <w:tcPr>
            <w:tcW w:w="643" w:type="pct"/>
            <w:tcBorders>
              <w:tl2br w:val="nil"/>
              <w:tr2bl w:val="nil"/>
            </w:tcBorders>
            <w:noWrap w:val="0"/>
            <w:vAlign w:val="center"/>
          </w:tcPr>
          <w:p w14:paraId="47C765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53</w:t>
            </w:r>
          </w:p>
        </w:tc>
        <w:tc>
          <w:tcPr>
            <w:tcW w:w="494" w:type="pct"/>
            <w:tcBorders>
              <w:tl2br w:val="nil"/>
              <w:tr2bl w:val="nil"/>
            </w:tcBorders>
            <w:noWrap w:val="0"/>
            <w:vAlign w:val="center"/>
          </w:tcPr>
          <w:p w14:paraId="2EDD6B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43</w:t>
            </w:r>
          </w:p>
        </w:tc>
        <w:tc>
          <w:tcPr>
            <w:tcW w:w="1412" w:type="pct"/>
            <w:tcBorders>
              <w:tl2br w:val="nil"/>
              <w:tr2bl w:val="nil"/>
            </w:tcBorders>
            <w:noWrap w:val="0"/>
            <w:vAlign w:val="center"/>
          </w:tcPr>
          <w:p w14:paraId="3139FD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二苯并〔a，h〕蒽</w:t>
            </w:r>
          </w:p>
        </w:tc>
        <w:tc>
          <w:tcPr>
            <w:tcW w:w="673" w:type="pct"/>
            <w:tcBorders>
              <w:tl2br w:val="nil"/>
              <w:tr2bl w:val="nil"/>
            </w:tcBorders>
            <w:noWrap w:val="0"/>
            <w:vAlign w:val="center"/>
          </w:tcPr>
          <w:p w14:paraId="0A8109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4B53FC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5E2E4C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21</w:t>
            </w:r>
          </w:p>
        </w:tc>
        <w:tc>
          <w:tcPr>
            <w:tcW w:w="1306" w:type="pct"/>
            <w:tcBorders>
              <w:tl2br w:val="nil"/>
              <w:tr2bl w:val="nil"/>
            </w:tcBorders>
            <w:noWrap w:val="0"/>
            <w:vAlign w:val="center"/>
          </w:tcPr>
          <w:p w14:paraId="762CB4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1，1，1-三氯乙烷</w:t>
            </w:r>
          </w:p>
        </w:tc>
        <w:tc>
          <w:tcPr>
            <w:tcW w:w="643" w:type="pct"/>
            <w:tcBorders>
              <w:tl2br w:val="nil"/>
              <w:tr2bl w:val="nil"/>
            </w:tcBorders>
            <w:noWrap w:val="0"/>
            <w:vAlign w:val="center"/>
          </w:tcPr>
          <w:p w14:paraId="4AF860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840</w:t>
            </w:r>
          </w:p>
        </w:tc>
        <w:tc>
          <w:tcPr>
            <w:tcW w:w="494" w:type="pct"/>
            <w:tcBorders>
              <w:tl2br w:val="nil"/>
              <w:tr2bl w:val="nil"/>
            </w:tcBorders>
            <w:noWrap w:val="0"/>
            <w:vAlign w:val="center"/>
          </w:tcPr>
          <w:p w14:paraId="5B9F77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44</w:t>
            </w:r>
          </w:p>
        </w:tc>
        <w:tc>
          <w:tcPr>
            <w:tcW w:w="1412" w:type="pct"/>
            <w:tcBorders>
              <w:tl2br w:val="nil"/>
              <w:tr2bl w:val="nil"/>
            </w:tcBorders>
            <w:noWrap w:val="0"/>
            <w:vAlign w:val="center"/>
          </w:tcPr>
          <w:p w14:paraId="36FBF1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茚并〔1，2，3-cd〕芘</w:t>
            </w:r>
          </w:p>
        </w:tc>
        <w:tc>
          <w:tcPr>
            <w:tcW w:w="673" w:type="pct"/>
            <w:tcBorders>
              <w:tl2br w:val="nil"/>
              <w:tr2bl w:val="nil"/>
            </w:tcBorders>
            <w:noWrap w:val="0"/>
            <w:vAlign w:val="center"/>
          </w:tcPr>
          <w:p w14:paraId="1910CD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1524C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0007A1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22</w:t>
            </w:r>
          </w:p>
        </w:tc>
        <w:tc>
          <w:tcPr>
            <w:tcW w:w="1306" w:type="pct"/>
            <w:tcBorders>
              <w:tl2br w:val="nil"/>
              <w:tr2bl w:val="nil"/>
            </w:tcBorders>
            <w:noWrap w:val="0"/>
            <w:vAlign w:val="center"/>
          </w:tcPr>
          <w:p w14:paraId="6158F0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1，1，2-三氯乙烷</w:t>
            </w:r>
          </w:p>
        </w:tc>
        <w:tc>
          <w:tcPr>
            <w:tcW w:w="643" w:type="pct"/>
            <w:tcBorders>
              <w:tl2br w:val="nil"/>
              <w:tr2bl w:val="nil"/>
            </w:tcBorders>
            <w:noWrap w:val="0"/>
            <w:vAlign w:val="center"/>
          </w:tcPr>
          <w:p w14:paraId="206795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c>
          <w:tcPr>
            <w:tcW w:w="494" w:type="pct"/>
            <w:tcBorders>
              <w:tl2br w:val="nil"/>
              <w:tr2bl w:val="nil"/>
            </w:tcBorders>
            <w:noWrap w:val="0"/>
            <w:vAlign w:val="center"/>
          </w:tcPr>
          <w:p w14:paraId="662356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45</w:t>
            </w:r>
          </w:p>
        </w:tc>
        <w:tc>
          <w:tcPr>
            <w:tcW w:w="1412" w:type="pct"/>
            <w:tcBorders>
              <w:tl2br w:val="nil"/>
              <w:tr2bl w:val="nil"/>
            </w:tcBorders>
            <w:noWrap w:val="0"/>
            <w:vAlign w:val="center"/>
          </w:tcPr>
          <w:p w14:paraId="2460E1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萘</w:t>
            </w:r>
          </w:p>
        </w:tc>
        <w:tc>
          <w:tcPr>
            <w:tcW w:w="673" w:type="pct"/>
            <w:tcBorders>
              <w:tl2br w:val="nil"/>
              <w:tr2bl w:val="nil"/>
            </w:tcBorders>
            <w:noWrap w:val="0"/>
            <w:vAlign w:val="center"/>
          </w:tcPr>
          <w:p w14:paraId="02FE33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70</w:t>
            </w:r>
          </w:p>
        </w:tc>
      </w:tr>
      <w:tr w14:paraId="66785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blHeader/>
          <w:jc w:val="center"/>
        </w:trPr>
        <w:tc>
          <w:tcPr>
            <w:tcW w:w="469" w:type="pct"/>
            <w:tcBorders>
              <w:tl2br w:val="nil"/>
              <w:tr2bl w:val="nil"/>
            </w:tcBorders>
            <w:noWrap w:val="0"/>
            <w:vAlign w:val="center"/>
          </w:tcPr>
          <w:p w14:paraId="3275F5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23</w:t>
            </w:r>
          </w:p>
        </w:tc>
        <w:tc>
          <w:tcPr>
            <w:tcW w:w="1306" w:type="pct"/>
            <w:tcBorders>
              <w:tl2br w:val="nil"/>
              <w:tr2bl w:val="nil"/>
            </w:tcBorders>
            <w:noWrap w:val="0"/>
            <w:vAlign w:val="center"/>
          </w:tcPr>
          <w:p w14:paraId="593F29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三氯乙烯</w:t>
            </w:r>
          </w:p>
        </w:tc>
        <w:tc>
          <w:tcPr>
            <w:tcW w:w="643" w:type="pct"/>
            <w:tcBorders>
              <w:tl2br w:val="nil"/>
              <w:tr2bl w:val="nil"/>
            </w:tcBorders>
            <w:noWrap w:val="0"/>
            <w:vAlign w:val="center"/>
          </w:tcPr>
          <w:p w14:paraId="6C3C81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c>
          <w:tcPr>
            <w:tcW w:w="494" w:type="pct"/>
            <w:tcBorders>
              <w:tl2br w:val="nil"/>
              <w:tr2bl w:val="nil"/>
            </w:tcBorders>
            <w:noWrap w:val="0"/>
            <w:vAlign w:val="center"/>
          </w:tcPr>
          <w:p w14:paraId="31C7FC1B">
            <w:pPr>
              <w:pStyle w:val="466"/>
              <w:ind w:firstLine="0" w:firstLineChars="0"/>
              <w:rPr>
                <w:rFonts w:hint="default" w:ascii="Times New Roman" w:hAnsi="Times New Roman" w:eastAsia="宋体" w:cs="Times New Roman"/>
                <w:color w:val="auto"/>
                <w:sz w:val="21"/>
                <w:szCs w:val="21"/>
                <w:highlight w:val="none"/>
                <w:lang w:val="en-US" w:eastAsia="zh-CN"/>
              </w:rPr>
            </w:pPr>
          </w:p>
        </w:tc>
        <w:tc>
          <w:tcPr>
            <w:tcW w:w="1412" w:type="pct"/>
            <w:tcBorders>
              <w:tl2br w:val="nil"/>
              <w:tr2bl w:val="nil"/>
            </w:tcBorders>
            <w:noWrap w:val="0"/>
            <w:vAlign w:val="center"/>
          </w:tcPr>
          <w:p w14:paraId="47BF10AE">
            <w:pPr>
              <w:pStyle w:val="466"/>
              <w:ind w:firstLine="0" w:firstLineChars="0"/>
              <w:rPr>
                <w:rFonts w:hint="default" w:ascii="Times New Roman" w:hAnsi="Times New Roman" w:eastAsia="宋体" w:cs="Times New Roman"/>
                <w:color w:val="auto"/>
                <w:sz w:val="21"/>
                <w:szCs w:val="21"/>
                <w:highlight w:val="none"/>
                <w:lang w:val="en-US" w:eastAsia="zh-CN"/>
              </w:rPr>
            </w:pPr>
          </w:p>
        </w:tc>
        <w:tc>
          <w:tcPr>
            <w:tcW w:w="673" w:type="pct"/>
            <w:tcBorders>
              <w:tl2br w:val="nil"/>
              <w:tr2bl w:val="nil"/>
            </w:tcBorders>
            <w:noWrap w:val="0"/>
            <w:vAlign w:val="center"/>
          </w:tcPr>
          <w:p w14:paraId="769BEE17">
            <w:pPr>
              <w:pStyle w:val="466"/>
              <w:ind w:firstLine="0" w:firstLineChars="0"/>
              <w:rPr>
                <w:rFonts w:hint="default" w:ascii="Times New Roman" w:hAnsi="Times New Roman" w:eastAsia="宋体" w:cs="Times New Roman"/>
                <w:color w:val="auto"/>
                <w:sz w:val="21"/>
                <w:szCs w:val="21"/>
                <w:highlight w:val="none"/>
                <w:lang w:val="en-US" w:eastAsia="zh-CN"/>
              </w:rPr>
            </w:pPr>
          </w:p>
        </w:tc>
      </w:tr>
    </w:tbl>
    <w:p w14:paraId="1C0CCA5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评价区域土壤环境质量执行《土壤环境质量农用地土壤 污染风险管控标准》（试行）（GB15618-2018）中的标准</w:t>
      </w:r>
      <w:r>
        <w:rPr>
          <w:rFonts w:hint="eastAsia" w:ascii="Times New Roman" w:hAnsi="Times New Roman" w:cs="Times New Roman"/>
          <w:color w:val="auto"/>
          <w:sz w:val="24"/>
          <w:highlight w:val="none"/>
          <w:lang w:eastAsia="zh-CN"/>
        </w:rPr>
        <w:t>，土壤环境质量评价因子执行标准</w:t>
      </w:r>
      <w:r>
        <w:rPr>
          <w:rFonts w:hint="default" w:ascii="Times New Roman" w:hAnsi="Times New Roman" w:eastAsia="宋体" w:cs="Times New Roman"/>
          <w:color w:val="auto"/>
          <w:sz w:val="24"/>
          <w:highlight w:val="none"/>
        </w:rPr>
        <w:t>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w:t>
      </w:r>
      <w:r>
        <w:rPr>
          <w:rFonts w:hint="eastAsia" w:ascii="Times New Roman" w:hAnsi="Times New Roman" w:cs="Times New Roman"/>
          <w:color w:val="auto"/>
          <w:sz w:val="24"/>
          <w:highlight w:val="none"/>
          <w:lang w:val="en-US" w:eastAsia="zh-CN"/>
        </w:rPr>
        <w:t>6</w:t>
      </w:r>
      <w:r>
        <w:rPr>
          <w:rFonts w:hint="default" w:ascii="Times New Roman" w:hAnsi="Times New Roman" w:eastAsia="宋体" w:cs="Times New Roman"/>
          <w:color w:val="auto"/>
          <w:sz w:val="24"/>
          <w:highlight w:val="none"/>
        </w:rPr>
        <w:t>。</w:t>
      </w:r>
    </w:p>
    <w:p w14:paraId="7F2525F1">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kern w:val="1"/>
          <w:sz w:val="24"/>
          <w:highlight w:val="none"/>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w:t>
      </w:r>
      <w:r>
        <w:rPr>
          <w:rFonts w:hint="eastAsia" w:ascii="Times New Roman" w:hAnsi="Times New Roman" w:eastAsia="黑体" w:cs="Times New Roman"/>
          <w:bCs/>
          <w:kern w:val="2"/>
          <w:sz w:val="21"/>
          <w:highlight w:val="none"/>
          <w:lang w:val="en-US" w:eastAsia="zh-CN"/>
        </w:rPr>
        <w:t>6</w:t>
      </w:r>
      <w:r>
        <w:rPr>
          <w:rFonts w:hint="default" w:ascii="Times New Roman" w:hAnsi="Times New Roman" w:eastAsia="黑体" w:cs="Times New Roman"/>
          <w:bCs/>
          <w:kern w:val="2"/>
          <w:sz w:val="21"/>
          <w:highlight w:val="none"/>
          <w:lang w:val="en-US" w:eastAsia="zh-CN"/>
        </w:rPr>
        <w:t xml:space="preserve">  土壤环境质量执行标准一览表     单位：mg/kg</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1688"/>
        <w:gridCol w:w="1690"/>
        <w:gridCol w:w="2293"/>
        <w:gridCol w:w="2301"/>
      </w:tblGrid>
      <w:tr w14:paraId="4C6F7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blHeader/>
          <w:jc w:val="center"/>
        </w:trPr>
        <w:tc>
          <w:tcPr>
            <w:tcW w:w="321" w:type="pct"/>
            <w:vMerge w:val="restart"/>
            <w:tcBorders>
              <w:tl2br w:val="nil"/>
              <w:tr2bl w:val="nil"/>
            </w:tcBorders>
            <w:noWrap w:val="0"/>
            <w:vAlign w:val="center"/>
          </w:tcPr>
          <w:p w14:paraId="36360A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序号</w:t>
            </w:r>
          </w:p>
        </w:tc>
        <w:tc>
          <w:tcPr>
            <w:tcW w:w="1983" w:type="pct"/>
            <w:gridSpan w:val="2"/>
            <w:vMerge w:val="restart"/>
            <w:tcBorders>
              <w:tl2br w:val="nil"/>
              <w:tr2bl w:val="nil"/>
            </w:tcBorders>
            <w:noWrap w:val="0"/>
            <w:vAlign w:val="center"/>
          </w:tcPr>
          <w:p w14:paraId="6EB050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污染物项目</w:t>
            </w:r>
          </w:p>
        </w:tc>
        <w:tc>
          <w:tcPr>
            <w:tcW w:w="2695" w:type="pct"/>
            <w:gridSpan w:val="2"/>
            <w:tcBorders>
              <w:tl2br w:val="nil"/>
              <w:tr2bl w:val="nil"/>
            </w:tcBorders>
            <w:noWrap w:val="0"/>
            <w:vAlign w:val="center"/>
          </w:tcPr>
          <w:p w14:paraId="3517D9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风险筛选值</w:t>
            </w:r>
          </w:p>
        </w:tc>
      </w:tr>
      <w:tr w14:paraId="4D9AB9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blHeader/>
          <w:jc w:val="center"/>
        </w:trPr>
        <w:tc>
          <w:tcPr>
            <w:tcW w:w="321" w:type="pct"/>
            <w:vMerge w:val="continue"/>
            <w:tcBorders>
              <w:tl2br w:val="nil"/>
              <w:tr2bl w:val="nil"/>
            </w:tcBorders>
            <w:noWrap w:val="0"/>
            <w:vAlign w:val="center"/>
          </w:tcPr>
          <w:p w14:paraId="3E9ECD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p>
        </w:tc>
        <w:tc>
          <w:tcPr>
            <w:tcW w:w="1983" w:type="pct"/>
            <w:gridSpan w:val="2"/>
            <w:vMerge w:val="continue"/>
            <w:tcBorders>
              <w:tl2br w:val="nil"/>
              <w:tr2bl w:val="nil"/>
            </w:tcBorders>
            <w:noWrap w:val="0"/>
            <w:vAlign w:val="center"/>
          </w:tcPr>
          <w:p w14:paraId="789295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p>
        </w:tc>
        <w:tc>
          <w:tcPr>
            <w:tcW w:w="1346" w:type="pct"/>
            <w:tcBorders>
              <w:tl2br w:val="nil"/>
              <w:tr2bl w:val="nil"/>
            </w:tcBorders>
            <w:noWrap w:val="0"/>
            <w:vAlign w:val="center"/>
          </w:tcPr>
          <w:p w14:paraId="2B5298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6.5＜</w:t>
            </w:r>
            <w:r>
              <w:rPr>
                <w:rFonts w:hint="default" w:ascii="Times New Roman" w:hAnsi="Times New Roman" w:cs="Times New Roman"/>
                <w:color w:val="auto"/>
                <w:sz w:val="21"/>
                <w:szCs w:val="21"/>
                <w:highlight w:val="none"/>
                <w:lang w:val="zh-CN"/>
              </w:rPr>
              <w:t>pH</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zh-CN"/>
              </w:rPr>
              <w:t>7.5</w:t>
            </w:r>
          </w:p>
        </w:tc>
        <w:tc>
          <w:tcPr>
            <w:tcW w:w="1348" w:type="pct"/>
            <w:tcBorders>
              <w:tl2br w:val="nil"/>
              <w:tr2bl w:val="nil"/>
            </w:tcBorders>
            <w:noWrap w:val="0"/>
            <w:vAlign w:val="center"/>
          </w:tcPr>
          <w:p w14:paraId="4D6FBF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pH＞7.5</w:t>
            </w:r>
          </w:p>
        </w:tc>
      </w:tr>
      <w:tr w14:paraId="50A8CB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2D921A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w:t>
            </w:r>
          </w:p>
        </w:tc>
        <w:tc>
          <w:tcPr>
            <w:tcW w:w="991" w:type="pct"/>
            <w:tcBorders>
              <w:tl2br w:val="nil"/>
              <w:tr2bl w:val="nil"/>
            </w:tcBorders>
            <w:noWrap w:val="0"/>
            <w:vAlign w:val="center"/>
          </w:tcPr>
          <w:p w14:paraId="29FA50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镉</w:t>
            </w:r>
          </w:p>
        </w:tc>
        <w:tc>
          <w:tcPr>
            <w:tcW w:w="991" w:type="pct"/>
            <w:tcBorders>
              <w:tl2br w:val="nil"/>
              <w:tr2bl w:val="nil"/>
            </w:tcBorders>
            <w:noWrap w:val="0"/>
            <w:vAlign w:val="center"/>
          </w:tcPr>
          <w:p w14:paraId="3A9705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370617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w:t>
            </w:r>
          </w:p>
        </w:tc>
        <w:tc>
          <w:tcPr>
            <w:tcW w:w="1348" w:type="pct"/>
            <w:tcBorders>
              <w:tl2br w:val="nil"/>
              <w:tr2bl w:val="nil"/>
            </w:tcBorders>
            <w:noWrap w:val="0"/>
            <w:vAlign w:val="center"/>
          </w:tcPr>
          <w:p w14:paraId="5EA89D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0.6</w:t>
            </w:r>
          </w:p>
        </w:tc>
      </w:tr>
      <w:tr w14:paraId="24407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271CB6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w:t>
            </w:r>
          </w:p>
        </w:tc>
        <w:tc>
          <w:tcPr>
            <w:tcW w:w="991" w:type="pct"/>
            <w:tcBorders>
              <w:tl2br w:val="nil"/>
              <w:tr2bl w:val="nil"/>
            </w:tcBorders>
            <w:noWrap w:val="0"/>
            <w:vAlign w:val="center"/>
          </w:tcPr>
          <w:p w14:paraId="3192D0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汞</w:t>
            </w:r>
          </w:p>
        </w:tc>
        <w:tc>
          <w:tcPr>
            <w:tcW w:w="991" w:type="pct"/>
            <w:tcBorders>
              <w:tl2br w:val="nil"/>
              <w:tr2bl w:val="nil"/>
            </w:tcBorders>
            <w:noWrap w:val="0"/>
            <w:vAlign w:val="center"/>
          </w:tcPr>
          <w:p w14:paraId="68B471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079247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1348" w:type="pct"/>
            <w:tcBorders>
              <w:tl2br w:val="nil"/>
              <w:tr2bl w:val="nil"/>
            </w:tcBorders>
            <w:noWrap w:val="0"/>
            <w:vAlign w:val="center"/>
          </w:tcPr>
          <w:p w14:paraId="586B08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3.4</w:t>
            </w:r>
          </w:p>
        </w:tc>
      </w:tr>
      <w:tr w14:paraId="676E65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7D4838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w:t>
            </w:r>
          </w:p>
        </w:tc>
        <w:tc>
          <w:tcPr>
            <w:tcW w:w="991" w:type="pct"/>
            <w:tcBorders>
              <w:tl2br w:val="nil"/>
              <w:tr2bl w:val="nil"/>
            </w:tcBorders>
            <w:noWrap w:val="0"/>
            <w:vAlign w:val="center"/>
          </w:tcPr>
          <w:p w14:paraId="322183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砷</w:t>
            </w:r>
          </w:p>
        </w:tc>
        <w:tc>
          <w:tcPr>
            <w:tcW w:w="991" w:type="pct"/>
            <w:tcBorders>
              <w:tl2br w:val="nil"/>
              <w:tr2bl w:val="nil"/>
            </w:tcBorders>
            <w:noWrap w:val="0"/>
            <w:vAlign w:val="center"/>
          </w:tcPr>
          <w:p w14:paraId="6C5A90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1DED0D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w:t>
            </w:r>
          </w:p>
        </w:tc>
        <w:tc>
          <w:tcPr>
            <w:tcW w:w="1348" w:type="pct"/>
            <w:tcBorders>
              <w:tl2br w:val="nil"/>
              <w:tr2bl w:val="nil"/>
            </w:tcBorders>
            <w:noWrap w:val="0"/>
            <w:vAlign w:val="center"/>
          </w:tcPr>
          <w:p w14:paraId="1E49B1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w:t>
            </w:r>
          </w:p>
        </w:tc>
      </w:tr>
      <w:tr w14:paraId="734BA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1F84B0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w:t>
            </w:r>
          </w:p>
        </w:tc>
        <w:tc>
          <w:tcPr>
            <w:tcW w:w="991" w:type="pct"/>
            <w:tcBorders>
              <w:tl2br w:val="nil"/>
              <w:tr2bl w:val="nil"/>
            </w:tcBorders>
            <w:noWrap w:val="0"/>
            <w:vAlign w:val="center"/>
          </w:tcPr>
          <w:p w14:paraId="6A17CF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铅</w:t>
            </w:r>
          </w:p>
        </w:tc>
        <w:tc>
          <w:tcPr>
            <w:tcW w:w="991" w:type="pct"/>
            <w:tcBorders>
              <w:tl2br w:val="nil"/>
              <w:tr2bl w:val="nil"/>
            </w:tcBorders>
            <w:noWrap w:val="0"/>
            <w:vAlign w:val="center"/>
          </w:tcPr>
          <w:p w14:paraId="073CA5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136868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120</w:t>
            </w:r>
          </w:p>
        </w:tc>
        <w:tc>
          <w:tcPr>
            <w:tcW w:w="1348" w:type="pct"/>
            <w:tcBorders>
              <w:tl2br w:val="nil"/>
              <w:tr2bl w:val="nil"/>
            </w:tcBorders>
            <w:noWrap w:val="0"/>
            <w:vAlign w:val="center"/>
          </w:tcPr>
          <w:p w14:paraId="7CDB71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170</w:t>
            </w:r>
          </w:p>
        </w:tc>
      </w:tr>
      <w:tr w14:paraId="3E814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04FC6C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w:t>
            </w:r>
          </w:p>
        </w:tc>
        <w:tc>
          <w:tcPr>
            <w:tcW w:w="991" w:type="pct"/>
            <w:tcBorders>
              <w:tl2br w:val="nil"/>
              <w:tr2bl w:val="nil"/>
            </w:tcBorders>
            <w:noWrap w:val="0"/>
            <w:vAlign w:val="center"/>
          </w:tcPr>
          <w:p w14:paraId="71FB8C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铬</w:t>
            </w:r>
          </w:p>
        </w:tc>
        <w:tc>
          <w:tcPr>
            <w:tcW w:w="991" w:type="pct"/>
            <w:tcBorders>
              <w:tl2br w:val="nil"/>
              <w:tr2bl w:val="nil"/>
            </w:tcBorders>
            <w:noWrap w:val="0"/>
            <w:vAlign w:val="center"/>
          </w:tcPr>
          <w:p w14:paraId="429378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2150C3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200</w:t>
            </w:r>
          </w:p>
        </w:tc>
        <w:tc>
          <w:tcPr>
            <w:tcW w:w="1348" w:type="pct"/>
            <w:tcBorders>
              <w:tl2br w:val="nil"/>
              <w:tr2bl w:val="nil"/>
            </w:tcBorders>
            <w:noWrap w:val="0"/>
            <w:vAlign w:val="center"/>
          </w:tcPr>
          <w:p w14:paraId="367C2B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250</w:t>
            </w:r>
          </w:p>
        </w:tc>
      </w:tr>
      <w:tr w14:paraId="5D7DE3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1" w:type="pct"/>
            <w:tcBorders>
              <w:tl2br w:val="nil"/>
              <w:tr2bl w:val="nil"/>
            </w:tcBorders>
            <w:noWrap w:val="0"/>
            <w:vAlign w:val="center"/>
          </w:tcPr>
          <w:p w14:paraId="32DF4C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w:t>
            </w:r>
          </w:p>
        </w:tc>
        <w:tc>
          <w:tcPr>
            <w:tcW w:w="991" w:type="pct"/>
            <w:tcBorders>
              <w:tl2br w:val="nil"/>
              <w:tr2bl w:val="nil"/>
            </w:tcBorders>
            <w:noWrap w:val="0"/>
            <w:vAlign w:val="center"/>
          </w:tcPr>
          <w:p w14:paraId="10F25A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铜</w:t>
            </w:r>
          </w:p>
        </w:tc>
        <w:tc>
          <w:tcPr>
            <w:tcW w:w="991" w:type="pct"/>
            <w:tcBorders>
              <w:tl2br w:val="nil"/>
              <w:tr2bl w:val="nil"/>
            </w:tcBorders>
            <w:noWrap w:val="0"/>
            <w:vAlign w:val="center"/>
          </w:tcPr>
          <w:p w14:paraId="6598A7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4177E8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c>
          <w:tcPr>
            <w:tcW w:w="1348" w:type="pct"/>
            <w:tcBorders>
              <w:tl2br w:val="nil"/>
              <w:tr2bl w:val="nil"/>
            </w:tcBorders>
            <w:noWrap w:val="0"/>
            <w:vAlign w:val="center"/>
          </w:tcPr>
          <w:p w14:paraId="08049A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r>
      <w:tr w14:paraId="19347A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308281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7</w:t>
            </w:r>
          </w:p>
        </w:tc>
        <w:tc>
          <w:tcPr>
            <w:tcW w:w="1983" w:type="pct"/>
            <w:gridSpan w:val="2"/>
            <w:tcBorders>
              <w:tl2br w:val="nil"/>
              <w:tr2bl w:val="nil"/>
            </w:tcBorders>
            <w:noWrap w:val="0"/>
            <w:vAlign w:val="center"/>
          </w:tcPr>
          <w:p w14:paraId="3F2F73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镍</w:t>
            </w:r>
          </w:p>
        </w:tc>
        <w:tc>
          <w:tcPr>
            <w:tcW w:w="1346" w:type="pct"/>
            <w:tcBorders>
              <w:tl2br w:val="nil"/>
              <w:tr2bl w:val="nil"/>
            </w:tcBorders>
            <w:noWrap w:val="0"/>
            <w:vAlign w:val="center"/>
          </w:tcPr>
          <w:p w14:paraId="1DD6A8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c>
          <w:tcPr>
            <w:tcW w:w="1348" w:type="pct"/>
            <w:tcBorders>
              <w:tl2br w:val="nil"/>
              <w:tr2bl w:val="nil"/>
            </w:tcBorders>
            <w:noWrap w:val="0"/>
            <w:vAlign w:val="center"/>
          </w:tcPr>
          <w:p w14:paraId="5F0F67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190</w:t>
            </w:r>
          </w:p>
        </w:tc>
      </w:tr>
      <w:tr w14:paraId="590EC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6B9C2C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8</w:t>
            </w:r>
          </w:p>
        </w:tc>
        <w:tc>
          <w:tcPr>
            <w:tcW w:w="1983" w:type="pct"/>
            <w:gridSpan w:val="2"/>
            <w:tcBorders>
              <w:tl2br w:val="nil"/>
              <w:tr2bl w:val="nil"/>
            </w:tcBorders>
            <w:noWrap w:val="0"/>
            <w:vAlign w:val="center"/>
          </w:tcPr>
          <w:p w14:paraId="629924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锌</w:t>
            </w:r>
          </w:p>
        </w:tc>
        <w:tc>
          <w:tcPr>
            <w:tcW w:w="1346" w:type="pct"/>
            <w:tcBorders>
              <w:tl2br w:val="nil"/>
              <w:tr2bl w:val="nil"/>
            </w:tcBorders>
            <w:noWrap w:val="0"/>
            <w:vAlign w:val="center"/>
          </w:tcPr>
          <w:p w14:paraId="69F77A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250</w:t>
            </w:r>
          </w:p>
        </w:tc>
        <w:tc>
          <w:tcPr>
            <w:tcW w:w="1348" w:type="pct"/>
            <w:tcBorders>
              <w:tl2br w:val="nil"/>
              <w:tr2bl w:val="nil"/>
            </w:tcBorders>
            <w:noWrap w:val="0"/>
            <w:vAlign w:val="center"/>
          </w:tcPr>
          <w:p w14:paraId="3A8603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300</w:t>
            </w:r>
          </w:p>
        </w:tc>
      </w:tr>
      <w:tr w14:paraId="42F9F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321" w:type="pct"/>
            <w:tcBorders>
              <w:tl2br w:val="nil"/>
              <w:tr2bl w:val="nil"/>
            </w:tcBorders>
            <w:noWrap w:val="0"/>
            <w:vAlign w:val="center"/>
          </w:tcPr>
          <w:p w14:paraId="3AD96C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9</w:t>
            </w:r>
          </w:p>
        </w:tc>
        <w:tc>
          <w:tcPr>
            <w:tcW w:w="1983" w:type="pct"/>
            <w:gridSpan w:val="2"/>
            <w:tcBorders>
              <w:tl2br w:val="nil"/>
              <w:tr2bl w:val="nil"/>
            </w:tcBorders>
            <w:noWrap w:val="0"/>
            <w:vAlign w:val="center"/>
          </w:tcPr>
          <w:p w14:paraId="26AB29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eastAsia="zh-CN"/>
              </w:rPr>
              <w:t>六六六总量</w:t>
            </w:r>
          </w:p>
        </w:tc>
        <w:tc>
          <w:tcPr>
            <w:tcW w:w="2695" w:type="pct"/>
            <w:gridSpan w:val="2"/>
            <w:tcBorders>
              <w:tl2br w:val="nil"/>
              <w:tr2bl w:val="nil"/>
            </w:tcBorders>
            <w:noWrap w:val="0"/>
            <w:vAlign w:val="center"/>
          </w:tcPr>
          <w:p w14:paraId="3D1F6C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0.10</w:t>
            </w:r>
          </w:p>
        </w:tc>
      </w:tr>
      <w:tr w14:paraId="5EF15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61EEED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10</w:t>
            </w:r>
          </w:p>
        </w:tc>
        <w:tc>
          <w:tcPr>
            <w:tcW w:w="1983" w:type="pct"/>
            <w:gridSpan w:val="2"/>
            <w:tcBorders>
              <w:tl2br w:val="nil"/>
              <w:tr2bl w:val="nil"/>
            </w:tcBorders>
            <w:noWrap w:val="0"/>
            <w:vAlign w:val="center"/>
          </w:tcPr>
          <w:p w14:paraId="432591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eastAsia="zh-CN"/>
              </w:rPr>
              <w:t>滴滴涕总量</w:t>
            </w:r>
          </w:p>
        </w:tc>
        <w:tc>
          <w:tcPr>
            <w:tcW w:w="2695" w:type="pct"/>
            <w:gridSpan w:val="2"/>
            <w:tcBorders>
              <w:tl2br w:val="nil"/>
              <w:tr2bl w:val="nil"/>
            </w:tcBorders>
            <w:noWrap w:val="0"/>
            <w:vAlign w:val="center"/>
          </w:tcPr>
          <w:p w14:paraId="088A2F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0.10</w:t>
            </w:r>
          </w:p>
        </w:tc>
      </w:tr>
      <w:tr w14:paraId="0E834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2752D2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w:t>
            </w:r>
          </w:p>
        </w:tc>
        <w:tc>
          <w:tcPr>
            <w:tcW w:w="1983" w:type="pct"/>
            <w:gridSpan w:val="2"/>
            <w:tcBorders>
              <w:tl2br w:val="nil"/>
              <w:tr2bl w:val="nil"/>
            </w:tcBorders>
            <w:noWrap w:val="0"/>
            <w:vAlign w:val="center"/>
          </w:tcPr>
          <w:p w14:paraId="14EEBF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苯并[a]芘</w:t>
            </w:r>
          </w:p>
        </w:tc>
        <w:tc>
          <w:tcPr>
            <w:tcW w:w="2695" w:type="pct"/>
            <w:gridSpan w:val="2"/>
            <w:tcBorders>
              <w:tl2br w:val="nil"/>
              <w:tr2bl w:val="nil"/>
            </w:tcBorders>
            <w:noWrap w:val="0"/>
            <w:vAlign w:val="center"/>
          </w:tcPr>
          <w:p w14:paraId="4F18F4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0.55</w:t>
            </w:r>
          </w:p>
        </w:tc>
      </w:tr>
      <w:tr w14:paraId="6F9912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0" w:hRule="atLeast"/>
          <w:tblHeader/>
          <w:jc w:val="center"/>
        </w:trPr>
        <w:tc>
          <w:tcPr>
            <w:tcW w:w="5000" w:type="pct"/>
            <w:gridSpan w:val="5"/>
            <w:tcBorders>
              <w:tl2br w:val="nil"/>
              <w:tr2bl w:val="nil"/>
            </w:tcBorders>
            <w:noWrap w:val="0"/>
            <w:vAlign w:val="center"/>
          </w:tcPr>
          <w:p w14:paraId="047D8CEF">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注：①重金属和类金属砷均按元素总量计</w:t>
            </w:r>
            <w:r>
              <w:rPr>
                <w:rFonts w:hint="eastAsia" w:ascii="Times New Roman" w:hAnsi="Times New Roman" w:cs="Times New Roman"/>
                <w:color w:val="auto"/>
                <w:sz w:val="18"/>
                <w:szCs w:val="18"/>
                <w:highlight w:val="none"/>
                <w:lang w:val="zh-CN"/>
              </w:rPr>
              <w:t>；</w:t>
            </w:r>
          </w:p>
          <w:p w14:paraId="5F8DC780">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left"/>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②对于水旱轮作地，采用其中较为严格的风险筛选值</w:t>
            </w:r>
            <w:r>
              <w:rPr>
                <w:rFonts w:hint="eastAsia" w:ascii="Times New Roman" w:hAnsi="Times New Roman" w:cs="Times New Roman"/>
                <w:color w:val="auto"/>
                <w:sz w:val="18"/>
                <w:szCs w:val="18"/>
                <w:highlight w:val="none"/>
                <w:lang w:val="zh-CN"/>
              </w:rPr>
              <w:t>。</w:t>
            </w:r>
          </w:p>
        </w:tc>
      </w:tr>
    </w:tbl>
    <w:p w14:paraId="7E32CAF7">
      <w:pPr>
        <w:pStyle w:val="7"/>
        <w:bidi w:val="0"/>
        <w:rPr>
          <w:rFonts w:hint="default"/>
          <w:highlight w:val="none"/>
        </w:rPr>
      </w:pPr>
      <w:bookmarkStart w:id="214" w:name="_Toc7866"/>
      <w:bookmarkStart w:id="215" w:name="_Toc21884"/>
      <w:bookmarkStart w:id="216" w:name="_Toc23457"/>
      <w:bookmarkStart w:id="217" w:name="_Toc17769"/>
      <w:r>
        <w:rPr>
          <w:rFonts w:hint="default"/>
          <w:highlight w:val="none"/>
        </w:rPr>
        <w:t>2.3.2污染物排放标准</w:t>
      </w:r>
      <w:bookmarkEnd w:id="214"/>
      <w:bookmarkEnd w:id="215"/>
      <w:bookmarkEnd w:id="216"/>
      <w:bookmarkEnd w:id="217"/>
    </w:p>
    <w:p w14:paraId="3EB1F075">
      <w:pPr>
        <w:pStyle w:val="8"/>
        <w:bidi w:val="0"/>
        <w:rPr>
          <w:rFonts w:hint="default"/>
          <w:highlight w:val="none"/>
        </w:rPr>
      </w:pPr>
      <w:bookmarkStart w:id="218" w:name="_Toc4196"/>
      <w:bookmarkStart w:id="219" w:name="_Toc21259"/>
      <w:r>
        <w:rPr>
          <w:rFonts w:hint="default"/>
          <w:highlight w:val="none"/>
        </w:rPr>
        <w:t>2.3.2.1废气</w:t>
      </w:r>
      <w:bookmarkEnd w:id="218"/>
      <w:bookmarkEnd w:id="219"/>
    </w:p>
    <w:p w14:paraId="54CDD1E3">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（1）施工期</w:t>
      </w:r>
    </w:p>
    <w:p w14:paraId="66D301F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kern w:val="0"/>
          <w:sz w:val="24"/>
          <w:highlight w:val="none"/>
        </w:rPr>
        <w:t>施工期施工场地扬尘排放执行《大气污染物综合排放标准》（GB16297-1996）表2中无组织排放监控浓度限值，</w:t>
      </w:r>
      <w:r>
        <w:rPr>
          <w:rFonts w:hint="default" w:ascii="Times New Roman" w:hAnsi="Times New Roman" w:eastAsia="宋体" w:cs="Times New Roman"/>
          <w:color w:val="auto"/>
          <w:sz w:val="24"/>
          <w:highlight w:val="none"/>
        </w:rPr>
        <w:t>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w:t>
      </w:r>
      <w:r>
        <w:rPr>
          <w:rFonts w:hint="eastAsia" w:ascii="Times New Roman" w:hAnsi="Times New Roman" w:cs="Times New Roman"/>
          <w:color w:val="auto"/>
          <w:sz w:val="24"/>
          <w:highlight w:val="none"/>
          <w:lang w:val="en-US" w:eastAsia="zh-CN"/>
        </w:rPr>
        <w:t>7</w:t>
      </w:r>
      <w:r>
        <w:rPr>
          <w:rFonts w:hint="default" w:ascii="Times New Roman" w:hAnsi="Times New Roman" w:eastAsia="宋体" w:cs="Times New Roman"/>
          <w:color w:val="auto"/>
          <w:sz w:val="24"/>
          <w:highlight w:val="none"/>
        </w:rPr>
        <w:t>。</w:t>
      </w:r>
    </w:p>
    <w:p w14:paraId="4EECA39E">
      <w:pPr>
        <w:pStyle w:val="37"/>
        <w:keepNext w:val="0"/>
        <w:keepLines w:val="0"/>
        <w:pageBreakBefore w:val="0"/>
        <w:widowControl/>
        <w:kinsoku/>
        <w:wordWrap/>
        <w:overflowPunct/>
        <w:topLinePunct w:val="0"/>
        <w:autoSpaceDE/>
        <w:autoSpaceDN/>
        <w:bidi w:val="0"/>
        <w:adjustRightInd/>
        <w:snapToGrid/>
        <w:spacing w:before="0" w:line="240" w:lineRule="auto"/>
        <w:ind w:left="0" w:firstLine="0" w:firstLineChars="0"/>
        <w:jc w:val="center"/>
        <w:textAlignment w:val="auto"/>
        <w:rPr>
          <w:rFonts w:hint="default" w:ascii="Times New Roman" w:hAnsi="Times New Roman" w:eastAsia="黑体" w:cs="Times New Roman"/>
          <w:bCs/>
          <w:smallCaps w:val="0"/>
          <w:kern w:val="2"/>
          <w:sz w:val="21"/>
          <w:szCs w:val="24"/>
          <w:highlight w:val="none"/>
          <w:lang w:val="en-US" w:eastAsia="zh-CN" w:bidi="ar-SA"/>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w:t>
      </w:r>
      <w:r>
        <w:rPr>
          <w:rFonts w:hint="eastAsia" w:ascii="Times New Roman" w:hAnsi="Times New Roman" w:eastAsia="黑体" w:cs="Times New Roman"/>
          <w:bCs/>
          <w:smallCaps w:val="0"/>
          <w:kern w:val="2"/>
          <w:sz w:val="21"/>
          <w:szCs w:val="24"/>
          <w:highlight w:val="none"/>
          <w:lang w:val="en-US" w:eastAsia="zh-CN" w:bidi="ar-SA"/>
        </w:rPr>
        <w:t>7</w:t>
      </w:r>
      <w:r>
        <w:rPr>
          <w:rFonts w:hint="default" w:ascii="Times New Roman" w:hAnsi="Times New Roman" w:eastAsia="黑体" w:cs="Times New Roman"/>
          <w:bCs/>
          <w:smallCaps w:val="0"/>
          <w:kern w:val="2"/>
          <w:sz w:val="21"/>
          <w:szCs w:val="24"/>
          <w:highlight w:val="none"/>
          <w:lang w:val="en-US" w:eastAsia="zh-CN" w:bidi="ar-SA"/>
        </w:rPr>
        <w:t xml:space="preserve">  大气污染物综合排放标准一览表</w:t>
      </w:r>
    </w:p>
    <w:tbl>
      <w:tblPr>
        <w:tblStyle w:val="4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784"/>
        <w:gridCol w:w="2819"/>
        <w:gridCol w:w="2919"/>
      </w:tblGrid>
      <w:tr w14:paraId="1B8F68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196" w:hRule="atLeast"/>
          <w:tblHeader/>
          <w:jc w:val="center"/>
        </w:trPr>
        <w:tc>
          <w:tcPr>
            <w:tcW w:w="3126" w:type="dxa"/>
            <w:vMerge w:val="restart"/>
            <w:vAlign w:val="center"/>
          </w:tcPr>
          <w:p w14:paraId="143F170B">
            <w:pPr>
              <w:tabs>
                <w:tab w:val="left" w:leader="middleDot" w:pos="7371"/>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6444" w:type="dxa"/>
            <w:gridSpan w:val="2"/>
            <w:vAlign w:val="center"/>
          </w:tcPr>
          <w:p w14:paraId="2B4160CE">
            <w:pPr>
              <w:tabs>
                <w:tab w:val="left" w:leader="middleDot" w:pos="7371"/>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无组织排放监控浓度限值（mg/m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r>
      <w:tr w14:paraId="35250E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tblHeader/>
          <w:jc w:val="center"/>
        </w:trPr>
        <w:tc>
          <w:tcPr>
            <w:tcW w:w="3126" w:type="dxa"/>
            <w:vMerge w:val="continue"/>
            <w:vAlign w:val="center"/>
          </w:tcPr>
          <w:p w14:paraId="2A19FD80">
            <w:pPr>
              <w:rPr>
                <w:rFonts w:hint="default" w:ascii="Times New Roman" w:hAnsi="Times New Roman" w:eastAsia="宋体" w:cs="Times New Roman"/>
                <w:b/>
                <w:bCs/>
                <w:color w:val="auto"/>
                <w:sz w:val="21"/>
                <w:szCs w:val="21"/>
                <w:highlight w:val="none"/>
              </w:rPr>
            </w:pPr>
          </w:p>
        </w:tc>
        <w:tc>
          <w:tcPr>
            <w:tcW w:w="3166" w:type="dxa"/>
            <w:vAlign w:val="center"/>
          </w:tcPr>
          <w:p w14:paraId="17DFE0D6">
            <w:pPr>
              <w:tabs>
                <w:tab w:val="left" w:leader="middleDot" w:pos="7371"/>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监控点</w:t>
            </w:r>
          </w:p>
        </w:tc>
        <w:tc>
          <w:tcPr>
            <w:tcW w:w="3278" w:type="dxa"/>
            <w:vAlign w:val="center"/>
          </w:tcPr>
          <w:p w14:paraId="6E945E93">
            <w:pPr>
              <w:tabs>
                <w:tab w:val="left" w:leader="middleDot" w:pos="7371"/>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w:t>
            </w:r>
          </w:p>
        </w:tc>
      </w:tr>
      <w:tr w14:paraId="5D6311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66" w:hRule="atLeast"/>
          <w:jc w:val="center"/>
        </w:trPr>
        <w:tc>
          <w:tcPr>
            <w:tcW w:w="3126" w:type="dxa"/>
            <w:vAlign w:val="center"/>
          </w:tcPr>
          <w:p w14:paraId="041D72ED">
            <w:pPr>
              <w:tabs>
                <w:tab w:val="left" w:leader="middleDot" w:pos="7371"/>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3166" w:type="dxa"/>
            <w:vAlign w:val="center"/>
          </w:tcPr>
          <w:p w14:paraId="20E4FBB1">
            <w:pPr>
              <w:tabs>
                <w:tab w:val="left" w:leader="middleDot" w:pos="7371"/>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周围外浓度最高点</w:t>
            </w:r>
          </w:p>
        </w:tc>
        <w:tc>
          <w:tcPr>
            <w:tcW w:w="3278" w:type="dxa"/>
            <w:vAlign w:val="center"/>
          </w:tcPr>
          <w:p w14:paraId="281310DA">
            <w:pPr>
              <w:tabs>
                <w:tab w:val="left" w:leader="middleDot" w:pos="7371"/>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bl>
    <w:p w14:paraId="430684CC">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（2）运营期</w:t>
      </w:r>
    </w:p>
    <w:p w14:paraId="70E11DD5">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①恶臭</w:t>
      </w:r>
    </w:p>
    <w:p w14:paraId="4001B68D">
      <w:pPr>
        <w:pStyle w:val="37"/>
        <w:spacing w:before="0" w:line="360" w:lineRule="auto"/>
        <w:ind w:left="0" w:firstLine="480" w:firstLineChars="200"/>
        <w:jc w:val="both"/>
        <w:rPr>
          <w:rFonts w:hint="default" w:eastAsia="宋体"/>
          <w:highlight w:val="none"/>
          <w:lang w:val="en-US" w:eastAsia="zh-CN"/>
        </w:rPr>
      </w:pPr>
      <w:r>
        <w:rPr>
          <w:rFonts w:hint="default" w:ascii="Times New Roman" w:hAnsi="Times New Roman" w:eastAsia="宋体" w:cs="Times New Roman"/>
          <w:b w:val="0"/>
          <w:bCs w:val="0"/>
          <w:snapToGrid w:val="0"/>
          <w:color w:val="auto"/>
          <w:kern w:val="0"/>
          <w:sz w:val="24"/>
          <w:szCs w:val="24"/>
          <w:highlight w:val="none"/>
        </w:rPr>
        <w:t>运营期恶臭污染物H</w:t>
      </w:r>
      <w:r>
        <w:rPr>
          <w:rFonts w:hint="default" w:ascii="Times New Roman" w:hAnsi="Times New Roman" w:eastAsia="宋体" w:cs="Times New Roman"/>
          <w:b w:val="0"/>
          <w:bCs w:val="0"/>
          <w:snapToGrid w:val="0"/>
          <w:color w:val="auto"/>
          <w:kern w:val="0"/>
          <w:sz w:val="24"/>
          <w:szCs w:val="24"/>
          <w:highlight w:val="none"/>
          <w:vertAlign w:val="subscript"/>
        </w:rPr>
        <w:t>2</w:t>
      </w:r>
      <w:r>
        <w:rPr>
          <w:rFonts w:hint="default" w:ascii="Times New Roman" w:hAnsi="Times New Roman" w:eastAsia="宋体" w:cs="Times New Roman"/>
          <w:b w:val="0"/>
          <w:bCs w:val="0"/>
          <w:snapToGrid w:val="0"/>
          <w:color w:val="auto"/>
          <w:kern w:val="0"/>
          <w:sz w:val="24"/>
          <w:szCs w:val="24"/>
          <w:highlight w:val="none"/>
        </w:rPr>
        <w:t>S、NH</w:t>
      </w:r>
      <w:r>
        <w:rPr>
          <w:rFonts w:hint="eastAsia" w:ascii="Times New Roman" w:hAnsi="Times New Roman" w:cs="Times New Roman"/>
          <w:b w:val="0"/>
          <w:bCs w:val="0"/>
          <w:snapToGrid w:val="0"/>
          <w:color w:val="auto"/>
          <w:kern w:val="0"/>
          <w:sz w:val="24"/>
          <w:szCs w:val="24"/>
          <w:highlight w:val="none"/>
          <w:vertAlign w:val="subscript"/>
          <w:lang w:val="en-US" w:eastAsia="zh-CN"/>
        </w:rPr>
        <w:t>3</w:t>
      </w:r>
      <w:r>
        <w:rPr>
          <w:rFonts w:hint="eastAsia" w:ascii="Times New Roman" w:hAnsi="Times New Roman" w:cs="Times New Roman"/>
          <w:b w:val="0"/>
          <w:bCs w:val="0"/>
          <w:snapToGrid w:val="0"/>
          <w:color w:val="auto"/>
          <w:kern w:val="0"/>
          <w:sz w:val="24"/>
          <w:szCs w:val="24"/>
          <w:highlight w:val="none"/>
          <w:lang w:val="en-US" w:eastAsia="zh-CN"/>
        </w:rPr>
        <w:t>有</w:t>
      </w:r>
      <w:r>
        <w:rPr>
          <w:rFonts w:hint="default" w:ascii="Times New Roman" w:hAnsi="Times New Roman" w:eastAsia="宋体" w:cs="Times New Roman"/>
          <w:b w:val="0"/>
          <w:bCs w:val="0"/>
          <w:snapToGrid w:val="0"/>
          <w:color w:val="auto"/>
          <w:kern w:val="0"/>
          <w:sz w:val="24"/>
          <w:szCs w:val="24"/>
          <w:highlight w:val="none"/>
        </w:rPr>
        <w:t>组织排放浓度执行《恶臭污染物排放标准》（GB14554-93）表</w:t>
      </w:r>
      <w:r>
        <w:rPr>
          <w:rFonts w:hint="eastAsia" w:ascii="Times New Roman" w:hAnsi="Times New Roman" w:cs="Times New Roman"/>
          <w:b w:val="0"/>
          <w:bCs w:val="0"/>
          <w:snapToGrid w:val="0"/>
          <w:color w:val="auto"/>
          <w:kern w:val="0"/>
          <w:sz w:val="24"/>
          <w:szCs w:val="24"/>
          <w:highlight w:val="none"/>
          <w:lang w:val="en-US" w:eastAsia="zh-CN"/>
        </w:rPr>
        <w:t>2</w:t>
      </w:r>
      <w:r>
        <w:rPr>
          <w:rFonts w:hint="default" w:ascii="Times New Roman" w:hAnsi="Times New Roman" w:eastAsia="宋体" w:cs="Times New Roman"/>
          <w:b w:val="0"/>
          <w:bCs w:val="0"/>
          <w:snapToGrid w:val="0"/>
          <w:color w:val="auto"/>
          <w:kern w:val="0"/>
          <w:sz w:val="24"/>
          <w:szCs w:val="24"/>
          <w:highlight w:val="none"/>
        </w:rPr>
        <w:t>中</w:t>
      </w:r>
      <w:r>
        <w:rPr>
          <w:rFonts w:hint="eastAsia" w:ascii="Times New Roman" w:hAnsi="Times New Roman" w:cs="Times New Roman"/>
          <w:b w:val="0"/>
          <w:bCs w:val="0"/>
          <w:snapToGrid w:val="0"/>
          <w:color w:val="auto"/>
          <w:kern w:val="0"/>
          <w:sz w:val="24"/>
          <w:szCs w:val="24"/>
          <w:highlight w:val="none"/>
          <w:lang w:val="en-US" w:eastAsia="zh-CN"/>
        </w:rPr>
        <w:t>恶臭污染物排放标准限值</w:t>
      </w:r>
      <w:r>
        <w:rPr>
          <w:rFonts w:hint="default" w:ascii="Times New Roman" w:hAnsi="Times New Roman" w:eastAsia="宋体" w:cs="Times New Roman"/>
          <w:b w:val="0"/>
          <w:bCs w:val="0"/>
          <w:snapToGrid w:val="0"/>
          <w:color w:val="auto"/>
          <w:kern w:val="0"/>
          <w:sz w:val="24"/>
          <w:szCs w:val="24"/>
          <w:highlight w:val="none"/>
        </w:rPr>
        <w:t>；运营期恶臭污染物H</w:t>
      </w:r>
      <w:r>
        <w:rPr>
          <w:rFonts w:hint="default" w:ascii="Times New Roman" w:hAnsi="Times New Roman" w:eastAsia="宋体" w:cs="Times New Roman"/>
          <w:b w:val="0"/>
          <w:bCs w:val="0"/>
          <w:snapToGrid w:val="0"/>
          <w:color w:val="auto"/>
          <w:kern w:val="0"/>
          <w:sz w:val="24"/>
          <w:szCs w:val="24"/>
          <w:highlight w:val="none"/>
          <w:vertAlign w:val="subscript"/>
        </w:rPr>
        <w:t>2</w:t>
      </w:r>
      <w:r>
        <w:rPr>
          <w:rFonts w:hint="default" w:ascii="Times New Roman" w:hAnsi="Times New Roman" w:eastAsia="宋体" w:cs="Times New Roman"/>
          <w:b w:val="0"/>
          <w:bCs w:val="0"/>
          <w:snapToGrid w:val="0"/>
          <w:color w:val="auto"/>
          <w:kern w:val="0"/>
          <w:sz w:val="24"/>
          <w:szCs w:val="24"/>
          <w:highlight w:val="none"/>
        </w:rPr>
        <w:t>S、NH</w:t>
      </w:r>
      <w:r>
        <w:rPr>
          <w:rFonts w:hint="default" w:ascii="Times New Roman" w:hAnsi="Times New Roman" w:eastAsia="宋体" w:cs="Times New Roman"/>
          <w:b w:val="0"/>
          <w:bCs w:val="0"/>
          <w:snapToGrid w:val="0"/>
          <w:color w:val="auto"/>
          <w:kern w:val="0"/>
          <w:sz w:val="24"/>
          <w:szCs w:val="24"/>
          <w:highlight w:val="none"/>
          <w:vertAlign w:val="subscript"/>
        </w:rPr>
        <w:t>3</w:t>
      </w:r>
      <w:r>
        <w:rPr>
          <w:rFonts w:hint="default" w:ascii="Times New Roman" w:hAnsi="Times New Roman" w:eastAsia="宋体" w:cs="Times New Roman"/>
          <w:b w:val="0"/>
          <w:bCs w:val="0"/>
          <w:snapToGrid w:val="0"/>
          <w:color w:val="auto"/>
          <w:kern w:val="0"/>
          <w:sz w:val="24"/>
          <w:szCs w:val="24"/>
          <w:highlight w:val="none"/>
        </w:rPr>
        <w:t>无组织排放浓度执行《恶臭污染物排放标准》（GB14554-93）表1中二级新扩改建标准限值；</w:t>
      </w:r>
      <w:r>
        <w:rPr>
          <w:rFonts w:hint="eastAsia" w:ascii="Times New Roman" w:hAnsi="Times New Roman" w:cs="Times New Roman"/>
          <w:b w:val="0"/>
          <w:bCs w:val="0"/>
          <w:snapToGrid w:val="0"/>
          <w:color w:val="auto"/>
          <w:kern w:val="0"/>
          <w:sz w:val="24"/>
          <w:szCs w:val="24"/>
          <w:highlight w:val="none"/>
          <w:lang w:val="en-US" w:eastAsia="zh-CN"/>
        </w:rPr>
        <w:t>颗粒物执行《大气污染物综合排放标准》（GB16297-1996）表2颗粒物无组织排放限值；</w:t>
      </w:r>
      <w:r>
        <w:rPr>
          <w:rFonts w:hint="default" w:ascii="Times New Roman" w:hAnsi="Times New Roman" w:eastAsia="宋体" w:cs="Times New Roman"/>
          <w:b w:val="0"/>
          <w:bCs w:val="0"/>
          <w:snapToGrid w:val="0"/>
          <w:color w:val="auto"/>
          <w:kern w:val="0"/>
          <w:sz w:val="24"/>
          <w:szCs w:val="24"/>
          <w:highlight w:val="none"/>
        </w:rPr>
        <w:t>臭气浓度执行《畜禽养殖业污染物排放标准》（GB18596-2001）表7中集约化畜禽养殖业恶臭污染物排放标准。</w:t>
      </w:r>
      <w:r>
        <w:rPr>
          <w:rFonts w:hint="default" w:ascii="Times New Roman" w:hAnsi="Times New Roman" w:eastAsia="宋体" w:cs="Times New Roman"/>
          <w:b w:val="0"/>
          <w:bCs w:val="0"/>
          <w:color w:val="auto"/>
          <w:sz w:val="24"/>
          <w:szCs w:val="24"/>
          <w:highlight w:val="none"/>
        </w:rPr>
        <w:t>具体标准值见表2</w:t>
      </w:r>
      <w:r>
        <w:rPr>
          <w:rFonts w:hint="eastAsia"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3-</w:t>
      </w:r>
      <w:r>
        <w:rPr>
          <w:rFonts w:hint="eastAsia" w:ascii="Times New Roman" w:hAnsi="Times New Roman"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rPr>
        <w:t>、表2</w:t>
      </w:r>
      <w:r>
        <w:rPr>
          <w:rFonts w:hint="eastAsia"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3-</w:t>
      </w:r>
      <w:r>
        <w:rPr>
          <w:rFonts w:hint="eastAsia" w:ascii="Times New Roman" w:hAnsi="Times New Roman" w:cs="Times New Roman"/>
          <w:b w:val="0"/>
          <w:bCs w:val="0"/>
          <w:color w:val="auto"/>
          <w:sz w:val="24"/>
          <w:szCs w:val="24"/>
          <w:highlight w:val="none"/>
          <w:lang w:val="en-US" w:eastAsia="zh-CN"/>
        </w:rPr>
        <w:t>9</w:t>
      </w:r>
      <w:r>
        <w:rPr>
          <w:rFonts w:hint="default" w:ascii="Times New Roman" w:hAnsi="Times New Roman" w:eastAsia="宋体" w:cs="Times New Roman"/>
          <w:b w:val="0"/>
          <w:bCs w:val="0"/>
          <w:color w:val="auto"/>
          <w:sz w:val="24"/>
          <w:szCs w:val="24"/>
          <w:highlight w:val="none"/>
        </w:rPr>
        <w:t>。</w:t>
      </w:r>
    </w:p>
    <w:p w14:paraId="4068D1A5">
      <w:pPr>
        <w:pStyle w:val="22"/>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w:t>
      </w:r>
      <w:r>
        <w:rPr>
          <w:rFonts w:hint="eastAsia" w:ascii="Times New Roman" w:hAnsi="Times New Roman" w:eastAsia="黑体" w:cs="Times New Roman"/>
          <w:bCs/>
          <w:smallCaps w:val="0"/>
          <w:kern w:val="2"/>
          <w:sz w:val="21"/>
          <w:szCs w:val="24"/>
          <w:highlight w:val="none"/>
          <w:lang w:val="en-US" w:eastAsia="zh-CN" w:bidi="ar-SA"/>
        </w:rPr>
        <w:t>8</w:t>
      </w:r>
      <w:r>
        <w:rPr>
          <w:rFonts w:hint="default" w:ascii="Times New Roman" w:hAnsi="Times New Roman" w:eastAsia="黑体" w:cs="Times New Roman"/>
          <w:bCs/>
          <w:smallCaps w:val="0"/>
          <w:kern w:val="2"/>
          <w:sz w:val="21"/>
          <w:szCs w:val="24"/>
          <w:highlight w:val="none"/>
          <w:lang w:val="en-US" w:eastAsia="zh-CN" w:bidi="ar-SA"/>
        </w:rPr>
        <w:t xml:space="preserve">  恶臭污染物排放标准一览表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53"/>
        <w:gridCol w:w="1320"/>
        <w:gridCol w:w="1185"/>
        <w:gridCol w:w="1255"/>
        <w:gridCol w:w="3509"/>
      </w:tblGrid>
      <w:tr w14:paraId="50323E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restart"/>
            <w:vAlign w:val="center"/>
          </w:tcPr>
          <w:p w14:paraId="61BBEBF3">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774" w:type="pct"/>
            <w:vMerge w:val="restart"/>
            <w:vAlign w:val="center"/>
          </w:tcPr>
          <w:p w14:paraId="4AB902D0">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排气筒高度</w:t>
            </w:r>
          </w:p>
        </w:tc>
        <w:tc>
          <w:tcPr>
            <w:tcW w:w="1431" w:type="pct"/>
            <w:gridSpan w:val="2"/>
            <w:vAlign w:val="center"/>
          </w:tcPr>
          <w:p w14:paraId="03DB920B">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标准值</w:t>
            </w:r>
          </w:p>
        </w:tc>
        <w:tc>
          <w:tcPr>
            <w:tcW w:w="2058" w:type="pct"/>
            <w:vMerge w:val="restart"/>
            <w:vAlign w:val="center"/>
          </w:tcPr>
          <w:p w14:paraId="0BBFD9CD">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执行标准</w:t>
            </w:r>
          </w:p>
        </w:tc>
      </w:tr>
      <w:tr w14:paraId="7F1B4B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14:paraId="3D4CF7D5">
            <w:pPr>
              <w:jc w:val="center"/>
              <w:rPr>
                <w:rFonts w:hint="default" w:ascii="Times New Roman" w:hAnsi="Times New Roman" w:eastAsia="宋体" w:cs="Times New Roman"/>
                <w:b/>
                <w:color w:val="auto"/>
                <w:sz w:val="21"/>
                <w:szCs w:val="21"/>
                <w:highlight w:val="none"/>
              </w:rPr>
            </w:pPr>
          </w:p>
        </w:tc>
        <w:tc>
          <w:tcPr>
            <w:tcW w:w="774" w:type="pct"/>
            <w:vMerge w:val="continue"/>
            <w:vAlign w:val="center"/>
          </w:tcPr>
          <w:p w14:paraId="4D84C7A6">
            <w:pPr>
              <w:jc w:val="center"/>
              <w:rPr>
                <w:rFonts w:hint="default" w:ascii="Times New Roman" w:hAnsi="Times New Roman" w:eastAsia="宋体" w:cs="Times New Roman"/>
                <w:b/>
                <w:color w:val="auto"/>
                <w:sz w:val="21"/>
                <w:szCs w:val="21"/>
                <w:highlight w:val="none"/>
              </w:rPr>
            </w:pPr>
          </w:p>
        </w:tc>
        <w:tc>
          <w:tcPr>
            <w:tcW w:w="695" w:type="pct"/>
            <w:vAlign w:val="center"/>
          </w:tcPr>
          <w:p w14:paraId="3A7EA251">
            <w:pPr>
              <w:pStyle w:val="367"/>
              <w:keepNext w:val="0"/>
              <w:keepLines w:val="0"/>
              <w:pageBreakBefore w:val="0"/>
              <w:widowControl/>
              <w:kinsoku/>
              <w:wordWrap/>
              <w:overflowPunct/>
              <w:topLinePunct w:val="0"/>
              <w:autoSpaceDE/>
              <w:autoSpaceDN/>
              <w:bidi w:val="0"/>
              <w:adjustRightInd/>
              <w:snapToGrid/>
              <w:spacing w:before="0" w:after="0"/>
              <w:ind w:right="0" w:rightChars="0" w:firstLine="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w:t>
            </w:r>
          </w:p>
          <w:p w14:paraId="347BBB29">
            <w:pPr>
              <w:pStyle w:val="367"/>
              <w:keepNext w:val="0"/>
              <w:keepLines w:val="0"/>
              <w:pageBreakBefore w:val="0"/>
              <w:widowControl/>
              <w:kinsoku/>
              <w:wordWrap/>
              <w:overflowPunct/>
              <w:topLinePunct w:val="0"/>
              <w:autoSpaceDE/>
              <w:autoSpaceDN/>
              <w:bidi w:val="0"/>
              <w:adjustRightInd/>
              <w:snapToGrid/>
              <w:spacing w:before="0" w:after="0"/>
              <w:ind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lang w:eastAsia="zh-CN"/>
              </w:rPr>
              <w:t>m</w:t>
            </w:r>
            <w:r>
              <w:rPr>
                <w:rFonts w:hint="default" w:ascii="Times New Roman" w:hAnsi="Times New Roman" w:eastAsia="宋体" w:cs="Times New Roman"/>
                <w:b/>
                <w:bCs/>
                <w:color w:val="auto"/>
                <w:sz w:val="21"/>
                <w:szCs w:val="21"/>
                <w:highlight w:val="none"/>
              </w:rPr>
              <w:t>g/</w:t>
            </w:r>
            <w:r>
              <w:rPr>
                <w:rFonts w:hint="default" w:ascii="Times New Roman" w:hAnsi="Times New Roman" w:eastAsia="宋体" w:cs="Times New Roman"/>
                <w:b/>
                <w:bCs/>
                <w:color w:val="auto"/>
                <w:sz w:val="21"/>
                <w:szCs w:val="21"/>
                <w:highlight w:val="none"/>
                <w:vertAlign w:val="baseline"/>
                <w:lang w:eastAsia="zh-CN"/>
              </w:rPr>
              <w:t>m</w:t>
            </w:r>
            <w:r>
              <w:rPr>
                <w:rFonts w:hint="default" w:ascii="Times New Roman" w:hAnsi="Times New Roman" w:eastAsia="宋体" w:cs="Times New Roman"/>
                <w:b/>
                <w:bCs/>
                <w:color w:val="auto"/>
                <w:sz w:val="21"/>
                <w:szCs w:val="21"/>
                <w:highlight w:val="none"/>
                <w:vertAlign w:val="superscript"/>
                <w:lang w:eastAsia="zh-CN"/>
              </w:rPr>
              <w:t>3</w:t>
            </w:r>
          </w:p>
        </w:tc>
        <w:tc>
          <w:tcPr>
            <w:tcW w:w="736" w:type="pct"/>
            <w:vAlign w:val="center"/>
          </w:tcPr>
          <w:p w14:paraId="7F581E85">
            <w:pPr>
              <w:pStyle w:val="367"/>
              <w:keepNext w:val="0"/>
              <w:keepLines w:val="0"/>
              <w:pageBreakBefore w:val="0"/>
              <w:widowControl/>
              <w:kinsoku/>
              <w:wordWrap/>
              <w:overflowPunct/>
              <w:topLinePunct w:val="0"/>
              <w:autoSpaceDE/>
              <w:autoSpaceDN/>
              <w:bidi w:val="0"/>
              <w:adjustRightInd/>
              <w:snapToGrid/>
              <w:spacing w:before="0" w:after="0"/>
              <w:ind w:right="0" w:rightChars="0" w:firstLine="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速率</w:t>
            </w:r>
          </w:p>
          <w:p w14:paraId="1C8DCF0F">
            <w:pPr>
              <w:pStyle w:val="367"/>
              <w:keepNext w:val="0"/>
              <w:keepLines w:val="0"/>
              <w:pageBreakBefore w:val="0"/>
              <w:widowControl/>
              <w:kinsoku/>
              <w:wordWrap/>
              <w:overflowPunct/>
              <w:topLinePunct w:val="0"/>
              <w:autoSpaceDE/>
              <w:autoSpaceDN/>
              <w:bidi w:val="0"/>
              <w:adjustRightInd/>
              <w:snapToGrid/>
              <w:spacing w:before="0" w:after="0"/>
              <w:ind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kg/h</w:t>
            </w:r>
          </w:p>
        </w:tc>
        <w:tc>
          <w:tcPr>
            <w:tcW w:w="2058" w:type="pct"/>
            <w:vMerge w:val="continue"/>
            <w:vAlign w:val="center"/>
          </w:tcPr>
          <w:p w14:paraId="1974AE52">
            <w:pPr>
              <w:jc w:val="center"/>
              <w:rPr>
                <w:rFonts w:hint="default" w:ascii="Times New Roman" w:hAnsi="Times New Roman" w:eastAsia="宋体" w:cs="Times New Roman"/>
                <w:b/>
                <w:color w:val="auto"/>
                <w:sz w:val="21"/>
                <w:szCs w:val="21"/>
                <w:highlight w:val="none"/>
              </w:rPr>
            </w:pPr>
          </w:p>
        </w:tc>
      </w:tr>
      <w:tr w14:paraId="4A0E23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restart"/>
            <w:vAlign w:val="center"/>
          </w:tcPr>
          <w:p w14:paraId="480A0E8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774" w:type="pct"/>
            <w:vAlign w:val="center"/>
          </w:tcPr>
          <w:p w14:paraId="262CEF69">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15m</w:t>
            </w:r>
          </w:p>
        </w:tc>
        <w:tc>
          <w:tcPr>
            <w:tcW w:w="695" w:type="pct"/>
            <w:vAlign w:val="center"/>
          </w:tcPr>
          <w:p w14:paraId="6CDAC808">
            <w:pPr>
              <w:jc w:val="center"/>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w:t>
            </w:r>
          </w:p>
        </w:tc>
        <w:tc>
          <w:tcPr>
            <w:tcW w:w="736" w:type="pct"/>
            <w:vAlign w:val="center"/>
          </w:tcPr>
          <w:p w14:paraId="1E50E267">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0.33</w:t>
            </w:r>
          </w:p>
        </w:tc>
        <w:tc>
          <w:tcPr>
            <w:tcW w:w="2058" w:type="pct"/>
            <w:vMerge w:val="restart"/>
            <w:vAlign w:val="center"/>
          </w:tcPr>
          <w:p w14:paraId="12F5795E">
            <w:pPr>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《恶臭污染物排放标准》（GB14554-93）</w:t>
            </w:r>
          </w:p>
          <w:p w14:paraId="72A36629">
            <w:pPr>
              <w:jc w:val="center"/>
              <w:rPr>
                <w:rFonts w:hint="eastAsia" w:ascii="Times New Roman" w:hAnsi="Times New Roman" w:cs="Times New Roman"/>
                <w:snapToGrid w:val="0"/>
                <w:color w:val="auto"/>
                <w:kern w:val="0"/>
                <w:sz w:val="21"/>
                <w:szCs w:val="21"/>
                <w:highlight w:val="none"/>
                <w:lang w:eastAsia="zh-CN"/>
              </w:rPr>
            </w:pPr>
            <w:r>
              <w:rPr>
                <w:rFonts w:hint="default" w:ascii="Times New Roman" w:hAnsi="Times New Roman" w:eastAsia="宋体" w:cs="Times New Roman"/>
                <w:snapToGrid w:val="0"/>
                <w:color w:val="auto"/>
                <w:kern w:val="0"/>
                <w:sz w:val="21"/>
                <w:szCs w:val="21"/>
                <w:highlight w:val="none"/>
              </w:rPr>
              <w:t>表1二级新改扩建标准</w:t>
            </w:r>
            <w:r>
              <w:rPr>
                <w:rFonts w:hint="eastAsia" w:ascii="Times New Roman" w:hAnsi="Times New Roman" w:cs="Times New Roman"/>
                <w:snapToGrid w:val="0"/>
                <w:color w:val="auto"/>
                <w:kern w:val="0"/>
                <w:sz w:val="21"/>
                <w:szCs w:val="21"/>
                <w:highlight w:val="none"/>
                <w:lang w:eastAsia="zh-CN"/>
              </w:rPr>
              <w:t>；</w:t>
            </w:r>
          </w:p>
          <w:p w14:paraId="2B371A85">
            <w:pPr>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snapToGrid w:val="0"/>
                <w:color w:val="auto"/>
                <w:kern w:val="0"/>
                <w:sz w:val="21"/>
                <w:szCs w:val="21"/>
                <w:highlight w:val="none"/>
                <w:lang w:eastAsia="zh-CN"/>
              </w:rPr>
              <w:t>表</w:t>
            </w:r>
            <w:r>
              <w:rPr>
                <w:rFonts w:hint="eastAsia" w:ascii="Times New Roman" w:hAnsi="Times New Roman" w:cs="Times New Roman"/>
                <w:snapToGrid w:val="0"/>
                <w:color w:val="auto"/>
                <w:kern w:val="0"/>
                <w:sz w:val="21"/>
                <w:szCs w:val="21"/>
                <w:highlight w:val="none"/>
                <w:lang w:val="en-US" w:eastAsia="zh-CN"/>
              </w:rPr>
              <w:t>2</w:t>
            </w:r>
            <w:r>
              <w:rPr>
                <w:rFonts w:hint="eastAsia" w:ascii="Times New Roman" w:hAnsi="Times New Roman" w:cs="Times New Roman"/>
                <w:snapToGrid w:val="0"/>
                <w:color w:val="auto"/>
                <w:kern w:val="0"/>
                <w:sz w:val="21"/>
                <w:szCs w:val="21"/>
                <w:highlight w:val="none"/>
                <w:lang w:eastAsia="zh-CN"/>
              </w:rPr>
              <w:t>中</w:t>
            </w:r>
            <w:r>
              <w:rPr>
                <w:rFonts w:hint="eastAsia" w:ascii="Times New Roman" w:hAnsi="Times New Roman" w:cs="Times New Roman"/>
                <w:snapToGrid w:val="0"/>
                <w:color w:val="auto"/>
                <w:kern w:val="0"/>
                <w:sz w:val="21"/>
                <w:szCs w:val="21"/>
                <w:highlight w:val="none"/>
                <w:lang w:val="en-US" w:eastAsia="zh-CN"/>
              </w:rPr>
              <w:t>恶臭污染物排放标准限值</w:t>
            </w:r>
          </w:p>
        </w:tc>
      </w:tr>
      <w:tr w14:paraId="7AB7C8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14:paraId="08D74CAB">
            <w:pPr>
              <w:jc w:val="center"/>
              <w:rPr>
                <w:rFonts w:hint="default" w:ascii="Times New Roman" w:hAnsi="Times New Roman" w:eastAsia="宋体" w:cs="Times New Roman"/>
                <w:color w:val="auto"/>
                <w:sz w:val="21"/>
                <w:szCs w:val="21"/>
                <w:highlight w:val="none"/>
              </w:rPr>
            </w:pPr>
          </w:p>
        </w:tc>
        <w:tc>
          <w:tcPr>
            <w:tcW w:w="774" w:type="pct"/>
            <w:vAlign w:val="center"/>
          </w:tcPr>
          <w:p w14:paraId="7B0EF861">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w:t>
            </w:r>
          </w:p>
        </w:tc>
        <w:tc>
          <w:tcPr>
            <w:tcW w:w="695" w:type="pct"/>
            <w:vAlign w:val="center"/>
          </w:tcPr>
          <w:p w14:paraId="1E591F6E">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0.06</w:t>
            </w:r>
          </w:p>
        </w:tc>
        <w:tc>
          <w:tcPr>
            <w:tcW w:w="736" w:type="pct"/>
            <w:vAlign w:val="center"/>
          </w:tcPr>
          <w:p w14:paraId="41395849">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2058" w:type="pct"/>
            <w:vMerge w:val="continue"/>
            <w:vAlign w:val="center"/>
          </w:tcPr>
          <w:p w14:paraId="0C04310E">
            <w:pPr>
              <w:jc w:val="center"/>
              <w:rPr>
                <w:rFonts w:hint="default" w:ascii="Times New Roman" w:hAnsi="Times New Roman" w:eastAsia="宋体" w:cs="Times New Roman"/>
                <w:color w:val="auto"/>
                <w:sz w:val="21"/>
                <w:szCs w:val="21"/>
                <w:highlight w:val="none"/>
              </w:rPr>
            </w:pPr>
          </w:p>
        </w:tc>
      </w:tr>
      <w:tr w14:paraId="30CBEB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restart"/>
            <w:vAlign w:val="center"/>
          </w:tcPr>
          <w:p w14:paraId="6FD839D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774" w:type="pct"/>
            <w:vAlign w:val="center"/>
          </w:tcPr>
          <w:p w14:paraId="157946BD">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15m</w:t>
            </w:r>
          </w:p>
        </w:tc>
        <w:tc>
          <w:tcPr>
            <w:tcW w:w="695" w:type="pct"/>
            <w:vAlign w:val="center"/>
          </w:tcPr>
          <w:p w14:paraId="787FE892">
            <w:pPr>
              <w:jc w:val="center"/>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w:t>
            </w:r>
          </w:p>
        </w:tc>
        <w:tc>
          <w:tcPr>
            <w:tcW w:w="736" w:type="pct"/>
            <w:vAlign w:val="center"/>
          </w:tcPr>
          <w:p w14:paraId="0101CDA8">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4.9</w:t>
            </w:r>
          </w:p>
        </w:tc>
        <w:tc>
          <w:tcPr>
            <w:tcW w:w="2058" w:type="pct"/>
            <w:vMerge w:val="continue"/>
            <w:vAlign w:val="center"/>
          </w:tcPr>
          <w:p w14:paraId="1A6F7C87">
            <w:pPr>
              <w:jc w:val="center"/>
              <w:rPr>
                <w:rFonts w:hint="default" w:ascii="Times New Roman" w:hAnsi="Times New Roman" w:eastAsia="宋体" w:cs="Times New Roman"/>
                <w:color w:val="auto"/>
                <w:sz w:val="21"/>
                <w:szCs w:val="21"/>
                <w:highlight w:val="none"/>
              </w:rPr>
            </w:pPr>
          </w:p>
        </w:tc>
      </w:tr>
      <w:tr w14:paraId="1C4D98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14:paraId="5EDB623C">
            <w:pPr>
              <w:jc w:val="center"/>
              <w:rPr>
                <w:rFonts w:hint="default" w:ascii="Times New Roman" w:hAnsi="Times New Roman" w:eastAsia="宋体" w:cs="Times New Roman"/>
                <w:color w:val="auto"/>
                <w:sz w:val="21"/>
                <w:szCs w:val="21"/>
                <w:highlight w:val="none"/>
              </w:rPr>
            </w:pPr>
          </w:p>
        </w:tc>
        <w:tc>
          <w:tcPr>
            <w:tcW w:w="774" w:type="pct"/>
            <w:vAlign w:val="center"/>
          </w:tcPr>
          <w:p w14:paraId="65216C3C">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w:t>
            </w:r>
          </w:p>
        </w:tc>
        <w:tc>
          <w:tcPr>
            <w:tcW w:w="695" w:type="pct"/>
            <w:vAlign w:val="center"/>
          </w:tcPr>
          <w:p w14:paraId="6307DF8E">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1.5</w:t>
            </w:r>
          </w:p>
        </w:tc>
        <w:tc>
          <w:tcPr>
            <w:tcW w:w="736" w:type="pct"/>
            <w:vAlign w:val="center"/>
          </w:tcPr>
          <w:p w14:paraId="5EE1AEB6">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2058" w:type="pct"/>
            <w:vMerge w:val="continue"/>
            <w:vAlign w:val="center"/>
          </w:tcPr>
          <w:p w14:paraId="19599FE2">
            <w:pPr>
              <w:jc w:val="center"/>
              <w:rPr>
                <w:rFonts w:hint="default" w:ascii="Times New Roman" w:hAnsi="Times New Roman" w:eastAsia="宋体" w:cs="Times New Roman"/>
                <w:color w:val="auto"/>
                <w:sz w:val="21"/>
                <w:szCs w:val="21"/>
                <w:highlight w:val="none"/>
              </w:rPr>
            </w:pPr>
          </w:p>
        </w:tc>
      </w:tr>
      <w:tr w14:paraId="40012B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93" w:hRule="atLeast"/>
          <w:jc w:val="center"/>
        </w:trPr>
        <w:tc>
          <w:tcPr>
            <w:tcW w:w="735" w:type="pct"/>
            <w:vAlign w:val="center"/>
          </w:tcPr>
          <w:p w14:paraId="7186E2C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774" w:type="pct"/>
            <w:vAlign w:val="center"/>
          </w:tcPr>
          <w:p w14:paraId="1304342B">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w:t>
            </w:r>
          </w:p>
        </w:tc>
        <w:tc>
          <w:tcPr>
            <w:tcW w:w="695" w:type="pct"/>
            <w:vAlign w:val="center"/>
          </w:tcPr>
          <w:p w14:paraId="2F5C963D">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1.0（</w:t>
            </w:r>
            <w:r>
              <w:rPr>
                <w:rFonts w:hint="default" w:ascii="Times New Roman" w:hAnsi="Times New Roman" w:eastAsia="宋体" w:cs="Times New Roman"/>
                <w:color w:val="auto"/>
                <w:sz w:val="21"/>
                <w:szCs w:val="21"/>
                <w:highlight w:val="none"/>
              </w:rPr>
              <w:t>界外浓度最高点</w:t>
            </w:r>
            <w:r>
              <w:rPr>
                <w:rFonts w:hint="default" w:ascii="Times New Roman" w:hAnsi="Times New Roman" w:eastAsia="宋体" w:cs="Times New Roman"/>
                <w:color w:val="auto"/>
                <w:spacing w:val="4"/>
                <w:sz w:val="21"/>
                <w:szCs w:val="21"/>
                <w:highlight w:val="none"/>
              </w:rPr>
              <w:t>）</w:t>
            </w:r>
            <w:r>
              <w:rPr>
                <w:rFonts w:hint="default" w:ascii="Times New Roman" w:hAnsi="Times New Roman" w:eastAsia="宋体" w:cs="Times New Roman"/>
                <w:color w:val="auto"/>
                <w:sz w:val="21"/>
                <w:szCs w:val="21"/>
                <w:highlight w:val="none"/>
              </w:rPr>
              <w:t>周</w:t>
            </w:r>
          </w:p>
        </w:tc>
        <w:tc>
          <w:tcPr>
            <w:tcW w:w="736" w:type="pct"/>
            <w:tcBorders>
              <w:top w:val="single" w:color="auto" w:sz="4" w:space="0"/>
            </w:tcBorders>
            <w:vAlign w:val="center"/>
          </w:tcPr>
          <w:p w14:paraId="1A8BAF3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2058" w:type="pct"/>
            <w:tcBorders>
              <w:top w:val="single" w:color="auto" w:sz="4" w:space="0"/>
            </w:tcBorders>
            <w:vAlign w:val="center"/>
          </w:tcPr>
          <w:p w14:paraId="04F1A57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《大气污染物综合排放标准》（GB16297-1996）表2颗粒物排放限值</w:t>
            </w:r>
          </w:p>
        </w:tc>
      </w:tr>
    </w:tbl>
    <w:p w14:paraId="19E14A52">
      <w:pPr>
        <w:pStyle w:val="22"/>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黑体" w:cs="Times New Roman"/>
          <w:bCs/>
          <w:smallCaps w:val="0"/>
          <w:kern w:val="2"/>
          <w:sz w:val="21"/>
          <w:szCs w:val="24"/>
          <w:highlight w:val="none"/>
          <w:lang w:val="en-US" w:eastAsia="zh-CN" w:bidi="ar-SA"/>
        </w:rPr>
      </w:pPr>
    </w:p>
    <w:p w14:paraId="05283A50">
      <w:pPr>
        <w:pStyle w:val="22"/>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auto"/>
          <w:kern w:val="1"/>
          <w:sz w:val="24"/>
          <w:szCs w:val="24"/>
          <w:highlight w:val="none"/>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w:t>
      </w:r>
      <w:r>
        <w:rPr>
          <w:rFonts w:hint="eastAsia" w:ascii="Times New Roman" w:hAnsi="Times New Roman" w:eastAsia="黑体" w:cs="Times New Roman"/>
          <w:bCs/>
          <w:smallCaps w:val="0"/>
          <w:kern w:val="2"/>
          <w:sz w:val="21"/>
          <w:szCs w:val="24"/>
          <w:highlight w:val="none"/>
          <w:lang w:val="en-US" w:eastAsia="zh-CN" w:bidi="ar-SA"/>
        </w:rPr>
        <w:t>9</w:t>
      </w:r>
      <w:r>
        <w:rPr>
          <w:rFonts w:hint="default" w:ascii="Times New Roman" w:hAnsi="Times New Roman" w:eastAsia="黑体" w:cs="Times New Roman"/>
          <w:bCs/>
          <w:smallCaps w:val="0"/>
          <w:kern w:val="2"/>
          <w:sz w:val="21"/>
          <w:szCs w:val="24"/>
          <w:highlight w:val="none"/>
          <w:lang w:val="en-US" w:eastAsia="zh-CN" w:bidi="ar-SA"/>
        </w:rPr>
        <w:t xml:space="preserve"> 畜禽养殖业污染物排放标准一览表</w:t>
      </w:r>
    </w:p>
    <w:tbl>
      <w:tblPr>
        <w:tblStyle w:val="4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3D164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473" w:type="dxa"/>
            <w:vAlign w:val="center"/>
          </w:tcPr>
          <w:p w14:paraId="13E9F502">
            <w:pPr>
              <w:jc w:val="center"/>
              <w:rPr>
                <w:rFonts w:hint="default" w:ascii="Times New Roman" w:hAnsi="Times New Roman" w:eastAsia="宋体" w:cs="Times New Roman"/>
                <w:color w:val="auto"/>
                <w:sz w:val="21"/>
                <w:szCs w:val="21"/>
                <w:highlight w:val="none"/>
                <w:lang w:val="en-US" w:eastAsia="zh-CN"/>
              </w:rPr>
            </w:pPr>
            <w:bookmarkStart w:id="220" w:name="_Toc30889"/>
            <w:bookmarkStart w:id="221" w:name="_Toc5830"/>
            <w:bookmarkStart w:id="222" w:name="_Toc2067"/>
            <w:bookmarkStart w:id="223" w:name="_Toc16625"/>
            <w:bookmarkStart w:id="224" w:name="_Toc30966"/>
            <w:bookmarkStart w:id="225" w:name="_Toc2693"/>
            <w:r>
              <w:rPr>
                <w:rFonts w:hint="default" w:ascii="Times New Roman" w:hAnsi="Times New Roman" w:eastAsia="宋体" w:cs="Times New Roman"/>
                <w:color w:val="auto"/>
                <w:sz w:val="21"/>
                <w:szCs w:val="21"/>
                <w:highlight w:val="none"/>
                <w:lang w:val="en-US" w:eastAsia="zh-CN"/>
              </w:rPr>
              <w:t>污染物</w:t>
            </w:r>
            <w:bookmarkEnd w:id="220"/>
            <w:bookmarkEnd w:id="221"/>
            <w:bookmarkEnd w:id="222"/>
            <w:bookmarkEnd w:id="223"/>
            <w:bookmarkEnd w:id="224"/>
            <w:bookmarkEnd w:id="225"/>
          </w:p>
        </w:tc>
        <w:tc>
          <w:tcPr>
            <w:tcW w:w="4473" w:type="dxa"/>
            <w:vAlign w:val="center"/>
          </w:tcPr>
          <w:p w14:paraId="61E524F2">
            <w:pPr>
              <w:jc w:val="center"/>
              <w:rPr>
                <w:rFonts w:hint="default" w:ascii="Times New Roman" w:hAnsi="Times New Roman" w:eastAsia="宋体" w:cs="Times New Roman"/>
                <w:color w:val="auto"/>
                <w:sz w:val="21"/>
                <w:szCs w:val="21"/>
                <w:highlight w:val="none"/>
                <w:lang w:val="en-US" w:eastAsia="zh-CN"/>
              </w:rPr>
            </w:pPr>
            <w:bookmarkStart w:id="226" w:name="_Toc17579"/>
            <w:bookmarkStart w:id="227" w:name="_Toc11469"/>
            <w:bookmarkStart w:id="228" w:name="_Toc13156"/>
            <w:bookmarkStart w:id="229" w:name="_Toc17897"/>
            <w:bookmarkStart w:id="230" w:name="_Toc10886"/>
            <w:bookmarkStart w:id="231" w:name="_Toc26387"/>
            <w:r>
              <w:rPr>
                <w:rFonts w:hint="default" w:ascii="Times New Roman" w:hAnsi="Times New Roman" w:eastAsia="宋体" w:cs="Times New Roman"/>
                <w:color w:val="auto"/>
                <w:sz w:val="21"/>
                <w:szCs w:val="21"/>
                <w:highlight w:val="none"/>
                <w:lang w:val="en-US" w:eastAsia="zh-CN"/>
              </w:rPr>
              <w:t>标准值</w:t>
            </w:r>
            <w:bookmarkEnd w:id="226"/>
            <w:bookmarkEnd w:id="227"/>
            <w:bookmarkEnd w:id="228"/>
            <w:bookmarkEnd w:id="229"/>
            <w:bookmarkEnd w:id="230"/>
            <w:bookmarkEnd w:id="231"/>
          </w:p>
        </w:tc>
      </w:tr>
      <w:tr w14:paraId="6F371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73" w:type="dxa"/>
            <w:vAlign w:val="center"/>
          </w:tcPr>
          <w:p w14:paraId="4D8FAB45">
            <w:pPr>
              <w:jc w:val="center"/>
              <w:rPr>
                <w:rFonts w:hint="default" w:ascii="Times New Roman" w:hAnsi="Times New Roman" w:eastAsia="宋体" w:cs="Times New Roman"/>
                <w:color w:val="auto"/>
                <w:sz w:val="21"/>
                <w:szCs w:val="21"/>
                <w:highlight w:val="none"/>
                <w:lang w:val="en-US" w:eastAsia="zh-CN"/>
              </w:rPr>
            </w:pPr>
            <w:bookmarkStart w:id="232" w:name="_Toc18163"/>
            <w:bookmarkStart w:id="233" w:name="_Toc14739"/>
            <w:bookmarkStart w:id="234" w:name="_Toc28321"/>
            <w:bookmarkStart w:id="235" w:name="_Toc20999"/>
            <w:bookmarkStart w:id="236" w:name="_Toc2607"/>
            <w:bookmarkStart w:id="237" w:name="_Toc956"/>
            <w:r>
              <w:rPr>
                <w:rFonts w:hint="default" w:ascii="Times New Roman" w:hAnsi="Times New Roman" w:eastAsia="宋体" w:cs="Times New Roman"/>
                <w:color w:val="auto"/>
                <w:sz w:val="21"/>
                <w:szCs w:val="21"/>
                <w:highlight w:val="none"/>
                <w:lang w:val="en-US" w:eastAsia="zh-CN"/>
              </w:rPr>
              <w:t>臭气浓度（无量纲）</w:t>
            </w:r>
            <w:bookmarkEnd w:id="232"/>
            <w:bookmarkEnd w:id="233"/>
            <w:bookmarkEnd w:id="234"/>
            <w:bookmarkEnd w:id="235"/>
            <w:bookmarkEnd w:id="236"/>
            <w:bookmarkEnd w:id="237"/>
          </w:p>
        </w:tc>
        <w:tc>
          <w:tcPr>
            <w:tcW w:w="4473" w:type="dxa"/>
            <w:vAlign w:val="center"/>
          </w:tcPr>
          <w:p w14:paraId="44086BE0">
            <w:pPr>
              <w:jc w:val="center"/>
              <w:rPr>
                <w:rFonts w:hint="default" w:ascii="Times New Roman" w:hAnsi="Times New Roman" w:eastAsia="宋体" w:cs="Times New Roman"/>
                <w:color w:val="auto"/>
                <w:sz w:val="21"/>
                <w:szCs w:val="21"/>
                <w:highlight w:val="none"/>
                <w:lang w:val="en-US" w:eastAsia="zh-CN"/>
              </w:rPr>
            </w:pPr>
            <w:bookmarkStart w:id="238" w:name="_Toc25113"/>
            <w:bookmarkStart w:id="239" w:name="_Toc20584"/>
            <w:bookmarkStart w:id="240" w:name="_Toc20136"/>
            <w:bookmarkStart w:id="241" w:name="_Toc27059"/>
            <w:bookmarkStart w:id="242" w:name="_Toc6288"/>
            <w:bookmarkStart w:id="243" w:name="_Toc19068"/>
            <w:r>
              <w:rPr>
                <w:rFonts w:hint="default" w:ascii="Times New Roman" w:hAnsi="Times New Roman" w:eastAsia="宋体" w:cs="Times New Roman"/>
                <w:color w:val="auto"/>
                <w:sz w:val="21"/>
                <w:szCs w:val="21"/>
                <w:highlight w:val="none"/>
                <w:lang w:val="en-US" w:eastAsia="zh-CN"/>
              </w:rPr>
              <w:t>70</w:t>
            </w:r>
            <w:bookmarkEnd w:id="238"/>
            <w:bookmarkEnd w:id="239"/>
            <w:bookmarkEnd w:id="240"/>
            <w:bookmarkEnd w:id="241"/>
            <w:bookmarkEnd w:id="242"/>
            <w:bookmarkEnd w:id="243"/>
          </w:p>
        </w:tc>
      </w:tr>
    </w:tbl>
    <w:p w14:paraId="7A16B579">
      <w:pPr>
        <w:pStyle w:val="22"/>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黑体" w:cs="Times New Roman"/>
          <w:bCs/>
          <w:smallCaps w:val="0"/>
          <w:kern w:val="2"/>
          <w:sz w:val="21"/>
          <w:szCs w:val="24"/>
          <w:highlight w:val="none"/>
          <w:lang w:val="en-US" w:eastAsia="zh-CN" w:bidi="ar-SA"/>
        </w:rPr>
      </w:pPr>
    </w:p>
    <w:p w14:paraId="398BBDDF">
      <w:pPr>
        <w:spacing w:line="360" w:lineRule="auto"/>
        <w:ind w:firstLine="480" w:firstLineChars="200"/>
        <w:rPr>
          <w:rFonts w:hint="default" w:ascii="Times New Roman" w:hAnsi="Times New Roman" w:eastAsia="宋体" w:cs="Times New Roman"/>
          <w:snapToGrid w:val="0"/>
          <w:color w:val="auto"/>
          <w:kern w:val="0"/>
          <w:sz w:val="24"/>
          <w:highlight w:val="none"/>
          <w:lang w:val="en-US" w:eastAsia="zh-CN"/>
        </w:rPr>
      </w:pPr>
      <w:r>
        <w:rPr>
          <w:rFonts w:hint="eastAsia" w:ascii="Times New Roman" w:hAnsi="Times New Roman" w:eastAsia="宋体" w:cs="Times New Roman"/>
          <w:snapToGrid w:val="0"/>
          <w:color w:val="auto"/>
          <w:kern w:val="0"/>
          <w:sz w:val="24"/>
          <w:highlight w:val="none"/>
          <w:lang w:val="en-US" w:eastAsia="zh-CN"/>
        </w:rPr>
        <w:t>②沼气燃烧废气</w:t>
      </w:r>
    </w:p>
    <w:p w14:paraId="2CB5E49D">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smallCaps/>
          <w:snapToGrid w:val="0"/>
          <w:color w:val="auto"/>
          <w:kern w:val="0"/>
          <w:sz w:val="24"/>
          <w:szCs w:val="24"/>
          <w:highlight w:val="none"/>
          <w:lang w:val="en-US" w:eastAsia="zh-CN" w:bidi="ar-SA"/>
        </w:rPr>
      </w:pPr>
      <w:r>
        <w:rPr>
          <w:rFonts w:hint="default" w:ascii="Times New Roman" w:hAnsi="Times New Roman" w:eastAsia="宋体" w:cs="Times New Roman"/>
          <w:b w:val="0"/>
          <w:bCs w:val="0"/>
          <w:smallCaps/>
          <w:snapToGrid w:val="0"/>
          <w:color w:val="auto"/>
          <w:kern w:val="0"/>
          <w:sz w:val="24"/>
          <w:szCs w:val="24"/>
          <w:highlight w:val="none"/>
          <w:lang w:val="en-US" w:eastAsia="zh-CN" w:bidi="ar-SA"/>
        </w:rPr>
        <w:t>沼气燃烧所产生的废气最高允许排放浓度执行《大气污染物综合排放标准》(GB16297-1996)表2二级标准。</w:t>
      </w:r>
    </w:p>
    <w:p w14:paraId="24B01E8D">
      <w:pPr>
        <w:jc w:val="center"/>
        <w:rPr>
          <w:rFonts w:hint="default"/>
          <w:highlight w:val="none"/>
          <w:lang w:val="en-US" w:eastAsia="zh-CN"/>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3</w:t>
      </w:r>
      <w:r>
        <w:rPr>
          <w:rFonts w:hint="default" w:ascii="Times New Roman" w:hAnsi="Times New Roman" w:eastAsia="黑体" w:cs="Times New Roman"/>
          <w:bCs/>
          <w:smallCaps w:val="0"/>
          <w:kern w:val="2"/>
          <w:sz w:val="21"/>
          <w:szCs w:val="24"/>
          <w:highlight w:val="none"/>
          <w:lang w:val="en-US" w:eastAsia="zh-CN" w:bidi="ar-SA"/>
        </w:rPr>
        <w:t>-</w:t>
      </w:r>
      <w:r>
        <w:rPr>
          <w:rFonts w:hint="eastAsia" w:ascii="Times New Roman" w:hAnsi="Times New Roman" w:eastAsia="黑体" w:cs="Times New Roman"/>
          <w:bCs/>
          <w:smallCaps w:val="0"/>
          <w:kern w:val="2"/>
          <w:sz w:val="21"/>
          <w:szCs w:val="24"/>
          <w:highlight w:val="none"/>
          <w:lang w:val="en-US" w:eastAsia="zh-CN" w:bidi="ar-SA"/>
        </w:rPr>
        <w:t xml:space="preserve">10 </w:t>
      </w:r>
      <w:r>
        <w:rPr>
          <w:rFonts w:hint="default" w:ascii="Times New Roman" w:hAnsi="Times New Roman" w:eastAsia="黑体" w:cs="Times New Roman"/>
          <w:bCs/>
          <w:smallCaps w:val="0"/>
          <w:kern w:val="2"/>
          <w:sz w:val="21"/>
          <w:szCs w:val="24"/>
          <w:highlight w:val="none"/>
          <w:lang w:val="en-US" w:eastAsia="zh-CN" w:bidi="ar-SA"/>
        </w:rPr>
        <w:t>大气污染物综合排放标准(GB16297-1996)</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5"/>
        <w:gridCol w:w="1609"/>
        <w:gridCol w:w="2391"/>
        <w:gridCol w:w="2394"/>
      </w:tblGrid>
      <w:tr w14:paraId="155873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1247" w:type="pct"/>
            <w:vAlign w:val="center"/>
          </w:tcPr>
          <w:p w14:paraId="6CC64278">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944" w:type="pct"/>
            <w:vAlign w:val="center"/>
          </w:tcPr>
          <w:p w14:paraId="03D1CFAE">
            <w:pPr>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排气筒高度</w:t>
            </w:r>
            <w:r>
              <w:rPr>
                <w:rFonts w:hint="eastAsia" w:ascii="Times New Roman" w:hAnsi="Times New Roman" w:cs="Times New Roman"/>
                <w:b/>
                <w:color w:val="auto"/>
                <w:sz w:val="21"/>
                <w:szCs w:val="21"/>
                <w:highlight w:val="none"/>
                <w:lang w:val="en-US" w:eastAsia="zh-CN"/>
              </w:rPr>
              <w:t>(m)</w:t>
            </w:r>
          </w:p>
        </w:tc>
        <w:tc>
          <w:tcPr>
            <w:tcW w:w="1403" w:type="pct"/>
            <w:vAlign w:val="center"/>
          </w:tcPr>
          <w:p w14:paraId="0577FFA3">
            <w:pPr>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最高允许排放浓度（mg/m</w:t>
            </w:r>
            <w:r>
              <w:rPr>
                <w:rFonts w:hint="eastAsia" w:ascii="Times New Roman" w:hAnsi="Times New Roman" w:cs="Times New Roman"/>
                <w:b/>
                <w:color w:val="auto"/>
                <w:sz w:val="21"/>
                <w:szCs w:val="21"/>
                <w:highlight w:val="none"/>
                <w:vertAlign w:val="superscript"/>
                <w:lang w:val="en-US" w:eastAsia="zh-CN"/>
              </w:rPr>
              <w:t>3</w:t>
            </w:r>
            <w:r>
              <w:rPr>
                <w:rFonts w:hint="eastAsia" w:ascii="Times New Roman" w:hAnsi="Times New Roman" w:cs="Times New Roman"/>
                <w:b/>
                <w:color w:val="auto"/>
                <w:sz w:val="21"/>
                <w:szCs w:val="21"/>
                <w:highlight w:val="none"/>
                <w:lang w:val="en-US" w:eastAsia="zh-CN"/>
              </w:rPr>
              <w:t>）</w:t>
            </w:r>
          </w:p>
        </w:tc>
        <w:tc>
          <w:tcPr>
            <w:tcW w:w="1404" w:type="pct"/>
            <w:vAlign w:val="center"/>
          </w:tcPr>
          <w:p w14:paraId="72BAA6C0">
            <w:pPr>
              <w:jc w:val="center"/>
              <w:rPr>
                <w:rFonts w:hint="eastAsia"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最高允许排放速率</w:t>
            </w:r>
            <w:r>
              <w:rPr>
                <w:rFonts w:hint="eastAsia" w:ascii="Times New Roman" w:hAnsi="Times New Roman" w:cs="Times New Roman"/>
                <w:b/>
                <w:color w:val="auto"/>
                <w:sz w:val="21"/>
                <w:szCs w:val="21"/>
                <w:highlight w:val="none"/>
                <w:lang w:eastAsia="zh-CN"/>
              </w:rPr>
              <w:t>（）（kg</w:t>
            </w:r>
            <w:r>
              <w:rPr>
                <w:rFonts w:hint="eastAsia" w:ascii="Times New Roman" w:hAnsi="Times New Roman" w:cs="Times New Roman"/>
                <w:b/>
                <w:color w:val="auto"/>
                <w:sz w:val="21"/>
                <w:szCs w:val="21"/>
                <w:highlight w:val="none"/>
                <w:lang w:val="en-US" w:eastAsia="zh-CN"/>
              </w:rPr>
              <w:t>/</w:t>
            </w:r>
            <w:r>
              <w:rPr>
                <w:rFonts w:hint="eastAsia" w:ascii="Times New Roman" w:hAnsi="Times New Roman" w:cs="Times New Roman"/>
                <w:b/>
                <w:color w:val="auto"/>
                <w:sz w:val="21"/>
                <w:szCs w:val="21"/>
                <w:highlight w:val="none"/>
                <w:lang w:eastAsia="zh-CN"/>
              </w:rPr>
              <w:t>h）</w:t>
            </w:r>
          </w:p>
        </w:tc>
      </w:tr>
      <w:tr w14:paraId="660C03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7" w:type="pct"/>
            <w:vAlign w:val="center"/>
          </w:tcPr>
          <w:p w14:paraId="71B6A97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944" w:type="pct"/>
            <w:vAlign w:val="center"/>
          </w:tcPr>
          <w:p w14:paraId="56690A70">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10</w:t>
            </w:r>
          </w:p>
        </w:tc>
        <w:tc>
          <w:tcPr>
            <w:tcW w:w="1403" w:type="pct"/>
            <w:vAlign w:val="center"/>
          </w:tcPr>
          <w:p w14:paraId="6A8B1F59">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550</w:t>
            </w:r>
          </w:p>
        </w:tc>
        <w:tc>
          <w:tcPr>
            <w:tcW w:w="1404" w:type="pct"/>
            <w:vAlign w:val="center"/>
          </w:tcPr>
          <w:p w14:paraId="03A50113">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0.87</w:t>
            </w:r>
          </w:p>
        </w:tc>
      </w:tr>
      <w:tr w14:paraId="79C82E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1247" w:type="pct"/>
            <w:vAlign w:val="center"/>
          </w:tcPr>
          <w:p w14:paraId="4363E06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944" w:type="pct"/>
            <w:vAlign w:val="center"/>
          </w:tcPr>
          <w:p w14:paraId="77F26B05">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10</w:t>
            </w:r>
          </w:p>
        </w:tc>
        <w:tc>
          <w:tcPr>
            <w:tcW w:w="1403" w:type="pct"/>
            <w:vAlign w:val="center"/>
          </w:tcPr>
          <w:p w14:paraId="60030EE5">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120</w:t>
            </w:r>
          </w:p>
        </w:tc>
        <w:tc>
          <w:tcPr>
            <w:tcW w:w="1404" w:type="pct"/>
            <w:vAlign w:val="center"/>
          </w:tcPr>
          <w:p w14:paraId="522451A0">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0.785</w:t>
            </w:r>
          </w:p>
        </w:tc>
      </w:tr>
      <w:tr w14:paraId="1BA8F2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5" w:hRule="atLeast"/>
          <w:jc w:val="center"/>
        </w:trPr>
        <w:tc>
          <w:tcPr>
            <w:tcW w:w="1247" w:type="pct"/>
            <w:vAlign w:val="center"/>
          </w:tcPr>
          <w:p w14:paraId="2D331ED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944" w:type="pct"/>
            <w:vAlign w:val="center"/>
          </w:tcPr>
          <w:p w14:paraId="1621FFE4">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10</w:t>
            </w:r>
          </w:p>
        </w:tc>
        <w:tc>
          <w:tcPr>
            <w:tcW w:w="1403" w:type="pct"/>
            <w:vAlign w:val="center"/>
          </w:tcPr>
          <w:p w14:paraId="082AD3CC">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240</w:t>
            </w:r>
          </w:p>
        </w:tc>
        <w:tc>
          <w:tcPr>
            <w:tcW w:w="1404" w:type="pct"/>
            <w:tcBorders>
              <w:top w:val="single" w:color="auto" w:sz="4" w:space="0"/>
            </w:tcBorders>
            <w:vAlign w:val="center"/>
          </w:tcPr>
          <w:p w14:paraId="6EE2D714">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0.26</w:t>
            </w:r>
          </w:p>
        </w:tc>
      </w:tr>
    </w:tbl>
    <w:p w14:paraId="57CCBFD3">
      <w:pPr>
        <w:pStyle w:val="8"/>
        <w:bidi w:val="0"/>
        <w:rPr>
          <w:rFonts w:hint="default"/>
          <w:highlight w:val="none"/>
        </w:rPr>
      </w:pPr>
      <w:bookmarkStart w:id="244" w:name="_Toc2856"/>
      <w:bookmarkStart w:id="245" w:name="_Toc32015"/>
      <w:r>
        <w:rPr>
          <w:rFonts w:hint="default"/>
          <w:highlight w:val="none"/>
        </w:rPr>
        <w:t>2.3.2.2废水</w:t>
      </w:r>
      <w:bookmarkEnd w:id="244"/>
      <w:bookmarkEnd w:id="245"/>
    </w:p>
    <w:p w14:paraId="293A3F3A">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（1）施工期</w:t>
      </w:r>
    </w:p>
    <w:p w14:paraId="1DE23AB7">
      <w:pPr>
        <w:pStyle w:val="318"/>
        <w:adjustRightInd/>
        <w:snapToGrid/>
        <w:spacing w:after="0" w:line="360" w:lineRule="auto"/>
        <w:ind w:left="0" w:lef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施工期对水环境造成的影响主要有施工废水和生活污水。生活污水</w:t>
      </w:r>
      <w:r>
        <w:rPr>
          <w:rFonts w:hint="default" w:ascii="Times New Roman" w:hAnsi="Times New Roman" w:cs="Times New Roman"/>
          <w:snapToGrid w:val="0"/>
          <w:color w:val="auto"/>
          <w:highlight w:val="none"/>
          <w:lang w:val="en-US" w:eastAsia="zh-CN"/>
        </w:rPr>
        <w:t>排入黑膜厌氧池</w:t>
      </w:r>
      <w:r>
        <w:rPr>
          <w:rFonts w:hint="default" w:ascii="Times New Roman" w:hAnsi="Times New Roman" w:eastAsia="宋体" w:cs="Times New Roman"/>
          <w:color w:val="auto"/>
          <w:sz w:val="24"/>
          <w:szCs w:val="24"/>
          <w:highlight w:val="none"/>
        </w:rPr>
        <w:t>，不外排；施工场地内设置临时废水沉淀池，使施工废水经沉淀后回用于施工建设和洒水抑尘。</w:t>
      </w:r>
    </w:p>
    <w:p w14:paraId="04E738CC">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（2）运营期</w:t>
      </w:r>
    </w:p>
    <w:p w14:paraId="1B8B54DA">
      <w:pPr>
        <w:spacing w:line="360" w:lineRule="auto"/>
        <w:ind w:firstLine="480" w:firstLineChars="200"/>
        <w:rPr>
          <w:rFonts w:hint="default" w:ascii="Times New Roman" w:hAnsi="Times New Roman" w:eastAsia="宋体" w:cs="Times New Roman"/>
          <w:b/>
          <w:color w:val="auto"/>
          <w:sz w:val="24"/>
          <w:highlight w:val="none"/>
        </w:rPr>
      </w:pPr>
      <w:bookmarkStart w:id="246" w:name="_Toc6183"/>
      <w:bookmarkStart w:id="247" w:name="_Toc18422"/>
      <w:r>
        <w:rPr>
          <w:rFonts w:hint="default" w:ascii="Times New Roman" w:hAnsi="Times New Roman" w:eastAsia="宋体" w:cs="Times New Roman"/>
          <w:color w:val="auto"/>
          <w:sz w:val="24"/>
          <w:highlight w:val="none"/>
        </w:rPr>
        <w:t>项目</w:t>
      </w:r>
      <w:r>
        <w:rPr>
          <w:rFonts w:hint="eastAsia" w:ascii="Times New Roman" w:hAnsi="Times New Roman" w:eastAsia="宋体" w:cs="Times New Roman"/>
          <w:color w:val="auto"/>
          <w:sz w:val="24"/>
          <w:highlight w:val="none"/>
          <w:lang w:val="en-US" w:eastAsia="zh-CN"/>
        </w:rPr>
        <w:t>尿泡粪—</w:t>
      </w:r>
      <w:r>
        <w:rPr>
          <w:rFonts w:hint="default" w:ascii="Times New Roman" w:hAnsi="Times New Roman" w:eastAsia="宋体" w:cs="Times New Roman"/>
          <w:color w:val="auto"/>
          <w:sz w:val="24"/>
          <w:highlight w:val="none"/>
        </w:rPr>
        <w:t>干清粪工艺过程的排水量均应满足《畜禽养殖业污染物排放标准》（GB18596-2001）表4相关要求。</w:t>
      </w:r>
    </w:p>
    <w:p w14:paraId="346CC36C">
      <w:pPr>
        <w:jc w:val="center"/>
        <w:rPr>
          <w:rFonts w:hint="default" w:ascii="Times New Roman" w:hAnsi="Times New Roman" w:eastAsia="黑体" w:cs="Times New Roman"/>
          <w:bCs/>
          <w:smallCaps w:val="0"/>
          <w:kern w:val="2"/>
          <w:sz w:val="21"/>
          <w:szCs w:val="24"/>
          <w:highlight w:val="none"/>
          <w:lang w:val="en-US" w:eastAsia="zh-CN" w:bidi="ar-SA"/>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3</w:t>
      </w:r>
      <w:r>
        <w:rPr>
          <w:rFonts w:hint="default" w:ascii="Times New Roman" w:hAnsi="Times New Roman" w:eastAsia="黑体" w:cs="Times New Roman"/>
          <w:bCs/>
          <w:smallCaps w:val="0"/>
          <w:kern w:val="2"/>
          <w:sz w:val="21"/>
          <w:szCs w:val="24"/>
          <w:highlight w:val="none"/>
          <w:lang w:val="en-US" w:eastAsia="zh-CN" w:bidi="ar-SA"/>
        </w:rPr>
        <w:t>-</w:t>
      </w:r>
      <w:r>
        <w:rPr>
          <w:rFonts w:hint="eastAsia" w:ascii="Times New Roman" w:hAnsi="Times New Roman" w:eastAsia="黑体" w:cs="Times New Roman"/>
          <w:bCs/>
          <w:smallCaps w:val="0"/>
          <w:kern w:val="2"/>
          <w:sz w:val="21"/>
          <w:szCs w:val="24"/>
          <w:highlight w:val="none"/>
          <w:lang w:val="en-US" w:eastAsia="zh-CN" w:bidi="ar-SA"/>
        </w:rPr>
        <w:t>11</w:t>
      </w:r>
      <w:r>
        <w:rPr>
          <w:rFonts w:hint="default" w:ascii="Times New Roman" w:hAnsi="Times New Roman" w:eastAsia="黑体" w:cs="Times New Roman"/>
          <w:bCs/>
          <w:smallCaps w:val="0"/>
          <w:kern w:val="2"/>
          <w:sz w:val="21"/>
          <w:szCs w:val="24"/>
          <w:highlight w:val="none"/>
          <w:lang w:val="en-US" w:eastAsia="zh-CN" w:bidi="ar-SA"/>
        </w:rPr>
        <w:t xml:space="preserve">  集约化畜禽养殖业干清粪工艺最高允许排水量</w:t>
      </w:r>
    </w:p>
    <w:tbl>
      <w:tblPr>
        <w:tblStyle w:val="48"/>
        <w:tblW w:w="865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467"/>
        <w:gridCol w:w="3096"/>
        <w:gridCol w:w="3096"/>
      </w:tblGrid>
      <w:tr w14:paraId="0F6B7B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467" w:type="dxa"/>
            <w:noWrap w:val="0"/>
            <w:vAlign w:val="top"/>
          </w:tcPr>
          <w:p w14:paraId="1E0F4D01">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种类</w:t>
            </w:r>
          </w:p>
        </w:tc>
        <w:tc>
          <w:tcPr>
            <w:tcW w:w="6192" w:type="dxa"/>
            <w:gridSpan w:val="2"/>
            <w:noWrap w:val="0"/>
            <w:vAlign w:val="top"/>
          </w:tcPr>
          <w:p w14:paraId="5E20006B">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猪  [</w:t>
            </w:r>
            <w:r>
              <w:rPr>
                <w:rFonts w:hint="default" w:ascii="Times New Roman" w:hAnsi="Times New Roman" w:eastAsia="宋体" w:cs="Times New Roman"/>
                <w:b/>
                <w:color w:val="auto"/>
                <w:sz w:val="21"/>
                <w:szCs w:val="21"/>
                <w:highlight w:val="none"/>
                <w:lang w:eastAsia="zh-CN"/>
              </w:rPr>
              <w:t>m</w:t>
            </w:r>
            <w:r>
              <w:rPr>
                <w:rFonts w:hint="default" w:ascii="Times New Roman" w:hAnsi="Times New Roman" w:eastAsia="宋体" w:cs="Times New Roman"/>
                <w:b/>
                <w:color w:val="auto"/>
                <w:sz w:val="21"/>
                <w:szCs w:val="21"/>
                <w:highlight w:val="none"/>
                <w:vertAlign w:val="superscript"/>
                <w:lang w:eastAsia="zh-CN"/>
              </w:rPr>
              <w:t>3</w:t>
            </w:r>
            <w:r>
              <w:rPr>
                <w:rFonts w:hint="default" w:ascii="Times New Roman" w:hAnsi="Times New Roman" w:eastAsia="宋体" w:cs="Times New Roman"/>
                <w:b/>
                <w:color w:val="auto"/>
                <w:sz w:val="21"/>
                <w:szCs w:val="21"/>
                <w:highlight w:val="none"/>
              </w:rPr>
              <w:t>/（百头▪d）]</w:t>
            </w:r>
          </w:p>
        </w:tc>
      </w:tr>
      <w:tr w14:paraId="749CB4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467" w:type="dxa"/>
            <w:noWrap w:val="0"/>
            <w:vAlign w:val="top"/>
          </w:tcPr>
          <w:p w14:paraId="0FB411A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季节</w:t>
            </w:r>
          </w:p>
        </w:tc>
        <w:tc>
          <w:tcPr>
            <w:tcW w:w="3096" w:type="dxa"/>
            <w:noWrap w:val="0"/>
            <w:vAlign w:val="top"/>
          </w:tcPr>
          <w:p w14:paraId="281ECC7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冬季</w:t>
            </w:r>
          </w:p>
        </w:tc>
        <w:tc>
          <w:tcPr>
            <w:tcW w:w="3096" w:type="dxa"/>
            <w:noWrap w:val="0"/>
            <w:vAlign w:val="top"/>
          </w:tcPr>
          <w:p w14:paraId="373C004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夏季</w:t>
            </w:r>
          </w:p>
        </w:tc>
      </w:tr>
      <w:tr w14:paraId="72085A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467" w:type="dxa"/>
            <w:noWrap w:val="0"/>
            <w:vAlign w:val="top"/>
          </w:tcPr>
          <w:p w14:paraId="5CA3A0C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w:t>
            </w:r>
          </w:p>
        </w:tc>
        <w:tc>
          <w:tcPr>
            <w:tcW w:w="3096" w:type="dxa"/>
            <w:noWrap w:val="0"/>
            <w:vAlign w:val="top"/>
          </w:tcPr>
          <w:p w14:paraId="560AF31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3096" w:type="dxa"/>
            <w:noWrap w:val="0"/>
            <w:vAlign w:val="top"/>
          </w:tcPr>
          <w:p w14:paraId="3DB56CD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r>
    </w:tbl>
    <w:p w14:paraId="18AFA550">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zh-CN" w:eastAsia="zh-CN" w:bidi="ar-SA"/>
        </w:rPr>
      </w:pPr>
      <w:r>
        <w:rPr>
          <w:rFonts w:hint="default" w:ascii="Times New Roman" w:hAnsi="Times New Roman" w:eastAsia="宋体" w:cs="Times New Roman"/>
          <w:color w:val="auto"/>
          <w:kern w:val="0"/>
          <w:sz w:val="24"/>
          <w:szCs w:val="24"/>
          <w:highlight w:val="none"/>
          <w:lang w:val="zh-CN" w:eastAsia="zh-CN" w:bidi="ar-SA"/>
        </w:rPr>
        <w:t>一般固废执行《一般工业固体废物贮存和填埋污染控制标准》（GB 18599-2020）。</w:t>
      </w:r>
    </w:p>
    <w:p w14:paraId="6983AF9D">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zh-CN" w:eastAsia="zh-CN" w:bidi="ar-SA"/>
        </w:rPr>
      </w:pPr>
      <w:r>
        <w:rPr>
          <w:rFonts w:hint="eastAsia" w:ascii="Times New Roman" w:hAnsi="Times New Roman" w:eastAsia="宋体" w:cs="Times New Roman"/>
          <w:color w:val="auto"/>
          <w:kern w:val="0"/>
          <w:sz w:val="24"/>
          <w:szCs w:val="24"/>
          <w:highlight w:val="none"/>
          <w:lang w:val="zh-CN" w:eastAsia="zh-CN" w:bidi="ar-SA"/>
        </w:rPr>
        <w:t>动物医疗废物</w:t>
      </w:r>
      <w:r>
        <w:rPr>
          <w:rFonts w:hint="default" w:ascii="Times New Roman" w:hAnsi="Times New Roman" w:eastAsia="宋体" w:cs="Times New Roman"/>
          <w:color w:val="auto"/>
          <w:kern w:val="0"/>
          <w:sz w:val="24"/>
          <w:szCs w:val="24"/>
          <w:highlight w:val="none"/>
          <w:lang w:val="zh-CN" w:eastAsia="zh-CN" w:bidi="ar-SA"/>
        </w:rPr>
        <w:t>贮存参考执行《危险废物污染贮存控制标准》（GB18597-2023）要求。</w:t>
      </w:r>
    </w:p>
    <w:p w14:paraId="063AE8B4">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zh-CN" w:eastAsia="zh-CN" w:bidi="ar-SA"/>
        </w:rPr>
      </w:pPr>
      <w:r>
        <w:rPr>
          <w:rFonts w:hint="default" w:ascii="Times New Roman" w:hAnsi="Times New Roman" w:eastAsia="宋体" w:cs="Times New Roman"/>
          <w:color w:val="auto"/>
          <w:kern w:val="0"/>
          <w:sz w:val="24"/>
          <w:szCs w:val="24"/>
          <w:highlight w:val="none"/>
          <w:lang w:val="zh-CN" w:eastAsia="zh-CN" w:bidi="ar-SA"/>
        </w:rPr>
        <w:t>病死猪委托有资质单位进行处理，病死猪尸体的处理与处置要严格按照《畜禽养殖业污染防治技术规范》（HJ/T81-2001）、《病死及病害动物无害化处理技术规范》（农医发[2017]25号）及《国务院办公厅关于加快推进畜禽养殖废弃物资源化利用的意见》（国办发[2017]48号）等中相关规定执行。</w:t>
      </w:r>
    </w:p>
    <w:p w14:paraId="2E980E52">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zh-CN" w:eastAsia="zh-CN" w:bidi="ar-SA"/>
        </w:rPr>
        <w:t>畜禽粪污还田利用应符合《畜禽粪便无害化处理技术规范》（GB/T36195-2018）、《畜禽粪便还田技术规范》（</w:t>
      </w:r>
      <w:r>
        <w:rPr>
          <w:rFonts w:hint="eastAsia" w:ascii="Times New Roman" w:hAnsi="Times New Roman" w:eastAsia="宋体" w:cs="Times New Roman"/>
          <w:color w:val="auto"/>
          <w:kern w:val="0"/>
          <w:sz w:val="24"/>
          <w:szCs w:val="24"/>
          <w:highlight w:val="none"/>
          <w:lang w:val="zh-CN" w:eastAsia="zh-CN" w:bidi="ar-SA"/>
        </w:rPr>
        <w:t>GB/T25246-2025</w:t>
      </w:r>
      <w:r>
        <w:rPr>
          <w:rFonts w:hint="default" w:ascii="Times New Roman" w:hAnsi="Times New Roman" w:eastAsia="宋体" w:cs="Times New Roman"/>
          <w:color w:val="auto"/>
          <w:kern w:val="0"/>
          <w:sz w:val="24"/>
          <w:szCs w:val="24"/>
          <w:highlight w:val="none"/>
          <w:lang w:val="zh-CN" w:eastAsia="zh-CN" w:bidi="ar-SA"/>
        </w:rPr>
        <w:t>）相关质量要求。</w:t>
      </w:r>
    </w:p>
    <w:p w14:paraId="5192C6AC">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zh-CN" w:eastAsia="zh-CN" w:bidi="ar-SA"/>
        </w:rPr>
      </w:pPr>
      <w:r>
        <w:rPr>
          <w:rFonts w:hint="default" w:ascii="Times New Roman" w:hAnsi="Times New Roman" w:eastAsia="宋体" w:cs="Times New Roman"/>
          <w:color w:val="auto"/>
          <w:kern w:val="0"/>
          <w:sz w:val="24"/>
          <w:szCs w:val="24"/>
          <w:highlight w:val="none"/>
          <w:lang w:val="zh-CN" w:eastAsia="zh-CN" w:bidi="ar-SA"/>
        </w:rPr>
        <w:t>固体畜禽粪便利用应符合《畜禽粪便无害化处理技术规范》（GB/T36195-2018）中表1固体畜禽粪便堆肥处理的卫生学要求，液体畜禽粪便利用应符合《畜禽粪便无害化处理技术规范》（GB/T36195-2018）中表2液体畜禽粪便厌氧处理卫生学要求。</w:t>
      </w:r>
    </w:p>
    <w:p w14:paraId="2C9C4CA8">
      <w:pPr>
        <w:pStyle w:val="8"/>
        <w:bidi w:val="0"/>
        <w:rPr>
          <w:rFonts w:hint="default"/>
          <w:highlight w:val="none"/>
        </w:rPr>
      </w:pPr>
      <w:r>
        <w:rPr>
          <w:rFonts w:hint="default"/>
          <w:highlight w:val="none"/>
        </w:rPr>
        <w:t>2.3.2.3噪声</w:t>
      </w:r>
      <w:bookmarkEnd w:id="246"/>
      <w:bookmarkEnd w:id="247"/>
    </w:p>
    <w:p w14:paraId="49311B8E">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（1）施工期</w:t>
      </w:r>
    </w:p>
    <w:p w14:paraId="22D834E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本项目施工期施工场界噪声排放标准执行《</w:t>
      </w:r>
      <w:r>
        <w:rPr>
          <w:rFonts w:hint="eastAsia" w:ascii="Times New Roman" w:hAnsi="Times New Roman" w:cs="Times New Roman"/>
          <w:color w:val="auto"/>
          <w:sz w:val="24"/>
          <w:highlight w:val="none"/>
          <w:lang w:eastAsia="zh-CN"/>
        </w:rPr>
        <w:t>建筑施工噪声排放标准</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eastAsia="zh-CN"/>
        </w:rPr>
        <w:t>GB12523-2025</w:t>
      </w:r>
      <w:r>
        <w:rPr>
          <w:rFonts w:hint="default" w:ascii="Times New Roman" w:hAnsi="Times New Roman" w:eastAsia="宋体" w:cs="Times New Roman"/>
          <w:color w:val="auto"/>
          <w:sz w:val="24"/>
          <w:highlight w:val="none"/>
        </w:rPr>
        <w:t>）表1标准限值的要求，具体标准值见表2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w:t>
      </w:r>
      <w:r>
        <w:rPr>
          <w:rFonts w:hint="eastAsia" w:ascii="Times New Roman" w:hAnsi="Times New Roman" w:cs="Times New Roman"/>
          <w:color w:val="auto"/>
          <w:sz w:val="24"/>
          <w:highlight w:val="none"/>
          <w:lang w:val="en-US" w:eastAsia="zh-CN"/>
        </w:rPr>
        <w:t>12</w:t>
      </w:r>
      <w:r>
        <w:rPr>
          <w:rFonts w:hint="default" w:ascii="Times New Roman" w:hAnsi="Times New Roman" w:eastAsia="宋体" w:cs="Times New Roman"/>
          <w:color w:val="auto"/>
          <w:sz w:val="24"/>
          <w:highlight w:val="none"/>
        </w:rPr>
        <w:t>。</w:t>
      </w:r>
    </w:p>
    <w:p w14:paraId="6F42746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w:t>
      </w:r>
      <w:r>
        <w:rPr>
          <w:rFonts w:hint="eastAsia" w:ascii="Times New Roman" w:hAnsi="Times New Roman" w:eastAsia="黑体" w:cs="Times New Roman"/>
          <w:bCs/>
          <w:smallCaps w:val="0"/>
          <w:kern w:val="2"/>
          <w:sz w:val="21"/>
          <w:szCs w:val="24"/>
          <w:highlight w:val="none"/>
          <w:lang w:val="en-US" w:eastAsia="zh-CN" w:bidi="ar-SA"/>
        </w:rPr>
        <w:t>12</w:t>
      </w:r>
      <w:r>
        <w:rPr>
          <w:rFonts w:hint="default" w:ascii="Times New Roman" w:hAnsi="Times New Roman" w:eastAsia="黑体" w:cs="Times New Roman"/>
          <w:bCs/>
          <w:smallCaps w:val="0"/>
          <w:kern w:val="2"/>
          <w:sz w:val="21"/>
          <w:szCs w:val="24"/>
          <w:highlight w:val="none"/>
          <w:lang w:val="en-US" w:eastAsia="zh-CN" w:bidi="ar-SA"/>
        </w:rPr>
        <w:t xml:space="preserve">  </w:t>
      </w:r>
      <w:r>
        <w:rPr>
          <w:rFonts w:hint="eastAsia" w:ascii="Times New Roman" w:hAnsi="Times New Roman" w:eastAsia="黑体" w:cs="Times New Roman"/>
          <w:bCs/>
          <w:smallCaps w:val="0"/>
          <w:kern w:val="2"/>
          <w:sz w:val="21"/>
          <w:szCs w:val="24"/>
          <w:highlight w:val="none"/>
          <w:lang w:val="en-US" w:eastAsia="zh-CN" w:bidi="ar-SA"/>
        </w:rPr>
        <w:t>建筑施工噪声排放标准</w:t>
      </w:r>
      <w:r>
        <w:rPr>
          <w:rFonts w:hint="default" w:ascii="Times New Roman" w:hAnsi="Times New Roman" w:eastAsia="黑体" w:cs="Times New Roman"/>
          <w:bCs/>
          <w:smallCaps w:val="0"/>
          <w:kern w:val="2"/>
          <w:sz w:val="21"/>
          <w:szCs w:val="24"/>
          <w:highlight w:val="none"/>
          <w:lang w:val="en-US" w:eastAsia="zh-CN" w:bidi="ar-SA"/>
        </w:rPr>
        <w:t>一览表     单位：dB(A)</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543F86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261" w:type="dxa"/>
            <w:tcBorders>
              <w:tl2br w:val="nil"/>
              <w:tr2bl w:val="nil"/>
            </w:tcBorders>
            <w:vAlign w:val="center"/>
          </w:tcPr>
          <w:p w14:paraId="6F812C35">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昼间</w:t>
            </w:r>
          </w:p>
        </w:tc>
        <w:tc>
          <w:tcPr>
            <w:tcW w:w="4261" w:type="dxa"/>
            <w:tcBorders>
              <w:tl2br w:val="nil"/>
              <w:tr2bl w:val="nil"/>
            </w:tcBorders>
            <w:vAlign w:val="center"/>
          </w:tcPr>
          <w:p w14:paraId="44A3FDC1">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夜间</w:t>
            </w:r>
          </w:p>
        </w:tc>
      </w:tr>
      <w:tr w14:paraId="73FD8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61" w:type="dxa"/>
            <w:tcBorders>
              <w:tl2br w:val="nil"/>
              <w:tr2bl w:val="nil"/>
            </w:tcBorders>
            <w:vAlign w:val="center"/>
          </w:tcPr>
          <w:p w14:paraId="5DCA342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4261" w:type="dxa"/>
            <w:tcBorders>
              <w:tl2br w:val="nil"/>
              <w:tr2bl w:val="nil"/>
            </w:tcBorders>
            <w:vAlign w:val="center"/>
          </w:tcPr>
          <w:p w14:paraId="71C69D4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r>
    </w:tbl>
    <w:p w14:paraId="3A7E1055">
      <w:pPr>
        <w:spacing w:line="360" w:lineRule="auto"/>
        <w:ind w:firstLine="480" w:firstLineChars="200"/>
        <w:jc w:val="left"/>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（2）运营期</w:t>
      </w:r>
    </w:p>
    <w:p w14:paraId="5437BDDE">
      <w:pPr>
        <w:spacing w:line="360" w:lineRule="auto"/>
        <w:ind w:firstLine="480" w:firstLineChars="200"/>
        <w:jc w:val="left"/>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w:t>运营期噪声执行《工业企业厂界环境噪声排放标准》（GB12348-2008）表1中</w:t>
      </w:r>
      <w:r>
        <w:rPr>
          <w:rFonts w:hint="eastAsia" w:ascii="Times New Roman" w:hAnsi="Times New Roman" w:cs="Times New Roman"/>
          <w:color w:val="auto"/>
          <w:sz w:val="24"/>
          <w:highlight w:val="none"/>
          <w:lang w:val="en-US" w:eastAsia="zh-CN"/>
        </w:rPr>
        <w:t>1类</w:t>
      </w:r>
      <w:r>
        <w:rPr>
          <w:rFonts w:hint="default" w:ascii="Times New Roman" w:hAnsi="Times New Roman" w:eastAsia="宋体" w:cs="Times New Roman"/>
          <w:color w:val="auto"/>
          <w:sz w:val="24"/>
          <w:highlight w:val="none"/>
        </w:rPr>
        <w:t>标准，具体标准值见表2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3-1</w:t>
      </w:r>
      <w:r>
        <w:rPr>
          <w:rFonts w:hint="eastAsia"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14:paraId="5D90B17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Cs/>
          <w:smallCaps w:val="0"/>
          <w:kern w:val="2"/>
          <w:sz w:val="21"/>
          <w:szCs w:val="24"/>
          <w:highlight w:val="none"/>
          <w:lang w:val="en-US" w:eastAsia="zh-CN" w:bidi="ar-SA"/>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w:t>
      </w:r>
      <w:r>
        <w:rPr>
          <w:rFonts w:hint="eastAsia" w:ascii="Times New Roman" w:hAnsi="Times New Roman" w:eastAsia="黑体" w:cs="Times New Roman"/>
          <w:bCs/>
          <w:smallCaps w:val="0"/>
          <w:kern w:val="2"/>
          <w:sz w:val="21"/>
          <w:szCs w:val="24"/>
          <w:highlight w:val="none"/>
          <w:lang w:val="en-US" w:eastAsia="zh-CN" w:bidi="ar-SA"/>
        </w:rPr>
        <w:t xml:space="preserve">13 </w:t>
      </w:r>
      <w:r>
        <w:rPr>
          <w:rFonts w:hint="default" w:ascii="Times New Roman" w:hAnsi="Times New Roman" w:eastAsia="黑体" w:cs="Times New Roman"/>
          <w:bCs/>
          <w:smallCaps w:val="0"/>
          <w:kern w:val="2"/>
          <w:sz w:val="21"/>
          <w:szCs w:val="24"/>
          <w:highlight w:val="none"/>
          <w:lang w:val="en-US" w:eastAsia="zh-CN" w:bidi="ar-SA"/>
        </w:rPr>
        <w:t xml:space="preserve"> 工业企业厂界环境噪声排放标准一览表     单位：dB(A)</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42"/>
        <w:gridCol w:w="2841"/>
        <w:gridCol w:w="2840"/>
      </w:tblGrid>
      <w:tr w14:paraId="26B33D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3081" w:type="dxa"/>
            <w:vMerge w:val="restart"/>
            <w:tcBorders>
              <w:tl2br w:val="nil"/>
              <w:tr2bl w:val="nil"/>
            </w:tcBorders>
            <w:vAlign w:val="center"/>
          </w:tcPr>
          <w:p w14:paraId="7309C64E">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标准类别</w:t>
            </w:r>
          </w:p>
        </w:tc>
        <w:tc>
          <w:tcPr>
            <w:tcW w:w="6161" w:type="dxa"/>
            <w:gridSpan w:val="2"/>
            <w:tcBorders>
              <w:tl2br w:val="nil"/>
              <w:tr2bl w:val="nil"/>
            </w:tcBorders>
            <w:vAlign w:val="center"/>
          </w:tcPr>
          <w:p w14:paraId="69D63F3A">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噪声限值</w:t>
            </w:r>
          </w:p>
        </w:tc>
      </w:tr>
      <w:tr w14:paraId="13B3FF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3081" w:type="dxa"/>
            <w:vMerge w:val="continue"/>
            <w:tcBorders>
              <w:tl2br w:val="nil"/>
              <w:tr2bl w:val="nil"/>
            </w:tcBorders>
            <w:vAlign w:val="center"/>
          </w:tcPr>
          <w:p w14:paraId="7847C5CC">
            <w:pPr>
              <w:jc w:val="center"/>
              <w:rPr>
                <w:rFonts w:hint="default" w:ascii="Times New Roman" w:hAnsi="Times New Roman" w:eastAsia="宋体" w:cs="Times New Roman"/>
                <w:color w:val="auto"/>
                <w:sz w:val="21"/>
                <w:szCs w:val="21"/>
                <w:highlight w:val="none"/>
              </w:rPr>
            </w:pPr>
          </w:p>
        </w:tc>
        <w:tc>
          <w:tcPr>
            <w:tcW w:w="3081" w:type="dxa"/>
            <w:tcBorders>
              <w:tl2br w:val="nil"/>
              <w:tr2bl w:val="nil"/>
            </w:tcBorders>
            <w:vAlign w:val="center"/>
          </w:tcPr>
          <w:p w14:paraId="713EF20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昼间</w:t>
            </w:r>
          </w:p>
        </w:tc>
        <w:tc>
          <w:tcPr>
            <w:tcW w:w="3080" w:type="dxa"/>
            <w:tcBorders>
              <w:tl2br w:val="nil"/>
              <w:tr2bl w:val="nil"/>
            </w:tcBorders>
            <w:vAlign w:val="center"/>
          </w:tcPr>
          <w:p w14:paraId="6192383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夜间</w:t>
            </w:r>
          </w:p>
        </w:tc>
      </w:tr>
      <w:tr w14:paraId="06D1D0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81" w:type="dxa"/>
            <w:tcBorders>
              <w:tl2br w:val="nil"/>
              <w:tr2bl w:val="nil"/>
            </w:tcBorders>
            <w:vAlign w:val="center"/>
          </w:tcPr>
          <w:p w14:paraId="052EFC8F">
            <w:pPr>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1类</w:t>
            </w:r>
          </w:p>
        </w:tc>
        <w:tc>
          <w:tcPr>
            <w:tcW w:w="3081" w:type="dxa"/>
            <w:tcBorders>
              <w:tl2br w:val="nil"/>
              <w:tr2bl w:val="nil"/>
            </w:tcBorders>
            <w:vAlign w:val="center"/>
          </w:tcPr>
          <w:p w14:paraId="4BD5C175">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55</w:t>
            </w:r>
          </w:p>
        </w:tc>
        <w:tc>
          <w:tcPr>
            <w:tcW w:w="3080" w:type="dxa"/>
            <w:tcBorders>
              <w:tl2br w:val="nil"/>
              <w:tr2bl w:val="nil"/>
            </w:tcBorders>
            <w:vAlign w:val="center"/>
          </w:tcPr>
          <w:p w14:paraId="47C2227C">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45</w:t>
            </w:r>
          </w:p>
        </w:tc>
      </w:tr>
    </w:tbl>
    <w:p w14:paraId="29576BCD">
      <w:pPr>
        <w:spacing w:line="360" w:lineRule="auto"/>
        <w:outlineLvl w:val="3"/>
        <w:rPr>
          <w:rFonts w:hint="default" w:ascii="Times New Roman" w:hAnsi="Times New Roman" w:eastAsia="宋体" w:cs="Times New Roman"/>
          <w:b/>
          <w:bCs/>
          <w:color w:val="auto"/>
          <w:sz w:val="24"/>
          <w:highlight w:val="none"/>
        </w:rPr>
      </w:pPr>
      <w:bookmarkStart w:id="248" w:name="_Toc18496"/>
      <w:bookmarkStart w:id="249" w:name="_Toc18567"/>
      <w:r>
        <w:rPr>
          <w:rFonts w:hint="default" w:ascii="Times New Roman" w:hAnsi="Times New Roman" w:eastAsia="宋体" w:cs="Times New Roman"/>
          <w:b/>
          <w:bCs/>
          <w:color w:val="auto"/>
          <w:sz w:val="24"/>
          <w:highlight w:val="none"/>
        </w:rPr>
        <w:t>2.3.2.4固体废物</w:t>
      </w:r>
      <w:bookmarkEnd w:id="248"/>
      <w:bookmarkEnd w:id="249"/>
    </w:p>
    <w:p w14:paraId="77F4044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snapToGrid w:val="0"/>
          <w:color w:val="auto"/>
          <w:highlight w:val="none"/>
        </w:rPr>
        <w:t>①一般工业固体废物贮存、处置执行</w:t>
      </w:r>
      <w:r>
        <w:rPr>
          <w:rFonts w:hint="default" w:ascii="Times New Roman" w:hAnsi="Times New Roman" w:cs="Times New Roman"/>
          <w:color w:val="auto"/>
          <w:highlight w:val="none"/>
        </w:rPr>
        <w:t>《中华人民共和国固体废物污染环境防治法》（2020年9月1日）、</w:t>
      </w:r>
      <w:bookmarkStart w:id="250" w:name="_Hlk133411942"/>
      <w:r>
        <w:rPr>
          <w:rFonts w:hint="default" w:ascii="Times New Roman" w:hAnsi="Times New Roman" w:cs="Times New Roman"/>
          <w:snapToGrid w:val="0"/>
          <w:color w:val="auto"/>
          <w:highlight w:val="none"/>
        </w:rPr>
        <w:t>《畜禽养殖业污染物排放标准》（GB18596-2001）</w:t>
      </w:r>
      <w:bookmarkEnd w:id="250"/>
      <w:r>
        <w:rPr>
          <w:rFonts w:hint="default" w:ascii="Times New Roman" w:hAnsi="Times New Roman" w:cs="Times New Roman"/>
          <w:snapToGrid w:val="0"/>
          <w:color w:val="auto"/>
          <w:highlight w:val="none"/>
        </w:rPr>
        <w:t>、《畜禽粪便无害化处理技术规范》（GB/T36195-2018）、《畜禽粪便还田技术规范》（</w:t>
      </w:r>
      <w:r>
        <w:rPr>
          <w:rFonts w:hint="eastAsia" w:ascii="Times New Roman" w:hAnsi="Times New Roman" w:cs="Times New Roman"/>
          <w:snapToGrid w:val="0"/>
          <w:color w:val="auto"/>
          <w:highlight w:val="none"/>
          <w:lang w:eastAsia="zh-CN"/>
        </w:rPr>
        <w:t>GB/T25246-2025</w:t>
      </w:r>
      <w:r>
        <w:rPr>
          <w:rFonts w:hint="default" w:ascii="Times New Roman" w:hAnsi="Times New Roman" w:cs="Times New Roman"/>
          <w:snapToGrid w:val="0"/>
          <w:color w:val="auto"/>
          <w:highlight w:val="none"/>
        </w:rPr>
        <w:t>）</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《畜禽粪便贮存设施设计要求》（GB/T27622-2011）、《一般工业固体废物贮存和填埋污染控制标准》（GB18599-2020）中相关规定。</w:t>
      </w:r>
    </w:p>
    <w:p w14:paraId="3B1FA1B1">
      <w:pPr>
        <w:widowControl w:val="0"/>
        <w:wordWrap w:val="0"/>
        <w:overflowPunct/>
        <w:topLinePunct/>
        <w:adjustRightInd/>
        <w:snapToGrid/>
        <w:spacing w:line="360" w:lineRule="auto"/>
        <w:ind w:firstLine="480"/>
        <w:jc w:val="left"/>
        <w:textAlignment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本项目沼液作为液体肥料满足《畜禽粪便还田技术规范》（GB/T25246-2010）表2沼气肥的卫生学要求。</w:t>
      </w:r>
    </w:p>
    <w:p w14:paraId="1D720DF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Cs/>
          <w:smallCaps w:val="0"/>
          <w:kern w:val="2"/>
          <w:sz w:val="21"/>
          <w:szCs w:val="24"/>
          <w:highlight w:val="none"/>
          <w:lang w:val="en-US" w:eastAsia="zh-CN" w:bidi="ar-SA"/>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3</w:t>
      </w:r>
      <w:r>
        <w:rPr>
          <w:rFonts w:hint="default" w:ascii="Times New Roman" w:hAnsi="Times New Roman" w:eastAsia="黑体" w:cs="Times New Roman"/>
          <w:bCs/>
          <w:smallCaps w:val="0"/>
          <w:kern w:val="2"/>
          <w:sz w:val="21"/>
          <w:szCs w:val="24"/>
          <w:highlight w:val="none"/>
          <w:lang w:val="en-US" w:eastAsia="zh-CN" w:bidi="ar-SA"/>
        </w:rPr>
        <w:t>-</w:t>
      </w:r>
      <w:r>
        <w:rPr>
          <w:rFonts w:hint="eastAsia" w:ascii="Times New Roman" w:hAnsi="Times New Roman" w:eastAsia="黑体" w:cs="Times New Roman"/>
          <w:bCs/>
          <w:smallCaps w:val="0"/>
          <w:kern w:val="2"/>
          <w:sz w:val="21"/>
          <w:szCs w:val="24"/>
          <w:highlight w:val="none"/>
          <w:lang w:val="en-US" w:eastAsia="zh-CN" w:bidi="ar-SA"/>
        </w:rPr>
        <w:t>14</w:t>
      </w:r>
      <w:r>
        <w:rPr>
          <w:rFonts w:hint="default" w:ascii="Times New Roman" w:hAnsi="Times New Roman" w:eastAsia="黑体" w:cs="Times New Roman"/>
          <w:bCs/>
          <w:smallCaps w:val="0"/>
          <w:kern w:val="2"/>
          <w:sz w:val="21"/>
          <w:szCs w:val="24"/>
          <w:highlight w:val="none"/>
          <w:lang w:val="en-US" w:eastAsia="zh-CN" w:bidi="ar-SA"/>
        </w:rPr>
        <w:t>《畜禽粪便还田技术规范》（GB/T25246-2010）表2</w:t>
      </w:r>
    </w:p>
    <w:tbl>
      <w:tblPr>
        <w:tblStyle w:val="4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128"/>
        <w:gridCol w:w="6394"/>
      </w:tblGrid>
      <w:tr w14:paraId="6C4808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28" w:type="dxa"/>
            <w:noWrap w:val="0"/>
            <w:vAlign w:val="center"/>
          </w:tcPr>
          <w:p w14:paraId="0BB93F00">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项目</w:t>
            </w:r>
          </w:p>
        </w:tc>
        <w:tc>
          <w:tcPr>
            <w:tcW w:w="6394" w:type="dxa"/>
            <w:noWrap w:val="0"/>
            <w:vAlign w:val="center"/>
          </w:tcPr>
          <w:p w14:paraId="3E0BEB41">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指标</w:t>
            </w:r>
          </w:p>
        </w:tc>
      </w:tr>
      <w:tr w14:paraId="19F3FA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28" w:type="dxa"/>
            <w:noWrap w:val="0"/>
            <w:vAlign w:val="center"/>
          </w:tcPr>
          <w:p w14:paraId="4194A871">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蛔虫卵沉降率</w:t>
            </w:r>
          </w:p>
        </w:tc>
        <w:tc>
          <w:tcPr>
            <w:tcW w:w="6394" w:type="dxa"/>
            <w:noWrap w:val="0"/>
            <w:vAlign w:val="center"/>
          </w:tcPr>
          <w:p w14:paraId="085F837B">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95% 以上</w:t>
            </w:r>
          </w:p>
        </w:tc>
      </w:tr>
      <w:tr w14:paraId="78969E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28" w:type="dxa"/>
            <w:noWrap w:val="0"/>
            <w:vAlign w:val="center"/>
          </w:tcPr>
          <w:p w14:paraId="0F9A8DF3">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血吸虫卵和钩虫卵</w:t>
            </w:r>
          </w:p>
        </w:tc>
        <w:tc>
          <w:tcPr>
            <w:tcW w:w="6394" w:type="dxa"/>
            <w:noWrap w:val="0"/>
            <w:vAlign w:val="center"/>
          </w:tcPr>
          <w:p w14:paraId="51A63854">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在使用沼液中不应有活的血吸虫卵和钩虫卵</w:t>
            </w:r>
          </w:p>
        </w:tc>
      </w:tr>
      <w:tr w14:paraId="3CF692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28" w:type="dxa"/>
            <w:noWrap w:val="0"/>
            <w:vAlign w:val="center"/>
          </w:tcPr>
          <w:p w14:paraId="3CD616E0">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粪大肠菌群值</w:t>
            </w:r>
          </w:p>
        </w:tc>
        <w:tc>
          <w:tcPr>
            <w:tcW w:w="6394" w:type="dxa"/>
            <w:noWrap w:val="0"/>
            <w:vAlign w:val="center"/>
          </w:tcPr>
          <w:p w14:paraId="5C2E3F76">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10</w:t>
            </w:r>
            <w:r>
              <w:rPr>
                <w:rFonts w:hint="default" w:ascii="Times New Roman" w:hAnsi="Times New Roman" w:eastAsia="宋体" w:cs="Times New Roman"/>
                <w:snapToGrid w:val="0"/>
                <w:color w:val="auto"/>
                <w:kern w:val="2"/>
                <w:sz w:val="21"/>
                <w:szCs w:val="24"/>
                <w:highlight w:val="none"/>
                <w:vertAlign w:val="superscript"/>
                <w:lang w:val="en-US" w:eastAsia="zh-CN" w:bidi="ar-SA"/>
              </w:rPr>
              <w:t>-1</w:t>
            </w:r>
            <w:r>
              <w:rPr>
                <w:rFonts w:hint="default" w:ascii="Times New Roman" w:hAnsi="Times New Roman" w:eastAsia="宋体" w:cs="Times New Roman"/>
                <w:snapToGrid w:val="0"/>
                <w:color w:val="auto"/>
                <w:kern w:val="2"/>
                <w:sz w:val="21"/>
                <w:szCs w:val="24"/>
                <w:highlight w:val="none"/>
                <w:lang w:val="en-US" w:eastAsia="zh-CN" w:bidi="ar-SA"/>
              </w:rPr>
              <w:t>~10</w:t>
            </w:r>
            <w:r>
              <w:rPr>
                <w:rFonts w:hint="default" w:ascii="Times New Roman" w:hAnsi="Times New Roman" w:eastAsia="宋体" w:cs="Times New Roman"/>
                <w:snapToGrid w:val="0"/>
                <w:color w:val="auto"/>
                <w:kern w:val="2"/>
                <w:sz w:val="21"/>
                <w:szCs w:val="24"/>
                <w:highlight w:val="none"/>
                <w:vertAlign w:val="superscript"/>
                <w:lang w:val="en-US" w:eastAsia="zh-CN" w:bidi="ar-SA"/>
              </w:rPr>
              <w:t>-2</w:t>
            </w:r>
          </w:p>
        </w:tc>
      </w:tr>
      <w:tr w14:paraId="1ACA36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28" w:type="dxa"/>
            <w:noWrap w:val="0"/>
            <w:vAlign w:val="center"/>
          </w:tcPr>
          <w:p w14:paraId="4B1CFA22">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蚊子、苍蝇</w:t>
            </w:r>
          </w:p>
        </w:tc>
        <w:tc>
          <w:tcPr>
            <w:tcW w:w="6394" w:type="dxa"/>
            <w:noWrap w:val="0"/>
            <w:vAlign w:val="center"/>
          </w:tcPr>
          <w:p w14:paraId="18533035">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有效地控制蚊蝇孽生，沼液中无孑孓，池的周边无活蛆、蛹或新羽化的成蝇</w:t>
            </w:r>
          </w:p>
        </w:tc>
      </w:tr>
      <w:tr w14:paraId="3DA188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28" w:type="dxa"/>
            <w:noWrap w:val="0"/>
            <w:vAlign w:val="center"/>
          </w:tcPr>
          <w:p w14:paraId="04BEFB36">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沼气池粪渣</w:t>
            </w:r>
          </w:p>
        </w:tc>
        <w:tc>
          <w:tcPr>
            <w:tcW w:w="6394" w:type="dxa"/>
            <w:noWrap w:val="0"/>
            <w:vAlign w:val="center"/>
          </w:tcPr>
          <w:p w14:paraId="690CDA24">
            <w:pPr>
              <w:widowControl w:val="0"/>
              <w:wordWrap w:val="0"/>
              <w:overflowPunct/>
              <w:topLinePunct/>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snapToGrid w:val="0"/>
                <w:color w:val="auto"/>
                <w:kern w:val="2"/>
                <w:sz w:val="21"/>
                <w:szCs w:val="24"/>
                <w:highlight w:val="none"/>
                <w:lang w:val="en-US" w:eastAsia="zh-CN" w:bidi="ar-SA"/>
              </w:rPr>
              <w:t>达到蛔虫卵死亡率95%～100%、粪大肠杆菌群值≤10</w:t>
            </w:r>
            <w:r>
              <w:rPr>
                <w:rFonts w:hint="default" w:ascii="Times New Roman" w:hAnsi="Times New Roman" w:eastAsia="宋体" w:cs="Times New Roman"/>
                <w:snapToGrid w:val="0"/>
                <w:color w:val="auto"/>
                <w:kern w:val="2"/>
                <w:sz w:val="21"/>
                <w:szCs w:val="24"/>
                <w:highlight w:val="none"/>
                <w:vertAlign w:val="superscript"/>
                <w:lang w:val="en-US" w:eastAsia="zh-CN" w:bidi="ar-SA"/>
              </w:rPr>
              <w:t>-1</w:t>
            </w:r>
            <w:r>
              <w:rPr>
                <w:rFonts w:hint="default" w:ascii="Times New Roman" w:hAnsi="Times New Roman" w:eastAsia="宋体" w:cs="Times New Roman"/>
                <w:snapToGrid w:val="0"/>
                <w:color w:val="auto"/>
                <w:kern w:val="2"/>
                <w:sz w:val="21"/>
                <w:szCs w:val="24"/>
                <w:highlight w:val="none"/>
                <w:lang w:val="en-US" w:eastAsia="zh-CN" w:bidi="ar-SA"/>
              </w:rPr>
              <w:t>~10</w:t>
            </w:r>
            <w:r>
              <w:rPr>
                <w:rFonts w:hint="default" w:ascii="Times New Roman" w:hAnsi="Times New Roman" w:eastAsia="宋体" w:cs="Times New Roman"/>
                <w:snapToGrid w:val="0"/>
                <w:color w:val="auto"/>
                <w:kern w:val="2"/>
                <w:sz w:val="21"/>
                <w:szCs w:val="24"/>
                <w:highlight w:val="none"/>
                <w:vertAlign w:val="superscript"/>
                <w:lang w:val="en-US" w:eastAsia="zh-CN" w:bidi="ar-SA"/>
              </w:rPr>
              <w:t>-2</w:t>
            </w:r>
            <w:r>
              <w:rPr>
                <w:rFonts w:hint="default" w:ascii="Times New Roman" w:hAnsi="Times New Roman" w:eastAsia="宋体" w:cs="Times New Roman"/>
                <w:snapToGrid w:val="0"/>
                <w:color w:val="auto"/>
                <w:kern w:val="2"/>
                <w:sz w:val="21"/>
                <w:szCs w:val="24"/>
                <w:highlight w:val="none"/>
                <w:lang w:val="en-US" w:eastAsia="zh-CN" w:bidi="ar-SA"/>
              </w:rPr>
              <w:t>，粪肥中及堆肥周围没有活的蛆、蛹或新孵化的成蝇</w:t>
            </w:r>
          </w:p>
        </w:tc>
      </w:tr>
    </w:tbl>
    <w:p w14:paraId="4C9DA0F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Cs/>
          <w:smallCaps w:val="0"/>
          <w:kern w:val="2"/>
          <w:sz w:val="21"/>
          <w:szCs w:val="24"/>
          <w:highlight w:val="none"/>
          <w:lang w:val="en-US" w:eastAsia="zh-CN" w:bidi="ar-SA"/>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3</w:t>
      </w:r>
      <w:r>
        <w:rPr>
          <w:rFonts w:hint="default" w:ascii="Times New Roman" w:hAnsi="Times New Roman" w:eastAsia="黑体" w:cs="Times New Roman"/>
          <w:bCs/>
          <w:smallCaps w:val="0"/>
          <w:kern w:val="2"/>
          <w:sz w:val="21"/>
          <w:szCs w:val="24"/>
          <w:highlight w:val="none"/>
          <w:lang w:val="en-US" w:eastAsia="zh-CN" w:bidi="ar-SA"/>
        </w:rPr>
        <w:t>-1</w:t>
      </w:r>
      <w:r>
        <w:rPr>
          <w:rFonts w:hint="eastAsia" w:ascii="Times New Roman" w:hAnsi="Times New Roman" w:eastAsia="黑体" w:cs="Times New Roman"/>
          <w:bCs/>
          <w:smallCaps w:val="0"/>
          <w:kern w:val="2"/>
          <w:sz w:val="21"/>
          <w:szCs w:val="24"/>
          <w:highlight w:val="none"/>
          <w:lang w:val="en-US" w:eastAsia="zh-CN" w:bidi="ar-SA"/>
        </w:rPr>
        <w:t>5</w:t>
      </w:r>
      <w:r>
        <w:rPr>
          <w:rFonts w:hint="default" w:ascii="Times New Roman" w:hAnsi="Times New Roman" w:eastAsia="黑体" w:cs="Times New Roman"/>
          <w:bCs/>
          <w:smallCaps w:val="0"/>
          <w:kern w:val="2"/>
          <w:sz w:val="21"/>
          <w:szCs w:val="24"/>
          <w:highlight w:val="none"/>
          <w:lang w:val="en-US" w:eastAsia="zh-CN" w:bidi="ar-SA"/>
        </w:rPr>
        <w:t xml:space="preserve"> 《畜禽养殖业污染物排放标准》（GB18596-2001）表6畜禽养殖业废渣无害化环境标准</w:t>
      </w:r>
    </w:p>
    <w:tbl>
      <w:tblPr>
        <w:tblStyle w:val="4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94"/>
        <w:gridCol w:w="4728"/>
      </w:tblGrid>
      <w:tr w14:paraId="4E16C2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trPr>
        <w:tc>
          <w:tcPr>
            <w:tcW w:w="3794" w:type="dxa"/>
            <w:noWrap w:val="0"/>
            <w:vAlign w:val="center"/>
          </w:tcPr>
          <w:p w14:paraId="076646E1">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控制项目</w:t>
            </w:r>
          </w:p>
        </w:tc>
        <w:tc>
          <w:tcPr>
            <w:tcW w:w="4728" w:type="dxa"/>
            <w:noWrap w:val="0"/>
            <w:vAlign w:val="center"/>
          </w:tcPr>
          <w:p w14:paraId="27A41CD5">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指标</w:t>
            </w:r>
          </w:p>
        </w:tc>
      </w:tr>
      <w:tr w14:paraId="7CD6B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3794" w:type="dxa"/>
            <w:noWrap w:val="0"/>
            <w:vAlign w:val="center"/>
          </w:tcPr>
          <w:p w14:paraId="555568EF">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蛔虫卵</w:t>
            </w:r>
          </w:p>
        </w:tc>
        <w:tc>
          <w:tcPr>
            <w:tcW w:w="4728" w:type="dxa"/>
            <w:noWrap w:val="0"/>
            <w:vAlign w:val="center"/>
          </w:tcPr>
          <w:p w14:paraId="1DACFE9A">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死亡率≥95%</w:t>
            </w:r>
          </w:p>
        </w:tc>
      </w:tr>
      <w:tr w14:paraId="0EEBAE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3794" w:type="dxa"/>
            <w:noWrap w:val="0"/>
            <w:vAlign w:val="center"/>
          </w:tcPr>
          <w:p w14:paraId="74D9FD27">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粪大肠菌群数</w:t>
            </w:r>
          </w:p>
        </w:tc>
        <w:tc>
          <w:tcPr>
            <w:tcW w:w="4728" w:type="dxa"/>
            <w:noWrap w:val="0"/>
            <w:vAlign w:val="center"/>
          </w:tcPr>
          <w:p w14:paraId="3983E27F">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≤10</w:t>
            </w:r>
            <w:r>
              <w:rPr>
                <w:rFonts w:hint="default" w:ascii="Times New Roman" w:hAnsi="Times New Roman" w:eastAsia="宋体" w:cs="Times New Roman"/>
                <w:snapToGrid w:val="0"/>
                <w:color w:val="auto"/>
                <w:kern w:val="2"/>
                <w:sz w:val="21"/>
                <w:szCs w:val="21"/>
                <w:highlight w:val="none"/>
                <w:vertAlign w:val="superscript"/>
              </w:rPr>
              <w:t>5</w:t>
            </w:r>
            <w:r>
              <w:rPr>
                <w:rFonts w:hint="default" w:ascii="Times New Roman" w:hAnsi="Times New Roman" w:eastAsia="宋体" w:cs="Times New Roman"/>
                <w:snapToGrid w:val="0"/>
                <w:color w:val="auto"/>
                <w:kern w:val="2"/>
                <w:sz w:val="21"/>
                <w:szCs w:val="21"/>
                <w:highlight w:val="none"/>
              </w:rPr>
              <w:t>个/kg</w:t>
            </w:r>
          </w:p>
        </w:tc>
      </w:tr>
    </w:tbl>
    <w:p w14:paraId="72142A5C">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sz w:val="24"/>
          <w:highlight w:val="none"/>
        </w:rPr>
        <w:t>②</w:t>
      </w:r>
      <w:r>
        <w:rPr>
          <w:rFonts w:hint="default" w:ascii="Times New Roman" w:hAnsi="Times New Roman" w:cs="Times New Roman"/>
          <w:snapToGrid w:val="0"/>
          <w:color w:val="auto"/>
          <w:highlight w:val="none"/>
        </w:rPr>
        <w:t>危险废物贮存、处置执行《危险废物贮存污染控制标准》（GB 18597—2023）</w:t>
      </w:r>
      <w:r>
        <w:rPr>
          <w:rFonts w:hint="default" w:ascii="Times New Roman" w:hAnsi="Times New Roman" w:eastAsia="宋体" w:cs="Times New Roman"/>
          <w:snapToGrid w:val="0"/>
          <w:color w:val="auto"/>
          <w:sz w:val="24"/>
          <w:highlight w:val="none"/>
        </w:rPr>
        <w:t>、《危险废物收集、贮存、运输技术规范》（HJ2025-2012）中相关规定；</w:t>
      </w:r>
      <w:r>
        <w:rPr>
          <w:rFonts w:hint="default" w:ascii="Times New Roman" w:hAnsi="Times New Roman" w:cs="Times New Roman"/>
          <w:color w:val="auto"/>
          <w:sz w:val="24"/>
          <w:highlight w:val="none"/>
          <w:lang w:val="en-US" w:eastAsia="zh-CN" w:bidi="ar"/>
        </w:rPr>
        <w:t>病死猪及胎盘委托</w:t>
      </w:r>
      <w:r>
        <w:rPr>
          <w:rFonts w:hint="eastAsia" w:ascii="Times New Roman" w:hAnsi="Times New Roman" w:cs="Times New Roman"/>
          <w:color w:val="auto"/>
          <w:sz w:val="24"/>
          <w:highlight w:val="none"/>
          <w:lang w:val="en-US" w:eastAsia="zh-CN" w:bidi="ar"/>
        </w:rPr>
        <w:t>鸡西市鑫农源固废处理有限公司进行无害化集中处理</w:t>
      </w:r>
      <w:r>
        <w:rPr>
          <w:rFonts w:hint="default" w:ascii="Times New Roman" w:hAnsi="Times New Roman" w:eastAsia="宋体" w:cs="Times New Roman"/>
          <w:snapToGrid w:val="0"/>
          <w:color w:val="auto"/>
          <w:sz w:val="24"/>
          <w:highlight w:val="none"/>
        </w:rPr>
        <w:t>，执行《病害动物和病害动物产品生物安全处理规程》（GB16548-2006）、《畜禽养殖业污染防治技术规范》（HJ/T81-2001）、《畜禽养殖业污染治理工程技术规范》（HJ497-2009）及</w:t>
      </w:r>
      <w:r>
        <w:rPr>
          <w:rFonts w:hint="default" w:ascii="Times New Roman" w:hAnsi="Times New Roman" w:eastAsia="宋体" w:cs="Times New Roman"/>
          <w:color w:val="auto"/>
          <w:sz w:val="24"/>
          <w:highlight w:val="none"/>
        </w:rPr>
        <w:t>《病死及病害动物无害化处理技术规范》（农业部，2017年7月3日）</w:t>
      </w:r>
      <w:r>
        <w:rPr>
          <w:rFonts w:hint="default" w:ascii="Times New Roman" w:hAnsi="Times New Roman" w:eastAsia="宋体" w:cs="Times New Roman"/>
          <w:snapToGrid w:val="0"/>
          <w:color w:val="auto"/>
          <w:sz w:val="24"/>
          <w:highlight w:val="none"/>
        </w:rPr>
        <w:t>中相关规定。</w:t>
      </w:r>
    </w:p>
    <w:p w14:paraId="583B0F86">
      <w:pPr>
        <w:pStyle w:val="5"/>
        <w:bidi w:val="0"/>
        <w:rPr>
          <w:rFonts w:hint="default"/>
          <w:highlight w:val="none"/>
        </w:rPr>
      </w:pPr>
      <w:bookmarkStart w:id="251" w:name="_Toc20165"/>
      <w:bookmarkStart w:id="252" w:name="_Toc24636"/>
      <w:bookmarkStart w:id="253" w:name="_Toc16751"/>
      <w:bookmarkStart w:id="254" w:name="_Toc5270"/>
      <w:bookmarkStart w:id="255" w:name="_Toc27109"/>
      <w:bookmarkStart w:id="256" w:name="_Toc29479"/>
      <w:r>
        <w:rPr>
          <w:rFonts w:hint="default"/>
          <w:highlight w:val="none"/>
        </w:rPr>
        <w:t>2.4评价工作等级</w:t>
      </w:r>
      <w:bookmarkEnd w:id="251"/>
      <w:bookmarkEnd w:id="252"/>
      <w:bookmarkEnd w:id="253"/>
      <w:bookmarkEnd w:id="254"/>
      <w:bookmarkEnd w:id="255"/>
      <w:bookmarkEnd w:id="256"/>
    </w:p>
    <w:p w14:paraId="0214D281">
      <w:pPr>
        <w:pStyle w:val="7"/>
        <w:bidi w:val="0"/>
        <w:rPr>
          <w:rFonts w:hint="default"/>
          <w:highlight w:val="none"/>
        </w:rPr>
      </w:pPr>
      <w:bookmarkStart w:id="257" w:name="_Toc10471"/>
      <w:bookmarkStart w:id="258" w:name="_Toc7603"/>
      <w:bookmarkStart w:id="259" w:name="_Toc14179"/>
      <w:bookmarkStart w:id="260" w:name="_Toc20946"/>
      <w:r>
        <w:rPr>
          <w:rFonts w:hint="default"/>
          <w:highlight w:val="none"/>
        </w:rPr>
        <w:t>2.4.1大气环境</w:t>
      </w:r>
      <w:bookmarkEnd w:id="257"/>
      <w:bookmarkEnd w:id="258"/>
      <w:bookmarkEnd w:id="259"/>
      <w:bookmarkEnd w:id="260"/>
    </w:p>
    <w:p w14:paraId="1358FE0A">
      <w:pPr>
        <w:pStyle w:val="8"/>
        <w:bidi w:val="0"/>
        <w:rPr>
          <w:rFonts w:hint="default"/>
          <w:highlight w:val="none"/>
        </w:rPr>
      </w:pPr>
      <w:bookmarkStart w:id="261" w:name="_Toc10554"/>
      <w:bookmarkStart w:id="262" w:name="_Toc31068"/>
      <w:r>
        <w:rPr>
          <w:rFonts w:hint="default"/>
          <w:highlight w:val="none"/>
        </w:rPr>
        <w:t>2.4.1.1评价工作等级</w:t>
      </w:r>
      <w:bookmarkEnd w:id="261"/>
      <w:bookmarkEnd w:id="262"/>
    </w:p>
    <w:p w14:paraId="2521CD8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根据《环境影响评价技术导则 大气环境》（HJ2.2-2018）中的有关规定，将大气环境影响评价工作等级分为一、二、三级，划分依据见表2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-1。</w:t>
      </w:r>
    </w:p>
    <w:p w14:paraId="1B3A099E">
      <w:pPr>
        <w:pStyle w:val="216"/>
        <w:rPr>
          <w:rFonts w:hint="default" w:ascii="Times New Roman" w:hAnsi="Times New Roman" w:eastAsia="黑体" w:cs="Times New Roman"/>
          <w:b w:val="0"/>
          <w:bCs/>
          <w:smallCaps w:val="0"/>
          <w:kern w:val="2"/>
          <w:sz w:val="21"/>
          <w:szCs w:val="24"/>
          <w:highlight w:val="none"/>
          <w:lang w:val="en-US" w:eastAsia="zh-CN" w:bidi="ar-SA"/>
        </w:rPr>
      </w:pPr>
      <w:r>
        <w:rPr>
          <w:rFonts w:hint="default" w:ascii="Times New Roman" w:hAnsi="Times New Roman" w:eastAsia="黑体" w:cs="Times New Roman"/>
          <w:b w:val="0"/>
          <w:bCs/>
          <w:smallCaps w:val="0"/>
          <w:kern w:val="2"/>
          <w:sz w:val="21"/>
          <w:szCs w:val="24"/>
          <w:highlight w:val="none"/>
          <w:lang w:val="en-US"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4-1  大气评价等级确定表</w:t>
      </w:r>
    </w:p>
    <w:tbl>
      <w:tblPr>
        <w:tblStyle w:val="4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812"/>
        <w:gridCol w:w="2710"/>
      </w:tblGrid>
      <w:tr w14:paraId="3CC097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1687B1FB">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评价工作等级判据</w:t>
            </w:r>
          </w:p>
        </w:tc>
        <w:tc>
          <w:tcPr>
            <w:tcW w:w="1590" w:type="pct"/>
            <w:vAlign w:val="center"/>
          </w:tcPr>
          <w:p w14:paraId="7256E1D0">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评价工作等级</w:t>
            </w:r>
          </w:p>
        </w:tc>
      </w:tr>
      <w:tr w14:paraId="6C9ACB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411FF60B">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max</w:t>
            </w:r>
            <w:r>
              <w:rPr>
                <w:rFonts w:hint="default" w:ascii="Times New Roman" w:hAnsi="Times New Roman" w:eastAsia="宋体" w:cs="Times New Roman"/>
                <w:snapToGrid w:val="0"/>
                <w:color w:val="auto"/>
                <w:highlight w:val="none"/>
              </w:rPr>
              <w:t>≥10%</w:t>
            </w:r>
          </w:p>
        </w:tc>
        <w:tc>
          <w:tcPr>
            <w:tcW w:w="1590" w:type="pct"/>
            <w:vAlign w:val="center"/>
          </w:tcPr>
          <w:p w14:paraId="346AB7B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一级</w:t>
            </w:r>
          </w:p>
        </w:tc>
      </w:tr>
      <w:tr w14:paraId="13DB4D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33231A0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1%≤P</w:t>
            </w:r>
            <w:r>
              <w:rPr>
                <w:rFonts w:hint="default" w:ascii="Times New Roman" w:hAnsi="Times New Roman" w:eastAsia="宋体" w:cs="Times New Roman"/>
                <w:snapToGrid w:val="0"/>
                <w:color w:val="auto"/>
                <w:highlight w:val="none"/>
                <w:vertAlign w:val="subscript"/>
              </w:rPr>
              <w:t>max</w:t>
            </w:r>
            <w:r>
              <w:rPr>
                <w:rFonts w:hint="default" w:ascii="Times New Roman" w:hAnsi="Times New Roman" w:eastAsia="宋体" w:cs="Times New Roman"/>
                <w:snapToGrid w:val="0"/>
                <w:color w:val="auto"/>
                <w:highlight w:val="none"/>
              </w:rPr>
              <w:t>＜10%</w:t>
            </w:r>
          </w:p>
        </w:tc>
        <w:tc>
          <w:tcPr>
            <w:tcW w:w="1590" w:type="pct"/>
            <w:vAlign w:val="center"/>
          </w:tcPr>
          <w:p w14:paraId="380CEDE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r>
      <w:tr w14:paraId="2605F5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5C218F3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max</w:t>
            </w:r>
            <w:r>
              <w:rPr>
                <w:rFonts w:hint="default" w:ascii="Times New Roman" w:hAnsi="Times New Roman" w:eastAsia="宋体" w:cs="Times New Roman"/>
                <w:snapToGrid w:val="0"/>
                <w:color w:val="auto"/>
                <w:highlight w:val="none"/>
              </w:rPr>
              <w:t>＜1%</w:t>
            </w:r>
          </w:p>
        </w:tc>
        <w:tc>
          <w:tcPr>
            <w:tcW w:w="1590" w:type="pct"/>
            <w:vAlign w:val="center"/>
          </w:tcPr>
          <w:p w14:paraId="448CE120">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r>
    </w:tbl>
    <w:p w14:paraId="595E796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选择项目污染源正常排放的主要污染物及排放参数，采用附录A推荐模型中估算模型分别计算项目污染源的最大环境影响，然后按评价工作分级判据进行分级。</w:t>
      </w:r>
    </w:p>
    <w:p w14:paraId="52A875B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根据项目污染源初步调查结果，分别计算项目排放的主要污染物的最大地面空气质量浓度占标率P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（第i个污染物，简称“最大浓度占标率”），及第i个污染物的地面空气质量浓度达到标准值的10%时所对应的最远距离D</w:t>
      </w:r>
      <w:r>
        <w:rPr>
          <w:rFonts w:hint="default" w:ascii="Times New Roman" w:hAnsi="Times New Roman" w:eastAsia="宋体" w:cs="Times New Roman"/>
          <w:snapToGrid w:val="0"/>
          <w:color w:val="auto"/>
          <w:highlight w:val="none"/>
          <w:vertAlign w:val="subscript"/>
        </w:rPr>
        <w:t>10%</w:t>
      </w:r>
      <w:r>
        <w:rPr>
          <w:rFonts w:hint="default" w:ascii="Times New Roman" w:hAnsi="Times New Roman" w:eastAsia="宋体" w:cs="Times New Roman"/>
          <w:snapToGrid w:val="0"/>
          <w:color w:val="auto"/>
          <w:highlight w:val="none"/>
        </w:rPr>
        <w:t>。其中P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定义为：</w:t>
      </w:r>
    </w:p>
    <w:p w14:paraId="527C871F">
      <w:pPr>
        <w:spacing w:line="360" w:lineRule="auto"/>
        <w:ind w:firstLine="42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0i</w:t>
      </w:r>
      <w:r>
        <w:rPr>
          <w:rFonts w:hint="default" w:ascii="Times New Roman" w:hAnsi="Times New Roman" w:eastAsia="宋体" w:cs="Times New Roman"/>
          <w:snapToGrid w:val="0"/>
          <w:color w:val="auto"/>
          <w:highlight w:val="none"/>
        </w:rPr>
        <w:t>×100%</w:t>
      </w:r>
    </w:p>
    <w:p w14:paraId="51453A9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式中：</w:t>
      </w:r>
    </w:p>
    <w:p w14:paraId="3C6B312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——第i个污染物的最大地面空气质量浓度占标率，%；</w:t>
      </w:r>
    </w:p>
    <w:p w14:paraId="567E269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——采用估算模式计算出的第i个污染物</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的最大1h地面空气质量浓度，mg/m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w:t>
      </w:r>
    </w:p>
    <w:p w14:paraId="189C557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0i</w:t>
      </w:r>
      <w:r>
        <w:rPr>
          <w:rFonts w:hint="default" w:ascii="Times New Roman" w:hAnsi="Times New Roman" w:eastAsia="宋体" w:cs="Times New Roman"/>
          <w:snapToGrid w:val="0"/>
          <w:color w:val="auto"/>
          <w:highlight w:val="none"/>
        </w:rPr>
        <w:t>——第i个污染物的环境空气质量标准，μg/m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w:t>
      </w:r>
    </w:p>
    <w:p w14:paraId="1A7A8225">
      <w:pPr>
        <w:spacing w:line="360" w:lineRule="auto"/>
        <w:ind w:firstLine="420"/>
        <w:jc w:val="both"/>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0i</w:t>
      </w:r>
      <w:r>
        <w:rPr>
          <w:rFonts w:hint="default" w:ascii="Times New Roman" w:hAnsi="Times New Roman" w:eastAsia="宋体" w:cs="Times New Roman"/>
          <w:snapToGrid w:val="0"/>
          <w:color w:val="auto"/>
          <w:highlight w:val="none"/>
        </w:rPr>
        <w:t>——般选用GB3095-2012中1小时平均质量浓度的二级标准的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评价质量浓度限值。</w:t>
      </w:r>
    </w:p>
    <w:p w14:paraId="4790CA2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本项目建成后废气主要</w:t>
      </w:r>
      <w:r>
        <w:rPr>
          <w:rFonts w:hint="default" w:ascii="Times New Roman" w:hAnsi="Times New Roman" w:eastAsia="宋体" w:cs="Times New Roman"/>
          <w:color w:val="auto"/>
          <w:highlight w:val="none"/>
        </w:rPr>
        <w:t>为</w:t>
      </w:r>
      <w:r>
        <w:rPr>
          <w:rFonts w:hint="eastAsia" w:ascii="Times New Roman" w:hAnsi="Times New Roman" w:cs="Times New Roman"/>
          <w:color w:val="auto"/>
          <w:highlight w:val="none"/>
          <w:lang w:val="en-US" w:eastAsia="zh-CN"/>
        </w:rPr>
        <w:t>干粪堆积场排气筒有组织排放的</w:t>
      </w: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和H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火炬源燃烧有组织排放的颗粒物、二氧化硫、氮氧化物；猪舍、干粪堆积场、废水处理区</w:t>
      </w:r>
      <w:r>
        <w:rPr>
          <w:rFonts w:hint="default" w:ascii="Times New Roman" w:hAnsi="Times New Roman" w:eastAsia="宋体" w:cs="Times New Roman"/>
          <w:snapToGrid w:val="0"/>
          <w:color w:val="auto"/>
          <w:highlight w:val="none"/>
        </w:rPr>
        <w:t>无组织排放的NH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和H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default" w:ascii="Times New Roman" w:hAnsi="Times New Roman" w:cs="Times New Roman"/>
          <w:color w:val="auto"/>
          <w:highlight w:val="none"/>
          <w:lang w:eastAsia="zh-CN"/>
        </w:rPr>
        <w:t>，</w:t>
      </w:r>
      <w:r>
        <w:rPr>
          <w:rFonts w:hint="default" w:ascii="Times New Roman" w:hAnsi="Times New Roman" w:eastAsia="宋体" w:cs="Times New Roman"/>
          <w:snapToGrid w:val="0"/>
          <w:color w:val="auto"/>
          <w:highlight w:val="none"/>
        </w:rPr>
        <w:t>选取NH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S为主要污染物进行评价工作等级的确定</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火炬燃烧选取</w:t>
      </w:r>
      <w:r>
        <w:rPr>
          <w:rFonts w:hint="default" w:ascii="Times New Roman" w:hAnsi="Times New Roman" w:eastAsia="宋体" w:cs="Times New Roman"/>
          <w:snapToGrid w:val="0"/>
          <w:color w:val="auto"/>
          <w:sz w:val="24"/>
          <w:szCs w:val="24"/>
          <w:highlight w:val="none"/>
          <w:lang w:val="en-US" w:eastAsia="zh-CN"/>
        </w:rPr>
        <w:t>PM</w:t>
      </w:r>
      <w:r>
        <w:rPr>
          <w:rFonts w:hint="default" w:ascii="Times New Roman" w:hAnsi="Times New Roman" w:eastAsia="宋体" w:cs="Times New Roman"/>
          <w:snapToGrid w:val="0"/>
          <w:color w:val="auto"/>
          <w:sz w:val="24"/>
          <w:szCs w:val="24"/>
          <w:highlight w:val="none"/>
          <w:vertAlign w:val="subscript"/>
          <w:lang w:val="en-US" w:eastAsia="zh-CN"/>
        </w:rPr>
        <w:t>10</w:t>
      </w:r>
      <w:r>
        <w:rPr>
          <w:rFonts w:hint="default" w:ascii="Times New Roman" w:hAnsi="Times New Roman" w:eastAsia="宋体" w:cs="Times New Roman"/>
          <w:snapToGrid w:val="0"/>
          <w:color w:val="auto"/>
          <w:sz w:val="24"/>
          <w:szCs w:val="24"/>
          <w:highlight w:val="none"/>
          <w:vertAlign w:val="baseline"/>
          <w:lang w:val="en-US" w:eastAsia="zh-CN"/>
        </w:rPr>
        <w:t>、</w:t>
      </w:r>
      <w:r>
        <w:rPr>
          <w:rFonts w:hint="default" w:ascii="Times New Roman" w:hAnsi="Times New Roman" w:eastAsia="宋体" w:cs="Times New Roman"/>
          <w:b w:val="0"/>
          <w:sz w:val="24"/>
          <w:szCs w:val="24"/>
          <w:highlight w:val="none"/>
        </w:rPr>
        <w:t>SO</w:t>
      </w:r>
      <w:r>
        <w:rPr>
          <w:rFonts w:hint="default" w:ascii="Times New Roman" w:hAnsi="Times New Roman" w:eastAsia="宋体" w:cs="Times New Roman"/>
          <w:b w:val="0"/>
          <w:sz w:val="24"/>
          <w:szCs w:val="24"/>
          <w:highlight w:val="none"/>
          <w:vertAlign w:val="subscript"/>
        </w:rPr>
        <w:t>2</w:t>
      </w:r>
      <w:r>
        <w:rPr>
          <w:rFonts w:hint="default" w:ascii="Times New Roman" w:hAnsi="Times New Roman" w:eastAsia="宋体" w:cs="Times New Roman"/>
          <w:b w:val="0"/>
          <w:sz w:val="24"/>
          <w:szCs w:val="24"/>
          <w:highlight w:val="none"/>
          <w:vertAlign w:val="baseline"/>
          <w:lang w:eastAsia="zh-CN"/>
        </w:rPr>
        <w:t>、</w:t>
      </w:r>
      <w:r>
        <w:rPr>
          <w:rFonts w:hint="default" w:ascii="Times New Roman" w:hAnsi="Times New Roman" w:eastAsia="宋体" w:cs="Times New Roman"/>
          <w:b w:val="0"/>
          <w:sz w:val="24"/>
          <w:szCs w:val="24"/>
          <w:highlight w:val="none"/>
        </w:rPr>
        <w:t>NOx</w:t>
      </w:r>
      <w:r>
        <w:rPr>
          <w:rFonts w:hint="default" w:ascii="Times New Roman" w:hAnsi="Times New Roman" w:eastAsia="宋体" w:cs="Times New Roman"/>
          <w:snapToGrid w:val="0"/>
          <w:color w:val="auto"/>
          <w:highlight w:val="none"/>
        </w:rPr>
        <w:t>为主要污染物进行评价工作等级的确定。采用《环境影响评价技术导则 大气环境》（HJ2.2-2018）中附录A推荐的估算模式进行计算，评价因子和评价标准表见表2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-2，估算模型参数表见表2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-3，点源及面源估算模式计算参数表见表2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-4和表2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-5。</w:t>
      </w:r>
    </w:p>
    <w:p w14:paraId="00A60F1D">
      <w:pPr>
        <w:pStyle w:val="216"/>
        <w:rPr>
          <w:rFonts w:hint="default" w:ascii="Times New Roman" w:hAnsi="Times New Roman" w:eastAsia="宋体" w:cs="Times New Roman"/>
          <w:color w:val="auto"/>
          <w:sz w:val="24"/>
          <w:szCs w:val="32"/>
          <w:highlight w:val="none"/>
        </w:rPr>
      </w:pPr>
      <w:r>
        <w:rPr>
          <w:rFonts w:hint="default" w:ascii="Times New Roman" w:hAnsi="Times New Roman" w:eastAsia="黑体" w:cs="Times New Roman"/>
          <w:b w:val="0"/>
          <w:bCs/>
          <w:smallCaps w:val="0"/>
          <w:kern w:val="2"/>
          <w:sz w:val="21"/>
          <w:szCs w:val="24"/>
          <w:highlight w:val="none"/>
          <w:lang w:val="en-US"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4-2  评价因子和评价标准表</w:t>
      </w:r>
    </w:p>
    <w:tbl>
      <w:tblPr>
        <w:tblStyle w:val="48"/>
        <w:tblW w:w="4995"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57"/>
        <w:gridCol w:w="1100"/>
        <w:gridCol w:w="1047"/>
        <w:gridCol w:w="1226"/>
        <w:gridCol w:w="3883"/>
      </w:tblGrid>
      <w:tr w14:paraId="0A64B98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67" w:hRule="atLeast"/>
          <w:jc w:val="center"/>
        </w:trPr>
        <w:tc>
          <w:tcPr>
            <w:tcW w:w="738" w:type="pct"/>
            <w:tcBorders>
              <w:tl2br w:val="nil"/>
              <w:tr2bl w:val="nil"/>
            </w:tcBorders>
            <w:noWrap w:val="0"/>
            <w:vAlign w:val="center"/>
          </w:tcPr>
          <w:p w14:paraId="02D28E6F">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污染物名称</w:t>
            </w:r>
          </w:p>
        </w:tc>
        <w:tc>
          <w:tcPr>
            <w:tcW w:w="646" w:type="pct"/>
            <w:tcBorders>
              <w:tl2br w:val="nil"/>
              <w:tr2bl w:val="nil"/>
            </w:tcBorders>
            <w:noWrap w:val="0"/>
            <w:vAlign w:val="center"/>
          </w:tcPr>
          <w:p w14:paraId="418824B5">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功能区</w:t>
            </w:r>
          </w:p>
        </w:tc>
        <w:tc>
          <w:tcPr>
            <w:tcW w:w="615" w:type="pct"/>
            <w:tcBorders>
              <w:tl2br w:val="nil"/>
              <w:tr2bl w:val="nil"/>
            </w:tcBorders>
            <w:noWrap w:val="0"/>
            <w:vAlign w:val="center"/>
          </w:tcPr>
          <w:p w14:paraId="13BF867A">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取值时间</w:t>
            </w:r>
          </w:p>
        </w:tc>
        <w:tc>
          <w:tcPr>
            <w:tcW w:w="720" w:type="pct"/>
            <w:tcBorders>
              <w:tl2br w:val="nil"/>
              <w:tr2bl w:val="nil"/>
            </w:tcBorders>
            <w:noWrap w:val="0"/>
            <w:vAlign w:val="center"/>
          </w:tcPr>
          <w:p w14:paraId="7EDE96CB">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标准值(μg/m³)</w:t>
            </w:r>
          </w:p>
        </w:tc>
        <w:tc>
          <w:tcPr>
            <w:tcW w:w="2279" w:type="pct"/>
            <w:tcBorders>
              <w:tl2br w:val="nil"/>
              <w:tr2bl w:val="nil"/>
            </w:tcBorders>
            <w:noWrap w:val="0"/>
            <w:vAlign w:val="center"/>
          </w:tcPr>
          <w:p w14:paraId="760FE238">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标准来源</w:t>
            </w:r>
          </w:p>
        </w:tc>
      </w:tr>
      <w:tr w14:paraId="01862EE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738" w:type="pct"/>
            <w:tcBorders>
              <w:tl2br w:val="nil"/>
              <w:tr2bl w:val="nil"/>
            </w:tcBorders>
            <w:noWrap w:val="0"/>
            <w:vAlign w:val="center"/>
          </w:tcPr>
          <w:p w14:paraId="2C3C13A8">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NH</w:t>
            </w:r>
            <w:r>
              <w:rPr>
                <w:rFonts w:ascii="Times New Roman" w:hAnsi="Times New Roman"/>
                <w:sz w:val="21"/>
                <w:szCs w:val="21"/>
                <w:highlight w:val="none"/>
                <w:vertAlign w:val="subscript"/>
              </w:rPr>
              <w:t>3</w:t>
            </w:r>
          </w:p>
        </w:tc>
        <w:tc>
          <w:tcPr>
            <w:tcW w:w="646" w:type="pct"/>
            <w:tcBorders>
              <w:tl2br w:val="nil"/>
              <w:tr2bl w:val="nil"/>
            </w:tcBorders>
            <w:noWrap w:val="0"/>
            <w:vAlign w:val="center"/>
          </w:tcPr>
          <w:p w14:paraId="56246463">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二类区</w:t>
            </w:r>
          </w:p>
        </w:tc>
        <w:tc>
          <w:tcPr>
            <w:tcW w:w="615" w:type="pct"/>
            <w:tcBorders>
              <w:tl2br w:val="nil"/>
              <w:tr2bl w:val="nil"/>
            </w:tcBorders>
            <w:noWrap w:val="0"/>
            <w:vAlign w:val="center"/>
          </w:tcPr>
          <w:p w14:paraId="0C8029D6">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一小时</w:t>
            </w:r>
          </w:p>
        </w:tc>
        <w:tc>
          <w:tcPr>
            <w:tcW w:w="720" w:type="pct"/>
            <w:tcBorders>
              <w:tl2br w:val="nil"/>
              <w:tr2bl w:val="nil"/>
            </w:tcBorders>
            <w:noWrap w:val="0"/>
            <w:vAlign w:val="center"/>
          </w:tcPr>
          <w:p w14:paraId="77B65045">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200.0</w:t>
            </w:r>
          </w:p>
        </w:tc>
        <w:tc>
          <w:tcPr>
            <w:tcW w:w="2279" w:type="pct"/>
            <w:tcBorders>
              <w:tl2br w:val="nil"/>
              <w:tr2bl w:val="nil"/>
            </w:tcBorders>
            <w:noWrap w:val="0"/>
            <w:vAlign w:val="center"/>
          </w:tcPr>
          <w:p w14:paraId="3F24B9AB">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 xml:space="preserve">《环境影响评价技术导则-大气环境》 </w:t>
            </w:r>
            <w:r>
              <w:rPr>
                <w:rFonts w:hint="eastAsia" w:ascii="Times New Roman" w:hAnsi="Times New Roman"/>
                <w:sz w:val="21"/>
                <w:szCs w:val="21"/>
                <w:highlight w:val="none"/>
              </w:rPr>
              <w:t>（</w:t>
            </w:r>
            <w:r>
              <w:rPr>
                <w:rFonts w:ascii="Times New Roman" w:hAnsi="Times New Roman"/>
                <w:sz w:val="21"/>
                <w:szCs w:val="21"/>
                <w:highlight w:val="none"/>
              </w:rPr>
              <w:t>HJ 2.2-2018</w:t>
            </w:r>
            <w:r>
              <w:rPr>
                <w:rFonts w:hint="eastAsia" w:ascii="Times New Roman" w:hAnsi="Times New Roman"/>
                <w:sz w:val="21"/>
                <w:szCs w:val="21"/>
                <w:highlight w:val="none"/>
              </w:rPr>
              <w:t>）</w:t>
            </w:r>
            <w:r>
              <w:rPr>
                <w:rFonts w:ascii="Times New Roman" w:hAnsi="Times New Roman"/>
                <w:sz w:val="21"/>
                <w:szCs w:val="21"/>
                <w:highlight w:val="none"/>
              </w:rPr>
              <w:t xml:space="preserve"> 附录D</w:t>
            </w:r>
          </w:p>
        </w:tc>
      </w:tr>
      <w:tr w14:paraId="09D61D6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738" w:type="pct"/>
            <w:tcBorders>
              <w:tl2br w:val="nil"/>
              <w:tr2bl w:val="nil"/>
            </w:tcBorders>
            <w:noWrap w:val="0"/>
            <w:vAlign w:val="center"/>
          </w:tcPr>
          <w:p w14:paraId="6887225E">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H</w:t>
            </w:r>
            <w:r>
              <w:rPr>
                <w:rFonts w:ascii="Times New Roman" w:hAnsi="Times New Roman"/>
                <w:sz w:val="21"/>
                <w:szCs w:val="21"/>
                <w:highlight w:val="none"/>
                <w:vertAlign w:val="subscript"/>
              </w:rPr>
              <w:t>2</w:t>
            </w:r>
            <w:r>
              <w:rPr>
                <w:rFonts w:ascii="Times New Roman" w:hAnsi="Times New Roman"/>
                <w:sz w:val="21"/>
                <w:szCs w:val="21"/>
                <w:highlight w:val="none"/>
              </w:rPr>
              <w:t>S</w:t>
            </w:r>
          </w:p>
        </w:tc>
        <w:tc>
          <w:tcPr>
            <w:tcW w:w="646" w:type="pct"/>
            <w:tcBorders>
              <w:tl2br w:val="nil"/>
              <w:tr2bl w:val="nil"/>
            </w:tcBorders>
            <w:noWrap w:val="0"/>
            <w:vAlign w:val="center"/>
          </w:tcPr>
          <w:p w14:paraId="14C50ACF">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二类区</w:t>
            </w:r>
          </w:p>
        </w:tc>
        <w:tc>
          <w:tcPr>
            <w:tcW w:w="615" w:type="pct"/>
            <w:tcBorders>
              <w:tl2br w:val="nil"/>
              <w:tr2bl w:val="nil"/>
            </w:tcBorders>
            <w:noWrap w:val="0"/>
            <w:vAlign w:val="center"/>
          </w:tcPr>
          <w:p w14:paraId="3644F1B1">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一小时</w:t>
            </w:r>
          </w:p>
        </w:tc>
        <w:tc>
          <w:tcPr>
            <w:tcW w:w="720" w:type="pct"/>
            <w:tcBorders>
              <w:tl2br w:val="nil"/>
              <w:tr2bl w:val="nil"/>
            </w:tcBorders>
            <w:noWrap w:val="0"/>
            <w:vAlign w:val="center"/>
          </w:tcPr>
          <w:p w14:paraId="49305A01">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10.0</w:t>
            </w:r>
          </w:p>
        </w:tc>
        <w:tc>
          <w:tcPr>
            <w:tcW w:w="2279" w:type="pct"/>
            <w:tcBorders>
              <w:tl2br w:val="nil"/>
              <w:tr2bl w:val="nil"/>
            </w:tcBorders>
            <w:noWrap w:val="0"/>
            <w:vAlign w:val="center"/>
          </w:tcPr>
          <w:p w14:paraId="4367A597">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 xml:space="preserve">《环境影响评价技术导则-大气环境》 </w:t>
            </w:r>
            <w:r>
              <w:rPr>
                <w:rFonts w:hint="eastAsia" w:ascii="Times New Roman" w:hAnsi="Times New Roman"/>
                <w:sz w:val="21"/>
                <w:szCs w:val="21"/>
                <w:highlight w:val="none"/>
              </w:rPr>
              <w:t>（</w:t>
            </w:r>
            <w:r>
              <w:rPr>
                <w:rFonts w:ascii="Times New Roman" w:hAnsi="Times New Roman"/>
                <w:sz w:val="21"/>
                <w:szCs w:val="21"/>
                <w:highlight w:val="none"/>
              </w:rPr>
              <w:t>HJ 2.2-2018</w:t>
            </w:r>
            <w:r>
              <w:rPr>
                <w:rFonts w:hint="eastAsia" w:ascii="Times New Roman" w:hAnsi="Times New Roman"/>
                <w:sz w:val="21"/>
                <w:szCs w:val="21"/>
                <w:highlight w:val="none"/>
              </w:rPr>
              <w:t>）</w:t>
            </w:r>
            <w:r>
              <w:rPr>
                <w:rFonts w:ascii="Times New Roman" w:hAnsi="Times New Roman"/>
                <w:sz w:val="21"/>
                <w:szCs w:val="21"/>
                <w:highlight w:val="none"/>
              </w:rPr>
              <w:t xml:space="preserve"> 附录D</w:t>
            </w:r>
          </w:p>
        </w:tc>
      </w:tr>
      <w:tr w14:paraId="3C9F09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370" w:type="dxa"/>
            <w:tcBorders>
              <w:tl2br w:val="nil"/>
              <w:tr2bl w:val="nil"/>
            </w:tcBorders>
            <w:noWrap w:val="0"/>
            <w:vAlign w:val="center"/>
          </w:tcPr>
          <w:p w14:paraId="63861ADA">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PM</w:t>
            </w:r>
            <w:r>
              <w:rPr>
                <w:rFonts w:hint="default" w:ascii="Times New Roman" w:hAnsi="Times New Roman" w:eastAsia="宋体" w:cs="Times New Roman"/>
                <w:b w:val="0"/>
                <w:sz w:val="21"/>
                <w:szCs w:val="21"/>
                <w:highlight w:val="none"/>
                <w:vertAlign w:val="subscript"/>
              </w:rPr>
              <w:t>10</w:t>
            </w:r>
          </w:p>
        </w:tc>
        <w:tc>
          <w:tcPr>
            <w:tcW w:w="1199" w:type="dxa"/>
            <w:tcBorders>
              <w:tl2br w:val="nil"/>
              <w:tr2bl w:val="nil"/>
            </w:tcBorders>
            <w:noWrap w:val="0"/>
            <w:vAlign w:val="center"/>
          </w:tcPr>
          <w:p w14:paraId="69AD2AAF">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二类限区</w:t>
            </w:r>
          </w:p>
        </w:tc>
        <w:tc>
          <w:tcPr>
            <w:tcW w:w="1142" w:type="dxa"/>
            <w:tcBorders>
              <w:tl2br w:val="nil"/>
              <w:tr2bl w:val="nil"/>
            </w:tcBorders>
            <w:noWrap w:val="0"/>
            <w:vAlign w:val="center"/>
          </w:tcPr>
          <w:p w14:paraId="493A0448">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日均</w:t>
            </w:r>
          </w:p>
        </w:tc>
        <w:tc>
          <w:tcPr>
            <w:tcW w:w="1337" w:type="dxa"/>
            <w:tcBorders>
              <w:tl2br w:val="nil"/>
              <w:tr2bl w:val="nil"/>
            </w:tcBorders>
            <w:noWrap w:val="0"/>
            <w:vAlign w:val="center"/>
          </w:tcPr>
          <w:p w14:paraId="10822011">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150.0</w:t>
            </w:r>
          </w:p>
        </w:tc>
        <w:tc>
          <w:tcPr>
            <w:tcW w:w="4232" w:type="dxa"/>
            <w:tcBorders>
              <w:tl2br w:val="nil"/>
              <w:tr2bl w:val="nil"/>
            </w:tcBorders>
            <w:noWrap w:val="0"/>
            <w:vAlign w:val="center"/>
          </w:tcPr>
          <w:p w14:paraId="6B981F43">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环境空气质量标准(GB 3095-2012)</w:t>
            </w:r>
          </w:p>
        </w:tc>
      </w:tr>
      <w:tr w14:paraId="09A76E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370" w:type="dxa"/>
            <w:tcBorders>
              <w:tl2br w:val="nil"/>
              <w:tr2bl w:val="nil"/>
            </w:tcBorders>
            <w:noWrap w:val="0"/>
            <w:vAlign w:val="center"/>
          </w:tcPr>
          <w:p w14:paraId="15BDBC11">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SO</w:t>
            </w:r>
            <w:r>
              <w:rPr>
                <w:rFonts w:hint="default" w:ascii="Times New Roman" w:hAnsi="Times New Roman" w:eastAsia="宋体" w:cs="Times New Roman"/>
                <w:b w:val="0"/>
                <w:sz w:val="21"/>
                <w:szCs w:val="21"/>
                <w:highlight w:val="none"/>
                <w:vertAlign w:val="subscript"/>
              </w:rPr>
              <w:t>2</w:t>
            </w:r>
          </w:p>
        </w:tc>
        <w:tc>
          <w:tcPr>
            <w:tcW w:w="1199" w:type="dxa"/>
            <w:tcBorders>
              <w:tl2br w:val="nil"/>
              <w:tr2bl w:val="nil"/>
            </w:tcBorders>
            <w:noWrap w:val="0"/>
            <w:vAlign w:val="center"/>
          </w:tcPr>
          <w:p w14:paraId="22FC9715">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二类限区</w:t>
            </w:r>
          </w:p>
        </w:tc>
        <w:tc>
          <w:tcPr>
            <w:tcW w:w="1142" w:type="dxa"/>
            <w:tcBorders>
              <w:tl2br w:val="nil"/>
              <w:tr2bl w:val="nil"/>
            </w:tcBorders>
            <w:noWrap w:val="0"/>
            <w:vAlign w:val="center"/>
          </w:tcPr>
          <w:p w14:paraId="17E77D0F">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一小时</w:t>
            </w:r>
          </w:p>
        </w:tc>
        <w:tc>
          <w:tcPr>
            <w:tcW w:w="1337" w:type="dxa"/>
            <w:tcBorders>
              <w:tl2br w:val="nil"/>
              <w:tr2bl w:val="nil"/>
            </w:tcBorders>
            <w:noWrap w:val="0"/>
            <w:vAlign w:val="center"/>
          </w:tcPr>
          <w:p w14:paraId="3151989B">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500.0</w:t>
            </w:r>
          </w:p>
        </w:tc>
        <w:tc>
          <w:tcPr>
            <w:tcW w:w="4232" w:type="dxa"/>
            <w:tcBorders>
              <w:tl2br w:val="nil"/>
              <w:tr2bl w:val="nil"/>
            </w:tcBorders>
            <w:noWrap w:val="0"/>
            <w:vAlign w:val="center"/>
          </w:tcPr>
          <w:p w14:paraId="668CAA7B">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环境空气质量标准(GB 3095-2012)</w:t>
            </w:r>
          </w:p>
        </w:tc>
      </w:tr>
      <w:tr w14:paraId="6603222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370" w:type="dxa"/>
            <w:tcBorders>
              <w:tl2br w:val="nil"/>
              <w:tr2bl w:val="nil"/>
            </w:tcBorders>
            <w:noWrap w:val="0"/>
            <w:vAlign w:val="center"/>
          </w:tcPr>
          <w:p w14:paraId="127DCE36">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NOx</w:t>
            </w:r>
          </w:p>
        </w:tc>
        <w:tc>
          <w:tcPr>
            <w:tcW w:w="1199" w:type="dxa"/>
            <w:tcBorders>
              <w:tl2br w:val="nil"/>
              <w:tr2bl w:val="nil"/>
            </w:tcBorders>
            <w:noWrap w:val="0"/>
            <w:vAlign w:val="center"/>
          </w:tcPr>
          <w:p w14:paraId="2425DBBC">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二类限区</w:t>
            </w:r>
          </w:p>
        </w:tc>
        <w:tc>
          <w:tcPr>
            <w:tcW w:w="1142" w:type="dxa"/>
            <w:tcBorders>
              <w:tl2br w:val="nil"/>
              <w:tr2bl w:val="nil"/>
            </w:tcBorders>
            <w:noWrap w:val="0"/>
            <w:vAlign w:val="center"/>
          </w:tcPr>
          <w:p w14:paraId="28B2F322">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一小时</w:t>
            </w:r>
          </w:p>
        </w:tc>
        <w:tc>
          <w:tcPr>
            <w:tcW w:w="1337" w:type="dxa"/>
            <w:tcBorders>
              <w:tl2br w:val="nil"/>
              <w:tr2bl w:val="nil"/>
            </w:tcBorders>
            <w:noWrap w:val="0"/>
            <w:vAlign w:val="center"/>
          </w:tcPr>
          <w:p w14:paraId="66CEE7F3">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250.0</w:t>
            </w:r>
          </w:p>
        </w:tc>
        <w:tc>
          <w:tcPr>
            <w:tcW w:w="4232" w:type="dxa"/>
            <w:tcBorders>
              <w:tl2br w:val="nil"/>
              <w:tr2bl w:val="nil"/>
            </w:tcBorders>
            <w:noWrap w:val="0"/>
            <w:vAlign w:val="center"/>
          </w:tcPr>
          <w:p w14:paraId="1DF8D508">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环境空气质量标准(GB 3095-2012)</w:t>
            </w:r>
          </w:p>
        </w:tc>
      </w:tr>
    </w:tbl>
    <w:p w14:paraId="346927E8">
      <w:pPr>
        <w:pStyle w:val="216"/>
        <w:rPr>
          <w:rFonts w:hint="default" w:ascii="Times New Roman" w:hAnsi="Times New Roman" w:eastAsia="宋体" w:cs="Times New Roman"/>
          <w:snapToGrid w:val="0"/>
          <w:color w:val="auto"/>
          <w:sz w:val="24"/>
          <w:szCs w:val="32"/>
          <w:highlight w:val="none"/>
        </w:rPr>
      </w:pPr>
      <w:r>
        <w:rPr>
          <w:rFonts w:hint="default" w:ascii="Times New Roman" w:hAnsi="Times New Roman" w:eastAsia="黑体" w:cs="Times New Roman"/>
          <w:b w:val="0"/>
          <w:bCs/>
          <w:smallCaps w:val="0"/>
          <w:kern w:val="2"/>
          <w:sz w:val="21"/>
          <w:szCs w:val="24"/>
          <w:highlight w:val="none"/>
          <w:lang w:val="en-US"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4-3  估算模型参数表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443"/>
        <w:gridCol w:w="144"/>
        <w:gridCol w:w="3161"/>
        <w:gridCol w:w="2672"/>
      </w:tblGrid>
      <w:tr w14:paraId="48CD6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670" w:type="dxa"/>
            <w:gridSpan w:val="3"/>
            <w:vAlign w:val="center"/>
          </w:tcPr>
          <w:p w14:paraId="3477B47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参数</w:t>
            </w:r>
          </w:p>
        </w:tc>
        <w:tc>
          <w:tcPr>
            <w:tcW w:w="2636" w:type="dxa"/>
            <w:vAlign w:val="center"/>
          </w:tcPr>
          <w:p w14:paraId="218C698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取值</w:t>
            </w:r>
          </w:p>
        </w:tc>
      </w:tr>
      <w:tr w14:paraId="066E54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552" w:type="dxa"/>
            <w:gridSpan w:val="2"/>
            <w:vMerge w:val="restart"/>
            <w:vAlign w:val="center"/>
          </w:tcPr>
          <w:p w14:paraId="0F16138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城市/农村选项</w:t>
            </w:r>
          </w:p>
        </w:tc>
        <w:tc>
          <w:tcPr>
            <w:tcW w:w="3118" w:type="dxa"/>
            <w:vAlign w:val="center"/>
          </w:tcPr>
          <w:p w14:paraId="75CD2F3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城市/农村</w:t>
            </w:r>
          </w:p>
        </w:tc>
        <w:tc>
          <w:tcPr>
            <w:tcW w:w="2636" w:type="dxa"/>
            <w:vAlign w:val="center"/>
          </w:tcPr>
          <w:p w14:paraId="6A4839F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农村</w:t>
            </w:r>
          </w:p>
        </w:tc>
      </w:tr>
      <w:tr w14:paraId="62664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552" w:type="dxa"/>
            <w:gridSpan w:val="2"/>
            <w:vMerge w:val="continue"/>
            <w:vAlign w:val="center"/>
          </w:tcPr>
          <w:p w14:paraId="6C194C45">
            <w:pPr>
              <w:pStyle w:val="152"/>
              <w:rPr>
                <w:rFonts w:hint="default" w:ascii="Times New Roman" w:hAnsi="Times New Roman" w:eastAsia="宋体" w:cs="Times New Roman"/>
                <w:color w:val="auto"/>
                <w:highlight w:val="none"/>
              </w:rPr>
            </w:pPr>
          </w:p>
        </w:tc>
        <w:tc>
          <w:tcPr>
            <w:tcW w:w="3118" w:type="dxa"/>
            <w:vAlign w:val="center"/>
          </w:tcPr>
          <w:p w14:paraId="014D6B8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人口数（城市选项时）</w:t>
            </w:r>
          </w:p>
        </w:tc>
        <w:tc>
          <w:tcPr>
            <w:tcW w:w="2636" w:type="dxa"/>
            <w:vAlign w:val="center"/>
          </w:tcPr>
          <w:p w14:paraId="4656B98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6FB90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670" w:type="dxa"/>
            <w:gridSpan w:val="3"/>
            <w:vAlign w:val="center"/>
          </w:tcPr>
          <w:p w14:paraId="5DE9F19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最高环境温度/℃</w:t>
            </w:r>
          </w:p>
        </w:tc>
        <w:tc>
          <w:tcPr>
            <w:tcW w:w="2636" w:type="dxa"/>
            <w:vAlign w:val="center"/>
          </w:tcPr>
          <w:p w14:paraId="5BA4FC22">
            <w:pPr>
              <w:jc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37.5</w:t>
            </w:r>
          </w:p>
        </w:tc>
      </w:tr>
      <w:tr w14:paraId="04060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670" w:type="dxa"/>
            <w:gridSpan w:val="3"/>
            <w:vAlign w:val="center"/>
          </w:tcPr>
          <w:p w14:paraId="30B15CB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最低环境温度/℃</w:t>
            </w:r>
          </w:p>
        </w:tc>
        <w:tc>
          <w:tcPr>
            <w:tcW w:w="2636" w:type="dxa"/>
            <w:vAlign w:val="center"/>
          </w:tcPr>
          <w:p w14:paraId="63E95B9D">
            <w:pPr>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zh-CN" w:eastAsia="zh-CN" w:bidi="ar-SA"/>
              </w:rPr>
              <w:t>-</w:t>
            </w:r>
            <w:r>
              <w:rPr>
                <w:rFonts w:hint="eastAsia" w:ascii="Times New Roman" w:hAnsi="Times New Roman" w:cs="Times New Roman"/>
                <w:color w:val="auto"/>
                <w:kern w:val="0"/>
                <w:sz w:val="21"/>
                <w:szCs w:val="24"/>
                <w:highlight w:val="none"/>
                <w:lang w:val="en-US" w:eastAsia="zh-CN" w:bidi="ar-SA"/>
              </w:rPr>
              <w:t>38.4</w:t>
            </w:r>
          </w:p>
        </w:tc>
      </w:tr>
      <w:tr w14:paraId="19F7D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670" w:type="dxa"/>
            <w:gridSpan w:val="3"/>
            <w:vAlign w:val="center"/>
          </w:tcPr>
          <w:p w14:paraId="154B2E0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土地利用类型</w:t>
            </w:r>
          </w:p>
        </w:tc>
        <w:tc>
          <w:tcPr>
            <w:tcW w:w="2636" w:type="dxa"/>
            <w:vAlign w:val="center"/>
          </w:tcPr>
          <w:p w14:paraId="1D5A2DF3">
            <w:pPr>
              <w:jc w:val="center"/>
              <w:rPr>
                <w:rFonts w:hint="default" w:ascii="Times New Roman" w:hAnsi="Times New Roman" w:eastAsia="宋体" w:cs="Times New Roman"/>
                <w:color w:val="auto"/>
                <w:kern w:val="0"/>
                <w:sz w:val="21"/>
                <w:szCs w:val="24"/>
                <w:highlight w:val="none"/>
                <w:lang w:val="zh-CN" w:eastAsia="zh-CN" w:bidi="ar-SA"/>
              </w:rPr>
            </w:pPr>
            <w:r>
              <w:rPr>
                <w:rFonts w:hint="eastAsia" w:ascii="Times New Roman" w:hAnsi="Times New Roman" w:cs="Times New Roman"/>
                <w:color w:val="auto"/>
                <w:kern w:val="0"/>
                <w:sz w:val="21"/>
                <w:szCs w:val="24"/>
                <w:highlight w:val="none"/>
                <w:lang w:val="en-US" w:eastAsia="zh-CN" w:bidi="ar-SA"/>
              </w:rPr>
              <w:t>阔叶林</w:t>
            </w:r>
          </w:p>
        </w:tc>
      </w:tr>
      <w:tr w14:paraId="281322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670" w:type="dxa"/>
            <w:gridSpan w:val="3"/>
            <w:vAlign w:val="center"/>
          </w:tcPr>
          <w:p w14:paraId="40BE7B6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区域湿度条件</w:t>
            </w:r>
          </w:p>
        </w:tc>
        <w:tc>
          <w:tcPr>
            <w:tcW w:w="2636" w:type="dxa"/>
            <w:vAlign w:val="center"/>
          </w:tcPr>
          <w:p w14:paraId="431D2A73">
            <w:pPr>
              <w:jc w:val="center"/>
              <w:rPr>
                <w:rFonts w:hint="default" w:ascii="Times New Roman" w:hAnsi="Times New Roman" w:eastAsia="宋体" w:cs="Times New Roman"/>
                <w:color w:val="auto"/>
                <w:kern w:val="0"/>
                <w:sz w:val="21"/>
                <w:szCs w:val="24"/>
                <w:highlight w:val="none"/>
                <w:lang w:val="zh-CN" w:eastAsia="zh-CN" w:bidi="ar-SA"/>
              </w:rPr>
            </w:pPr>
            <w:r>
              <w:rPr>
                <w:rFonts w:hint="default" w:ascii="Times New Roman" w:hAnsi="Times New Roman" w:eastAsia="宋体" w:cs="Times New Roman"/>
                <w:color w:val="auto"/>
                <w:kern w:val="0"/>
                <w:sz w:val="21"/>
                <w:szCs w:val="24"/>
                <w:highlight w:val="none"/>
                <w:lang w:val="zh-CN" w:eastAsia="zh-CN" w:bidi="ar-SA"/>
              </w:rPr>
              <w:t>潮湿</w:t>
            </w:r>
          </w:p>
        </w:tc>
      </w:tr>
      <w:tr w14:paraId="1D6DFD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410" w:type="dxa"/>
            <w:vMerge w:val="restart"/>
            <w:vAlign w:val="center"/>
          </w:tcPr>
          <w:p w14:paraId="3707337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是否考虑地形</w:t>
            </w:r>
          </w:p>
        </w:tc>
        <w:tc>
          <w:tcPr>
            <w:tcW w:w="3260" w:type="dxa"/>
            <w:gridSpan w:val="2"/>
            <w:vAlign w:val="center"/>
          </w:tcPr>
          <w:p w14:paraId="3BAA70A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考虑地形</w:t>
            </w:r>
          </w:p>
        </w:tc>
        <w:tc>
          <w:tcPr>
            <w:tcW w:w="2636" w:type="dxa"/>
            <w:vAlign w:val="center"/>
          </w:tcPr>
          <w:p w14:paraId="128088D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   口否</w:t>
            </w:r>
          </w:p>
        </w:tc>
      </w:tr>
      <w:tr w14:paraId="464A2D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410" w:type="dxa"/>
            <w:vMerge w:val="continue"/>
            <w:vAlign w:val="center"/>
          </w:tcPr>
          <w:p w14:paraId="394B94CC">
            <w:pPr>
              <w:pStyle w:val="152"/>
              <w:rPr>
                <w:rFonts w:hint="default" w:ascii="Times New Roman" w:hAnsi="Times New Roman" w:eastAsia="宋体" w:cs="Times New Roman"/>
                <w:color w:val="auto"/>
                <w:highlight w:val="none"/>
              </w:rPr>
            </w:pPr>
          </w:p>
        </w:tc>
        <w:tc>
          <w:tcPr>
            <w:tcW w:w="3260" w:type="dxa"/>
            <w:gridSpan w:val="2"/>
            <w:vAlign w:val="center"/>
          </w:tcPr>
          <w:p w14:paraId="02584CB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地形数据分辨率/m</w:t>
            </w:r>
          </w:p>
        </w:tc>
        <w:tc>
          <w:tcPr>
            <w:tcW w:w="2636" w:type="dxa"/>
            <w:vAlign w:val="center"/>
          </w:tcPr>
          <w:p w14:paraId="75CD663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03806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410" w:type="dxa"/>
            <w:vMerge w:val="restart"/>
            <w:vAlign w:val="center"/>
          </w:tcPr>
          <w:p w14:paraId="0065125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是否考虑岸线熏烟</w:t>
            </w:r>
          </w:p>
        </w:tc>
        <w:tc>
          <w:tcPr>
            <w:tcW w:w="3260" w:type="dxa"/>
            <w:gridSpan w:val="2"/>
            <w:vAlign w:val="center"/>
          </w:tcPr>
          <w:p w14:paraId="3A6048F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岸线距离/km</w:t>
            </w:r>
          </w:p>
        </w:tc>
        <w:tc>
          <w:tcPr>
            <w:tcW w:w="2636" w:type="dxa"/>
            <w:vAlign w:val="center"/>
          </w:tcPr>
          <w:p w14:paraId="2E904F3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口是    √否</w:t>
            </w:r>
          </w:p>
        </w:tc>
      </w:tr>
      <w:tr w14:paraId="470B3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410" w:type="dxa"/>
            <w:vMerge w:val="continue"/>
            <w:vAlign w:val="center"/>
          </w:tcPr>
          <w:p w14:paraId="2B732CCF">
            <w:pPr>
              <w:pStyle w:val="152"/>
              <w:rPr>
                <w:rFonts w:hint="default" w:ascii="Times New Roman" w:hAnsi="Times New Roman" w:eastAsia="宋体" w:cs="Times New Roman"/>
                <w:color w:val="auto"/>
                <w:highlight w:val="none"/>
              </w:rPr>
            </w:pPr>
          </w:p>
        </w:tc>
        <w:tc>
          <w:tcPr>
            <w:tcW w:w="3260" w:type="dxa"/>
            <w:gridSpan w:val="2"/>
            <w:vAlign w:val="center"/>
          </w:tcPr>
          <w:p w14:paraId="232E232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岸线放心/°</w:t>
            </w:r>
          </w:p>
        </w:tc>
        <w:tc>
          <w:tcPr>
            <w:tcW w:w="2636" w:type="dxa"/>
            <w:vAlign w:val="center"/>
          </w:tcPr>
          <w:p w14:paraId="0CC45CD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14:paraId="053BF862">
      <w:pPr>
        <w:adjustRightInd w:val="0"/>
        <w:snapToGrid w:val="0"/>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snapToGrid w:val="0"/>
          <w:kern w:val="0"/>
          <w:sz w:val="24"/>
          <w:highlight w:val="none"/>
          <w:lang w:val="zh-CN"/>
        </w:rPr>
        <w:t>综合以上分析，</w:t>
      </w:r>
      <w:r>
        <w:rPr>
          <w:rFonts w:hint="default" w:ascii="Times New Roman" w:hAnsi="Times New Roman" w:eastAsia="宋体" w:cs="Times New Roman"/>
          <w:snapToGrid w:val="0"/>
          <w:color w:val="auto"/>
          <w:highlight w:val="none"/>
        </w:rPr>
        <w:t>本项目Pmax最大值出现为</w:t>
      </w:r>
      <w:r>
        <w:rPr>
          <w:rFonts w:hint="eastAsia" w:ascii="Times New Roman" w:hAnsi="Times New Roman" w:cs="Times New Roman"/>
          <w:snapToGrid w:val="0"/>
          <w:color w:val="auto"/>
          <w:highlight w:val="none"/>
          <w:lang w:val="en-US" w:eastAsia="zh-CN"/>
        </w:rPr>
        <w:t>猪舍H</w:t>
      </w:r>
      <w:r>
        <w:rPr>
          <w:rFonts w:hint="eastAsia" w:ascii="Times New Roman" w:hAnsi="Times New Roman" w:cs="Times New Roman"/>
          <w:snapToGrid w:val="0"/>
          <w:color w:val="auto"/>
          <w:highlight w:val="none"/>
          <w:vertAlign w:val="subscript"/>
          <w:lang w:val="en-US" w:eastAsia="zh-CN"/>
        </w:rPr>
        <w:t>2</w:t>
      </w:r>
      <w:r>
        <w:rPr>
          <w:rFonts w:hint="eastAsia" w:ascii="Times New Roman" w:hAnsi="Times New Roman" w:cs="Times New Roman"/>
          <w:snapToGrid w:val="0"/>
          <w:color w:val="auto"/>
          <w:highlight w:val="none"/>
          <w:lang w:val="en-US" w:eastAsia="zh-CN"/>
        </w:rPr>
        <w:t>S Pmax</w:t>
      </w:r>
      <w:r>
        <w:rPr>
          <w:rFonts w:hint="default" w:ascii="Times New Roman" w:hAnsi="Times New Roman" w:eastAsia="宋体" w:cs="Times New Roman"/>
          <w:snapToGrid w:val="0"/>
          <w:color w:val="auto"/>
          <w:highlight w:val="none"/>
        </w:rPr>
        <w:t>值为</w:t>
      </w:r>
      <w:r>
        <w:rPr>
          <w:rFonts w:hint="eastAsia" w:ascii="Times New Roman" w:hAnsi="Times New Roman" w:cs="Times New Roman"/>
          <w:snapToGrid w:val="0"/>
          <w:color w:val="auto"/>
          <w:highlight w:val="none"/>
          <w:lang w:val="en-US" w:eastAsia="zh-CN"/>
        </w:rPr>
        <w:t>7.37%</w:t>
      </w:r>
      <w:r>
        <w:rPr>
          <w:rFonts w:hint="default" w:ascii="Times New Roman" w:hAnsi="Times New Roman" w:eastAsia="宋体" w:cs="Times New Roman"/>
          <w:snapToGrid w:val="0"/>
          <w:color w:val="auto"/>
          <w:highlight w:val="none"/>
        </w:rPr>
        <w:t>，Cmax为</w:t>
      </w:r>
      <w:r>
        <w:rPr>
          <w:rFonts w:hint="eastAsia" w:ascii="Times New Roman" w:hAnsi="Times New Roman" w:cs="Times New Roman"/>
          <w:snapToGrid w:val="0"/>
          <w:color w:val="auto"/>
          <w:highlight w:val="none"/>
          <w:lang w:val="en-US" w:eastAsia="zh-CN"/>
        </w:rPr>
        <w:t>0.737</w:t>
      </w:r>
      <w:r>
        <w:rPr>
          <w:rFonts w:hint="default" w:ascii="Times New Roman" w:hAnsi="Times New Roman" w:eastAsia="宋体" w:cs="Times New Roman"/>
          <w:snapToGrid w:val="0"/>
          <w:color w:val="auto"/>
          <w:highlight w:val="none"/>
        </w:rPr>
        <w:t>μg/m³。</w:t>
      </w:r>
      <w:r>
        <w:rPr>
          <w:rFonts w:hint="default" w:ascii="Times New Roman" w:hAnsi="Times New Roman" w:cs="Times New Roman"/>
          <w:sz w:val="24"/>
          <w:highlight w:val="none"/>
        </w:rPr>
        <w:t>根据《环境影响评价技术导则 大气环境》（HJ2.2-2018）分级判据，确定本项目大气环境影响评价工作等级为二级。</w:t>
      </w:r>
    </w:p>
    <w:p w14:paraId="0B11946F">
      <w:pPr>
        <w:pStyle w:val="2"/>
        <w:rPr>
          <w:rFonts w:hint="default" w:ascii="Times New Roman" w:hAnsi="Times New Roman" w:cs="Times New Roman"/>
          <w:color w:val="auto"/>
          <w:highlight w:val="none"/>
          <w:lang w:val="zh-CN"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B2ABB5A">
      <w:pPr>
        <w:pStyle w:val="216"/>
        <w:rPr>
          <w:rFonts w:hint="default" w:ascii="Times New Roman" w:hAnsi="Times New Roman" w:eastAsia="宋体" w:cs="Times New Roman"/>
          <w:snapToGrid w:val="0"/>
          <w:color w:val="auto"/>
          <w:sz w:val="24"/>
          <w:szCs w:val="32"/>
          <w:highlight w:val="none"/>
        </w:rPr>
      </w:pPr>
      <w:r>
        <w:rPr>
          <w:rFonts w:hint="default" w:ascii="Times New Roman" w:hAnsi="Times New Roman" w:eastAsia="黑体" w:cs="Times New Roman"/>
          <w:b w:val="0"/>
          <w:bCs/>
          <w:smallCaps w:val="0"/>
          <w:kern w:val="2"/>
          <w:sz w:val="21"/>
          <w:szCs w:val="24"/>
          <w:highlight w:val="none"/>
          <w:lang w:val="en-US"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eastAsia" w:ascii="Times New Roman" w:hAnsi="Times New Roman" w:eastAsia="黑体" w:cs="Times New Roman"/>
          <w:b w:val="0"/>
          <w:bCs/>
          <w:smallCaps w:val="0"/>
          <w:kern w:val="2"/>
          <w:sz w:val="21"/>
          <w:szCs w:val="24"/>
          <w:highlight w:val="none"/>
          <w:lang w:val="en-US" w:eastAsia="zh-CN" w:bidi="ar-SA"/>
        </w:rPr>
        <w:t>4</w:t>
      </w:r>
      <w:r>
        <w:rPr>
          <w:rFonts w:hint="default" w:ascii="Times New Roman" w:hAnsi="Times New Roman" w:eastAsia="黑体" w:cs="Times New Roman"/>
          <w:b w:val="0"/>
          <w:bCs/>
          <w:smallCaps w:val="0"/>
          <w:kern w:val="2"/>
          <w:sz w:val="21"/>
          <w:szCs w:val="24"/>
          <w:highlight w:val="none"/>
          <w:lang w:val="en-US" w:eastAsia="zh-CN" w:bidi="ar-SA"/>
        </w:rPr>
        <w:t xml:space="preserve">  正常工况下</w:t>
      </w:r>
      <w:r>
        <w:rPr>
          <w:rFonts w:hint="eastAsia" w:ascii="Times New Roman" w:hAnsi="Times New Roman" w:eastAsia="黑体" w:cs="Times New Roman"/>
          <w:b w:val="0"/>
          <w:bCs/>
          <w:smallCaps w:val="0"/>
          <w:kern w:val="2"/>
          <w:sz w:val="21"/>
          <w:szCs w:val="24"/>
          <w:highlight w:val="none"/>
          <w:lang w:val="en-US" w:eastAsia="zh-CN" w:bidi="ar-SA"/>
        </w:rPr>
        <w:t>无组织</w:t>
      </w:r>
      <w:r>
        <w:rPr>
          <w:rFonts w:hint="default" w:ascii="Times New Roman" w:hAnsi="Times New Roman" w:eastAsia="黑体" w:cs="Times New Roman"/>
          <w:b w:val="0"/>
          <w:bCs/>
          <w:smallCaps w:val="0"/>
          <w:kern w:val="2"/>
          <w:sz w:val="21"/>
          <w:szCs w:val="24"/>
          <w:highlight w:val="none"/>
          <w:lang w:val="en-US" w:eastAsia="zh-CN" w:bidi="ar-SA"/>
        </w:rPr>
        <w:t>污染源预测参数表</w:t>
      </w:r>
    </w:p>
    <w:tbl>
      <w:tblPr>
        <w:tblStyle w:val="48"/>
        <w:tblW w:w="1381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5"/>
        <w:gridCol w:w="1438"/>
        <w:gridCol w:w="1586"/>
        <w:gridCol w:w="1535"/>
        <w:gridCol w:w="1340"/>
        <w:gridCol w:w="1340"/>
        <w:gridCol w:w="1342"/>
        <w:gridCol w:w="1535"/>
        <w:gridCol w:w="1537"/>
      </w:tblGrid>
      <w:tr w14:paraId="22E2E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165" w:type="dxa"/>
            <w:vMerge w:val="restart"/>
            <w:tcBorders>
              <w:tl2br w:val="nil"/>
              <w:tr2bl w:val="nil"/>
            </w:tcBorders>
            <w:vAlign w:val="center"/>
          </w:tcPr>
          <w:p w14:paraId="36B95E8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污染源名称</w:t>
            </w:r>
          </w:p>
        </w:tc>
        <w:tc>
          <w:tcPr>
            <w:tcW w:w="3024" w:type="dxa"/>
            <w:gridSpan w:val="2"/>
            <w:tcBorders>
              <w:tl2br w:val="nil"/>
              <w:tr2bl w:val="nil"/>
            </w:tcBorders>
            <w:vAlign w:val="center"/>
          </w:tcPr>
          <w:p w14:paraId="244E14B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坐标(°)</w:t>
            </w:r>
          </w:p>
        </w:tc>
        <w:tc>
          <w:tcPr>
            <w:tcW w:w="1535" w:type="dxa"/>
            <w:vMerge w:val="restart"/>
            <w:tcBorders>
              <w:tl2br w:val="nil"/>
              <w:tr2bl w:val="nil"/>
            </w:tcBorders>
            <w:vAlign w:val="center"/>
          </w:tcPr>
          <w:p w14:paraId="560D0AE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海拔高度(m)</w:t>
            </w:r>
          </w:p>
        </w:tc>
        <w:tc>
          <w:tcPr>
            <w:tcW w:w="4022" w:type="dxa"/>
            <w:gridSpan w:val="3"/>
            <w:tcBorders>
              <w:tl2br w:val="nil"/>
              <w:tr2bl w:val="nil"/>
            </w:tcBorders>
            <w:vAlign w:val="center"/>
          </w:tcPr>
          <w:p w14:paraId="0F5E20E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矩形面源</w:t>
            </w:r>
          </w:p>
        </w:tc>
        <w:tc>
          <w:tcPr>
            <w:tcW w:w="3072" w:type="dxa"/>
            <w:gridSpan w:val="2"/>
            <w:tcBorders>
              <w:tl2br w:val="nil"/>
              <w:tr2bl w:val="nil"/>
            </w:tcBorders>
            <w:vAlign w:val="center"/>
          </w:tcPr>
          <w:p w14:paraId="19CBC34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污染物排放速率(kg/h)</w:t>
            </w:r>
          </w:p>
        </w:tc>
      </w:tr>
      <w:tr w14:paraId="59597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2165" w:type="dxa"/>
            <w:vMerge w:val="continue"/>
            <w:tcBorders>
              <w:tl2br w:val="nil"/>
              <w:tr2bl w:val="nil"/>
            </w:tcBorders>
            <w:vAlign w:val="center"/>
          </w:tcPr>
          <w:p w14:paraId="4186A9AE">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p>
        </w:tc>
        <w:tc>
          <w:tcPr>
            <w:tcW w:w="1438" w:type="dxa"/>
            <w:tcBorders>
              <w:tl2br w:val="nil"/>
              <w:tr2bl w:val="nil"/>
            </w:tcBorders>
            <w:vAlign w:val="center"/>
          </w:tcPr>
          <w:p w14:paraId="5B6CE83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经度</w:t>
            </w:r>
          </w:p>
        </w:tc>
        <w:tc>
          <w:tcPr>
            <w:tcW w:w="1586" w:type="dxa"/>
            <w:tcBorders>
              <w:tl2br w:val="nil"/>
              <w:tr2bl w:val="nil"/>
            </w:tcBorders>
            <w:vAlign w:val="center"/>
          </w:tcPr>
          <w:p w14:paraId="20177D6E">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纬度</w:t>
            </w:r>
          </w:p>
        </w:tc>
        <w:tc>
          <w:tcPr>
            <w:tcW w:w="1535" w:type="dxa"/>
            <w:vMerge w:val="continue"/>
            <w:tcBorders>
              <w:tl2br w:val="nil"/>
              <w:tr2bl w:val="nil"/>
            </w:tcBorders>
            <w:vAlign w:val="center"/>
          </w:tcPr>
          <w:p w14:paraId="6016B7E0">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p>
        </w:tc>
        <w:tc>
          <w:tcPr>
            <w:tcW w:w="1340" w:type="dxa"/>
            <w:tcBorders>
              <w:tl2br w:val="nil"/>
              <w:tr2bl w:val="nil"/>
            </w:tcBorders>
            <w:vAlign w:val="center"/>
          </w:tcPr>
          <w:p w14:paraId="27FB836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长度(m)</w:t>
            </w:r>
          </w:p>
        </w:tc>
        <w:tc>
          <w:tcPr>
            <w:tcW w:w="1340" w:type="dxa"/>
            <w:tcBorders>
              <w:tl2br w:val="nil"/>
              <w:tr2bl w:val="nil"/>
            </w:tcBorders>
            <w:vAlign w:val="center"/>
          </w:tcPr>
          <w:p w14:paraId="52852C4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宽度(m)</w:t>
            </w:r>
          </w:p>
        </w:tc>
        <w:tc>
          <w:tcPr>
            <w:tcW w:w="1342" w:type="dxa"/>
            <w:tcBorders>
              <w:tl2br w:val="nil"/>
              <w:tr2bl w:val="nil"/>
            </w:tcBorders>
            <w:vAlign w:val="center"/>
          </w:tcPr>
          <w:p w14:paraId="2831926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有效高度(m)</w:t>
            </w:r>
          </w:p>
        </w:tc>
        <w:tc>
          <w:tcPr>
            <w:tcW w:w="1535" w:type="dxa"/>
            <w:tcBorders>
              <w:tl2br w:val="nil"/>
              <w:tr2bl w:val="nil"/>
            </w:tcBorders>
            <w:vAlign w:val="center"/>
          </w:tcPr>
          <w:p w14:paraId="3D2D5610">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H</w:t>
            </w:r>
            <w:r>
              <w:rPr>
                <w:rFonts w:ascii="Times New Roman" w:hAnsi="Times New Roman" w:eastAsia="宋体" w:cs="Times New Roman"/>
                <w:sz w:val="21"/>
                <w:szCs w:val="21"/>
                <w:highlight w:val="none"/>
                <w:vertAlign w:val="subscript"/>
              </w:rPr>
              <w:t>2</w:t>
            </w:r>
            <w:r>
              <w:rPr>
                <w:rFonts w:ascii="Times New Roman" w:hAnsi="Times New Roman" w:eastAsia="宋体" w:cs="Times New Roman"/>
                <w:sz w:val="21"/>
                <w:szCs w:val="21"/>
                <w:highlight w:val="none"/>
              </w:rPr>
              <w:t>S</w:t>
            </w:r>
          </w:p>
        </w:tc>
        <w:tc>
          <w:tcPr>
            <w:tcW w:w="1537" w:type="dxa"/>
            <w:tcBorders>
              <w:tl2br w:val="nil"/>
              <w:tr2bl w:val="nil"/>
            </w:tcBorders>
            <w:vAlign w:val="center"/>
          </w:tcPr>
          <w:p w14:paraId="5DFC846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NH</w:t>
            </w:r>
            <w:r>
              <w:rPr>
                <w:rFonts w:ascii="Times New Roman" w:hAnsi="Times New Roman" w:eastAsia="宋体" w:cs="Times New Roman"/>
                <w:sz w:val="21"/>
                <w:szCs w:val="21"/>
                <w:highlight w:val="none"/>
                <w:vertAlign w:val="subscript"/>
              </w:rPr>
              <w:t>3</w:t>
            </w:r>
          </w:p>
        </w:tc>
      </w:tr>
      <w:tr w14:paraId="75ABE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165" w:type="dxa"/>
            <w:tcBorders>
              <w:tl2br w:val="nil"/>
              <w:tr2bl w:val="nil"/>
            </w:tcBorders>
            <w:vAlign w:val="center"/>
          </w:tcPr>
          <w:p w14:paraId="2626489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猪</w:t>
            </w:r>
            <w:r>
              <w:rPr>
                <w:rFonts w:hint="default" w:ascii="Times New Roman" w:hAnsi="Times New Roman" w:eastAsia="宋体" w:cs="Times New Roman"/>
                <w:sz w:val="21"/>
                <w:szCs w:val="21"/>
                <w:highlight w:val="none"/>
              </w:rPr>
              <w:t>舍</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干粪堆积场</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废水处理区</w:t>
            </w:r>
          </w:p>
        </w:tc>
        <w:tc>
          <w:tcPr>
            <w:tcW w:w="1438" w:type="dxa"/>
            <w:tcBorders>
              <w:tl2br w:val="nil"/>
              <w:tr2bl w:val="nil"/>
            </w:tcBorders>
            <w:vAlign w:val="center"/>
          </w:tcPr>
          <w:p w14:paraId="1DCD3555">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132.176390</w:t>
            </w:r>
          </w:p>
        </w:tc>
        <w:tc>
          <w:tcPr>
            <w:tcW w:w="1586" w:type="dxa"/>
            <w:tcBorders>
              <w:tl2br w:val="nil"/>
              <w:tr2bl w:val="nil"/>
            </w:tcBorders>
            <w:vAlign w:val="center"/>
          </w:tcPr>
          <w:p w14:paraId="507D8E6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45.568743</w:t>
            </w:r>
          </w:p>
        </w:tc>
        <w:tc>
          <w:tcPr>
            <w:tcW w:w="1535" w:type="dxa"/>
            <w:tcBorders>
              <w:tl2br w:val="nil"/>
              <w:tr2bl w:val="nil"/>
            </w:tcBorders>
            <w:vAlign w:val="center"/>
          </w:tcPr>
          <w:p w14:paraId="1095136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151.58</w:t>
            </w:r>
          </w:p>
        </w:tc>
        <w:tc>
          <w:tcPr>
            <w:tcW w:w="1340" w:type="dxa"/>
            <w:tcBorders>
              <w:tl2br w:val="nil"/>
              <w:tr2bl w:val="nil"/>
            </w:tcBorders>
            <w:vAlign w:val="center"/>
          </w:tcPr>
          <w:p w14:paraId="48B1018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210</w:t>
            </w:r>
          </w:p>
        </w:tc>
        <w:tc>
          <w:tcPr>
            <w:tcW w:w="1340" w:type="dxa"/>
            <w:tcBorders>
              <w:tl2br w:val="nil"/>
              <w:tr2bl w:val="nil"/>
            </w:tcBorders>
            <w:vAlign w:val="center"/>
          </w:tcPr>
          <w:p w14:paraId="765A8D5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80</w:t>
            </w:r>
          </w:p>
        </w:tc>
        <w:tc>
          <w:tcPr>
            <w:tcW w:w="1342" w:type="dxa"/>
            <w:tcBorders>
              <w:tl2br w:val="nil"/>
              <w:tr2bl w:val="nil"/>
            </w:tcBorders>
            <w:vAlign w:val="center"/>
          </w:tcPr>
          <w:p w14:paraId="7ADA2CE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2.5</w:t>
            </w:r>
          </w:p>
        </w:tc>
        <w:tc>
          <w:tcPr>
            <w:tcW w:w="1535" w:type="dxa"/>
            <w:tcBorders>
              <w:tl2br w:val="nil"/>
              <w:tr2bl w:val="nil"/>
            </w:tcBorders>
            <w:vAlign w:val="center"/>
          </w:tcPr>
          <w:p w14:paraId="48C4ED4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0.0025</w:t>
            </w:r>
          </w:p>
        </w:tc>
        <w:tc>
          <w:tcPr>
            <w:tcW w:w="1537" w:type="dxa"/>
            <w:tcBorders>
              <w:tl2br w:val="nil"/>
              <w:tr2bl w:val="nil"/>
            </w:tcBorders>
            <w:vAlign w:val="center"/>
          </w:tcPr>
          <w:p w14:paraId="39ABC64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cs="Times New Roman"/>
                <w:color w:val="auto"/>
                <w:sz w:val="21"/>
                <w:szCs w:val="21"/>
                <w:highlight w:val="none"/>
                <w:lang w:val="en-US" w:eastAsia="zh-CN"/>
              </w:rPr>
              <w:t>0.0177</w:t>
            </w:r>
          </w:p>
        </w:tc>
      </w:tr>
    </w:tbl>
    <w:p w14:paraId="116F5F1D">
      <w:pPr>
        <w:pStyle w:val="216"/>
        <w:rPr>
          <w:rFonts w:hint="default" w:ascii="Times New Roman" w:hAnsi="Times New Roman" w:eastAsia="黑体" w:cs="Times New Roman"/>
          <w:b w:val="0"/>
          <w:bCs/>
          <w:smallCaps w:val="0"/>
          <w:kern w:val="2"/>
          <w:sz w:val="21"/>
          <w:szCs w:val="24"/>
          <w:highlight w:val="none"/>
          <w:lang w:val="zh-CN" w:eastAsia="zh-CN" w:bidi="ar-SA"/>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default" w:ascii="Times New Roman" w:hAnsi="Times New Roman" w:eastAsia="黑体" w:cs="Times New Roman"/>
          <w:b w:val="0"/>
          <w:bCs/>
          <w:smallCaps w:val="0"/>
          <w:kern w:val="2"/>
          <w:sz w:val="21"/>
          <w:szCs w:val="24"/>
          <w:highlight w:val="none"/>
          <w:lang w:val="zh-CN" w:eastAsia="zh-CN" w:bidi="ar-SA"/>
        </w:rPr>
        <w:t>-</w:t>
      </w:r>
      <w:r>
        <w:rPr>
          <w:rFonts w:hint="eastAsia" w:ascii="Times New Roman" w:hAnsi="Times New Roman" w:eastAsia="黑体" w:cs="Times New Roman"/>
          <w:b w:val="0"/>
          <w:bCs/>
          <w:smallCaps w:val="0"/>
          <w:kern w:val="2"/>
          <w:sz w:val="21"/>
          <w:szCs w:val="24"/>
          <w:highlight w:val="none"/>
          <w:lang w:val="en-US" w:eastAsia="zh-CN" w:bidi="ar-SA"/>
        </w:rPr>
        <w:t>5</w:t>
      </w:r>
      <w:r>
        <w:rPr>
          <w:rFonts w:hint="eastAsia" w:ascii="Times New Roman" w:hAnsi="Times New Roman" w:eastAsia="黑体" w:cs="Times New Roman"/>
          <w:b w:val="0"/>
          <w:bCs/>
          <w:smallCaps w:val="0"/>
          <w:kern w:val="2"/>
          <w:sz w:val="21"/>
          <w:szCs w:val="24"/>
          <w:highlight w:val="none"/>
          <w:lang w:val="zh-CN" w:eastAsia="zh-CN" w:bidi="ar-SA"/>
        </w:rPr>
        <w:t xml:space="preserve">  正常工况下有组织污染源预测参数表</w:t>
      </w:r>
    </w:p>
    <w:tbl>
      <w:tblPr>
        <w:tblStyle w:val="48"/>
        <w:tblW w:w="138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380"/>
        <w:gridCol w:w="1222"/>
        <w:gridCol w:w="1034"/>
        <w:gridCol w:w="902"/>
        <w:gridCol w:w="640"/>
        <w:gridCol w:w="640"/>
        <w:gridCol w:w="771"/>
        <w:gridCol w:w="902"/>
        <w:gridCol w:w="1165"/>
        <w:gridCol w:w="1165"/>
        <w:gridCol w:w="1034"/>
        <w:gridCol w:w="1034"/>
        <w:gridCol w:w="1034"/>
      </w:tblGrid>
      <w:tr w14:paraId="3F1D99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93" w:type="dxa"/>
            <w:vMerge w:val="restart"/>
            <w:tcBorders>
              <w:tl2br w:val="nil"/>
              <w:tr2bl w:val="nil"/>
            </w:tcBorders>
            <w:vAlign w:val="center"/>
          </w:tcPr>
          <w:p w14:paraId="43E9F72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污染源名称</w:t>
            </w:r>
          </w:p>
        </w:tc>
        <w:tc>
          <w:tcPr>
            <w:tcW w:w="2602" w:type="dxa"/>
            <w:gridSpan w:val="2"/>
            <w:tcBorders>
              <w:tl2br w:val="nil"/>
              <w:tr2bl w:val="nil"/>
            </w:tcBorders>
            <w:vAlign w:val="center"/>
          </w:tcPr>
          <w:p w14:paraId="7DC46B9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火炬源底部坐标(°)</w:t>
            </w:r>
          </w:p>
        </w:tc>
        <w:tc>
          <w:tcPr>
            <w:tcW w:w="1034" w:type="dxa"/>
            <w:vMerge w:val="restart"/>
            <w:tcBorders>
              <w:tl2br w:val="nil"/>
              <w:tr2bl w:val="nil"/>
            </w:tcBorders>
            <w:vAlign w:val="center"/>
          </w:tcPr>
          <w:p w14:paraId="1F7C96F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底部海拔高度(m)</w:t>
            </w:r>
          </w:p>
        </w:tc>
        <w:tc>
          <w:tcPr>
            <w:tcW w:w="902" w:type="dxa"/>
            <w:vMerge w:val="restart"/>
            <w:tcBorders>
              <w:tl2br w:val="nil"/>
              <w:tr2bl w:val="nil"/>
            </w:tcBorders>
            <w:vAlign w:val="center"/>
          </w:tcPr>
          <w:p w14:paraId="396D532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火炬高度(m)</w:t>
            </w:r>
          </w:p>
        </w:tc>
        <w:tc>
          <w:tcPr>
            <w:tcW w:w="640" w:type="dxa"/>
            <w:vMerge w:val="restart"/>
            <w:tcBorders>
              <w:tl2br w:val="nil"/>
              <w:tr2bl w:val="nil"/>
            </w:tcBorders>
            <w:vAlign w:val="center"/>
          </w:tcPr>
          <w:p w14:paraId="65C0F750">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火炬等效高度(m)</w:t>
            </w:r>
          </w:p>
        </w:tc>
        <w:tc>
          <w:tcPr>
            <w:tcW w:w="640" w:type="dxa"/>
            <w:vMerge w:val="restart"/>
            <w:tcBorders>
              <w:tl2br w:val="nil"/>
              <w:tr2bl w:val="nil"/>
            </w:tcBorders>
            <w:vAlign w:val="center"/>
          </w:tcPr>
          <w:p w14:paraId="0947B7A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等效出口内径(m)</w:t>
            </w:r>
          </w:p>
        </w:tc>
        <w:tc>
          <w:tcPr>
            <w:tcW w:w="771" w:type="dxa"/>
            <w:vMerge w:val="restart"/>
            <w:tcBorders>
              <w:tl2br w:val="nil"/>
              <w:tr2bl w:val="nil"/>
            </w:tcBorders>
            <w:vAlign w:val="center"/>
          </w:tcPr>
          <w:p w14:paraId="61F0D52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烟气温度(℃)</w:t>
            </w:r>
          </w:p>
        </w:tc>
        <w:tc>
          <w:tcPr>
            <w:tcW w:w="902" w:type="dxa"/>
            <w:vMerge w:val="restart"/>
            <w:tcBorders>
              <w:tl2br w:val="nil"/>
              <w:tr2bl w:val="nil"/>
            </w:tcBorders>
            <w:vAlign w:val="center"/>
          </w:tcPr>
          <w:p w14:paraId="4B16998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等效烟气流速(m/s)</w:t>
            </w:r>
          </w:p>
        </w:tc>
        <w:tc>
          <w:tcPr>
            <w:tcW w:w="1165" w:type="dxa"/>
            <w:vMerge w:val="restart"/>
            <w:tcBorders>
              <w:tl2br w:val="nil"/>
              <w:tr2bl w:val="nil"/>
            </w:tcBorders>
            <w:vAlign w:val="center"/>
          </w:tcPr>
          <w:p w14:paraId="116135B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辐射热损失(cal/s)</w:t>
            </w:r>
          </w:p>
        </w:tc>
        <w:tc>
          <w:tcPr>
            <w:tcW w:w="1165" w:type="dxa"/>
            <w:vMerge w:val="restart"/>
            <w:tcBorders>
              <w:tl2br w:val="nil"/>
              <w:tr2bl w:val="nil"/>
            </w:tcBorders>
            <w:vAlign w:val="center"/>
          </w:tcPr>
          <w:p w14:paraId="46C4677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总热释放速率(cal/s)</w:t>
            </w:r>
          </w:p>
        </w:tc>
        <w:tc>
          <w:tcPr>
            <w:tcW w:w="3102" w:type="dxa"/>
            <w:gridSpan w:val="3"/>
            <w:tcBorders>
              <w:tl2br w:val="nil"/>
              <w:tr2bl w:val="nil"/>
            </w:tcBorders>
            <w:vAlign w:val="center"/>
          </w:tcPr>
          <w:p w14:paraId="6446598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污染物排放速率(kg/h)</w:t>
            </w:r>
          </w:p>
        </w:tc>
      </w:tr>
      <w:tr w14:paraId="71E3E4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93" w:type="dxa"/>
            <w:vMerge w:val="continue"/>
            <w:tcBorders>
              <w:tl2br w:val="nil"/>
              <w:tr2bl w:val="nil"/>
            </w:tcBorders>
            <w:vAlign w:val="center"/>
          </w:tcPr>
          <w:p w14:paraId="03EC344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1380" w:type="dxa"/>
            <w:tcBorders>
              <w:tl2br w:val="nil"/>
              <w:tr2bl w:val="nil"/>
            </w:tcBorders>
            <w:vAlign w:val="center"/>
          </w:tcPr>
          <w:p w14:paraId="7C0515C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经度</w:t>
            </w:r>
          </w:p>
        </w:tc>
        <w:tc>
          <w:tcPr>
            <w:tcW w:w="1222" w:type="dxa"/>
            <w:tcBorders>
              <w:tl2br w:val="nil"/>
              <w:tr2bl w:val="nil"/>
            </w:tcBorders>
            <w:vAlign w:val="center"/>
          </w:tcPr>
          <w:p w14:paraId="1193DAF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纬度</w:t>
            </w:r>
          </w:p>
        </w:tc>
        <w:tc>
          <w:tcPr>
            <w:tcW w:w="1034" w:type="dxa"/>
            <w:vMerge w:val="continue"/>
            <w:tcBorders>
              <w:tl2br w:val="nil"/>
              <w:tr2bl w:val="nil"/>
            </w:tcBorders>
            <w:vAlign w:val="center"/>
          </w:tcPr>
          <w:p w14:paraId="6E79263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902" w:type="dxa"/>
            <w:vMerge w:val="continue"/>
            <w:tcBorders>
              <w:tl2br w:val="nil"/>
              <w:tr2bl w:val="nil"/>
            </w:tcBorders>
            <w:vAlign w:val="center"/>
          </w:tcPr>
          <w:p w14:paraId="2EAF027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640" w:type="dxa"/>
            <w:vMerge w:val="continue"/>
            <w:tcBorders>
              <w:tl2br w:val="nil"/>
              <w:tr2bl w:val="nil"/>
            </w:tcBorders>
            <w:vAlign w:val="center"/>
          </w:tcPr>
          <w:p w14:paraId="0C508B5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640" w:type="dxa"/>
            <w:vMerge w:val="continue"/>
            <w:tcBorders>
              <w:tl2br w:val="nil"/>
              <w:tr2bl w:val="nil"/>
            </w:tcBorders>
            <w:vAlign w:val="center"/>
          </w:tcPr>
          <w:p w14:paraId="5873F3C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771" w:type="dxa"/>
            <w:vMerge w:val="continue"/>
            <w:tcBorders>
              <w:tl2br w:val="nil"/>
              <w:tr2bl w:val="nil"/>
            </w:tcBorders>
            <w:vAlign w:val="center"/>
          </w:tcPr>
          <w:p w14:paraId="4E97856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902" w:type="dxa"/>
            <w:vMerge w:val="continue"/>
            <w:tcBorders>
              <w:tl2br w:val="nil"/>
              <w:tr2bl w:val="nil"/>
            </w:tcBorders>
            <w:vAlign w:val="center"/>
          </w:tcPr>
          <w:p w14:paraId="3DA65F7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1165" w:type="dxa"/>
            <w:vMerge w:val="continue"/>
            <w:tcBorders>
              <w:tl2br w:val="nil"/>
              <w:tr2bl w:val="nil"/>
            </w:tcBorders>
            <w:vAlign w:val="center"/>
          </w:tcPr>
          <w:p w14:paraId="3A9B7AB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1165" w:type="dxa"/>
            <w:vMerge w:val="continue"/>
            <w:tcBorders>
              <w:tl2br w:val="nil"/>
              <w:tr2bl w:val="nil"/>
            </w:tcBorders>
            <w:vAlign w:val="center"/>
          </w:tcPr>
          <w:p w14:paraId="32EBFAF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1034" w:type="dxa"/>
            <w:tcBorders>
              <w:tl2br w:val="nil"/>
              <w:tr2bl w:val="nil"/>
            </w:tcBorders>
            <w:vAlign w:val="center"/>
          </w:tcPr>
          <w:p w14:paraId="313A8BD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NOx</w:t>
            </w:r>
          </w:p>
        </w:tc>
        <w:tc>
          <w:tcPr>
            <w:tcW w:w="1034" w:type="dxa"/>
            <w:tcBorders>
              <w:tl2br w:val="nil"/>
              <w:tr2bl w:val="nil"/>
            </w:tcBorders>
            <w:vAlign w:val="center"/>
          </w:tcPr>
          <w:p w14:paraId="46D970E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SO</w:t>
            </w:r>
            <w:r>
              <w:rPr>
                <w:rFonts w:hint="eastAsia" w:ascii="Times New Roman" w:hAnsi="Times New Roman" w:eastAsia="宋体" w:cs="Times New Roman"/>
                <w:sz w:val="21"/>
                <w:szCs w:val="21"/>
                <w:highlight w:val="none"/>
                <w:vertAlign w:val="subscript"/>
                <w:lang w:val="en-US" w:eastAsia="zh-CN"/>
              </w:rPr>
              <w:t>2</w:t>
            </w:r>
          </w:p>
        </w:tc>
        <w:tc>
          <w:tcPr>
            <w:tcW w:w="1034" w:type="dxa"/>
            <w:tcBorders>
              <w:tl2br w:val="nil"/>
              <w:tr2bl w:val="nil"/>
            </w:tcBorders>
            <w:vAlign w:val="center"/>
          </w:tcPr>
          <w:p w14:paraId="3AEBE64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PM</w:t>
            </w:r>
            <w:r>
              <w:rPr>
                <w:rFonts w:hint="eastAsia" w:ascii="Times New Roman" w:hAnsi="Times New Roman" w:eastAsia="宋体" w:cs="Times New Roman"/>
                <w:sz w:val="21"/>
                <w:szCs w:val="21"/>
                <w:highlight w:val="none"/>
                <w:vertAlign w:val="subscript"/>
                <w:lang w:val="en-US" w:eastAsia="zh-CN"/>
              </w:rPr>
              <w:t>10</w:t>
            </w:r>
          </w:p>
        </w:tc>
      </w:tr>
      <w:tr w14:paraId="6697B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93" w:type="dxa"/>
            <w:tcBorders>
              <w:tl2br w:val="nil"/>
              <w:tr2bl w:val="nil"/>
            </w:tcBorders>
            <w:vAlign w:val="center"/>
          </w:tcPr>
          <w:p w14:paraId="1536FA9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火炬源</w:t>
            </w:r>
          </w:p>
        </w:tc>
        <w:tc>
          <w:tcPr>
            <w:tcW w:w="1380" w:type="dxa"/>
            <w:tcBorders>
              <w:tl2br w:val="nil"/>
              <w:tr2bl w:val="nil"/>
            </w:tcBorders>
            <w:vAlign w:val="center"/>
          </w:tcPr>
          <w:p w14:paraId="5AA245D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132.177050</w:t>
            </w:r>
          </w:p>
        </w:tc>
        <w:tc>
          <w:tcPr>
            <w:tcW w:w="1222" w:type="dxa"/>
            <w:tcBorders>
              <w:tl2br w:val="nil"/>
              <w:tr2bl w:val="nil"/>
            </w:tcBorders>
            <w:vAlign w:val="center"/>
          </w:tcPr>
          <w:p w14:paraId="51C8734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45.569645</w:t>
            </w:r>
          </w:p>
        </w:tc>
        <w:tc>
          <w:tcPr>
            <w:tcW w:w="1034" w:type="dxa"/>
            <w:tcBorders>
              <w:tl2br w:val="nil"/>
              <w:tr2bl w:val="nil"/>
            </w:tcBorders>
            <w:vAlign w:val="center"/>
          </w:tcPr>
          <w:p w14:paraId="227990C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147.74</w:t>
            </w:r>
          </w:p>
        </w:tc>
        <w:tc>
          <w:tcPr>
            <w:tcW w:w="902" w:type="dxa"/>
            <w:tcBorders>
              <w:tl2br w:val="nil"/>
              <w:tr2bl w:val="nil"/>
            </w:tcBorders>
            <w:vAlign w:val="center"/>
          </w:tcPr>
          <w:p w14:paraId="537B8E3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10.00</w:t>
            </w:r>
          </w:p>
        </w:tc>
        <w:tc>
          <w:tcPr>
            <w:tcW w:w="640" w:type="dxa"/>
            <w:tcBorders>
              <w:tl2br w:val="nil"/>
              <w:tr2bl w:val="nil"/>
            </w:tcBorders>
            <w:vAlign w:val="center"/>
          </w:tcPr>
          <w:p w14:paraId="2524CA4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10</w:t>
            </w:r>
          </w:p>
        </w:tc>
        <w:tc>
          <w:tcPr>
            <w:tcW w:w="640" w:type="dxa"/>
            <w:tcBorders>
              <w:tl2br w:val="nil"/>
              <w:tr2bl w:val="nil"/>
            </w:tcBorders>
            <w:vAlign w:val="center"/>
          </w:tcPr>
          <w:p w14:paraId="7279A56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w:t>
            </w:r>
          </w:p>
        </w:tc>
        <w:tc>
          <w:tcPr>
            <w:tcW w:w="771" w:type="dxa"/>
            <w:tcBorders>
              <w:tl2br w:val="nil"/>
              <w:tr2bl w:val="nil"/>
            </w:tcBorders>
            <w:vAlign w:val="center"/>
          </w:tcPr>
          <w:p w14:paraId="185B3D0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80</w:t>
            </w:r>
          </w:p>
        </w:tc>
        <w:tc>
          <w:tcPr>
            <w:tcW w:w="902" w:type="dxa"/>
            <w:tcBorders>
              <w:tl2br w:val="nil"/>
              <w:tr2bl w:val="nil"/>
            </w:tcBorders>
            <w:vAlign w:val="center"/>
          </w:tcPr>
          <w:p w14:paraId="0627FBAE">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11.2</w:t>
            </w:r>
          </w:p>
        </w:tc>
        <w:tc>
          <w:tcPr>
            <w:tcW w:w="1165" w:type="dxa"/>
            <w:tcBorders>
              <w:tl2br w:val="nil"/>
              <w:tr2bl w:val="nil"/>
            </w:tcBorders>
            <w:vAlign w:val="center"/>
          </w:tcPr>
          <w:p w14:paraId="7DBAA5E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0.55</w:t>
            </w:r>
          </w:p>
        </w:tc>
        <w:tc>
          <w:tcPr>
            <w:tcW w:w="1165" w:type="dxa"/>
            <w:tcBorders>
              <w:tl2br w:val="nil"/>
              <w:tr2bl w:val="nil"/>
            </w:tcBorders>
            <w:vAlign w:val="center"/>
          </w:tcPr>
          <w:p w14:paraId="6735B2C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50.00</w:t>
            </w:r>
          </w:p>
        </w:tc>
        <w:tc>
          <w:tcPr>
            <w:tcW w:w="1034" w:type="dxa"/>
            <w:tcBorders>
              <w:tl2br w:val="nil"/>
              <w:tr2bl w:val="nil"/>
            </w:tcBorders>
            <w:vAlign w:val="center"/>
          </w:tcPr>
          <w:p w14:paraId="4145DD6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lang w:val="en-US" w:eastAsia="zh-CN"/>
              </w:rPr>
              <w:t>0.0036</w:t>
            </w:r>
          </w:p>
        </w:tc>
        <w:tc>
          <w:tcPr>
            <w:tcW w:w="1034" w:type="dxa"/>
            <w:tcBorders>
              <w:tl2br w:val="nil"/>
              <w:tr2bl w:val="nil"/>
            </w:tcBorders>
            <w:vAlign w:val="center"/>
          </w:tcPr>
          <w:p w14:paraId="287F9D8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lang w:val="en-US" w:eastAsia="zh-CN"/>
              </w:rPr>
              <w:t>0.000087</w:t>
            </w:r>
          </w:p>
        </w:tc>
        <w:tc>
          <w:tcPr>
            <w:tcW w:w="1034" w:type="dxa"/>
            <w:tcBorders>
              <w:tl2br w:val="nil"/>
              <w:tr2bl w:val="nil"/>
            </w:tcBorders>
            <w:vAlign w:val="center"/>
          </w:tcPr>
          <w:p w14:paraId="2BABA38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lang w:val="en-US" w:eastAsia="zh-CN"/>
              </w:rPr>
              <w:t>0.00037</w:t>
            </w:r>
          </w:p>
        </w:tc>
      </w:tr>
    </w:tbl>
    <w:p w14:paraId="4BBDE6C2">
      <w:pPr>
        <w:pStyle w:val="216"/>
        <w:jc w:val="center"/>
        <w:rPr>
          <w:rFonts w:hint="default" w:ascii="Times New Roman" w:hAnsi="Times New Roman" w:eastAsia="黑体" w:cs="Times New Roman"/>
          <w:b w:val="0"/>
          <w:bCs/>
          <w:smallCaps w:val="0"/>
          <w:kern w:val="2"/>
          <w:sz w:val="21"/>
          <w:szCs w:val="24"/>
          <w:highlight w:val="none"/>
          <w:lang w:val="en-US" w:eastAsia="zh-CN" w:bidi="ar-SA"/>
        </w:rPr>
      </w:pPr>
      <w:r>
        <w:rPr>
          <w:rFonts w:hint="eastAsia" w:ascii="Times New Roman" w:hAnsi="Times New Roman" w:eastAsia="黑体" w:cs="Times New Roman"/>
          <w:b w:val="0"/>
          <w:bCs/>
          <w:smallCaps w:val="0"/>
          <w:kern w:val="2"/>
          <w:sz w:val="21"/>
          <w:szCs w:val="24"/>
          <w:highlight w:val="none"/>
          <w:lang w:val="en-US" w:eastAsia="zh-CN" w:bidi="ar-SA"/>
        </w:rPr>
        <w:t>续表</w:t>
      </w:r>
      <w:r>
        <w:rPr>
          <w:rFonts w:hint="default" w:ascii="Times New Roman" w:hAnsi="Times New Roman" w:eastAsia="黑体" w:cs="Times New Roman"/>
          <w:b w:val="0"/>
          <w:bCs/>
          <w:smallCaps w:val="0"/>
          <w:kern w:val="2"/>
          <w:sz w:val="21"/>
          <w:szCs w:val="24"/>
          <w:highlight w:val="none"/>
          <w:lang w:val="zh-CN" w:eastAsia="zh-CN" w:bidi="ar-SA"/>
        </w:rPr>
        <w:t>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default" w:ascii="Times New Roman" w:hAnsi="Times New Roman" w:eastAsia="黑体" w:cs="Times New Roman"/>
          <w:b w:val="0"/>
          <w:bCs/>
          <w:smallCaps w:val="0"/>
          <w:kern w:val="2"/>
          <w:sz w:val="21"/>
          <w:szCs w:val="24"/>
          <w:highlight w:val="none"/>
          <w:lang w:val="zh-CN" w:eastAsia="zh-CN" w:bidi="ar-SA"/>
        </w:rPr>
        <w:t>-</w:t>
      </w:r>
      <w:r>
        <w:rPr>
          <w:rFonts w:hint="eastAsia" w:ascii="Times New Roman" w:hAnsi="Times New Roman" w:eastAsia="黑体" w:cs="Times New Roman"/>
          <w:b w:val="0"/>
          <w:bCs/>
          <w:smallCaps w:val="0"/>
          <w:kern w:val="2"/>
          <w:sz w:val="21"/>
          <w:szCs w:val="24"/>
          <w:highlight w:val="none"/>
          <w:lang w:val="en-US" w:eastAsia="zh-CN" w:bidi="ar-SA"/>
        </w:rPr>
        <w:t>5</w:t>
      </w:r>
      <w:r>
        <w:rPr>
          <w:rFonts w:hint="eastAsia" w:ascii="Times New Roman" w:hAnsi="Times New Roman" w:eastAsia="黑体" w:cs="Times New Roman"/>
          <w:b w:val="0"/>
          <w:bCs/>
          <w:smallCaps w:val="0"/>
          <w:kern w:val="2"/>
          <w:sz w:val="21"/>
          <w:szCs w:val="24"/>
          <w:highlight w:val="none"/>
          <w:lang w:val="zh-CN" w:eastAsia="zh-CN" w:bidi="ar-SA"/>
        </w:rPr>
        <w:t xml:space="preserve">  正常工况下有组织污染源预测参数表</w:t>
      </w:r>
    </w:p>
    <w:tbl>
      <w:tblPr>
        <w:tblStyle w:val="48"/>
        <w:tblpPr w:leftFromText="180" w:rightFromText="180" w:vertAnchor="text" w:tblpX="-66" w:tblpY="1"/>
        <w:tblOverlap w:val="never"/>
        <w:tblW w:w="492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74"/>
        <w:gridCol w:w="980"/>
        <w:gridCol w:w="1580"/>
        <w:gridCol w:w="1582"/>
        <w:gridCol w:w="1456"/>
        <w:gridCol w:w="1039"/>
        <w:gridCol w:w="1200"/>
        <w:gridCol w:w="1178"/>
        <w:gridCol w:w="761"/>
        <w:gridCol w:w="739"/>
        <w:gridCol w:w="675"/>
        <w:gridCol w:w="1066"/>
        <w:gridCol w:w="1066"/>
      </w:tblGrid>
      <w:tr w14:paraId="17A19F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171" w:type="pct"/>
            <w:vMerge w:val="restart"/>
            <w:noWrap w:val="0"/>
            <w:vAlign w:val="center"/>
          </w:tcPr>
          <w:p w14:paraId="632722A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编号</w:t>
            </w:r>
          </w:p>
        </w:tc>
        <w:tc>
          <w:tcPr>
            <w:tcW w:w="355" w:type="pct"/>
            <w:vMerge w:val="restart"/>
            <w:noWrap w:val="0"/>
            <w:vAlign w:val="center"/>
          </w:tcPr>
          <w:p w14:paraId="2BB3651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名称</w:t>
            </w:r>
          </w:p>
        </w:tc>
        <w:tc>
          <w:tcPr>
            <w:tcW w:w="1146" w:type="pct"/>
            <w:gridSpan w:val="2"/>
            <w:noWrap w:val="0"/>
            <w:vAlign w:val="center"/>
          </w:tcPr>
          <w:p w14:paraId="4767D875">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排气筒底部中心坐标</w:t>
            </w:r>
            <w:r>
              <w:rPr>
                <w:rFonts w:hint="eastAsia" w:ascii="Times New Roman" w:hAnsi="Times New Roman" w:eastAsia="宋体" w:cs="Times New Roman"/>
                <w:sz w:val="21"/>
                <w:szCs w:val="21"/>
                <w:highlight w:val="none"/>
                <w:lang w:val="en-US" w:eastAsia="zh-CN"/>
              </w:rPr>
              <w:t>(°)</w:t>
            </w:r>
          </w:p>
        </w:tc>
        <w:tc>
          <w:tcPr>
            <w:tcW w:w="527" w:type="pct"/>
            <w:vMerge w:val="restart"/>
            <w:noWrap w:val="0"/>
            <w:vAlign w:val="center"/>
          </w:tcPr>
          <w:p w14:paraId="5CF8153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排气筒底部海拔（m）</w:t>
            </w:r>
          </w:p>
        </w:tc>
        <w:tc>
          <w:tcPr>
            <w:tcW w:w="376" w:type="pct"/>
            <w:vMerge w:val="restart"/>
            <w:noWrap w:val="0"/>
            <w:vAlign w:val="center"/>
          </w:tcPr>
          <w:p w14:paraId="40A07FF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排气筒高度（m）</w:t>
            </w:r>
          </w:p>
        </w:tc>
        <w:tc>
          <w:tcPr>
            <w:tcW w:w="434" w:type="pct"/>
            <w:vMerge w:val="restart"/>
            <w:noWrap w:val="0"/>
            <w:vAlign w:val="center"/>
          </w:tcPr>
          <w:p w14:paraId="0B7AA57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排气筒出口内径（m）</w:t>
            </w:r>
          </w:p>
        </w:tc>
        <w:tc>
          <w:tcPr>
            <w:tcW w:w="427" w:type="pct"/>
            <w:vMerge w:val="restart"/>
            <w:noWrap w:val="0"/>
            <w:vAlign w:val="center"/>
          </w:tcPr>
          <w:p w14:paraId="06E5823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烟气流速（m/s）</w:t>
            </w:r>
          </w:p>
        </w:tc>
        <w:tc>
          <w:tcPr>
            <w:tcW w:w="275" w:type="pct"/>
            <w:vMerge w:val="restart"/>
            <w:noWrap w:val="0"/>
            <w:vAlign w:val="center"/>
          </w:tcPr>
          <w:p w14:paraId="461F8DC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烟气温度</w:t>
            </w:r>
          </w:p>
          <w:p w14:paraId="43460165">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w:t>
            </w:r>
          </w:p>
        </w:tc>
        <w:tc>
          <w:tcPr>
            <w:tcW w:w="267" w:type="pct"/>
            <w:vMerge w:val="restart"/>
            <w:noWrap w:val="0"/>
            <w:vAlign w:val="center"/>
          </w:tcPr>
          <w:p w14:paraId="55414BD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年排放小时数（h）</w:t>
            </w:r>
          </w:p>
        </w:tc>
        <w:tc>
          <w:tcPr>
            <w:tcW w:w="244" w:type="pct"/>
            <w:vMerge w:val="restart"/>
            <w:noWrap w:val="0"/>
            <w:vAlign w:val="center"/>
          </w:tcPr>
          <w:p w14:paraId="3FBE4AE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排放工况</w:t>
            </w:r>
          </w:p>
        </w:tc>
        <w:tc>
          <w:tcPr>
            <w:tcW w:w="772" w:type="pct"/>
            <w:gridSpan w:val="2"/>
            <w:vMerge w:val="restart"/>
            <w:noWrap w:val="0"/>
            <w:vAlign w:val="center"/>
          </w:tcPr>
          <w:p w14:paraId="451EE8A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污染物排放速率（kg/h）</w:t>
            </w:r>
          </w:p>
        </w:tc>
      </w:tr>
      <w:tr w14:paraId="64125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72" w:hRule="atLeast"/>
        </w:trPr>
        <w:tc>
          <w:tcPr>
            <w:tcW w:w="171" w:type="pct"/>
            <w:vMerge w:val="continue"/>
            <w:noWrap w:val="0"/>
            <w:vAlign w:val="center"/>
          </w:tcPr>
          <w:p w14:paraId="7EE780B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355" w:type="pct"/>
            <w:vMerge w:val="continue"/>
            <w:noWrap w:val="0"/>
            <w:vAlign w:val="center"/>
          </w:tcPr>
          <w:p w14:paraId="3AB399F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572" w:type="pct"/>
            <w:vMerge w:val="restart"/>
            <w:noWrap w:val="0"/>
            <w:vAlign w:val="center"/>
          </w:tcPr>
          <w:p w14:paraId="2941B37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经度</w:t>
            </w:r>
          </w:p>
        </w:tc>
        <w:tc>
          <w:tcPr>
            <w:tcW w:w="573" w:type="pct"/>
            <w:vMerge w:val="restart"/>
            <w:noWrap w:val="0"/>
            <w:vAlign w:val="center"/>
          </w:tcPr>
          <w:p w14:paraId="3965A52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纬度</w:t>
            </w:r>
          </w:p>
        </w:tc>
        <w:tc>
          <w:tcPr>
            <w:tcW w:w="527" w:type="pct"/>
            <w:vMerge w:val="continue"/>
            <w:noWrap w:val="0"/>
            <w:vAlign w:val="center"/>
          </w:tcPr>
          <w:p w14:paraId="7C0E8A2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376" w:type="pct"/>
            <w:vMerge w:val="continue"/>
            <w:noWrap w:val="0"/>
            <w:vAlign w:val="center"/>
          </w:tcPr>
          <w:p w14:paraId="1EAB281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434" w:type="pct"/>
            <w:vMerge w:val="continue"/>
            <w:noWrap w:val="0"/>
            <w:vAlign w:val="center"/>
          </w:tcPr>
          <w:p w14:paraId="19E443D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427" w:type="pct"/>
            <w:vMerge w:val="continue"/>
            <w:noWrap w:val="0"/>
            <w:vAlign w:val="center"/>
          </w:tcPr>
          <w:p w14:paraId="0ECAF53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275" w:type="pct"/>
            <w:vMerge w:val="continue"/>
            <w:noWrap w:val="0"/>
            <w:vAlign w:val="center"/>
          </w:tcPr>
          <w:p w14:paraId="3A0EFE2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267" w:type="pct"/>
            <w:vMerge w:val="continue"/>
            <w:noWrap w:val="0"/>
            <w:vAlign w:val="center"/>
          </w:tcPr>
          <w:p w14:paraId="56E2730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244" w:type="pct"/>
            <w:vMerge w:val="continue"/>
            <w:noWrap w:val="0"/>
            <w:vAlign w:val="center"/>
          </w:tcPr>
          <w:p w14:paraId="2A6A9F70">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772" w:type="pct"/>
            <w:gridSpan w:val="2"/>
            <w:vMerge w:val="continue"/>
            <w:noWrap w:val="0"/>
            <w:vAlign w:val="center"/>
          </w:tcPr>
          <w:p w14:paraId="647E8CB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r>
      <w:tr w14:paraId="17AF2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3" w:hRule="atLeast"/>
        </w:trPr>
        <w:tc>
          <w:tcPr>
            <w:tcW w:w="171" w:type="pct"/>
            <w:vMerge w:val="continue"/>
            <w:noWrap w:val="0"/>
            <w:vAlign w:val="center"/>
          </w:tcPr>
          <w:p w14:paraId="11D0398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355" w:type="pct"/>
            <w:vMerge w:val="continue"/>
            <w:noWrap w:val="0"/>
            <w:vAlign w:val="center"/>
          </w:tcPr>
          <w:p w14:paraId="08AB0DEE">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572" w:type="pct"/>
            <w:vMerge w:val="continue"/>
            <w:noWrap w:val="0"/>
            <w:vAlign w:val="center"/>
          </w:tcPr>
          <w:p w14:paraId="3B4282F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573" w:type="pct"/>
            <w:vMerge w:val="continue"/>
            <w:noWrap w:val="0"/>
            <w:vAlign w:val="center"/>
          </w:tcPr>
          <w:p w14:paraId="0065D77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527" w:type="pct"/>
            <w:vMerge w:val="continue"/>
            <w:noWrap w:val="0"/>
            <w:vAlign w:val="center"/>
          </w:tcPr>
          <w:p w14:paraId="42FFE5D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376" w:type="pct"/>
            <w:vMerge w:val="continue"/>
            <w:noWrap w:val="0"/>
            <w:vAlign w:val="center"/>
          </w:tcPr>
          <w:p w14:paraId="5E5D347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434" w:type="pct"/>
            <w:vMerge w:val="continue"/>
            <w:noWrap w:val="0"/>
            <w:vAlign w:val="center"/>
          </w:tcPr>
          <w:p w14:paraId="56B2310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427" w:type="pct"/>
            <w:vMerge w:val="continue"/>
            <w:noWrap w:val="0"/>
            <w:vAlign w:val="center"/>
          </w:tcPr>
          <w:p w14:paraId="76F7CE5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275" w:type="pct"/>
            <w:vMerge w:val="continue"/>
            <w:noWrap w:val="0"/>
            <w:vAlign w:val="center"/>
          </w:tcPr>
          <w:p w14:paraId="75DF724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267" w:type="pct"/>
            <w:vMerge w:val="continue"/>
            <w:noWrap w:val="0"/>
            <w:vAlign w:val="center"/>
          </w:tcPr>
          <w:p w14:paraId="582BDF9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244" w:type="pct"/>
            <w:vMerge w:val="continue"/>
            <w:noWrap w:val="0"/>
            <w:vAlign w:val="center"/>
          </w:tcPr>
          <w:p w14:paraId="6BEC9F9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p>
        </w:tc>
        <w:tc>
          <w:tcPr>
            <w:tcW w:w="386" w:type="pct"/>
            <w:noWrap w:val="0"/>
            <w:vAlign w:val="center"/>
          </w:tcPr>
          <w:p w14:paraId="13F68C6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NH</w:t>
            </w:r>
            <w:r>
              <w:rPr>
                <w:rFonts w:hint="default" w:ascii="Times New Roman" w:hAnsi="Times New Roman" w:cs="Times New Roman"/>
                <w:sz w:val="21"/>
                <w:szCs w:val="21"/>
                <w:highlight w:val="none"/>
                <w:vertAlign w:val="subscript"/>
                <w:lang w:val="en-US" w:eastAsia="zh-CN"/>
              </w:rPr>
              <w:t>3</w:t>
            </w:r>
          </w:p>
        </w:tc>
        <w:tc>
          <w:tcPr>
            <w:tcW w:w="386" w:type="pct"/>
            <w:noWrap w:val="0"/>
            <w:vAlign w:val="center"/>
          </w:tcPr>
          <w:p w14:paraId="77119A8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H</w:t>
            </w:r>
            <w:r>
              <w:rPr>
                <w:rFonts w:hint="default" w:ascii="Times New Roman" w:hAnsi="Times New Roman" w:cs="Times New Roman"/>
                <w:sz w:val="21"/>
                <w:szCs w:val="21"/>
                <w:highlight w:val="none"/>
                <w:vertAlign w:val="subscript"/>
                <w:lang w:val="en-US" w:eastAsia="zh-CN"/>
              </w:rPr>
              <w:t>2</w:t>
            </w:r>
            <w:r>
              <w:rPr>
                <w:rFonts w:hint="default" w:ascii="Times New Roman" w:hAnsi="Times New Roman" w:cs="Times New Roman"/>
                <w:sz w:val="21"/>
                <w:szCs w:val="21"/>
                <w:highlight w:val="none"/>
                <w:lang w:val="en-US" w:eastAsia="zh-CN"/>
              </w:rPr>
              <w:t>S</w:t>
            </w:r>
          </w:p>
        </w:tc>
      </w:tr>
      <w:tr w14:paraId="45C8BA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71" w:type="pct"/>
            <w:noWrap w:val="0"/>
            <w:vAlign w:val="center"/>
          </w:tcPr>
          <w:p w14:paraId="3968AF3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w:t>
            </w:r>
          </w:p>
        </w:tc>
        <w:tc>
          <w:tcPr>
            <w:tcW w:w="355" w:type="pct"/>
            <w:noWrap w:val="0"/>
            <w:vAlign w:val="center"/>
          </w:tcPr>
          <w:p w14:paraId="3BA23F7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干粪堆积场排气筒</w:t>
            </w:r>
          </w:p>
        </w:tc>
        <w:tc>
          <w:tcPr>
            <w:tcW w:w="572" w:type="pct"/>
            <w:noWrap w:val="0"/>
            <w:vAlign w:val="center"/>
          </w:tcPr>
          <w:p w14:paraId="78B8C845">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132.177337</w:t>
            </w:r>
          </w:p>
        </w:tc>
        <w:tc>
          <w:tcPr>
            <w:tcW w:w="573" w:type="pct"/>
            <w:noWrap w:val="0"/>
            <w:vAlign w:val="center"/>
          </w:tcPr>
          <w:p w14:paraId="0F5B4E2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45.569074</w:t>
            </w:r>
          </w:p>
        </w:tc>
        <w:tc>
          <w:tcPr>
            <w:tcW w:w="527" w:type="pct"/>
            <w:noWrap w:val="0"/>
            <w:vAlign w:val="center"/>
          </w:tcPr>
          <w:p w14:paraId="498FAE0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145.04</w:t>
            </w:r>
          </w:p>
        </w:tc>
        <w:tc>
          <w:tcPr>
            <w:tcW w:w="376" w:type="pct"/>
            <w:noWrap w:val="0"/>
            <w:vAlign w:val="center"/>
          </w:tcPr>
          <w:p w14:paraId="074EEAD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15</w:t>
            </w:r>
          </w:p>
        </w:tc>
        <w:tc>
          <w:tcPr>
            <w:tcW w:w="434" w:type="pct"/>
            <w:noWrap w:val="0"/>
            <w:vAlign w:val="center"/>
          </w:tcPr>
          <w:p w14:paraId="2EE33E4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0.20</w:t>
            </w:r>
          </w:p>
        </w:tc>
        <w:tc>
          <w:tcPr>
            <w:tcW w:w="427" w:type="pct"/>
            <w:noWrap w:val="0"/>
            <w:vAlign w:val="center"/>
          </w:tcPr>
          <w:p w14:paraId="6B71D30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16</w:t>
            </w:r>
          </w:p>
        </w:tc>
        <w:tc>
          <w:tcPr>
            <w:tcW w:w="275" w:type="pct"/>
            <w:noWrap w:val="0"/>
            <w:vAlign w:val="center"/>
          </w:tcPr>
          <w:p w14:paraId="4E83B86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20</w:t>
            </w:r>
          </w:p>
        </w:tc>
        <w:tc>
          <w:tcPr>
            <w:tcW w:w="267" w:type="pct"/>
            <w:noWrap w:val="0"/>
            <w:vAlign w:val="center"/>
          </w:tcPr>
          <w:p w14:paraId="71A173C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8760</w:t>
            </w:r>
          </w:p>
        </w:tc>
        <w:tc>
          <w:tcPr>
            <w:tcW w:w="244" w:type="pct"/>
            <w:noWrap w:val="0"/>
            <w:vAlign w:val="center"/>
          </w:tcPr>
          <w:p w14:paraId="3DBB544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正常排放</w:t>
            </w:r>
          </w:p>
        </w:tc>
        <w:tc>
          <w:tcPr>
            <w:tcW w:w="386" w:type="pct"/>
            <w:noWrap w:val="0"/>
            <w:vAlign w:val="center"/>
          </w:tcPr>
          <w:p w14:paraId="292AD06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0.00735</w:t>
            </w:r>
          </w:p>
        </w:tc>
        <w:tc>
          <w:tcPr>
            <w:tcW w:w="386" w:type="pct"/>
            <w:noWrap w:val="0"/>
            <w:vAlign w:val="center"/>
          </w:tcPr>
          <w:p w14:paraId="1E644E8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0.000288</w:t>
            </w:r>
          </w:p>
        </w:tc>
      </w:tr>
    </w:tbl>
    <w:p w14:paraId="2F8C67D2">
      <w:pPr>
        <w:pStyle w:val="216"/>
        <w:jc w:val="center"/>
        <w:rPr>
          <w:rFonts w:hint="default" w:ascii="Times New Roman" w:hAnsi="Times New Roman" w:eastAsia="黑体" w:cs="Times New Roman"/>
          <w:b w:val="0"/>
          <w:bCs/>
          <w:smallCaps w:val="0"/>
          <w:kern w:val="2"/>
          <w:sz w:val="21"/>
          <w:szCs w:val="24"/>
          <w:highlight w:val="none"/>
          <w:lang w:val="zh-CN" w:eastAsia="zh-CN" w:bidi="ar-SA"/>
        </w:rPr>
      </w:pPr>
    </w:p>
    <w:p w14:paraId="48ACE6CA">
      <w:pPr>
        <w:pStyle w:val="216"/>
        <w:jc w:val="center"/>
        <w:rPr>
          <w:rFonts w:hint="default" w:ascii="Times New Roman" w:hAnsi="Times New Roman" w:eastAsia="宋体" w:cs="Times New Roman"/>
          <w:snapToGrid w:val="0"/>
          <w:color w:val="auto"/>
          <w:highlight w:val="none"/>
          <w:lang w:val="zh-CN" w:eastAsia="zh-CN"/>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default" w:ascii="Times New Roman" w:hAnsi="Times New Roman" w:eastAsia="黑体" w:cs="Times New Roman"/>
          <w:b w:val="0"/>
          <w:bCs/>
          <w:smallCaps w:val="0"/>
          <w:kern w:val="2"/>
          <w:sz w:val="21"/>
          <w:szCs w:val="24"/>
          <w:highlight w:val="none"/>
          <w:lang w:val="zh-CN" w:eastAsia="zh-CN" w:bidi="ar-SA"/>
        </w:rPr>
        <w:t>-</w:t>
      </w:r>
      <w:r>
        <w:rPr>
          <w:rFonts w:hint="eastAsia" w:ascii="Times New Roman" w:hAnsi="Times New Roman" w:eastAsia="黑体" w:cs="Times New Roman"/>
          <w:b w:val="0"/>
          <w:bCs/>
          <w:smallCaps w:val="0"/>
          <w:kern w:val="2"/>
          <w:sz w:val="21"/>
          <w:szCs w:val="24"/>
          <w:highlight w:val="none"/>
          <w:lang w:val="en-US" w:eastAsia="zh-CN" w:bidi="ar-SA"/>
        </w:rPr>
        <w:t>6</w:t>
      </w:r>
      <w:r>
        <w:rPr>
          <w:rFonts w:hint="default" w:ascii="Times New Roman" w:hAnsi="Times New Roman" w:eastAsia="黑体" w:cs="Times New Roman"/>
          <w:b w:val="0"/>
          <w:bCs/>
          <w:smallCaps w:val="0"/>
          <w:kern w:val="2"/>
          <w:sz w:val="21"/>
          <w:szCs w:val="24"/>
          <w:highlight w:val="none"/>
          <w:lang w:val="en-US" w:eastAsia="zh-CN" w:bidi="ar-SA"/>
        </w:rPr>
        <w:t xml:space="preserve">  </w:t>
      </w:r>
      <w:r>
        <w:rPr>
          <w:rFonts w:hint="default" w:ascii="Times New Roman" w:hAnsi="Times New Roman" w:eastAsia="黑体" w:cs="Times New Roman"/>
          <w:b w:val="0"/>
          <w:bCs/>
          <w:smallCaps w:val="0"/>
          <w:kern w:val="2"/>
          <w:sz w:val="21"/>
          <w:szCs w:val="24"/>
          <w:highlight w:val="none"/>
          <w:lang w:val="zh-CN" w:eastAsia="zh-CN" w:bidi="ar-SA"/>
        </w:rPr>
        <w:t>本项目排放的主要污染物估算模型计算结果表</w:t>
      </w:r>
    </w:p>
    <w:tbl>
      <w:tblPr>
        <w:tblStyle w:val="48"/>
        <w:tblW w:w="4875"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490"/>
        <w:gridCol w:w="2154"/>
        <w:gridCol w:w="2035"/>
        <w:gridCol w:w="2035"/>
        <w:gridCol w:w="2035"/>
        <w:gridCol w:w="2035"/>
        <w:gridCol w:w="2036"/>
      </w:tblGrid>
      <w:tr w14:paraId="087CF8B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539" w:type="pct"/>
            <w:tcBorders>
              <w:tl2br w:val="nil"/>
              <w:tr2bl w:val="nil"/>
            </w:tcBorders>
            <w:noWrap w:val="0"/>
            <w:vAlign w:val="center"/>
          </w:tcPr>
          <w:p w14:paraId="73EADE5C">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排放方式</w:t>
            </w:r>
          </w:p>
        </w:tc>
        <w:tc>
          <w:tcPr>
            <w:tcW w:w="779" w:type="pct"/>
            <w:tcBorders>
              <w:tl2br w:val="nil"/>
              <w:tr2bl w:val="nil"/>
            </w:tcBorders>
            <w:noWrap w:val="0"/>
            <w:vAlign w:val="center"/>
          </w:tcPr>
          <w:p w14:paraId="001EBF61">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污染源名称</w:t>
            </w:r>
          </w:p>
        </w:tc>
        <w:tc>
          <w:tcPr>
            <w:tcW w:w="736" w:type="pct"/>
            <w:tcBorders>
              <w:tl2br w:val="nil"/>
              <w:tr2bl w:val="nil"/>
            </w:tcBorders>
            <w:noWrap w:val="0"/>
            <w:vAlign w:val="center"/>
          </w:tcPr>
          <w:p w14:paraId="0FB58D1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评价因子</w:t>
            </w:r>
          </w:p>
        </w:tc>
        <w:tc>
          <w:tcPr>
            <w:tcW w:w="736" w:type="pct"/>
            <w:tcBorders>
              <w:tl2br w:val="nil"/>
              <w:tr2bl w:val="nil"/>
            </w:tcBorders>
            <w:noWrap w:val="0"/>
            <w:vAlign w:val="center"/>
          </w:tcPr>
          <w:p w14:paraId="37115AB1">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评价标准(μg/m³)</w:t>
            </w:r>
          </w:p>
        </w:tc>
        <w:tc>
          <w:tcPr>
            <w:tcW w:w="736" w:type="pct"/>
            <w:tcBorders>
              <w:tl2br w:val="nil"/>
              <w:tr2bl w:val="nil"/>
            </w:tcBorders>
            <w:noWrap w:val="0"/>
            <w:vAlign w:val="center"/>
          </w:tcPr>
          <w:p w14:paraId="399D5DA0">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Cmax(μg/m³)</w:t>
            </w:r>
          </w:p>
        </w:tc>
        <w:tc>
          <w:tcPr>
            <w:tcW w:w="736" w:type="pct"/>
            <w:tcBorders>
              <w:tl2br w:val="nil"/>
              <w:tr2bl w:val="nil"/>
            </w:tcBorders>
            <w:noWrap w:val="0"/>
            <w:vAlign w:val="center"/>
          </w:tcPr>
          <w:p w14:paraId="61B4B90B">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Pmax(%)</w:t>
            </w:r>
          </w:p>
        </w:tc>
        <w:tc>
          <w:tcPr>
            <w:tcW w:w="736" w:type="pct"/>
            <w:tcBorders>
              <w:tl2br w:val="nil"/>
              <w:tr2bl w:val="nil"/>
            </w:tcBorders>
            <w:noWrap w:val="0"/>
            <w:vAlign w:val="center"/>
          </w:tcPr>
          <w:p w14:paraId="771F6593">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D10%(m)</w:t>
            </w:r>
          </w:p>
        </w:tc>
      </w:tr>
      <w:tr w14:paraId="031CC57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6" w:hRule="atLeast"/>
        </w:trPr>
        <w:tc>
          <w:tcPr>
            <w:tcW w:w="539" w:type="pct"/>
            <w:vMerge w:val="restart"/>
            <w:tcBorders>
              <w:tl2br w:val="nil"/>
              <w:tr2bl w:val="nil"/>
            </w:tcBorders>
            <w:noWrap w:val="0"/>
            <w:vAlign w:val="center"/>
          </w:tcPr>
          <w:p w14:paraId="0176D147">
            <w:pPr>
              <w:pStyle w:val="152"/>
              <w:keepNext w:val="0"/>
              <w:keepLines w:val="0"/>
              <w:pageBreakBefore w:val="0"/>
              <w:widowControl/>
              <w:kinsoku/>
              <w:wordWrap w:val="0"/>
              <w:overflowPunct/>
              <w:topLinePunct w:val="0"/>
              <w:autoSpaceDE/>
              <w:autoSpaceDN/>
              <w:bidi w:val="0"/>
              <w:adjustRightInd w:val="0"/>
              <w:snapToGrid w:val="0"/>
              <w:spacing w:line="240" w:lineRule="atLeast"/>
              <w:ind w:left="0" w:leftChars="0" w:firstLine="0" w:firstLineChars="0"/>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无组织</w:t>
            </w:r>
          </w:p>
        </w:tc>
        <w:tc>
          <w:tcPr>
            <w:tcW w:w="779" w:type="pct"/>
            <w:vMerge w:val="restart"/>
            <w:tcBorders>
              <w:tl2br w:val="nil"/>
              <w:tr2bl w:val="nil"/>
            </w:tcBorders>
            <w:noWrap w:val="0"/>
            <w:vAlign w:val="center"/>
          </w:tcPr>
          <w:p w14:paraId="14A4DDFA">
            <w:pPr>
              <w:pStyle w:val="152"/>
              <w:keepNext w:val="0"/>
              <w:keepLines w:val="0"/>
              <w:pageBreakBefore w:val="0"/>
              <w:widowControl/>
              <w:kinsoku/>
              <w:wordWrap w:val="0"/>
              <w:overflowPunct/>
              <w:topLinePunct w:val="0"/>
              <w:autoSpaceDE/>
              <w:autoSpaceDN/>
              <w:bidi w:val="0"/>
              <w:adjustRightInd w:val="0"/>
              <w:snapToGrid w:val="0"/>
              <w:spacing w:line="240" w:lineRule="atLeast"/>
              <w:ind w:left="0" w:leftChars="0" w:firstLine="0" w:firstLineChars="0"/>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猪</w:t>
            </w:r>
            <w:r>
              <w:rPr>
                <w:rFonts w:hint="default" w:ascii="Times New Roman" w:hAnsi="Times New Roman" w:eastAsia="宋体" w:cs="Times New Roman"/>
                <w:sz w:val="21"/>
                <w:szCs w:val="21"/>
                <w:highlight w:val="none"/>
              </w:rPr>
              <w:t>舍</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干粪堆积场</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废水处理区</w:t>
            </w:r>
          </w:p>
        </w:tc>
        <w:tc>
          <w:tcPr>
            <w:tcW w:w="736" w:type="pct"/>
            <w:tcBorders>
              <w:tl2br w:val="nil"/>
              <w:tr2bl w:val="nil"/>
            </w:tcBorders>
            <w:noWrap w:val="0"/>
            <w:vAlign w:val="center"/>
          </w:tcPr>
          <w:p w14:paraId="11FCF7CD">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NH</w:t>
            </w:r>
            <w:r>
              <w:rPr>
                <w:rFonts w:hint="default" w:ascii="Times New Roman" w:hAnsi="Times New Roman" w:eastAsia="宋体" w:cs="Times New Roman"/>
                <w:b w:val="0"/>
                <w:sz w:val="21"/>
                <w:szCs w:val="21"/>
                <w:highlight w:val="none"/>
                <w:vertAlign w:val="subscript"/>
              </w:rPr>
              <w:t>3</w:t>
            </w:r>
          </w:p>
        </w:tc>
        <w:tc>
          <w:tcPr>
            <w:tcW w:w="736" w:type="pct"/>
            <w:tcBorders>
              <w:tl2br w:val="nil"/>
              <w:tr2bl w:val="nil"/>
            </w:tcBorders>
            <w:noWrap w:val="0"/>
            <w:vAlign w:val="center"/>
          </w:tcPr>
          <w:p w14:paraId="21ABF1F4">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200.0</w:t>
            </w:r>
          </w:p>
        </w:tc>
        <w:tc>
          <w:tcPr>
            <w:tcW w:w="736" w:type="pct"/>
            <w:tcBorders>
              <w:tl2br w:val="nil"/>
              <w:tr2bl w:val="nil"/>
            </w:tcBorders>
            <w:noWrap w:val="0"/>
            <w:vAlign w:val="center"/>
          </w:tcPr>
          <w:p w14:paraId="64B264C5">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5.22</w:t>
            </w:r>
          </w:p>
        </w:tc>
        <w:tc>
          <w:tcPr>
            <w:tcW w:w="736" w:type="pct"/>
            <w:tcBorders>
              <w:tl2br w:val="nil"/>
              <w:tr2bl w:val="nil"/>
            </w:tcBorders>
            <w:noWrap w:val="0"/>
            <w:vAlign w:val="center"/>
          </w:tcPr>
          <w:p w14:paraId="759968FB">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2.61</w:t>
            </w:r>
          </w:p>
        </w:tc>
        <w:tc>
          <w:tcPr>
            <w:tcW w:w="736" w:type="pct"/>
            <w:tcBorders>
              <w:tl2br w:val="nil"/>
              <w:tr2bl w:val="nil"/>
            </w:tcBorders>
            <w:noWrap w:val="0"/>
            <w:vAlign w:val="center"/>
          </w:tcPr>
          <w:p w14:paraId="0B960C9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32BD76C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539" w:type="pct"/>
            <w:vMerge w:val="continue"/>
            <w:tcBorders>
              <w:tl2br w:val="nil"/>
              <w:tr2bl w:val="nil"/>
            </w:tcBorders>
            <w:noWrap w:val="0"/>
            <w:vAlign w:val="center"/>
          </w:tcPr>
          <w:p w14:paraId="5AD4D2B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rPr>
            </w:pPr>
          </w:p>
        </w:tc>
        <w:tc>
          <w:tcPr>
            <w:tcW w:w="779" w:type="pct"/>
            <w:vMerge w:val="continue"/>
            <w:tcBorders>
              <w:tl2br w:val="nil"/>
              <w:tr2bl w:val="nil"/>
            </w:tcBorders>
            <w:noWrap w:val="0"/>
            <w:vAlign w:val="center"/>
          </w:tcPr>
          <w:p w14:paraId="32D1C0D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rPr>
            </w:pPr>
          </w:p>
        </w:tc>
        <w:tc>
          <w:tcPr>
            <w:tcW w:w="736" w:type="pct"/>
            <w:tcBorders>
              <w:tl2br w:val="nil"/>
              <w:tr2bl w:val="nil"/>
            </w:tcBorders>
            <w:noWrap w:val="0"/>
            <w:vAlign w:val="center"/>
          </w:tcPr>
          <w:p w14:paraId="59537C1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H</w:t>
            </w:r>
            <w:r>
              <w:rPr>
                <w:rFonts w:hint="default" w:ascii="Times New Roman" w:hAnsi="Times New Roman" w:eastAsia="宋体" w:cs="Times New Roman"/>
                <w:b w:val="0"/>
                <w:sz w:val="21"/>
                <w:szCs w:val="21"/>
                <w:highlight w:val="none"/>
                <w:vertAlign w:val="subscript"/>
              </w:rPr>
              <w:t>2</w:t>
            </w:r>
            <w:r>
              <w:rPr>
                <w:rFonts w:hint="default" w:ascii="Times New Roman" w:hAnsi="Times New Roman" w:eastAsia="宋体" w:cs="Times New Roman"/>
                <w:b w:val="0"/>
                <w:sz w:val="21"/>
                <w:szCs w:val="21"/>
                <w:highlight w:val="none"/>
              </w:rPr>
              <w:t>S</w:t>
            </w:r>
          </w:p>
        </w:tc>
        <w:tc>
          <w:tcPr>
            <w:tcW w:w="736" w:type="pct"/>
            <w:tcBorders>
              <w:tl2br w:val="nil"/>
              <w:tr2bl w:val="nil"/>
            </w:tcBorders>
            <w:noWrap w:val="0"/>
            <w:vAlign w:val="center"/>
          </w:tcPr>
          <w:p w14:paraId="5826777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10.0</w:t>
            </w:r>
          </w:p>
        </w:tc>
        <w:tc>
          <w:tcPr>
            <w:tcW w:w="736" w:type="pct"/>
            <w:tcBorders>
              <w:tl2br w:val="nil"/>
              <w:tr2bl w:val="nil"/>
            </w:tcBorders>
            <w:noWrap w:val="0"/>
            <w:vAlign w:val="center"/>
          </w:tcPr>
          <w:p w14:paraId="4928EF49">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0.737</w:t>
            </w:r>
          </w:p>
        </w:tc>
        <w:tc>
          <w:tcPr>
            <w:tcW w:w="736" w:type="pct"/>
            <w:tcBorders>
              <w:tl2br w:val="nil"/>
              <w:tr2bl w:val="nil"/>
            </w:tcBorders>
            <w:noWrap w:val="0"/>
            <w:vAlign w:val="center"/>
          </w:tcPr>
          <w:p w14:paraId="27C6EC0B">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7.37</w:t>
            </w:r>
          </w:p>
        </w:tc>
        <w:tc>
          <w:tcPr>
            <w:tcW w:w="736" w:type="pct"/>
            <w:tcBorders>
              <w:tl2br w:val="nil"/>
              <w:tr2bl w:val="nil"/>
            </w:tcBorders>
            <w:noWrap w:val="0"/>
            <w:vAlign w:val="center"/>
          </w:tcPr>
          <w:p w14:paraId="12AC5E1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0A27E94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539" w:type="pct"/>
            <w:vMerge w:val="restart"/>
            <w:tcBorders>
              <w:tl2br w:val="nil"/>
              <w:tr2bl w:val="nil"/>
            </w:tcBorders>
            <w:noWrap w:val="0"/>
            <w:vAlign w:val="center"/>
          </w:tcPr>
          <w:p w14:paraId="0D21D455">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有组织</w:t>
            </w:r>
          </w:p>
        </w:tc>
        <w:tc>
          <w:tcPr>
            <w:tcW w:w="779" w:type="pct"/>
            <w:vMerge w:val="restart"/>
            <w:tcBorders>
              <w:tl2br w:val="nil"/>
              <w:tr2bl w:val="nil"/>
            </w:tcBorders>
            <w:noWrap w:val="0"/>
            <w:vAlign w:val="center"/>
          </w:tcPr>
          <w:p w14:paraId="6FEF005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lang w:val="en-US" w:eastAsia="zh-CN"/>
              </w:rPr>
              <w:t>干粪堆积场排气筒</w:t>
            </w:r>
          </w:p>
        </w:tc>
        <w:tc>
          <w:tcPr>
            <w:tcW w:w="736" w:type="pct"/>
            <w:tcBorders>
              <w:tl2br w:val="nil"/>
              <w:tr2bl w:val="nil"/>
            </w:tcBorders>
            <w:noWrap w:val="0"/>
            <w:vAlign w:val="center"/>
          </w:tcPr>
          <w:p w14:paraId="5DF25688">
            <w:pPr>
              <w:jc w:val="center"/>
              <w:rPr>
                <w:rFonts w:hint="default" w:ascii="Times New Roman" w:hAnsi="Times New Roman" w:eastAsia="宋体" w:cs="Times New Roman"/>
                <w:b w:val="0"/>
                <w:sz w:val="21"/>
                <w:szCs w:val="21"/>
                <w:highlight w:val="none"/>
              </w:rPr>
            </w:pPr>
            <w:r>
              <w:rPr>
                <w:rFonts w:hint="default" w:ascii="Times New Roman" w:hAnsi="Times New Roman" w:eastAsia="宋体" w:cs="Times New Roman"/>
                <w:b w:val="0"/>
                <w:sz w:val="21"/>
                <w:szCs w:val="21"/>
                <w:highlight w:val="none"/>
              </w:rPr>
              <w:t>NH</w:t>
            </w:r>
            <w:r>
              <w:rPr>
                <w:rFonts w:hint="default" w:ascii="Times New Roman" w:hAnsi="Times New Roman" w:eastAsia="宋体" w:cs="Times New Roman"/>
                <w:b w:val="0"/>
                <w:sz w:val="21"/>
                <w:szCs w:val="21"/>
                <w:highlight w:val="none"/>
                <w:vertAlign w:val="subscript"/>
              </w:rPr>
              <w:t>3</w:t>
            </w:r>
          </w:p>
        </w:tc>
        <w:tc>
          <w:tcPr>
            <w:tcW w:w="736" w:type="pct"/>
            <w:tcBorders>
              <w:tl2br w:val="nil"/>
              <w:tr2bl w:val="nil"/>
            </w:tcBorders>
            <w:noWrap w:val="0"/>
            <w:vAlign w:val="center"/>
          </w:tcPr>
          <w:p w14:paraId="01F47F43">
            <w:pPr>
              <w:spacing w:line="0" w:lineRule="atLeast"/>
              <w:jc w:val="center"/>
              <w:rPr>
                <w:rFonts w:hint="default" w:ascii="Times New Roman" w:hAnsi="Times New Roman" w:eastAsia="宋体" w:cs="Times New Roman"/>
                <w:b w:val="0"/>
                <w:sz w:val="21"/>
                <w:szCs w:val="21"/>
                <w:highlight w:val="none"/>
              </w:rPr>
            </w:pPr>
            <w:r>
              <w:rPr>
                <w:rFonts w:hint="default" w:ascii="Times New Roman" w:hAnsi="Times New Roman" w:eastAsia="宋体" w:cs="Times New Roman"/>
                <w:color w:val="auto"/>
                <w:szCs w:val="21"/>
                <w:highlight w:val="none"/>
              </w:rPr>
              <w:t>200.0</w:t>
            </w:r>
          </w:p>
        </w:tc>
        <w:tc>
          <w:tcPr>
            <w:tcW w:w="736" w:type="pct"/>
            <w:tcBorders>
              <w:tl2br w:val="nil"/>
              <w:tr2bl w:val="nil"/>
            </w:tcBorders>
            <w:noWrap w:val="0"/>
            <w:vAlign w:val="center"/>
          </w:tcPr>
          <w:p w14:paraId="50C4966D">
            <w:pPr>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1.03</w:t>
            </w:r>
          </w:p>
        </w:tc>
        <w:tc>
          <w:tcPr>
            <w:tcW w:w="736" w:type="pct"/>
            <w:tcBorders>
              <w:tl2br w:val="nil"/>
              <w:tr2bl w:val="nil"/>
            </w:tcBorders>
            <w:noWrap w:val="0"/>
            <w:vAlign w:val="center"/>
          </w:tcPr>
          <w:p w14:paraId="6C52D997">
            <w:pPr>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0.52</w:t>
            </w:r>
          </w:p>
        </w:tc>
        <w:tc>
          <w:tcPr>
            <w:tcW w:w="736" w:type="pct"/>
            <w:tcBorders>
              <w:tl2br w:val="nil"/>
              <w:tr2bl w:val="nil"/>
            </w:tcBorders>
            <w:noWrap w:val="0"/>
            <w:vAlign w:val="center"/>
          </w:tcPr>
          <w:p w14:paraId="79873D7C">
            <w:pPr>
              <w:jc w:val="center"/>
              <w:rPr>
                <w:rFonts w:hint="default" w:ascii="Times New Roman" w:hAnsi="Times New Roman" w:eastAsia="宋体" w:cs="Times New Roman"/>
                <w:b w:val="0"/>
                <w:sz w:val="21"/>
                <w:szCs w:val="21"/>
                <w:highlight w:val="none"/>
              </w:rPr>
            </w:pPr>
          </w:p>
        </w:tc>
      </w:tr>
      <w:tr w14:paraId="42E16F9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539" w:type="pct"/>
            <w:vMerge w:val="continue"/>
            <w:tcBorders>
              <w:tl2br w:val="nil"/>
              <w:tr2bl w:val="nil"/>
            </w:tcBorders>
            <w:noWrap w:val="0"/>
            <w:vAlign w:val="center"/>
          </w:tcPr>
          <w:p w14:paraId="299D2E8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rPr>
            </w:pPr>
          </w:p>
        </w:tc>
        <w:tc>
          <w:tcPr>
            <w:tcW w:w="779" w:type="pct"/>
            <w:vMerge w:val="continue"/>
            <w:tcBorders>
              <w:tl2br w:val="nil"/>
              <w:tr2bl w:val="nil"/>
            </w:tcBorders>
            <w:noWrap w:val="0"/>
            <w:vAlign w:val="center"/>
          </w:tcPr>
          <w:p w14:paraId="6D8FE00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rPr>
            </w:pPr>
          </w:p>
        </w:tc>
        <w:tc>
          <w:tcPr>
            <w:tcW w:w="736" w:type="pct"/>
            <w:tcBorders>
              <w:tl2br w:val="nil"/>
              <w:tr2bl w:val="nil"/>
            </w:tcBorders>
            <w:noWrap w:val="0"/>
            <w:vAlign w:val="center"/>
          </w:tcPr>
          <w:p w14:paraId="6FD43171">
            <w:pPr>
              <w:jc w:val="center"/>
              <w:rPr>
                <w:rFonts w:hint="default" w:ascii="Times New Roman" w:hAnsi="Times New Roman" w:eastAsia="宋体" w:cs="Times New Roman"/>
                <w:b w:val="0"/>
                <w:sz w:val="21"/>
                <w:szCs w:val="21"/>
                <w:highlight w:val="none"/>
              </w:rPr>
            </w:pPr>
            <w:r>
              <w:rPr>
                <w:rFonts w:hint="default" w:ascii="Times New Roman" w:hAnsi="Times New Roman" w:eastAsia="宋体" w:cs="Times New Roman"/>
                <w:b w:val="0"/>
                <w:sz w:val="21"/>
                <w:szCs w:val="21"/>
                <w:highlight w:val="none"/>
              </w:rPr>
              <w:t>H</w:t>
            </w:r>
            <w:r>
              <w:rPr>
                <w:rFonts w:hint="default" w:ascii="Times New Roman" w:hAnsi="Times New Roman" w:eastAsia="宋体" w:cs="Times New Roman"/>
                <w:b w:val="0"/>
                <w:sz w:val="21"/>
                <w:szCs w:val="21"/>
                <w:highlight w:val="none"/>
                <w:vertAlign w:val="subscript"/>
              </w:rPr>
              <w:t>2</w:t>
            </w:r>
            <w:r>
              <w:rPr>
                <w:rFonts w:hint="default" w:ascii="Times New Roman" w:hAnsi="Times New Roman" w:eastAsia="宋体" w:cs="Times New Roman"/>
                <w:b w:val="0"/>
                <w:sz w:val="21"/>
                <w:szCs w:val="21"/>
                <w:highlight w:val="none"/>
              </w:rPr>
              <w:t>S</w:t>
            </w:r>
          </w:p>
        </w:tc>
        <w:tc>
          <w:tcPr>
            <w:tcW w:w="736" w:type="pct"/>
            <w:tcBorders>
              <w:tl2br w:val="nil"/>
              <w:tr2bl w:val="nil"/>
            </w:tcBorders>
            <w:noWrap w:val="0"/>
            <w:vAlign w:val="center"/>
          </w:tcPr>
          <w:p w14:paraId="45AE47BA">
            <w:pPr>
              <w:spacing w:line="0" w:lineRule="atLeast"/>
              <w:jc w:val="center"/>
              <w:rPr>
                <w:rFonts w:hint="default" w:ascii="Times New Roman" w:hAnsi="Times New Roman" w:eastAsia="宋体" w:cs="Times New Roman"/>
                <w:b w:val="0"/>
                <w:sz w:val="21"/>
                <w:szCs w:val="21"/>
                <w:highlight w:val="none"/>
              </w:rPr>
            </w:pPr>
            <w:r>
              <w:rPr>
                <w:rFonts w:hint="default" w:ascii="Times New Roman" w:hAnsi="Times New Roman" w:eastAsia="宋体" w:cs="Times New Roman"/>
                <w:color w:val="auto"/>
                <w:szCs w:val="21"/>
                <w:highlight w:val="none"/>
                <w:vertAlign w:val="baseline"/>
                <w:lang w:eastAsia="zh-CN"/>
              </w:rPr>
              <w:t>10</w:t>
            </w:r>
            <w:r>
              <w:rPr>
                <w:rFonts w:hint="default" w:ascii="Times New Roman" w:hAnsi="Times New Roman" w:eastAsia="宋体" w:cs="Times New Roman"/>
                <w:color w:val="auto"/>
                <w:szCs w:val="21"/>
                <w:highlight w:val="none"/>
              </w:rPr>
              <w:t>.0</w:t>
            </w:r>
          </w:p>
        </w:tc>
        <w:tc>
          <w:tcPr>
            <w:tcW w:w="736" w:type="pct"/>
            <w:tcBorders>
              <w:tl2br w:val="nil"/>
              <w:tr2bl w:val="nil"/>
            </w:tcBorders>
            <w:noWrap w:val="0"/>
            <w:vAlign w:val="center"/>
          </w:tcPr>
          <w:p w14:paraId="3F896AED">
            <w:pPr>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0.0404</w:t>
            </w:r>
          </w:p>
        </w:tc>
        <w:tc>
          <w:tcPr>
            <w:tcW w:w="736" w:type="pct"/>
            <w:tcBorders>
              <w:tl2br w:val="nil"/>
              <w:tr2bl w:val="nil"/>
            </w:tcBorders>
            <w:noWrap w:val="0"/>
            <w:vAlign w:val="center"/>
          </w:tcPr>
          <w:p w14:paraId="2134A0C3">
            <w:pPr>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0.4</w:t>
            </w:r>
          </w:p>
        </w:tc>
        <w:tc>
          <w:tcPr>
            <w:tcW w:w="736" w:type="pct"/>
            <w:tcBorders>
              <w:tl2br w:val="nil"/>
              <w:tr2bl w:val="nil"/>
            </w:tcBorders>
            <w:noWrap w:val="0"/>
            <w:vAlign w:val="center"/>
          </w:tcPr>
          <w:p w14:paraId="752EAD8C">
            <w:pPr>
              <w:jc w:val="center"/>
              <w:rPr>
                <w:rFonts w:hint="default" w:ascii="Times New Roman" w:hAnsi="Times New Roman" w:eastAsia="宋体" w:cs="Times New Roman"/>
                <w:b w:val="0"/>
                <w:sz w:val="21"/>
                <w:szCs w:val="21"/>
                <w:highlight w:val="none"/>
              </w:rPr>
            </w:pPr>
          </w:p>
        </w:tc>
      </w:tr>
      <w:tr w14:paraId="65A0D35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4" w:hRule="atLeast"/>
        </w:trPr>
        <w:tc>
          <w:tcPr>
            <w:tcW w:w="539" w:type="pct"/>
            <w:vMerge w:val="continue"/>
            <w:tcBorders>
              <w:tl2br w:val="nil"/>
              <w:tr2bl w:val="nil"/>
            </w:tcBorders>
            <w:noWrap w:val="0"/>
            <w:vAlign w:val="center"/>
          </w:tcPr>
          <w:p w14:paraId="527D0FE1">
            <w:pPr>
              <w:jc w:val="center"/>
              <w:rPr>
                <w:rFonts w:hint="eastAsia" w:ascii="Times New Roman" w:hAnsi="Times New Roman" w:eastAsia="宋体" w:cs="Times New Roman"/>
                <w:sz w:val="21"/>
                <w:szCs w:val="21"/>
                <w:highlight w:val="none"/>
                <w:lang w:val="en-US" w:eastAsia="zh-CN"/>
              </w:rPr>
            </w:pPr>
          </w:p>
        </w:tc>
        <w:tc>
          <w:tcPr>
            <w:tcW w:w="779" w:type="pct"/>
            <w:vMerge w:val="restart"/>
            <w:tcBorders>
              <w:tl2br w:val="nil"/>
              <w:tr2bl w:val="nil"/>
            </w:tcBorders>
            <w:noWrap w:val="0"/>
            <w:vAlign w:val="center"/>
          </w:tcPr>
          <w:p w14:paraId="13B14D46">
            <w:pPr>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火炬源</w:t>
            </w:r>
          </w:p>
        </w:tc>
        <w:tc>
          <w:tcPr>
            <w:tcW w:w="736" w:type="pct"/>
            <w:tcBorders>
              <w:tl2br w:val="nil"/>
              <w:tr2bl w:val="nil"/>
            </w:tcBorders>
            <w:noWrap w:val="0"/>
            <w:vAlign w:val="center"/>
          </w:tcPr>
          <w:p w14:paraId="2B347160">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PM</w:t>
            </w:r>
            <w:r>
              <w:rPr>
                <w:rFonts w:hint="default" w:ascii="Times New Roman" w:hAnsi="Times New Roman" w:eastAsia="宋体" w:cs="Times New Roman"/>
                <w:b w:val="0"/>
                <w:sz w:val="21"/>
                <w:szCs w:val="21"/>
                <w:highlight w:val="none"/>
                <w:vertAlign w:val="subscript"/>
              </w:rPr>
              <w:t>10</w:t>
            </w:r>
          </w:p>
        </w:tc>
        <w:tc>
          <w:tcPr>
            <w:tcW w:w="736" w:type="pct"/>
            <w:tcBorders>
              <w:tl2br w:val="nil"/>
              <w:tr2bl w:val="nil"/>
            </w:tcBorders>
            <w:noWrap w:val="0"/>
            <w:vAlign w:val="center"/>
          </w:tcPr>
          <w:p w14:paraId="5C0CC164">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450.0</w:t>
            </w:r>
          </w:p>
        </w:tc>
        <w:tc>
          <w:tcPr>
            <w:tcW w:w="736" w:type="pct"/>
            <w:tcBorders>
              <w:tl2br w:val="nil"/>
              <w:tr2bl w:val="nil"/>
            </w:tcBorders>
            <w:noWrap w:val="0"/>
            <w:vAlign w:val="center"/>
          </w:tcPr>
          <w:p w14:paraId="48ED831D">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0.0406</w:t>
            </w:r>
          </w:p>
        </w:tc>
        <w:tc>
          <w:tcPr>
            <w:tcW w:w="736" w:type="pct"/>
            <w:tcBorders>
              <w:tl2br w:val="nil"/>
              <w:tr2bl w:val="nil"/>
            </w:tcBorders>
            <w:noWrap w:val="0"/>
            <w:vAlign w:val="center"/>
          </w:tcPr>
          <w:p w14:paraId="50EA32FA">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0.01</w:t>
            </w:r>
          </w:p>
        </w:tc>
        <w:tc>
          <w:tcPr>
            <w:tcW w:w="736" w:type="pct"/>
            <w:tcBorders>
              <w:tl2br w:val="nil"/>
              <w:tr2bl w:val="nil"/>
            </w:tcBorders>
            <w:noWrap w:val="0"/>
            <w:vAlign w:val="center"/>
          </w:tcPr>
          <w:p w14:paraId="3FDC5C9B">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4DA61A2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539" w:type="pct"/>
            <w:vMerge w:val="continue"/>
            <w:tcBorders>
              <w:tl2br w:val="nil"/>
              <w:tr2bl w:val="nil"/>
            </w:tcBorders>
            <w:noWrap w:val="0"/>
            <w:vAlign w:val="center"/>
          </w:tcPr>
          <w:p w14:paraId="7848EA08">
            <w:pPr>
              <w:jc w:val="center"/>
              <w:rPr>
                <w:rFonts w:hint="default" w:ascii="Times New Roman" w:hAnsi="Times New Roman" w:eastAsia="宋体" w:cs="Times New Roman"/>
                <w:sz w:val="21"/>
                <w:szCs w:val="21"/>
                <w:highlight w:val="none"/>
              </w:rPr>
            </w:pPr>
          </w:p>
        </w:tc>
        <w:tc>
          <w:tcPr>
            <w:tcW w:w="779" w:type="pct"/>
            <w:vMerge w:val="continue"/>
            <w:tcBorders>
              <w:tl2br w:val="nil"/>
              <w:tr2bl w:val="nil"/>
            </w:tcBorders>
            <w:noWrap w:val="0"/>
            <w:vAlign w:val="center"/>
          </w:tcPr>
          <w:p w14:paraId="581F9A80">
            <w:pPr>
              <w:jc w:val="center"/>
              <w:rPr>
                <w:rFonts w:hint="default" w:ascii="Times New Roman" w:hAnsi="Times New Roman" w:eastAsia="宋体" w:cs="Times New Roman"/>
                <w:sz w:val="21"/>
                <w:szCs w:val="21"/>
                <w:highlight w:val="none"/>
              </w:rPr>
            </w:pPr>
          </w:p>
        </w:tc>
        <w:tc>
          <w:tcPr>
            <w:tcW w:w="736" w:type="pct"/>
            <w:tcBorders>
              <w:tl2br w:val="nil"/>
              <w:tr2bl w:val="nil"/>
            </w:tcBorders>
            <w:noWrap w:val="0"/>
            <w:vAlign w:val="center"/>
          </w:tcPr>
          <w:p w14:paraId="577D6049">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NOx</w:t>
            </w:r>
          </w:p>
        </w:tc>
        <w:tc>
          <w:tcPr>
            <w:tcW w:w="736" w:type="pct"/>
            <w:tcBorders>
              <w:tl2br w:val="nil"/>
              <w:tr2bl w:val="nil"/>
            </w:tcBorders>
            <w:noWrap w:val="0"/>
            <w:vAlign w:val="center"/>
          </w:tcPr>
          <w:p w14:paraId="34271EE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250.0</w:t>
            </w:r>
          </w:p>
        </w:tc>
        <w:tc>
          <w:tcPr>
            <w:tcW w:w="736" w:type="pct"/>
            <w:tcBorders>
              <w:tl2br w:val="nil"/>
              <w:tr2bl w:val="nil"/>
            </w:tcBorders>
            <w:noWrap w:val="0"/>
            <w:vAlign w:val="center"/>
          </w:tcPr>
          <w:p w14:paraId="423C0C33">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0.394</w:t>
            </w:r>
          </w:p>
        </w:tc>
        <w:tc>
          <w:tcPr>
            <w:tcW w:w="736" w:type="pct"/>
            <w:tcBorders>
              <w:tl2br w:val="nil"/>
              <w:tr2bl w:val="nil"/>
            </w:tcBorders>
            <w:noWrap w:val="0"/>
            <w:vAlign w:val="center"/>
          </w:tcPr>
          <w:p w14:paraId="65B1DFCE">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0.16</w:t>
            </w:r>
          </w:p>
        </w:tc>
        <w:tc>
          <w:tcPr>
            <w:tcW w:w="736" w:type="pct"/>
            <w:tcBorders>
              <w:tl2br w:val="nil"/>
              <w:tr2bl w:val="nil"/>
            </w:tcBorders>
            <w:noWrap w:val="0"/>
            <w:vAlign w:val="center"/>
          </w:tcPr>
          <w:p w14:paraId="520CA188">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11DDBE2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539" w:type="pct"/>
            <w:vMerge w:val="continue"/>
            <w:tcBorders>
              <w:tl2br w:val="nil"/>
              <w:tr2bl w:val="nil"/>
            </w:tcBorders>
            <w:noWrap w:val="0"/>
            <w:vAlign w:val="center"/>
          </w:tcPr>
          <w:p w14:paraId="3413C8D5">
            <w:pPr>
              <w:jc w:val="center"/>
              <w:rPr>
                <w:rFonts w:hint="default" w:ascii="Times New Roman" w:hAnsi="Times New Roman" w:eastAsia="宋体" w:cs="Times New Roman"/>
                <w:sz w:val="21"/>
                <w:szCs w:val="21"/>
                <w:highlight w:val="none"/>
              </w:rPr>
            </w:pPr>
          </w:p>
        </w:tc>
        <w:tc>
          <w:tcPr>
            <w:tcW w:w="779" w:type="pct"/>
            <w:vMerge w:val="continue"/>
            <w:tcBorders>
              <w:tl2br w:val="nil"/>
              <w:tr2bl w:val="nil"/>
            </w:tcBorders>
            <w:noWrap w:val="0"/>
            <w:vAlign w:val="center"/>
          </w:tcPr>
          <w:p w14:paraId="7AB2DBDE">
            <w:pPr>
              <w:jc w:val="center"/>
              <w:rPr>
                <w:rFonts w:hint="default" w:ascii="Times New Roman" w:hAnsi="Times New Roman" w:eastAsia="宋体" w:cs="Times New Roman"/>
                <w:sz w:val="21"/>
                <w:szCs w:val="21"/>
                <w:highlight w:val="none"/>
              </w:rPr>
            </w:pPr>
          </w:p>
        </w:tc>
        <w:tc>
          <w:tcPr>
            <w:tcW w:w="736" w:type="pct"/>
            <w:tcBorders>
              <w:tl2br w:val="nil"/>
              <w:tr2bl w:val="nil"/>
            </w:tcBorders>
            <w:noWrap w:val="0"/>
            <w:vAlign w:val="center"/>
          </w:tcPr>
          <w:p w14:paraId="5C534AC8">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SO</w:t>
            </w:r>
            <w:r>
              <w:rPr>
                <w:rFonts w:hint="default" w:ascii="Times New Roman" w:hAnsi="Times New Roman" w:eastAsia="宋体" w:cs="Times New Roman"/>
                <w:b w:val="0"/>
                <w:sz w:val="21"/>
                <w:szCs w:val="21"/>
                <w:highlight w:val="none"/>
                <w:vertAlign w:val="subscript"/>
              </w:rPr>
              <w:t>2</w:t>
            </w:r>
          </w:p>
        </w:tc>
        <w:tc>
          <w:tcPr>
            <w:tcW w:w="736" w:type="pct"/>
            <w:tcBorders>
              <w:tl2br w:val="nil"/>
              <w:tr2bl w:val="nil"/>
            </w:tcBorders>
            <w:noWrap w:val="0"/>
            <w:vAlign w:val="center"/>
          </w:tcPr>
          <w:p w14:paraId="2D9B804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500.0</w:t>
            </w:r>
          </w:p>
        </w:tc>
        <w:tc>
          <w:tcPr>
            <w:tcW w:w="736" w:type="pct"/>
            <w:tcBorders>
              <w:tl2br w:val="nil"/>
              <w:tr2bl w:val="nil"/>
            </w:tcBorders>
            <w:noWrap w:val="0"/>
            <w:vAlign w:val="center"/>
          </w:tcPr>
          <w:p w14:paraId="2447D41C">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0.0964</w:t>
            </w:r>
          </w:p>
        </w:tc>
        <w:tc>
          <w:tcPr>
            <w:tcW w:w="736" w:type="pct"/>
            <w:tcBorders>
              <w:tl2br w:val="nil"/>
              <w:tr2bl w:val="nil"/>
            </w:tcBorders>
            <w:noWrap w:val="0"/>
            <w:vAlign w:val="center"/>
          </w:tcPr>
          <w:p w14:paraId="155E0A4E">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0.02</w:t>
            </w:r>
          </w:p>
        </w:tc>
        <w:tc>
          <w:tcPr>
            <w:tcW w:w="736" w:type="pct"/>
            <w:tcBorders>
              <w:tl2br w:val="nil"/>
              <w:tr2bl w:val="nil"/>
            </w:tcBorders>
            <w:noWrap w:val="0"/>
            <w:vAlign w:val="center"/>
          </w:tcPr>
          <w:p w14:paraId="65F15D8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bl>
    <w:p w14:paraId="55F45E3E">
      <w:pPr>
        <w:spacing w:line="360" w:lineRule="auto"/>
        <w:ind w:firstLine="420"/>
        <w:jc w:val="both"/>
        <w:rPr>
          <w:rFonts w:hint="default" w:ascii="Times New Roman" w:hAnsi="Times New Roman" w:eastAsia="宋体" w:cs="Times New Roman"/>
          <w:snapToGrid w:val="0"/>
          <w:color w:val="auto"/>
          <w:highlight w:val="none"/>
          <w:lang w:val="zh-CN"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3C94AAD9">
      <w:pPr>
        <w:pStyle w:val="7"/>
        <w:bidi w:val="0"/>
        <w:rPr>
          <w:rFonts w:hint="default"/>
          <w:highlight w:val="none"/>
        </w:rPr>
      </w:pPr>
      <w:bookmarkStart w:id="263" w:name="_Toc23180"/>
      <w:bookmarkStart w:id="264" w:name="_Toc12268"/>
      <w:bookmarkStart w:id="265" w:name="_Toc17354"/>
      <w:bookmarkStart w:id="266" w:name="_Toc29573"/>
      <w:r>
        <w:rPr>
          <w:rFonts w:hint="default"/>
          <w:highlight w:val="none"/>
        </w:rPr>
        <w:t>2.4.2地表水环境</w:t>
      </w:r>
      <w:bookmarkEnd w:id="263"/>
      <w:bookmarkEnd w:id="264"/>
      <w:bookmarkEnd w:id="265"/>
      <w:bookmarkEnd w:id="266"/>
    </w:p>
    <w:p w14:paraId="71B61E4E">
      <w:pPr>
        <w:pStyle w:val="94"/>
        <w:adjustRightInd/>
        <w:snapToGrid/>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评价工作等级按照《环境影响评价技术导则 地表水环境》（HJ2.3-2018）中表1的评价等级判定依据进行划分，判定依据见表2</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rPr>
        <w:t>4-</w:t>
      </w:r>
      <w:r>
        <w:rPr>
          <w:rFonts w:hint="eastAsia" w:ascii="Times New Roman" w:hAnsi="Times New Roman" w:cs="Times New Roman"/>
          <w:color w:val="auto"/>
          <w:highlight w:val="none"/>
          <w:lang w:val="en-US" w:eastAsia="zh-CN"/>
        </w:rPr>
        <w:t>7</w:t>
      </w:r>
      <w:r>
        <w:rPr>
          <w:rFonts w:hint="default" w:ascii="Times New Roman" w:hAnsi="Times New Roman" w:eastAsia="宋体" w:cs="Times New Roman"/>
          <w:color w:val="auto"/>
          <w:highlight w:val="none"/>
        </w:rPr>
        <w:t>。</w:t>
      </w:r>
    </w:p>
    <w:p w14:paraId="2789E75D">
      <w:pPr>
        <w:pStyle w:val="216"/>
        <w:jc w:val="center"/>
        <w:rPr>
          <w:rFonts w:hint="default" w:ascii="Times New Roman" w:hAnsi="Times New Roman" w:eastAsia="黑体" w:cs="Times New Roman"/>
          <w:b w:val="0"/>
          <w:bCs/>
          <w:smallCaps w:val="0"/>
          <w:kern w:val="2"/>
          <w:sz w:val="21"/>
          <w:szCs w:val="24"/>
          <w:highlight w:val="none"/>
          <w:lang w:val="zh-CN" w:eastAsia="zh-CN" w:bidi="ar-SA"/>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zh-CN" w:eastAsia="zh-CN" w:bidi="ar-SA"/>
        </w:rPr>
        <w:t>4-</w:t>
      </w:r>
      <w:r>
        <w:rPr>
          <w:rFonts w:hint="eastAsia" w:ascii="Times New Roman" w:hAnsi="Times New Roman" w:eastAsia="黑体" w:cs="Times New Roman"/>
          <w:b w:val="0"/>
          <w:bCs/>
          <w:smallCaps w:val="0"/>
          <w:kern w:val="2"/>
          <w:sz w:val="21"/>
          <w:szCs w:val="24"/>
          <w:highlight w:val="none"/>
          <w:lang w:val="en-US" w:eastAsia="zh-CN" w:bidi="ar-SA"/>
        </w:rPr>
        <w:t>7</w:t>
      </w:r>
      <w:r>
        <w:rPr>
          <w:rFonts w:hint="default" w:ascii="Times New Roman" w:hAnsi="Times New Roman" w:eastAsia="黑体" w:cs="Times New Roman"/>
          <w:b w:val="0"/>
          <w:bCs/>
          <w:smallCaps w:val="0"/>
          <w:kern w:val="2"/>
          <w:sz w:val="21"/>
          <w:szCs w:val="24"/>
          <w:highlight w:val="none"/>
          <w:lang w:val="zh-CN" w:eastAsia="zh-CN" w:bidi="ar-SA"/>
        </w:rPr>
        <w:t xml:space="preserve"> </w:t>
      </w:r>
      <w:r>
        <w:rPr>
          <w:rFonts w:hint="default" w:ascii="Times New Roman" w:hAnsi="Times New Roman" w:eastAsia="黑体" w:cs="Times New Roman"/>
          <w:b w:val="0"/>
          <w:bCs/>
          <w:smallCaps w:val="0"/>
          <w:kern w:val="2"/>
          <w:sz w:val="21"/>
          <w:szCs w:val="24"/>
          <w:highlight w:val="none"/>
          <w:lang w:val="en-US" w:eastAsia="zh-CN" w:bidi="ar-SA"/>
        </w:rPr>
        <w:t xml:space="preserve"> </w:t>
      </w:r>
      <w:r>
        <w:rPr>
          <w:rFonts w:hint="default" w:ascii="Times New Roman" w:hAnsi="Times New Roman" w:eastAsia="黑体" w:cs="Times New Roman"/>
          <w:b w:val="0"/>
          <w:bCs/>
          <w:smallCaps w:val="0"/>
          <w:kern w:val="2"/>
          <w:sz w:val="21"/>
          <w:szCs w:val="24"/>
          <w:highlight w:val="none"/>
          <w:lang w:val="zh-CN" w:eastAsia="zh-CN" w:bidi="ar-SA"/>
        </w:rPr>
        <w:t>评价工作等级判定依据一览表</w:t>
      </w:r>
    </w:p>
    <w:tbl>
      <w:tblPr>
        <w:tblStyle w:val="48"/>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669"/>
        <w:gridCol w:w="3346"/>
        <w:gridCol w:w="3346"/>
      </w:tblGrid>
      <w:tr w14:paraId="55776A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vMerge w:val="restart"/>
            <w:tcBorders>
              <w:tl2br w:val="nil"/>
              <w:tr2bl w:val="nil"/>
            </w:tcBorders>
            <w:vAlign w:val="center"/>
          </w:tcPr>
          <w:p w14:paraId="50223999">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评价工作等级</w:t>
            </w:r>
          </w:p>
        </w:tc>
        <w:tc>
          <w:tcPr>
            <w:tcW w:w="7535" w:type="dxa"/>
            <w:gridSpan w:val="2"/>
            <w:tcBorders>
              <w:tl2br w:val="nil"/>
              <w:tr2bl w:val="nil"/>
            </w:tcBorders>
            <w:vAlign w:val="center"/>
          </w:tcPr>
          <w:p w14:paraId="587216D5">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判定依据</w:t>
            </w:r>
          </w:p>
        </w:tc>
      </w:tr>
      <w:tr w14:paraId="5B452A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vMerge w:val="continue"/>
            <w:tcBorders>
              <w:tl2br w:val="nil"/>
              <w:tr2bl w:val="nil"/>
            </w:tcBorders>
            <w:vAlign w:val="center"/>
          </w:tcPr>
          <w:p w14:paraId="62F629D7">
            <w:pPr>
              <w:jc w:val="center"/>
              <w:rPr>
                <w:rFonts w:hint="default" w:ascii="Times New Roman" w:hAnsi="Times New Roman" w:eastAsia="宋体" w:cs="Times New Roman"/>
                <w:b/>
                <w:color w:val="auto"/>
                <w:sz w:val="21"/>
                <w:szCs w:val="21"/>
                <w:highlight w:val="none"/>
              </w:rPr>
            </w:pPr>
          </w:p>
        </w:tc>
        <w:tc>
          <w:tcPr>
            <w:tcW w:w="3767" w:type="dxa"/>
            <w:tcBorders>
              <w:tl2br w:val="nil"/>
              <w:tr2bl w:val="nil"/>
            </w:tcBorders>
            <w:vAlign w:val="center"/>
          </w:tcPr>
          <w:p w14:paraId="1907C460">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排放方式</w:t>
            </w:r>
          </w:p>
        </w:tc>
        <w:tc>
          <w:tcPr>
            <w:tcW w:w="3768" w:type="dxa"/>
            <w:tcBorders>
              <w:tl2br w:val="nil"/>
              <w:tr2bl w:val="nil"/>
            </w:tcBorders>
            <w:vAlign w:val="bottom"/>
          </w:tcPr>
          <w:p w14:paraId="3332F6F2">
            <w:pPr>
              <w:jc w:val="center"/>
              <w:rPr>
                <w:rFonts w:hint="default" w:ascii="Times New Roman" w:hAnsi="Times New Roman" w:eastAsia="宋体" w:cs="Times New Roman"/>
                <w:b/>
                <w:bCs/>
                <w:color w:val="auto"/>
                <w:w w:val="94"/>
                <w:sz w:val="21"/>
                <w:szCs w:val="21"/>
                <w:highlight w:val="none"/>
              </w:rPr>
            </w:pPr>
            <w:r>
              <w:rPr>
                <w:rFonts w:hint="default" w:ascii="Times New Roman" w:hAnsi="Times New Roman" w:eastAsia="宋体" w:cs="Times New Roman"/>
                <w:b/>
                <w:bCs/>
                <w:color w:val="auto"/>
                <w:w w:val="94"/>
                <w:sz w:val="21"/>
                <w:szCs w:val="21"/>
                <w:highlight w:val="none"/>
              </w:rPr>
              <w:t>废水排放量</w:t>
            </w:r>
            <w:r>
              <w:rPr>
                <w:rFonts w:hint="default" w:ascii="Times New Roman" w:hAnsi="Times New Roman" w:eastAsia="宋体" w:cs="Times New Roman"/>
                <w:b/>
                <w:bCs/>
                <w:iCs/>
                <w:color w:val="auto"/>
                <w:w w:val="94"/>
                <w:sz w:val="21"/>
                <w:szCs w:val="21"/>
                <w:highlight w:val="none"/>
              </w:rPr>
              <w:t>Q/（m</w:t>
            </w:r>
            <w:r>
              <w:rPr>
                <w:rFonts w:hint="default" w:ascii="Times New Roman" w:hAnsi="Times New Roman" w:eastAsia="宋体" w:cs="Times New Roman"/>
                <w:b/>
                <w:bCs/>
                <w:iCs/>
                <w:color w:val="auto"/>
                <w:w w:val="94"/>
                <w:sz w:val="21"/>
                <w:szCs w:val="21"/>
                <w:highlight w:val="none"/>
                <w:vertAlign w:val="superscript"/>
              </w:rPr>
              <w:t>3</w:t>
            </w:r>
            <w:r>
              <w:rPr>
                <w:rFonts w:hint="default" w:ascii="Times New Roman" w:hAnsi="Times New Roman" w:eastAsia="宋体" w:cs="Times New Roman"/>
                <w:b/>
                <w:bCs/>
                <w:iCs/>
                <w:color w:val="auto"/>
                <w:w w:val="94"/>
                <w:sz w:val="21"/>
                <w:szCs w:val="21"/>
                <w:highlight w:val="none"/>
              </w:rPr>
              <w:t>/d）</w:t>
            </w:r>
            <w:r>
              <w:rPr>
                <w:rFonts w:hint="default" w:ascii="Times New Roman" w:hAnsi="Times New Roman" w:eastAsia="宋体" w:cs="Times New Roman"/>
                <w:b/>
                <w:bCs/>
                <w:color w:val="auto"/>
                <w:w w:val="94"/>
                <w:sz w:val="21"/>
                <w:szCs w:val="21"/>
                <w:highlight w:val="none"/>
              </w:rPr>
              <w:t>；</w:t>
            </w:r>
          </w:p>
          <w:p w14:paraId="0FFF5134">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w w:val="96"/>
                <w:sz w:val="21"/>
                <w:szCs w:val="21"/>
                <w:highlight w:val="none"/>
              </w:rPr>
              <w:t>水污染物当量数</w:t>
            </w:r>
            <w:r>
              <w:rPr>
                <w:rFonts w:hint="default" w:ascii="Times New Roman" w:hAnsi="Times New Roman" w:eastAsia="宋体" w:cs="Times New Roman"/>
                <w:b/>
                <w:bCs/>
                <w:iCs/>
                <w:color w:val="auto"/>
                <w:w w:val="96"/>
                <w:sz w:val="21"/>
                <w:szCs w:val="21"/>
                <w:highlight w:val="none"/>
              </w:rPr>
              <w:t>W/</w:t>
            </w:r>
            <w:r>
              <w:rPr>
                <w:rFonts w:hint="default" w:ascii="Times New Roman" w:hAnsi="Times New Roman" w:eastAsia="宋体" w:cs="Times New Roman"/>
                <w:b/>
                <w:bCs/>
                <w:color w:val="auto"/>
                <w:w w:val="96"/>
                <w:sz w:val="21"/>
                <w:szCs w:val="21"/>
                <w:highlight w:val="none"/>
              </w:rPr>
              <w:t>（无量纲）</w:t>
            </w:r>
          </w:p>
        </w:tc>
      </w:tr>
      <w:tr w14:paraId="75BDE8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tcBorders>
              <w:tl2br w:val="nil"/>
              <w:tr2bl w:val="nil"/>
            </w:tcBorders>
            <w:vAlign w:val="center"/>
          </w:tcPr>
          <w:p w14:paraId="366E4D0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一级评价</w:t>
            </w:r>
          </w:p>
        </w:tc>
        <w:tc>
          <w:tcPr>
            <w:tcW w:w="3767" w:type="dxa"/>
            <w:tcBorders>
              <w:tl2br w:val="nil"/>
              <w:tr2bl w:val="nil"/>
            </w:tcBorders>
            <w:vAlign w:val="center"/>
          </w:tcPr>
          <w:p w14:paraId="0CE9F23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直接排放</w:t>
            </w:r>
          </w:p>
        </w:tc>
        <w:tc>
          <w:tcPr>
            <w:tcW w:w="3768" w:type="dxa"/>
            <w:tcBorders>
              <w:tl2br w:val="nil"/>
              <w:tr2bl w:val="nil"/>
            </w:tcBorders>
            <w:vAlign w:val="center"/>
          </w:tcPr>
          <w:p w14:paraId="43C47F3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Q≥20000或W≥600000</w:t>
            </w:r>
          </w:p>
        </w:tc>
      </w:tr>
      <w:tr w14:paraId="46B909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tcBorders>
              <w:tl2br w:val="nil"/>
              <w:tr2bl w:val="nil"/>
            </w:tcBorders>
            <w:vAlign w:val="center"/>
          </w:tcPr>
          <w:p w14:paraId="47343E7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二级评价</w:t>
            </w:r>
          </w:p>
        </w:tc>
        <w:tc>
          <w:tcPr>
            <w:tcW w:w="3767" w:type="dxa"/>
            <w:tcBorders>
              <w:tl2br w:val="nil"/>
              <w:tr2bl w:val="nil"/>
            </w:tcBorders>
            <w:vAlign w:val="center"/>
          </w:tcPr>
          <w:p w14:paraId="5B6D7B2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直接排放</w:t>
            </w:r>
          </w:p>
        </w:tc>
        <w:tc>
          <w:tcPr>
            <w:tcW w:w="3768" w:type="dxa"/>
            <w:tcBorders>
              <w:tl2br w:val="nil"/>
              <w:tr2bl w:val="nil"/>
            </w:tcBorders>
            <w:vAlign w:val="center"/>
          </w:tcPr>
          <w:p w14:paraId="2C502B4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r>
      <w:tr w14:paraId="5975C5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tcBorders>
              <w:tl2br w:val="nil"/>
              <w:tr2bl w:val="nil"/>
            </w:tcBorders>
            <w:vAlign w:val="center"/>
          </w:tcPr>
          <w:p w14:paraId="4AC01EA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三级A评价</w:t>
            </w:r>
          </w:p>
        </w:tc>
        <w:tc>
          <w:tcPr>
            <w:tcW w:w="3767" w:type="dxa"/>
            <w:tcBorders>
              <w:tl2br w:val="nil"/>
              <w:tr2bl w:val="nil"/>
            </w:tcBorders>
            <w:vAlign w:val="center"/>
          </w:tcPr>
          <w:p w14:paraId="0B3DD48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直接排放</w:t>
            </w:r>
          </w:p>
        </w:tc>
        <w:tc>
          <w:tcPr>
            <w:tcW w:w="3768" w:type="dxa"/>
            <w:tcBorders>
              <w:tl2br w:val="nil"/>
              <w:tr2bl w:val="nil"/>
            </w:tcBorders>
            <w:vAlign w:val="center"/>
          </w:tcPr>
          <w:p w14:paraId="7BA7804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Q＜200且W＜6000</w:t>
            </w:r>
          </w:p>
        </w:tc>
      </w:tr>
      <w:tr w14:paraId="68AC7A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tcBorders>
              <w:tl2br w:val="nil"/>
              <w:tr2bl w:val="nil"/>
            </w:tcBorders>
            <w:vAlign w:val="center"/>
          </w:tcPr>
          <w:p w14:paraId="6B701F2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三级B评价</w:t>
            </w:r>
          </w:p>
        </w:tc>
        <w:tc>
          <w:tcPr>
            <w:tcW w:w="3767" w:type="dxa"/>
            <w:tcBorders>
              <w:tl2br w:val="nil"/>
              <w:tr2bl w:val="nil"/>
            </w:tcBorders>
            <w:vAlign w:val="center"/>
          </w:tcPr>
          <w:p w14:paraId="339747C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间接排放</w:t>
            </w:r>
          </w:p>
        </w:tc>
        <w:tc>
          <w:tcPr>
            <w:tcW w:w="3768" w:type="dxa"/>
            <w:tcBorders>
              <w:tl2br w:val="nil"/>
              <w:tr2bl w:val="nil"/>
            </w:tcBorders>
            <w:vAlign w:val="center"/>
          </w:tcPr>
          <w:p w14:paraId="4B36F3B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78AE3C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9410" w:type="dxa"/>
            <w:gridSpan w:val="3"/>
            <w:tcBorders>
              <w:tl2br w:val="nil"/>
              <w:tr2bl w:val="nil"/>
            </w:tcBorders>
            <w:vAlign w:val="center"/>
          </w:tcPr>
          <w:p w14:paraId="2FAC13AA">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 1：</w:t>
            </w:r>
            <w:r>
              <w:rPr>
                <w:rFonts w:hint="default" w:ascii="Times New Roman" w:hAnsi="Times New Roman" w:eastAsia="宋体" w:cs="Times New Roman"/>
                <w:color w:val="auto"/>
                <w:sz w:val="21"/>
                <w:szCs w:val="21"/>
                <w:highlight w:val="none"/>
              </w:rPr>
              <w:t>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5443162D">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 2：</w:t>
            </w:r>
            <w:r>
              <w:rPr>
                <w:rFonts w:hint="default" w:ascii="Times New Roman" w:hAnsi="Times New Roman" w:eastAsia="宋体" w:cs="Times New Roman"/>
                <w:color w:val="auto"/>
                <w:sz w:val="21"/>
                <w:szCs w:val="21"/>
                <w:highlight w:val="none"/>
              </w:rPr>
              <w:t>废水排放量按行业排放标准中规定的废水种类统计，没有相关行业排放标准要求的通过工程分析合理确定，应统计含热量大的冷却水的排放量，可不统计间接冷却水、循环水及其他含污染物极少的清净下水的排放量。</w:t>
            </w:r>
          </w:p>
          <w:p w14:paraId="62EF23F6">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 3：</w:t>
            </w:r>
            <w:r>
              <w:rPr>
                <w:rFonts w:hint="default" w:ascii="Times New Roman" w:hAnsi="Times New Roman" w:eastAsia="宋体" w:cs="Times New Roman"/>
                <w:color w:val="auto"/>
                <w:sz w:val="21"/>
                <w:szCs w:val="21"/>
                <w:highlight w:val="none"/>
              </w:rPr>
              <w:t>厂区存在堆积物（露天堆放的原料、燃料、废渣等以及垃圾堆放场）、降尘污染的，应将初期雨污水纳入废水排放量，相应的主要污染物纳入水污染当量计算。</w:t>
            </w:r>
          </w:p>
          <w:p w14:paraId="1865A213">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注4</w:t>
            </w:r>
            <w:r>
              <w:rPr>
                <w:rFonts w:hint="default" w:ascii="Times New Roman" w:hAnsi="Times New Roman" w:eastAsia="宋体" w:cs="Times New Roman"/>
                <w:color w:val="auto"/>
                <w:sz w:val="21"/>
                <w:szCs w:val="21"/>
                <w:highlight w:val="none"/>
              </w:rPr>
              <w:t>：建设项目直接排放第一类污染物的，其评价等级为一级；建设项目直接排放的污染物为受纳水体超标因子的，评价等级不低于二级。</w:t>
            </w:r>
          </w:p>
          <w:p w14:paraId="56DFF916">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注5：</w:t>
            </w:r>
            <w:r>
              <w:rPr>
                <w:rFonts w:hint="default" w:ascii="Times New Roman" w:hAnsi="Times New Roman" w:eastAsia="宋体" w:cs="Times New Roman"/>
                <w:color w:val="auto"/>
                <w:sz w:val="21"/>
                <w:szCs w:val="21"/>
                <w:highlight w:val="none"/>
              </w:rPr>
              <w:t>直接排放受纳水体影响范围涉及饮用水水源保护区、饮用水取水口、重点保护与珍稀水生生物的栖息地、重要水生生物的自然产卵场等保护目标时，评价等级不低于二级。</w:t>
            </w:r>
          </w:p>
          <w:p w14:paraId="05D0C0E2">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注6：</w:t>
            </w:r>
            <w:r>
              <w:rPr>
                <w:rFonts w:hint="default" w:ascii="Times New Roman" w:hAnsi="Times New Roman" w:eastAsia="宋体" w:cs="Times New Roman"/>
                <w:color w:val="auto"/>
                <w:sz w:val="21"/>
                <w:szCs w:val="21"/>
                <w:highlight w:val="none"/>
              </w:rPr>
              <w:t>建设项目向河流、湖库排放温排水引起受纳水体水温变化超过水环境质量标准要求，且评价范围有水温敏感目标时，评价等级为一级。</w:t>
            </w:r>
          </w:p>
          <w:p w14:paraId="313C3A6A">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注7：</w:t>
            </w:r>
            <w:r>
              <w:rPr>
                <w:rFonts w:hint="default" w:ascii="Times New Roman" w:hAnsi="Times New Roman" w:eastAsia="宋体" w:cs="Times New Roman"/>
                <w:color w:val="auto"/>
                <w:sz w:val="21"/>
                <w:szCs w:val="21"/>
                <w:highlight w:val="none"/>
              </w:rPr>
              <w:t>建设项目利用海水作为调节温度介质，排水量≥500万m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/d，评价等级为一级；排水量＜500万m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/d，评价等级为二级。</w:t>
            </w:r>
          </w:p>
          <w:p w14:paraId="50C4036F">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注8：</w:t>
            </w:r>
            <w:r>
              <w:rPr>
                <w:rFonts w:hint="default" w:ascii="Times New Roman" w:hAnsi="Times New Roman" w:eastAsia="宋体" w:cs="Times New Roman"/>
                <w:color w:val="auto"/>
                <w:sz w:val="21"/>
                <w:szCs w:val="21"/>
                <w:highlight w:val="none"/>
              </w:rPr>
              <w:t>仅涉及清净下水排放的，如其排放水质满足受纳水体水环境质量标准要求的，评价等级为三级A。</w:t>
            </w:r>
          </w:p>
          <w:p w14:paraId="1008E524">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注9：</w:t>
            </w:r>
            <w:r>
              <w:rPr>
                <w:rFonts w:hint="default" w:ascii="Times New Roman" w:hAnsi="Times New Roman" w:eastAsia="宋体" w:cs="Times New Roman"/>
                <w:color w:val="auto"/>
                <w:sz w:val="21"/>
                <w:szCs w:val="21"/>
                <w:highlight w:val="none"/>
              </w:rPr>
              <w:t>依托现有排放口，且对外环境未新增排放污染物的直接排放建设项目，评价等级参照间接排放，定为三级B。</w:t>
            </w:r>
          </w:p>
          <w:p w14:paraId="16C8DE2F">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注10：</w:t>
            </w:r>
            <w:r>
              <w:rPr>
                <w:rFonts w:hint="default" w:ascii="Times New Roman" w:hAnsi="Times New Roman" w:eastAsia="宋体" w:cs="Times New Roman"/>
                <w:color w:val="auto"/>
                <w:sz w:val="21"/>
                <w:szCs w:val="21"/>
                <w:highlight w:val="none"/>
              </w:rPr>
              <w:t>建设项目生产工艺中有废水产生，但作为回水利用，不排放到外环境的，按三级B评价。</w:t>
            </w:r>
          </w:p>
        </w:tc>
      </w:tr>
    </w:tbl>
    <w:p w14:paraId="1721FB08">
      <w:pPr>
        <w:adjustRightInd w:val="0"/>
        <w:snapToGrid w:val="0"/>
        <w:spacing w:line="360" w:lineRule="auto"/>
        <w:ind w:firstLine="480" w:firstLineChars="200"/>
        <w:rPr>
          <w:rFonts w:hint="default" w:ascii="Times New Roman" w:hAnsi="Times New Roman" w:cs="Times New Roman"/>
          <w:color w:val="auto"/>
          <w:szCs w:val="32"/>
          <w:highlight w:val="none"/>
        </w:rPr>
      </w:pPr>
      <w:bookmarkStart w:id="267" w:name="_Toc2434"/>
      <w:bookmarkStart w:id="268" w:name="_Toc26093"/>
      <w:bookmarkStart w:id="269" w:name="_Toc3377"/>
      <w:bookmarkStart w:id="270" w:name="_Toc1636"/>
      <w:r>
        <w:rPr>
          <w:rFonts w:hint="default" w:ascii="Times New Roman" w:hAnsi="Times New Roman" w:cs="Times New Roman"/>
          <w:color w:val="auto"/>
          <w:highlight w:val="none"/>
        </w:rPr>
        <w:t>本次建设项目产生的废水排入黑膜厌氧池经厌氧发酵后产生沼液作为液态肥料施用于农田，本项目污水不外排</w:t>
      </w:r>
      <w:r>
        <w:rPr>
          <w:rFonts w:hint="default" w:ascii="Times New Roman" w:hAnsi="Times New Roman" w:cs="Times New Roman"/>
          <w:color w:val="auto"/>
          <w:szCs w:val="32"/>
          <w:highlight w:val="none"/>
        </w:rPr>
        <w:t>。</w:t>
      </w:r>
      <w:r>
        <w:rPr>
          <w:rFonts w:hint="default" w:ascii="Times New Roman" w:hAnsi="Times New Roman" w:cs="Times New Roman"/>
          <w:color w:val="auto"/>
          <w:highlight w:val="none"/>
        </w:rPr>
        <w:t>根据《环境影响评价技术导则 地表水环境》（HJ2.3-2018），建设项目地表水环境影响评价等级是按照影响类型、排放方式、排放量或影响情况、受纳水体质量现状、水环境保护目标等综合确定。根据本次项目排水情况、区域地表水功能等，确定本次项目评价等级为三级B</w:t>
      </w:r>
      <w:r>
        <w:rPr>
          <w:rFonts w:hint="default" w:ascii="Times New Roman" w:hAnsi="Times New Roman" w:cs="Times New Roman"/>
          <w:color w:val="auto"/>
          <w:szCs w:val="32"/>
          <w:highlight w:val="none"/>
        </w:rPr>
        <w:t>。</w:t>
      </w:r>
    </w:p>
    <w:p w14:paraId="6B81B0EA">
      <w:pPr>
        <w:pStyle w:val="453"/>
        <w:adjustRightInd w:val="0"/>
        <w:snapToGrid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地表水环境》（HJ2.3-2018）中7.1.2要求，水污染型三级B评价可不进行水环境影响预测，仅进行简要分析。本项目地表水环境影响分析主要内容为水污染控制和水环境影响减缓措施有效性评价。</w:t>
      </w:r>
    </w:p>
    <w:p w14:paraId="34DEA24C">
      <w:pPr>
        <w:pStyle w:val="7"/>
        <w:bidi w:val="0"/>
        <w:rPr>
          <w:rFonts w:hint="default"/>
          <w:highlight w:val="none"/>
        </w:rPr>
      </w:pPr>
      <w:r>
        <w:rPr>
          <w:rFonts w:hint="default"/>
          <w:highlight w:val="none"/>
        </w:rPr>
        <w:t>2.4.3地下水环境</w:t>
      </w:r>
      <w:bookmarkEnd w:id="267"/>
      <w:bookmarkEnd w:id="268"/>
      <w:bookmarkEnd w:id="269"/>
      <w:bookmarkEnd w:id="270"/>
    </w:p>
    <w:p w14:paraId="3FE6DE16">
      <w:pPr>
        <w:spacing w:line="360" w:lineRule="auto"/>
        <w:ind w:firstLine="480" w:firstLineChars="200"/>
        <w:rPr>
          <w:rFonts w:hint="default" w:ascii="Times New Roman" w:hAnsi="Times New Roman" w:eastAsia="宋体" w:cs="Times New Roman"/>
          <w:color w:val="auto"/>
          <w:sz w:val="24"/>
          <w:szCs w:val="32"/>
          <w:highlight w:val="none"/>
        </w:rPr>
      </w:pPr>
      <w:bookmarkStart w:id="271" w:name="_Toc307292226"/>
      <w:r>
        <w:rPr>
          <w:rFonts w:hint="default" w:ascii="Times New Roman" w:hAnsi="Times New Roman" w:eastAsia="宋体" w:cs="Times New Roman"/>
          <w:color w:val="auto"/>
          <w:sz w:val="24"/>
          <w:szCs w:val="32"/>
          <w:highlight w:val="none"/>
        </w:rPr>
        <w:t>（1）地下水环境影响评价行业分类</w:t>
      </w:r>
    </w:p>
    <w:p w14:paraId="6C6CACD0">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根据《环境影响评价技术导则 地下水环境》（HJ610-2016）中附录A地下水环境影响评价行业分类表，本项目属于</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14畜禽养殖场、养殖小区</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，地下水环境影响评价分类为Ⅲ类。</w:t>
      </w:r>
    </w:p>
    <w:p w14:paraId="42578F80">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（2）水环境敏感程度</w:t>
      </w:r>
    </w:p>
    <w:p w14:paraId="482C29DA">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根据《环境影响评价技术导则 地下水环境》（HJ610-2016），建设项目的地下水环境敏感程度可分为敏感、较敏感、不敏感，分级原则见表</w:t>
      </w:r>
      <w:r>
        <w:rPr>
          <w:rFonts w:hint="default" w:ascii="Times New Roman" w:hAnsi="Times New Roman" w:eastAsia="宋体" w:cs="Times New Roman"/>
          <w:color w:val="auto"/>
          <w:sz w:val="24"/>
          <w:highlight w:val="none"/>
        </w:rPr>
        <w:t>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szCs w:val="32"/>
          <w:highlight w:val="none"/>
        </w:rPr>
        <w:t>。</w:t>
      </w:r>
    </w:p>
    <w:p w14:paraId="3C119FA2">
      <w:pPr>
        <w:spacing w:line="240" w:lineRule="auto"/>
        <w:jc w:val="center"/>
        <w:rPr>
          <w:rFonts w:hint="default" w:ascii="Times New Roman" w:hAnsi="Times New Roman" w:eastAsia="黑体" w:cs="Times New Roman"/>
          <w:b w:val="0"/>
          <w:bCs/>
          <w:smallCaps w:val="0"/>
          <w:kern w:val="2"/>
          <w:sz w:val="21"/>
          <w:szCs w:val="24"/>
          <w:highlight w:val="none"/>
          <w:lang w:val="zh-CN" w:eastAsia="zh-CN" w:bidi="ar-SA"/>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eastAsia" w:ascii="Times New Roman" w:hAnsi="Times New Roman" w:eastAsia="黑体" w:cs="Times New Roman"/>
          <w:b w:val="0"/>
          <w:bCs/>
          <w:smallCaps w:val="0"/>
          <w:kern w:val="2"/>
          <w:sz w:val="21"/>
          <w:szCs w:val="24"/>
          <w:highlight w:val="none"/>
          <w:lang w:val="en-US" w:eastAsia="zh-CN" w:bidi="ar-SA"/>
        </w:rPr>
        <w:t>8</w:t>
      </w:r>
      <w:r>
        <w:rPr>
          <w:rFonts w:hint="default" w:ascii="Times New Roman" w:hAnsi="Times New Roman" w:eastAsia="黑体" w:cs="Times New Roman"/>
          <w:b w:val="0"/>
          <w:bCs/>
          <w:smallCaps w:val="0"/>
          <w:kern w:val="2"/>
          <w:sz w:val="21"/>
          <w:szCs w:val="24"/>
          <w:highlight w:val="none"/>
          <w:lang w:val="zh-CN" w:eastAsia="zh-CN" w:bidi="ar-SA"/>
        </w:rPr>
        <w:t xml:space="preserve"> 地下水环境敏感程度分级一览表</w:t>
      </w:r>
    </w:p>
    <w:tbl>
      <w:tblPr>
        <w:tblStyle w:val="48"/>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133"/>
        <w:gridCol w:w="7389"/>
      </w:tblGrid>
      <w:tr w14:paraId="2B7D0C9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665" w:type="pct"/>
            <w:tcBorders>
              <w:tl2br w:val="nil"/>
              <w:tr2bl w:val="nil"/>
            </w:tcBorders>
            <w:noWrap w:val="0"/>
            <w:vAlign w:val="center"/>
          </w:tcPr>
          <w:p w14:paraId="6EEE47A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敏感程度</w:t>
            </w:r>
          </w:p>
        </w:tc>
        <w:tc>
          <w:tcPr>
            <w:tcW w:w="4334" w:type="pct"/>
            <w:tcBorders>
              <w:tl2br w:val="nil"/>
              <w:tr2bl w:val="nil"/>
            </w:tcBorders>
            <w:noWrap w:val="0"/>
            <w:vAlign w:val="center"/>
          </w:tcPr>
          <w:p w14:paraId="52D99BC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地下水环境敏感特征</w:t>
            </w:r>
          </w:p>
        </w:tc>
      </w:tr>
      <w:tr w14:paraId="51EE7BF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665" w:type="pct"/>
            <w:tcBorders>
              <w:tl2br w:val="nil"/>
              <w:tr2bl w:val="nil"/>
            </w:tcBorders>
            <w:noWrap w:val="0"/>
            <w:vAlign w:val="center"/>
          </w:tcPr>
          <w:p w14:paraId="0A0FAF6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w:t>
            </w:r>
          </w:p>
        </w:tc>
        <w:tc>
          <w:tcPr>
            <w:tcW w:w="4334" w:type="pct"/>
            <w:tcBorders>
              <w:tl2br w:val="nil"/>
              <w:tr2bl w:val="nil"/>
            </w:tcBorders>
            <w:noWrap w:val="0"/>
            <w:vAlign w:val="center"/>
          </w:tcPr>
          <w:p w14:paraId="2C8C0BEA">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0559D01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665" w:type="pct"/>
            <w:tcBorders>
              <w:tl2br w:val="nil"/>
              <w:tr2bl w:val="nil"/>
            </w:tcBorders>
            <w:noWrap w:val="0"/>
            <w:vAlign w:val="center"/>
          </w:tcPr>
          <w:p w14:paraId="6F23AED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较敏感</w:t>
            </w:r>
          </w:p>
        </w:tc>
        <w:tc>
          <w:tcPr>
            <w:tcW w:w="4334" w:type="pct"/>
            <w:tcBorders>
              <w:tl2br w:val="nil"/>
              <w:tr2bl w:val="nil"/>
            </w:tcBorders>
            <w:noWrap w:val="0"/>
            <w:vAlign w:val="center"/>
          </w:tcPr>
          <w:p w14:paraId="6A17CBA0">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hint="default" w:ascii="Times New Roman" w:hAnsi="Times New Roman" w:eastAsia="宋体" w:cs="Times New Roman"/>
                <w:color w:val="auto"/>
                <w:sz w:val="21"/>
                <w:szCs w:val="21"/>
                <w:highlight w:val="none"/>
                <w:vertAlign w:val="superscript"/>
              </w:rPr>
              <w:t>a</w:t>
            </w:r>
          </w:p>
        </w:tc>
      </w:tr>
      <w:tr w14:paraId="3715A40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665" w:type="pct"/>
            <w:tcBorders>
              <w:tl2br w:val="nil"/>
              <w:tr2bl w:val="nil"/>
            </w:tcBorders>
            <w:noWrap w:val="0"/>
            <w:vAlign w:val="center"/>
          </w:tcPr>
          <w:p w14:paraId="33F7E0B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不敏感</w:t>
            </w:r>
          </w:p>
        </w:tc>
        <w:tc>
          <w:tcPr>
            <w:tcW w:w="4334" w:type="pct"/>
            <w:tcBorders>
              <w:tl2br w:val="nil"/>
              <w:tr2bl w:val="nil"/>
            </w:tcBorders>
            <w:noWrap w:val="0"/>
            <w:vAlign w:val="center"/>
          </w:tcPr>
          <w:p w14:paraId="7A269939">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上述地区之外的其它地区</w:t>
            </w:r>
          </w:p>
        </w:tc>
      </w:tr>
      <w:tr w14:paraId="4031759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5000" w:type="pct"/>
            <w:gridSpan w:val="2"/>
            <w:tcBorders>
              <w:tl2br w:val="nil"/>
              <w:tr2bl w:val="nil"/>
            </w:tcBorders>
            <w:noWrap w:val="0"/>
            <w:vAlign w:val="center"/>
          </w:tcPr>
          <w:p w14:paraId="0C6A3DAB">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环境敏感区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是指《建设项目环境影响评价分类管理名录》中所界定的涉及地下水的环境敏感区</w:t>
            </w:r>
          </w:p>
        </w:tc>
      </w:tr>
    </w:tbl>
    <w:p w14:paraId="7839A3B5">
      <w:pPr>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rPr>
        <w:t>国家环境评估中心关于地下水敏感目标判定</w:t>
      </w:r>
      <w:r>
        <w:rPr>
          <w:rFonts w:hint="eastAsia" w:ascii="Times New Roman" w:hAnsi="Times New Roman" w:cs="Times New Roman"/>
          <w:sz w:val="24"/>
          <w:highlight w:val="none"/>
          <w:lang w:val="en-US" w:eastAsia="zh-CN"/>
        </w:rPr>
        <w:t>(</w:t>
      </w:r>
      <w:r>
        <w:rPr>
          <w:rFonts w:hint="default" w:ascii="Times New Roman" w:hAnsi="Times New Roman" w:cs="Times New Roman"/>
          <w:sz w:val="24"/>
          <w:highlight w:val="none"/>
        </w:rPr>
        <w:t>梁鹏，环境保护部环境工程评估中心，2016.7）关于地下水敏感性判定图，见图2.</w:t>
      </w:r>
      <w:r>
        <w:rPr>
          <w:rFonts w:hint="eastAsia" w:ascii="Times New Roman" w:hAnsi="Times New Roman" w:cs="Times New Roman"/>
          <w:sz w:val="24"/>
          <w:highlight w:val="none"/>
          <w:lang w:val="en-US" w:eastAsia="zh-CN"/>
        </w:rPr>
        <w:t>4</w:t>
      </w:r>
      <w:r>
        <w:rPr>
          <w:rFonts w:hint="default" w:ascii="Times New Roman" w:hAnsi="Times New Roman" w:cs="Times New Roman"/>
          <w:sz w:val="24"/>
          <w:highlight w:val="none"/>
        </w:rPr>
        <w:t>-1，参照《饮用水水源保护区划分技术规范》（HJ/T338）计算公式法确定饮用水井地下水环境敏感程度，分散式饮用水水源单井</w:t>
      </w:r>
      <w:r>
        <w:rPr>
          <w:rFonts w:hint="default" w:ascii="Times New Roman" w:hAnsi="Times New Roman" w:cs="Times New Roman"/>
          <w:sz w:val="24"/>
          <w:highlight w:val="none"/>
          <w:lang w:val="en-US" w:eastAsia="zh-CN"/>
        </w:rPr>
        <w:t>外</w:t>
      </w:r>
      <w:r>
        <w:rPr>
          <w:rFonts w:hint="default" w:ascii="Times New Roman" w:hAnsi="Times New Roman" w:cs="Times New Roman"/>
          <w:sz w:val="24"/>
          <w:highlight w:val="none"/>
        </w:rPr>
        <w:t>50m</w:t>
      </w:r>
      <w:r>
        <w:rPr>
          <w:rFonts w:hint="default" w:ascii="Times New Roman" w:hAnsi="Times New Roman" w:cs="Times New Roman"/>
          <w:sz w:val="24"/>
          <w:highlight w:val="none"/>
          <w:lang w:val="en-US" w:eastAsia="zh-CN"/>
        </w:rPr>
        <w:t>及</w:t>
      </w:r>
      <w:r>
        <w:rPr>
          <w:rFonts w:hint="default" w:ascii="Times New Roman" w:hAnsi="Times New Roman" w:cs="Times New Roman"/>
          <w:sz w:val="24"/>
          <w:highlight w:val="none"/>
        </w:rPr>
        <w:t>外扩2000天质点迁移距离范围作为较敏感区</w:t>
      </w:r>
      <w:r>
        <w:rPr>
          <w:rFonts w:hint="default" w:ascii="Times New Roman" w:hAnsi="Times New Roman" w:cs="Times New Roman"/>
          <w:sz w:val="24"/>
          <w:highlight w:val="none"/>
          <w:lang w:eastAsia="zh-CN"/>
        </w:rPr>
        <w:t>；</w:t>
      </w:r>
      <w:r>
        <w:rPr>
          <w:rFonts w:hint="default" w:ascii="Times New Roman" w:hAnsi="Times New Roman" w:cs="Times New Roman"/>
          <w:sz w:val="24"/>
          <w:szCs w:val="32"/>
          <w:highlight w:val="none"/>
        </w:rPr>
        <w:t>集中式饮用水水源</w:t>
      </w:r>
      <w:r>
        <w:rPr>
          <w:rFonts w:hint="default" w:ascii="Times New Roman" w:hAnsi="Times New Roman" w:cs="Times New Roman"/>
          <w:sz w:val="24"/>
          <w:szCs w:val="32"/>
          <w:highlight w:val="none"/>
          <w:lang w:val="en-US" w:eastAsia="zh-CN"/>
        </w:rPr>
        <w:t>地一级保护区及外扩</w:t>
      </w:r>
      <w:r>
        <w:rPr>
          <w:rFonts w:hint="default" w:ascii="Times New Roman" w:hAnsi="Times New Roman" w:cs="Times New Roman"/>
          <w:sz w:val="24"/>
          <w:highlight w:val="none"/>
        </w:rPr>
        <w:t>2000天质点迁移距离范围作为敏感区</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敏感区</w:t>
      </w:r>
      <w:r>
        <w:rPr>
          <w:rFonts w:hint="default" w:ascii="Times New Roman" w:hAnsi="Times New Roman" w:cs="Times New Roman"/>
          <w:sz w:val="24"/>
          <w:szCs w:val="32"/>
          <w:highlight w:val="none"/>
          <w:lang w:val="en-US" w:eastAsia="zh-CN"/>
        </w:rPr>
        <w:t>外扩</w:t>
      </w:r>
      <w:r>
        <w:rPr>
          <w:rFonts w:hint="default" w:ascii="Times New Roman" w:hAnsi="Times New Roman" w:cs="Times New Roman"/>
          <w:sz w:val="24"/>
          <w:highlight w:val="none"/>
          <w:lang w:val="en-US" w:eastAsia="zh-CN"/>
        </w:rPr>
        <w:t>3</w:t>
      </w:r>
      <w:r>
        <w:rPr>
          <w:rFonts w:hint="default" w:ascii="Times New Roman" w:hAnsi="Times New Roman" w:cs="Times New Roman"/>
          <w:sz w:val="24"/>
          <w:highlight w:val="none"/>
        </w:rPr>
        <w:t>000天质点迁移距离范围作为</w:t>
      </w:r>
      <w:r>
        <w:rPr>
          <w:rFonts w:hint="default" w:ascii="Times New Roman" w:hAnsi="Times New Roman" w:cs="Times New Roman"/>
          <w:sz w:val="24"/>
          <w:highlight w:val="none"/>
          <w:lang w:val="en-US" w:eastAsia="zh-CN"/>
        </w:rPr>
        <w:t>较</w:t>
      </w:r>
      <w:r>
        <w:rPr>
          <w:rFonts w:hint="default" w:ascii="Times New Roman" w:hAnsi="Times New Roman" w:cs="Times New Roman"/>
          <w:sz w:val="24"/>
          <w:highlight w:val="none"/>
        </w:rPr>
        <w:t>敏感区</w:t>
      </w:r>
      <w:r>
        <w:rPr>
          <w:rFonts w:hint="default" w:ascii="Times New Roman" w:hAnsi="Times New Roman" w:cs="Times New Roman"/>
          <w:sz w:val="24"/>
          <w:highlight w:val="none"/>
          <w:lang w:eastAsia="zh-CN"/>
        </w:rPr>
        <w:t>。</w:t>
      </w:r>
    </w:p>
    <w:p w14:paraId="1B69E812">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p>
    <w:p w14:paraId="30DD22BD">
      <w:pPr>
        <w:spacing w:line="360" w:lineRule="auto"/>
        <w:jc w:val="center"/>
        <w:rPr>
          <w:sz w:val="24"/>
          <w:highlight w:val="none"/>
        </w:rPr>
      </w:pPr>
      <w:r>
        <w:rPr>
          <w:highlight w:val="none"/>
        </w:rPr>
        <w:drawing>
          <wp:inline distT="0" distB="0" distL="114300" distR="114300">
            <wp:extent cx="4404995" cy="2715260"/>
            <wp:effectExtent l="0" t="0" r="14605" b="8890"/>
            <wp:docPr id="98" name="图片 7" descr="0648ac79880cb6e754c4e5c35cfa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 descr="0648ac79880cb6e754c4e5c35cfa62d"/>
                    <pic:cNvPicPr>
                      <a:picLocks noChangeAspect="1"/>
                    </pic:cNvPicPr>
                  </pic:nvPicPr>
                  <pic:blipFill>
                    <a:blip r:embed="rId42"/>
                    <a:stretch>
                      <a:fillRect/>
                    </a:stretch>
                  </pic:blipFill>
                  <pic:spPr>
                    <a:xfrm>
                      <a:off x="0" y="0"/>
                      <a:ext cx="4404995" cy="2715260"/>
                    </a:xfrm>
                    <a:prstGeom prst="rect">
                      <a:avLst/>
                    </a:prstGeom>
                    <a:noFill/>
                    <a:ln>
                      <a:noFill/>
                    </a:ln>
                  </pic:spPr>
                </pic:pic>
              </a:graphicData>
            </a:graphic>
          </wp:inline>
        </w:drawing>
      </w:r>
    </w:p>
    <w:p w14:paraId="50537890">
      <w:pPr>
        <w:spacing w:line="240" w:lineRule="auto"/>
        <w:jc w:val="center"/>
        <w:rPr>
          <w:rFonts w:hint="default" w:ascii="Times New Roman" w:hAnsi="Times New Roman" w:eastAsia="黑体" w:cs="Times New Roman"/>
          <w:b w:val="0"/>
          <w:bCs/>
          <w:smallCaps w:val="0"/>
          <w:kern w:val="2"/>
          <w:sz w:val="21"/>
          <w:szCs w:val="24"/>
          <w:highlight w:val="none"/>
          <w:lang w:val="zh-CN" w:eastAsia="zh-CN" w:bidi="ar-SA"/>
        </w:rPr>
      </w:pPr>
      <w:r>
        <w:rPr>
          <w:rFonts w:hint="eastAsia" w:ascii="Times New Roman" w:hAnsi="Times New Roman" w:eastAsia="黑体" w:cs="Times New Roman"/>
          <w:b w:val="0"/>
          <w:bCs/>
          <w:smallCaps w:val="0"/>
          <w:kern w:val="2"/>
          <w:sz w:val="21"/>
          <w:szCs w:val="24"/>
          <w:highlight w:val="none"/>
          <w:lang w:val="zh-CN" w:eastAsia="zh-CN" w:bidi="ar-SA"/>
        </w:rPr>
        <w:t>图</w:t>
      </w:r>
      <w:r>
        <w:rPr>
          <w:rFonts w:hint="default" w:ascii="Times New Roman" w:hAnsi="Times New Roman" w:eastAsia="黑体" w:cs="Times New Roman"/>
          <w:b w:val="0"/>
          <w:bCs/>
          <w:smallCaps w:val="0"/>
          <w:kern w:val="2"/>
          <w:sz w:val="21"/>
          <w:szCs w:val="24"/>
          <w:highlight w:val="none"/>
          <w:lang w:val="zh-CN" w:eastAsia="zh-CN" w:bidi="ar-SA"/>
        </w:rPr>
        <w:t>2.</w:t>
      </w:r>
      <w:r>
        <w:rPr>
          <w:rFonts w:hint="eastAsia" w:ascii="Times New Roman" w:hAnsi="Times New Roman" w:eastAsia="黑体" w:cs="Times New Roman"/>
          <w:b w:val="0"/>
          <w:bCs/>
          <w:smallCaps w:val="0"/>
          <w:kern w:val="2"/>
          <w:sz w:val="21"/>
          <w:szCs w:val="24"/>
          <w:highlight w:val="none"/>
          <w:lang w:val="en-US" w:eastAsia="zh-CN" w:bidi="ar-SA"/>
        </w:rPr>
        <w:t>4</w:t>
      </w:r>
      <w:r>
        <w:rPr>
          <w:rFonts w:hint="default" w:ascii="Times New Roman" w:hAnsi="Times New Roman" w:eastAsia="黑体" w:cs="Times New Roman"/>
          <w:b w:val="0"/>
          <w:bCs/>
          <w:smallCaps w:val="0"/>
          <w:kern w:val="2"/>
          <w:sz w:val="21"/>
          <w:szCs w:val="24"/>
          <w:highlight w:val="none"/>
          <w:lang w:val="zh-CN" w:eastAsia="zh-CN" w:bidi="ar-SA"/>
        </w:rPr>
        <w:t xml:space="preserve">-1  </w:t>
      </w:r>
      <w:r>
        <w:rPr>
          <w:rFonts w:hint="eastAsia" w:ascii="Times New Roman" w:hAnsi="Times New Roman" w:eastAsia="黑体" w:cs="Times New Roman"/>
          <w:b w:val="0"/>
          <w:bCs/>
          <w:smallCaps w:val="0"/>
          <w:kern w:val="2"/>
          <w:sz w:val="21"/>
          <w:szCs w:val="24"/>
          <w:highlight w:val="none"/>
          <w:lang w:val="zh-CN" w:eastAsia="zh-CN" w:bidi="ar-SA"/>
        </w:rPr>
        <w:t>国家环境评估中心关于地下水敏感目标判定图</w:t>
      </w:r>
    </w:p>
    <w:p w14:paraId="54EABD0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iCs/>
          <w:color w:val="auto"/>
          <w:spacing w:val="0"/>
          <w:sz w:val="24"/>
          <w:szCs w:val="22"/>
          <w:highlight w:val="none"/>
          <w:u w:val="none"/>
          <w:lang w:eastAsia="zh-CN"/>
        </w:rPr>
        <w:t>根据现场调查，</w:t>
      </w:r>
      <w:r>
        <w:rPr>
          <w:rFonts w:hint="default" w:ascii="Times New Roman" w:hAnsi="Times New Roman" w:cs="Times New Roman"/>
          <w:color w:val="auto"/>
          <w:sz w:val="24"/>
          <w:highlight w:val="none"/>
          <w:lang w:eastAsia="zh-CN"/>
        </w:rPr>
        <w:t>本项目区域地下水流向为由</w:t>
      </w:r>
      <w:r>
        <w:rPr>
          <w:rFonts w:hint="default" w:ascii="Times New Roman" w:hAnsi="Times New Roman" w:cs="Times New Roman"/>
          <w:color w:val="auto"/>
          <w:sz w:val="24"/>
          <w:highlight w:val="none"/>
          <w:lang w:val="en-US" w:eastAsia="zh-CN"/>
        </w:rPr>
        <w:t>西南到东北</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本项目不在地下水集中式水源地（包括已建成的在用、备用、应急水源，在建和规划的饮用水水源）保护区范围内；不在除集中式饮用水水源以外的国家或地方政府设定的与地下水环境</w:t>
      </w:r>
      <w:r>
        <w:rPr>
          <w:rFonts w:hint="default" w:ascii="Times New Roman" w:hAnsi="Times New Roman" w:eastAsia="宋体" w:cs="Times New Roman"/>
          <w:color w:val="auto"/>
          <w:sz w:val="24"/>
          <w:highlight w:val="none"/>
          <w:lang w:eastAsia="zh-CN"/>
        </w:rPr>
        <w:t>相关的其他</w:t>
      </w:r>
      <w:r>
        <w:rPr>
          <w:rFonts w:hint="default" w:ascii="Times New Roman" w:hAnsi="Times New Roman" w:eastAsia="宋体" w:cs="Times New Roman"/>
          <w:color w:val="auto"/>
          <w:sz w:val="24"/>
          <w:highlight w:val="none"/>
        </w:rPr>
        <w:t>保护区，如热水、矿泉水、温泉等特殊地下水资源保护区。不在集中式饮用水水源（包括已建成的在用、备用、应急水源，在建和规划的饮用水水源）准保护区以外的补给径流区；不在未划定准保护区的集中式饮用水水源，其保护区以外的补给径流区；不在特殊地下水资源（如矿泉水、温泉等）保护区以外的分布区等其他未列入上述敏感分级的环境敏感区内。</w:t>
      </w:r>
    </w:p>
    <w:p w14:paraId="1034C5A8">
      <w:pPr>
        <w:spacing w:line="360" w:lineRule="auto"/>
        <w:ind w:firstLine="480" w:firstLineChars="200"/>
        <w:rPr>
          <w:rFonts w:hint="default" w:ascii="Times New Roman" w:hAnsi="Times New Roman" w:eastAsia="宋体" w:cs="Times New Roman"/>
          <w:snapToGrid w:val="0"/>
          <w:color w:val="auto"/>
          <w:kern w:val="0"/>
          <w:sz w:val="24"/>
          <w:szCs w:val="22"/>
          <w:highlight w:val="none"/>
        </w:rPr>
      </w:pPr>
      <w:r>
        <w:rPr>
          <w:rFonts w:hint="default" w:ascii="Times New Roman" w:hAnsi="Times New Roman" w:eastAsia="宋体" w:cs="Times New Roman"/>
          <w:snapToGrid w:val="0"/>
          <w:color w:val="auto"/>
          <w:kern w:val="0"/>
          <w:sz w:val="24"/>
          <w:szCs w:val="22"/>
          <w:highlight w:val="none"/>
        </w:rPr>
        <w:t>本项目区域周边最近饮用水水源为项目</w:t>
      </w:r>
      <w:r>
        <w:rPr>
          <w:rFonts w:hint="default" w:ascii="Times New Roman" w:hAnsi="Times New Roman" w:eastAsia="宋体" w:cs="Times New Roman"/>
          <w:snapToGrid w:val="0"/>
          <w:color w:val="auto"/>
          <w:kern w:val="0"/>
          <w:sz w:val="24"/>
          <w:szCs w:val="22"/>
          <w:highlight w:val="none"/>
          <w:lang w:val="en-US" w:eastAsia="zh-CN"/>
        </w:rPr>
        <w:t>东南</w:t>
      </w:r>
      <w:r>
        <w:rPr>
          <w:rFonts w:hint="default" w:ascii="Times New Roman" w:hAnsi="Times New Roman" w:eastAsia="宋体" w:cs="Times New Roman"/>
          <w:snapToGrid w:val="0"/>
          <w:color w:val="auto"/>
          <w:kern w:val="0"/>
          <w:sz w:val="24"/>
          <w:szCs w:val="22"/>
          <w:highlight w:val="none"/>
        </w:rPr>
        <w:t>侧</w:t>
      </w:r>
      <w:r>
        <w:rPr>
          <w:rFonts w:hint="default" w:ascii="Times New Roman" w:hAnsi="Times New Roman" w:eastAsia="宋体" w:cs="Times New Roman"/>
          <w:snapToGrid w:val="0"/>
          <w:color w:val="auto"/>
          <w:kern w:val="0"/>
          <w:sz w:val="24"/>
          <w:szCs w:val="22"/>
          <w:highlight w:val="none"/>
          <w:lang w:val="en-US" w:eastAsia="zh-CN"/>
        </w:rPr>
        <w:t>578</w:t>
      </w:r>
      <w:r>
        <w:rPr>
          <w:rFonts w:hint="default" w:ascii="Times New Roman" w:hAnsi="Times New Roman" w:eastAsia="宋体" w:cs="Times New Roman"/>
          <w:snapToGrid w:val="0"/>
          <w:color w:val="auto"/>
          <w:kern w:val="0"/>
          <w:sz w:val="24"/>
          <w:szCs w:val="22"/>
          <w:highlight w:val="none"/>
        </w:rPr>
        <w:t>m处的</w:t>
      </w:r>
      <w:r>
        <w:rPr>
          <w:rFonts w:hint="default" w:ascii="Times New Roman" w:hAnsi="Times New Roman" w:eastAsia="宋体" w:cs="Times New Roman"/>
          <w:snapToGrid w:val="0"/>
          <w:color w:val="auto"/>
          <w:kern w:val="0"/>
          <w:sz w:val="24"/>
          <w:szCs w:val="22"/>
          <w:highlight w:val="none"/>
          <w:lang w:val="en-US" w:eastAsia="zh-CN"/>
        </w:rPr>
        <w:t>团结村四组</w:t>
      </w:r>
      <w:r>
        <w:rPr>
          <w:rFonts w:hint="default" w:ascii="Times New Roman" w:hAnsi="Times New Roman" w:eastAsia="宋体" w:cs="Times New Roman"/>
          <w:snapToGrid w:val="0"/>
          <w:color w:val="auto"/>
          <w:kern w:val="0"/>
          <w:sz w:val="24"/>
          <w:szCs w:val="22"/>
          <w:highlight w:val="none"/>
        </w:rPr>
        <w:t>水井，位于厂区</w:t>
      </w:r>
      <w:r>
        <w:rPr>
          <w:rFonts w:hint="default" w:ascii="Times New Roman" w:hAnsi="Times New Roman" w:eastAsia="宋体" w:cs="Times New Roman"/>
          <w:snapToGrid w:val="0"/>
          <w:color w:val="auto"/>
          <w:kern w:val="0"/>
          <w:sz w:val="24"/>
          <w:szCs w:val="22"/>
          <w:highlight w:val="none"/>
          <w:lang w:val="en-US" w:eastAsia="zh-CN"/>
        </w:rPr>
        <w:t>东南</w:t>
      </w:r>
      <w:r>
        <w:rPr>
          <w:rFonts w:hint="default" w:ascii="Times New Roman" w:hAnsi="Times New Roman" w:eastAsia="宋体" w:cs="Times New Roman"/>
          <w:snapToGrid w:val="0"/>
          <w:color w:val="auto"/>
          <w:kern w:val="0"/>
          <w:sz w:val="24"/>
          <w:szCs w:val="22"/>
          <w:highlight w:val="none"/>
        </w:rPr>
        <w:t>侧</w:t>
      </w:r>
      <w:r>
        <w:rPr>
          <w:rFonts w:hint="eastAsia" w:ascii="Times New Roman" w:hAnsi="Times New Roman" w:cs="Times New Roman"/>
          <w:snapToGrid w:val="0"/>
          <w:color w:val="auto"/>
          <w:kern w:val="0"/>
          <w:sz w:val="24"/>
          <w:szCs w:val="22"/>
          <w:highlight w:val="none"/>
          <w:lang w:val="en-US" w:eastAsia="zh-CN"/>
        </w:rPr>
        <w:t>750</w:t>
      </w:r>
      <w:r>
        <w:rPr>
          <w:rFonts w:hint="default" w:ascii="Times New Roman" w:hAnsi="Times New Roman" w:eastAsia="宋体" w:cs="Times New Roman"/>
          <w:snapToGrid w:val="0"/>
          <w:color w:val="auto"/>
          <w:kern w:val="0"/>
          <w:sz w:val="24"/>
          <w:szCs w:val="22"/>
          <w:highlight w:val="none"/>
        </w:rPr>
        <w:t>m，</w:t>
      </w:r>
      <w:r>
        <w:rPr>
          <w:rFonts w:hint="default" w:ascii="Times New Roman" w:hAnsi="Times New Roman" w:eastAsia="宋体" w:cs="Times New Roman"/>
          <w:color w:val="auto"/>
          <w:sz w:val="24"/>
          <w:highlight w:val="none"/>
        </w:rPr>
        <w:t>根据水源保护区划分，该水源地属中小型水源地，已划定一级保护区，但未划定二级保护区和准保护区，</w:t>
      </w:r>
      <w:r>
        <w:rPr>
          <w:rFonts w:hint="default" w:ascii="Times New Roman" w:hAnsi="Times New Roman" w:eastAsia="宋体" w:cs="Times New Roman"/>
          <w:iCs/>
          <w:color w:val="auto"/>
          <w:sz w:val="24"/>
          <w:szCs w:val="22"/>
          <w:highlight w:val="none"/>
        </w:rPr>
        <w:t>一级保护区</w:t>
      </w:r>
      <w:r>
        <w:rPr>
          <w:rFonts w:hint="default" w:ascii="Times New Roman" w:hAnsi="Times New Roman" w:eastAsia="宋体" w:cs="Times New Roman"/>
          <w:snapToGrid w:val="0"/>
          <w:color w:val="auto"/>
          <w:kern w:val="0"/>
          <w:sz w:val="24"/>
          <w:szCs w:val="22"/>
          <w:highlight w:val="none"/>
        </w:rPr>
        <w:t>以井口为中心，半径30m为界，</w:t>
      </w:r>
      <w:r>
        <w:rPr>
          <w:rFonts w:hint="default" w:ascii="Times New Roman" w:hAnsi="Times New Roman" w:eastAsia="宋体" w:cs="Times New Roman"/>
          <w:iCs/>
          <w:color w:val="auto"/>
          <w:sz w:val="24"/>
          <w:szCs w:val="22"/>
          <w:highlight w:val="none"/>
        </w:rPr>
        <w:t>以一级保护区边界为起点质点迁移3000d范围作为敏感区，质点再迁移3000天范围作为较敏感区</w:t>
      </w:r>
      <w:r>
        <w:rPr>
          <w:rFonts w:hint="default" w:ascii="Times New Roman" w:hAnsi="Times New Roman" w:eastAsia="宋体" w:cs="Times New Roman"/>
          <w:snapToGrid w:val="0"/>
          <w:color w:val="auto"/>
          <w:kern w:val="0"/>
          <w:sz w:val="24"/>
          <w:szCs w:val="22"/>
          <w:highlight w:val="none"/>
        </w:rPr>
        <w:t>。</w:t>
      </w:r>
      <w:r>
        <w:rPr>
          <w:rFonts w:hint="default" w:ascii="Times New Roman" w:hAnsi="Times New Roman" w:eastAsia="宋体" w:cs="Times New Roman"/>
          <w:iCs/>
          <w:color w:val="auto"/>
          <w:spacing w:val="0"/>
          <w:sz w:val="24"/>
          <w:szCs w:val="22"/>
          <w:highlight w:val="none"/>
          <w:u w:val="none"/>
          <w:lang w:eastAsia="zh-CN"/>
        </w:rPr>
        <w:t>分散式饮用水水源单井外扩2000天质点迁移距离范围作为较敏感区，不设置敏感区。</w:t>
      </w:r>
      <w:r>
        <w:rPr>
          <w:rFonts w:hint="default" w:ascii="Times New Roman" w:hAnsi="Times New Roman" w:eastAsia="宋体" w:cs="Times New Roman"/>
          <w:snapToGrid w:val="0"/>
          <w:color w:val="auto"/>
          <w:kern w:val="0"/>
          <w:sz w:val="24"/>
          <w:szCs w:val="22"/>
          <w:highlight w:val="none"/>
        </w:rPr>
        <w:t>根据地下水质点运移距离计算公式：</w:t>
      </w:r>
    </w:p>
    <w:p w14:paraId="0F82596D">
      <w:pPr>
        <w:keepNext w:val="0"/>
        <w:keepLines w:val="0"/>
        <w:pageBreakBefore w:val="0"/>
        <w:widowControl/>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根据地下水质点运移距离计算公式：</w:t>
      </w:r>
    </w:p>
    <w:p w14:paraId="17F0825F">
      <w:pPr>
        <w:keepNext w:val="0"/>
        <w:keepLines w:val="0"/>
        <w:pageBreakBefore w:val="0"/>
        <w:widowControl/>
        <w:kinsoku/>
        <w:wordWrap/>
        <w:overflowPunct/>
        <w:topLinePunct w:val="0"/>
        <w:autoSpaceDN/>
        <w:bidi w:val="0"/>
        <w:adjustRightInd w:val="0"/>
        <w:snapToGrid w:val="0"/>
        <w:spacing w:line="360" w:lineRule="auto"/>
        <w:ind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2"/>
          <w:sz w:val="24"/>
          <w:highlight w:val="none"/>
        </w:rPr>
        <w:t>L＝α×K×I×T/n</w:t>
      </w:r>
      <w:r>
        <w:rPr>
          <w:rFonts w:hint="default" w:ascii="Times New Roman" w:hAnsi="Times New Roman" w:eastAsia="宋体" w:cs="Times New Roman"/>
          <w:color w:val="auto"/>
          <w:position w:val="2"/>
          <w:sz w:val="24"/>
          <w:highlight w:val="none"/>
          <w:vertAlign w:val="subscript"/>
        </w:rPr>
        <w:t>e</w:t>
      </w:r>
    </w:p>
    <w:p w14:paraId="67FC4ECA">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式中：L—下游迁移距离，m；</w:t>
      </w:r>
    </w:p>
    <w:p w14:paraId="4080C8AD">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α—变化系数，α≥1，一般取2；</w:t>
      </w:r>
    </w:p>
    <w:p w14:paraId="15F182CF">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K—渗透系数，m/d，（参照《环境影响评价技术导则 地下水环境》（HJ 610-2016）附录B，水源地的目标含水层</w:t>
      </w:r>
      <w:r>
        <w:rPr>
          <w:rFonts w:hint="default" w:ascii="Times New Roman" w:hAnsi="Times New Roman" w:eastAsia="宋体" w:cs="Times New Roman"/>
          <w:color w:val="auto"/>
          <w:sz w:val="24"/>
          <w:highlight w:val="none"/>
          <w:lang w:eastAsia="zh-CN"/>
        </w:rPr>
        <w:t>为</w:t>
      </w:r>
      <w:r>
        <w:rPr>
          <w:rFonts w:hint="default" w:ascii="Times New Roman" w:hAnsi="Times New Roman" w:eastAsia="宋体" w:cs="Times New Roman"/>
          <w:color w:val="auto"/>
          <w:sz w:val="24"/>
          <w:highlight w:val="none"/>
        </w:rPr>
        <w:t>亚粘土，渗透系数取值为</w:t>
      </w:r>
      <w:r>
        <w:rPr>
          <w:rFonts w:hint="default" w:ascii="Times New Roman" w:hAnsi="Times New Roman" w:eastAsia="宋体" w:cs="Times New Roman"/>
          <w:color w:val="auto"/>
          <w:sz w:val="24"/>
          <w:highlight w:val="none"/>
          <w:lang w:val="en-US" w:eastAsia="zh-CN"/>
        </w:rPr>
        <w:t>0.1-0.25</w:t>
      </w:r>
      <w:r>
        <w:rPr>
          <w:rFonts w:hint="default" w:ascii="Times New Roman" w:hAnsi="Times New Roman" w:eastAsia="宋体" w:cs="Times New Roman"/>
          <w:color w:val="auto"/>
          <w:sz w:val="24"/>
          <w:highlight w:val="none"/>
        </w:rPr>
        <w:t>m/d</w:t>
      </w:r>
      <w:r>
        <w:rPr>
          <w:rFonts w:hint="default" w:ascii="Times New Roman" w:hAnsi="Times New Roman" w:eastAsia="宋体" w:cs="Times New Roman"/>
          <w:color w:val="auto"/>
          <w:sz w:val="24"/>
          <w:highlight w:val="none"/>
          <w:lang w:eastAsia="zh-CN"/>
        </w:rPr>
        <w:t>，本项目取</w:t>
      </w:r>
      <w:r>
        <w:rPr>
          <w:rFonts w:hint="eastAsia" w:ascii="Times New Roman" w:hAnsi="Times New Roman" w:cs="Times New Roman"/>
          <w:color w:val="auto"/>
          <w:sz w:val="24"/>
          <w:highlight w:val="none"/>
          <w:lang w:val="en-US" w:eastAsia="zh-CN"/>
        </w:rPr>
        <w:t>0.225</w:t>
      </w:r>
      <w:r>
        <w:rPr>
          <w:rFonts w:hint="default" w:ascii="Times New Roman" w:hAnsi="Times New Roman" w:eastAsia="宋体" w:cs="Times New Roman"/>
          <w:color w:val="auto"/>
          <w:sz w:val="24"/>
          <w:highlight w:val="none"/>
        </w:rPr>
        <w:t>m/d）；</w:t>
      </w:r>
    </w:p>
    <w:p w14:paraId="6C7D2D54">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I—水力坡度，无量纲，取</w:t>
      </w:r>
      <w:r>
        <w:rPr>
          <w:rFonts w:hint="eastAsia" w:ascii="Times New Roman" w:hAnsi="Times New Roman" w:cs="Times New Roman"/>
          <w:color w:val="auto"/>
          <w:sz w:val="24"/>
          <w:highlight w:val="none"/>
          <w:lang w:val="en-US" w:eastAsia="zh-CN"/>
        </w:rPr>
        <w:t>0.034</w:t>
      </w:r>
      <w:r>
        <w:rPr>
          <w:rFonts w:hint="default" w:ascii="Times New Roman" w:hAnsi="Times New Roman" w:eastAsia="宋体" w:cs="Times New Roman"/>
          <w:color w:val="auto"/>
          <w:sz w:val="24"/>
          <w:highlight w:val="none"/>
        </w:rPr>
        <w:t>；</w:t>
      </w:r>
    </w:p>
    <w:p w14:paraId="3D0F4B2B">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T—质点迁移天数，本项目取</w:t>
      </w:r>
      <w:r>
        <w:rPr>
          <w:rFonts w:hint="eastAsia"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rPr>
        <w:t>000d范围作为较敏感区；</w:t>
      </w:r>
    </w:p>
    <w:p w14:paraId="160DE13D">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ne—有效孔隙度，无量纲，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有效孔隙度取值为</w:t>
      </w:r>
      <w:r>
        <w:rPr>
          <w:rFonts w:hint="eastAsia" w:ascii="Times New Roman" w:hAnsi="Times New Roman" w:cs="Times New Roman"/>
          <w:color w:val="auto"/>
          <w:sz w:val="24"/>
          <w:highlight w:val="none"/>
          <w:lang w:val="en-US" w:eastAsia="zh-CN"/>
        </w:rPr>
        <w:t>0.28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14:paraId="2ECEBF8D">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经计算，较敏感区</w:t>
      </w:r>
      <w:r>
        <w:rPr>
          <w:rFonts w:hint="default" w:ascii="Times New Roman" w:hAnsi="Times New Roman" w:eastAsia="宋体" w:cs="Times New Roman"/>
          <w:color w:val="auto"/>
          <w:sz w:val="24"/>
          <w:highlight w:val="none"/>
          <w:lang w:val="en-US" w:eastAsia="zh-CN"/>
        </w:rPr>
        <w:t>范围</w:t>
      </w:r>
      <w:r>
        <w:rPr>
          <w:rFonts w:hint="default" w:ascii="Times New Roman" w:hAnsi="Times New Roman" w:eastAsia="宋体" w:cs="Times New Roman"/>
          <w:color w:val="auto"/>
          <w:sz w:val="24"/>
          <w:highlight w:val="none"/>
        </w:rPr>
        <w:t>为</w:t>
      </w:r>
      <w:r>
        <w:rPr>
          <w:rFonts w:hint="eastAsia" w:ascii="Times New Roman" w:hAnsi="Times New Roman" w:cs="Times New Roman"/>
          <w:color w:val="auto"/>
          <w:sz w:val="24"/>
          <w:highlight w:val="none"/>
          <w:lang w:val="en-US" w:eastAsia="zh-CN"/>
        </w:rPr>
        <w:t>273.2</w:t>
      </w:r>
      <w:r>
        <w:rPr>
          <w:rFonts w:hint="default" w:ascii="Times New Roman" w:hAnsi="Times New Roman" w:eastAsia="宋体" w:cs="Times New Roman"/>
          <w:color w:val="auto"/>
          <w:sz w:val="24"/>
          <w:highlight w:val="none"/>
        </w:rPr>
        <w:t>m，之外为不敏感区。本项目最近的敏感点为项目</w:t>
      </w:r>
      <w:r>
        <w:rPr>
          <w:rFonts w:hint="eastAsia" w:ascii="Times New Roman" w:hAnsi="Times New Roman" w:cs="Times New Roman"/>
          <w:color w:val="auto"/>
          <w:sz w:val="24"/>
          <w:highlight w:val="none"/>
          <w:lang w:val="en-US" w:eastAsia="zh-CN"/>
        </w:rPr>
        <w:t>东南</w:t>
      </w:r>
      <w:r>
        <w:rPr>
          <w:rFonts w:hint="default" w:ascii="Times New Roman" w:hAnsi="Times New Roman" w:eastAsia="宋体" w:cs="Times New Roman"/>
          <w:color w:val="auto"/>
          <w:sz w:val="24"/>
          <w:highlight w:val="none"/>
        </w:rPr>
        <w:t>侧</w:t>
      </w:r>
      <w:r>
        <w:rPr>
          <w:rFonts w:hint="default" w:ascii="Times New Roman" w:hAnsi="Times New Roman" w:eastAsia="宋体" w:cs="Times New Roman"/>
          <w:color w:val="auto"/>
          <w:sz w:val="24"/>
          <w:highlight w:val="none"/>
          <w:lang w:val="en-US" w:eastAsia="zh-CN"/>
        </w:rPr>
        <w:t>578</w:t>
      </w:r>
      <w:r>
        <w:rPr>
          <w:rFonts w:hint="default" w:ascii="Times New Roman" w:hAnsi="Times New Roman" w:eastAsia="宋体" w:cs="Times New Roman"/>
          <w:color w:val="auto"/>
          <w:sz w:val="24"/>
          <w:highlight w:val="none"/>
        </w:rPr>
        <w:t>m处的</w:t>
      </w:r>
      <w:r>
        <w:rPr>
          <w:rFonts w:hint="default" w:ascii="Times New Roman" w:hAnsi="Times New Roman" w:eastAsia="宋体" w:cs="Times New Roman"/>
          <w:color w:val="auto"/>
          <w:sz w:val="24"/>
          <w:highlight w:val="none"/>
          <w:lang w:val="en-US" w:eastAsia="zh-CN"/>
        </w:rPr>
        <w:t>团结村四组</w:t>
      </w:r>
      <w:r>
        <w:rPr>
          <w:rFonts w:hint="default" w:ascii="Times New Roman" w:hAnsi="Times New Roman" w:eastAsia="宋体" w:cs="Times New Roman"/>
          <w:color w:val="auto"/>
          <w:sz w:val="24"/>
          <w:highlight w:val="none"/>
        </w:rPr>
        <w:t>的分散饮用水井。因此，本项目地下水敏感程度为</w:t>
      </w:r>
      <w:r>
        <w:rPr>
          <w:rFonts w:hint="default" w:ascii="Times New Roman" w:hAnsi="Times New Roman" w:eastAsia="宋体" w:cs="Times New Roman"/>
          <w:color w:val="auto"/>
          <w:sz w:val="24"/>
          <w:highlight w:val="none"/>
          <w:lang w:val="en-US" w:eastAsia="zh-CN"/>
        </w:rPr>
        <w:t>不</w:t>
      </w:r>
      <w:r>
        <w:rPr>
          <w:rFonts w:hint="default" w:ascii="Times New Roman" w:hAnsi="Times New Roman" w:eastAsia="宋体" w:cs="Times New Roman"/>
          <w:color w:val="auto"/>
          <w:sz w:val="24"/>
          <w:highlight w:val="none"/>
        </w:rPr>
        <w:t>敏感。</w:t>
      </w:r>
    </w:p>
    <w:p w14:paraId="4D61BD5E">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val="en-US" w:eastAsia="zh-CN"/>
        </w:rPr>
        <w:t>生产</w:t>
      </w:r>
      <w:r>
        <w:rPr>
          <w:rFonts w:hint="default" w:ascii="Times New Roman" w:hAnsi="Times New Roman" w:eastAsia="宋体" w:cs="Times New Roman"/>
          <w:color w:val="auto"/>
          <w:sz w:val="24"/>
          <w:highlight w:val="none"/>
        </w:rPr>
        <w:t>用水</w:t>
      </w:r>
      <w:r>
        <w:rPr>
          <w:rFonts w:hint="eastAsia" w:ascii="Times New Roman" w:hAnsi="Times New Roman" w:cs="Times New Roman"/>
          <w:color w:val="auto"/>
          <w:sz w:val="24"/>
          <w:highlight w:val="none"/>
          <w:lang w:val="en-US" w:eastAsia="zh-CN"/>
        </w:rPr>
        <w:t>为地下水</w:t>
      </w:r>
      <w:r>
        <w:rPr>
          <w:rFonts w:hint="default" w:ascii="Times New Roman" w:hAnsi="Times New Roman" w:eastAsia="宋体" w:cs="Times New Roman"/>
          <w:color w:val="auto"/>
          <w:sz w:val="24"/>
          <w:highlight w:val="none"/>
          <w:lang w:val="en-US" w:eastAsia="zh-CN"/>
        </w:rPr>
        <w:t>；生活用水外购桶装水</w:t>
      </w:r>
      <w:r>
        <w:rPr>
          <w:rFonts w:hint="default" w:ascii="Times New Roman" w:hAnsi="Times New Roman" w:eastAsia="宋体" w:cs="Times New Roman"/>
          <w:color w:val="auto"/>
          <w:sz w:val="24"/>
          <w:highlight w:val="none"/>
        </w:rPr>
        <w:t>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本项目位于集中式和分散式饮用水源地较敏感区之外，无地下水环境保护区，无特殊地下水资源，无地下水环境敏感区，因此，厂区所在区域地下水环境敏感程度为不敏感。</w:t>
      </w:r>
    </w:p>
    <w:p w14:paraId="4362A129">
      <w:pPr>
        <w:keepNext w:val="0"/>
        <w:keepLines w:val="0"/>
        <w:pageBreakBefore w:val="0"/>
        <w:widowControl/>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（3）地下水评价等级判定</w:t>
      </w:r>
    </w:p>
    <w:p w14:paraId="6C6073EA">
      <w:pPr>
        <w:keepNext w:val="0"/>
        <w:keepLines w:val="0"/>
        <w:pageBreakBefore w:val="0"/>
        <w:widowControl/>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建设项目地下水环境影响评价工作等级划分见表2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rPr>
        <w:t>。</w:t>
      </w:r>
    </w:p>
    <w:p w14:paraId="405E398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eastAsia" w:ascii="Times New Roman" w:hAnsi="Times New Roman" w:eastAsia="黑体" w:cs="Times New Roman"/>
          <w:b w:val="0"/>
          <w:bCs/>
          <w:smallCaps w:val="0"/>
          <w:kern w:val="2"/>
          <w:sz w:val="21"/>
          <w:szCs w:val="24"/>
          <w:highlight w:val="none"/>
          <w:lang w:val="en-US" w:eastAsia="zh-CN" w:bidi="ar-SA"/>
        </w:rPr>
        <w:t>9</w:t>
      </w:r>
      <w:r>
        <w:rPr>
          <w:rFonts w:hint="default" w:ascii="Times New Roman" w:hAnsi="Times New Roman" w:eastAsia="黑体" w:cs="Times New Roman"/>
          <w:b w:val="0"/>
          <w:bCs/>
          <w:smallCaps w:val="0"/>
          <w:kern w:val="2"/>
          <w:sz w:val="21"/>
          <w:szCs w:val="24"/>
          <w:highlight w:val="none"/>
          <w:lang w:val="zh-CN" w:eastAsia="zh-CN" w:bidi="ar-SA"/>
        </w:rPr>
        <w:t xml:space="preserve"> 建设项目评价工作等级分级一览表</w:t>
      </w:r>
    </w:p>
    <w:tbl>
      <w:tblPr>
        <w:tblStyle w:val="48"/>
        <w:tblW w:w="5001"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FFFFFF"/>
        <w:tblLayout w:type="fixed"/>
        <w:tblCellMar>
          <w:top w:w="0" w:type="dxa"/>
          <w:left w:w="108" w:type="dxa"/>
          <w:bottom w:w="0" w:type="dxa"/>
          <w:right w:w="108" w:type="dxa"/>
        </w:tblCellMar>
      </w:tblPr>
      <w:tblGrid>
        <w:gridCol w:w="2131"/>
        <w:gridCol w:w="2131"/>
        <w:gridCol w:w="2131"/>
        <w:gridCol w:w="2131"/>
      </w:tblGrid>
      <w:tr w14:paraId="3FA9951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FFFFFF"/>
          <w:tblCellMar>
            <w:top w:w="0" w:type="dxa"/>
            <w:left w:w="108" w:type="dxa"/>
            <w:bottom w:w="0" w:type="dxa"/>
            <w:right w:w="108" w:type="dxa"/>
          </w:tblCellMar>
        </w:tblPrEx>
        <w:trPr>
          <w:cantSplit/>
          <w:trHeight w:val="227" w:hRule="atLeast"/>
          <w:jc w:val="center"/>
        </w:trPr>
        <w:tc>
          <w:tcPr>
            <w:tcW w:w="2321" w:type="dxa"/>
            <w:shd w:val="clear" w:color="auto" w:fill="auto"/>
            <w:noWrap w:val="0"/>
            <w:vAlign w:val="center"/>
          </w:tcPr>
          <w:p w14:paraId="13E2889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mc:AlternateContent>
                <mc:Choice Requires="wps">
                  <w:drawing>
                    <wp:anchor distT="0" distB="0" distL="114300" distR="114300" simplePos="0" relativeHeight="251664384" behindDoc="0" locked="0" layoutInCell="1" allowOverlap="1">
                      <wp:simplePos x="0" y="0"/>
                      <wp:positionH relativeFrom="column">
                        <wp:posOffset>-23495</wp:posOffset>
                      </wp:positionH>
                      <wp:positionV relativeFrom="paragraph">
                        <wp:posOffset>-13335</wp:posOffset>
                      </wp:positionV>
                      <wp:extent cx="1308100" cy="356235"/>
                      <wp:effectExtent l="1270" t="4445" r="5080" b="20320"/>
                      <wp:wrapNone/>
                      <wp:docPr id="18" name="直接连接符 18"/>
                      <wp:cNvGraphicFramePr/>
                      <a:graphic xmlns:a="http://schemas.openxmlformats.org/drawingml/2006/main">
                        <a:graphicData uri="http://schemas.microsoft.com/office/word/2010/wordprocessingShape">
                          <wps:wsp>
                            <wps:cNvCnPr/>
                            <wps:spPr>
                              <a:xfrm>
                                <a:off x="0" y="0"/>
                                <a:ext cx="1308100" cy="3562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85pt;margin-top:-1.05pt;height:28.05pt;width:103pt;z-index:251664384;mso-width-relative:page;mso-height-relative:page;" filled="f" stroked="t" coordsize="21600,21600" o:gfxdata="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h3+t9cAAAAIAQAADwAAAAAAAAABACAAAAAiAAAAZHJzL2Rvd25yZXYueG1s&#10;UEsBAhQAFAAAAAgAh07iQNNvLe35AQAA6wMAAA4AAAAAAAAAAQAgAAAAJgEAAGRycy9lMm9Eb2Mu&#10;eG1sUEsFBgAAAAAGAAYAWQEAAJEFAAAAAA==&#10;">
                      <v:fill on="f" focussize="0,0"/>
                      <v:stroke color="#000000" joinstyle="round"/>
                      <v:imagedata o:title=""/>
                      <o:lock v:ext="edit" aspectratio="f"/>
                    </v:line>
                  </w:pict>
                </mc:Fallback>
              </mc:AlternateContent>
            </w:r>
            <w:r>
              <w:rPr>
                <w:rFonts w:hint="default" w:ascii="Times New Roman" w:hAnsi="Times New Roman" w:eastAsia="宋体" w:cs="Times New Roman"/>
                <w:b/>
                <w:color w:val="auto"/>
                <w:sz w:val="21"/>
                <w:szCs w:val="21"/>
                <w:highlight w:val="none"/>
              </w:rPr>
              <w:t xml:space="preserve">          项目类别</w:t>
            </w:r>
          </w:p>
          <w:p w14:paraId="5435BF06">
            <w:pPr>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环境敏感程度</w:t>
            </w:r>
          </w:p>
        </w:tc>
        <w:tc>
          <w:tcPr>
            <w:tcW w:w="2321" w:type="dxa"/>
            <w:shd w:val="clear" w:color="auto" w:fill="auto"/>
            <w:noWrap w:val="0"/>
            <w:vAlign w:val="center"/>
          </w:tcPr>
          <w:p w14:paraId="3E6137F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color w:val="auto"/>
                <w:sz w:val="21"/>
                <w:szCs w:val="21"/>
                <w:highlight w:val="none"/>
              </w:rPr>
              <w:t>Ⅰ类项目</w:t>
            </w:r>
          </w:p>
        </w:tc>
        <w:tc>
          <w:tcPr>
            <w:tcW w:w="2322" w:type="dxa"/>
            <w:shd w:val="clear" w:color="auto" w:fill="auto"/>
            <w:noWrap w:val="0"/>
            <w:vAlign w:val="center"/>
          </w:tcPr>
          <w:p w14:paraId="67ACF69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Ⅱ类项目</w:t>
            </w:r>
          </w:p>
        </w:tc>
        <w:tc>
          <w:tcPr>
            <w:tcW w:w="2322" w:type="dxa"/>
            <w:shd w:val="clear" w:color="auto" w:fill="auto"/>
            <w:noWrap w:val="0"/>
            <w:vAlign w:val="center"/>
          </w:tcPr>
          <w:p w14:paraId="7CB7B2E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Ⅲ类项目</w:t>
            </w:r>
          </w:p>
        </w:tc>
      </w:tr>
      <w:tr w14:paraId="1EF9151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2321" w:type="dxa"/>
            <w:shd w:val="clear" w:color="auto" w:fill="auto"/>
            <w:noWrap w:val="0"/>
            <w:vAlign w:val="center"/>
          </w:tcPr>
          <w:p w14:paraId="2D91307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w:t>
            </w:r>
          </w:p>
        </w:tc>
        <w:tc>
          <w:tcPr>
            <w:tcW w:w="2321" w:type="dxa"/>
            <w:shd w:val="clear" w:color="auto" w:fill="auto"/>
            <w:noWrap w:val="0"/>
            <w:vAlign w:val="center"/>
          </w:tcPr>
          <w:p w14:paraId="144724B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w:t>
            </w:r>
          </w:p>
        </w:tc>
        <w:tc>
          <w:tcPr>
            <w:tcW w:w="2322" w:type="dxa"/>
            <w:shd w:val="clear" w:color="auto" w:fill="auto"/>
            <w:noWrap w:val="0"/>
            <w:vAlign w:val="center"/>
          </w:tcPr>
          <w:p w14:paraId="3A0E6BD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一</w:t>
            </w:r>
          </w:p>
        </w:tc>
        <w:tc>
          <w:tcPr>
            <w:tcW w:w="2322" w:type="dxa"/>
            <w:shd w:val="clear" w:color="auto" w:fill="auto"/>
            <w:noWrap w:val="0"/>
            <w:vAlign w:val="center"/>
          </w:tcPr>
          <w:p w14:paraId="60AAFEC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二</w:t>
            </w:r>
          </w:p>
        </w:tc>
      </w:tr>
      <w:tr w14:paraId="634AB50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2321" w:type="dxa"/>
            <w:shd w:val="clear" w:color="auto" w:fill="auto"/>
            <w:noWrap w:val="0"/>
            <w:vAlign w:val="center"/>
          </w:tcPr>
          <w:p w14:paraId="266AD37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较敏感</w:t>
            </w:r>
          </w:p>
        </w:tc>
        <w:tc>
          <w:tcPr>
            <w:tcW w:w="2321" w:type="dxa"/>
            <w:shd w:val="clear" w:color="auto" w:fill="auto"/>
            <w:noWrap w:val="0"/>
            <w:vAlign w:val="center"/>
          </w:tcPr>
          <w:p w14:paraId="27290F1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一</w:t>
            </w:r>
          </w:p>
        </w:tc>
        <w:tc>
          <w:tcPr>
            <w:tcW w:w="2322" w:type="dxa"/>
            <w:shd w:val="clear" w:color="auto" w:fill="auto"/>
            <w:noWrap w:val="0"/>
            <w:vAlign w:val="center"/>
          </w:tcPr>
          <w:p w14:paraId="35F0145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二</w:t>
            </w:r>
          </w:p>
        </w:tc>
        <w:tc>
          <w:tcPr>
            <w:tcW w:w="2322" w:type="dxa"/>
            <w:shd w:val="clear" w:color="auto" w:fill="auto"/>
            <w:noWrap w:val="0"/>
            <w:vAlign w:val="center"/>
          </w:tcPr>
          <w:p w14:paraId="60F2D43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三</w:t>
            </w:r>
          </w:p>
        </w:tc>
      </w:tr>
      <w:tr w14:paraId="48484CF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2321" w:type="dxa"/>
            <w:shd w:val="clear" w:color="auto" w:fill="auto"/>
            <w:noWrap w:val="0"/>
            <w:vAlign w:val="center"/>
          </w:tcPr>
          <w:p w14:paraId="6F395F4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不敏感</w:t>
            </w:r>
          </w:p>
        </w:tc>
        <w:tc>
          <w:tcPr>
            <w:tcW w:w="2321" w:type="dxa"/>
            <w:shd w:val="clear" w:color="auto" w:fill="auto"/>
            <w:noWrap w:val="0"/>
            <w:vAlign w:val="center"/>
          </w:tcPr>
          <w:p w14:paraId="4A6E6CD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二</w:t>
            </w:r>
          </w:p>
        </w:tc>
        <w:tc>
          <w:tcPr>
            <w:tcW w:w="2322" w:type="dxa"/>
            <w:shd w:val="clear" w:color="auto" w:fill="auto"/>
            <w:noWrap w:val="0"/>
            <w:vAlign w:val="center"/>
          </w:tcPr>
          <w:p w14:paraId="4B1EAE0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三</w:t>
            </w:r>
          </w:p>
        </w:tc>
        <w:tc>
          <w:tcPr>
            <w:tcW w:w="2322" w:type="dxa"/>
            <w:shd w:val="clear" w:color="auto" w:fill="auto"/>
            <w:noWrap w:val="0"/>
            <w:vAlign w:val="center"/>
          </w:tcPr>
          <w:p w14:paraId="4362B229">
            <w:pPr>
              <w:keepNext w:val="0"/>
              <w:keepLines w:val="0"/>
              <w:pageBreakBefore w:val="0"/>
              <w:widowControl/>
              <w:tabs>
                <w:tab w:val="center" w:pos="1113"/>
                <w:tab w:val="right" w:pos="2106"/>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三</w:t>
            </w:r>
          </w:p>
        </w:tc>
      </w:tr>
    </w:tbl>
    <w:p w14:paraId="7055598E">
      <w:pPr>
        <w:pStyle w:val="94"/>
        <w:spacing w:line="360" w:lineRule="auto"/>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本项目属于Ⅲ类项目，环境敏感程度为</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不敏感</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，根据建设项目地下水环境影响评价工作等级划分，本项目地下水评价等级为三级。</w:t>
      </w:r>
    </w:p>
    <w:bookmarkEnd w:id="271"/>
    <w:p w14:paraId="23BC657B">
      <w:pPr>
        <w:pStyle w:val="7"/>
        <w:bidi w:val="0"/>
        <w:rPr>
          <w:rFonts w:hint="default"/>
          <w:highlight w:val="none"/>
        </w:rPr>
      </w:pPr>
      <w:bookmarkStart w:id="272" w:name="_Toc14141"/>
      <w:bookmarkStart w:id="273" w:name="_Toc30971"/>
      <w:bookmarkStart w:id="274" w:name="_Toc1476"/>
      <w:bookmarkStart w:id="275" w:name="_Toc16393"/>
      <w:r>
        <w:rPr>
          <w:rFonts w:hint="default"/>
          <w:highlight w:val="none"/>
        </w:rPr>
        <w:t>2.4.4声环境</w:t>
      </w:r>
      <w:bookmarkEnd w:id="272"/>
      <w:bookmarkEnd w:id="273"/>
      <w:bookmarkEnd w:id="274"/>
      <w:bookmarkEnd w:id="275"/>
    </w:p>
    <w:p w14:paraId="6ABB8CEE">
      <w:pPr>
        <w:spacing w:line="360" w:lineRule="auto"/>
        <w:ind w:firstLine="480"/>
        <w:rPr>
          <w:rFonts w:hint="default" w:ascii="Times New Roman" w:hAnsi="Times New Roman" w:eastAsia="宋体" w:cs="Times New Roman"/>
          <w:color w:val="auto"/>
          <w:kern w:val="0"/>
          <w:sz w:val="24"/>
          <w:szCs w:val="24"/>
          <w:highlight w:val="none"/>
          <w:lang w:val="en-GB" w:eastAsia="zh-CN" w:bidi="ar-SA"/>
        </w:rPr>
      </w:pPr>
      <w:r>
        <w:rPr>
          <w:rFonts w:hint="default" w:ascii="Times New Roman" w:hAnsi="Times New Roman" w:eastAsia="宋体" w:cs="Times New Roman"/>
          <w:color w:val="auto"/>
          <w:kern w:val="0"/>
          <w:sz w:val="24"/>
          <w:highlight w:val="none"/>
        </w:rPr>
        <w:t>根据《环境影响评价技术导则 声环境》</w:t>
      </w:r>
      <w:r>
        <w:rPr>
          <w:rFonts w:hint="default" w:ascii="Times New Roman" w:hAnsi="Times New Roman" w:eastAsia="宋体" w:cs="Times New Roman"/>
          <w:color w:val="auto"/>
          <w:kern w:val="0"/>
          <w:sz w:val="24"/>
          <w:highlight w:val="none"/>
          <w:lang w:eastAsia="zh-CN"/>
        </w:rPr>
        <w:t>（HJ2.4-2021）</w:t>
      </w:r>
      <w:r>
        <w:rPr>
          <w:rFonts w:hint="default" w:ascii="Times New Roman" w:hAnsi="Times New Roman" w:eastAsia="宋体" w:cs="Times New Roman"/>
          <w:color w:val="auto"/>
          <w:kern w:val="0"/>
          <w:sz w:val="24"/>
          <w:highlight w:val="none"/>
        </w:rPr>
        <w:t>中规定的声环境评价工作等级划分的原则，</w:t>
      </w:r>
      <w:r>
        <w:rPr>
          <w:rFonts w:hint="default" w:ascii="Times New Roman" w:hAnsi="Times New Roman" w:eastAsia="宋体" w:cs="Times New Roman"/>
          <w:color w:val="auto"/>
          <w:kern w:val="0"/>
          <w:sz w:val="24"/>
          <w:szCs w:val="24"/>
          <w:highlight w:val="none"/>
          <w:lang w:val="en-US" w:eastAsia="zh-CN" w:bidi="ar-SA"/>
        </w:rPr>
        <w:t>本项目位于</w:t>
      </w:r>
      <w:r>
        <w:rPr>
          <w:rFonts w:hint="eastAsia" w:ascii="Times New Roman" w:hAnsi="Times New Roman" w:cs="Times New Roman"/>
          <w:snapToGrid w:val="0"/>
          <w:color w:val="auto"/>
          <w:highlight w:val="none"/>
          <w:lang w:eastAsia="zh-CN"/>
        </w:rPr>
        <w:t>鸡西市密山市柳毛乡团结村4组</w:t>
      </w:r>
      <w:r>
        <w:rPr>
          <w:rFonts w:hint="default" w:ascii="Times New Roman" w:hAnsi="Times New Roman" w:eastAsia="宋体" w:cs="Times New Roman"/>
          <w:color w:val="auto"/>
          <w:kern w:val="0"/>
          <w:sz w:val="24"/>
          <w:szCs w:val="24"/>
          <w:highlight w:val="none"/>
          <w:lang w:val="en-GB" w:eastAsia="zh-CN" w:bidi="ar-SA"/>
        </w:rPr>
        <w:t>，其所在地区为《声环境质量标准》（GB3096-2008）规定的</w:t>
      </w:r>
      <w:r>
        <w:rPr>
          <w:rFonts w:hint="eastAsia" w:ascii="Times New Roman" w:hAnsi="Times New Roman" w:cs="Times New Roman"/>
          <w:color w:val="auto"/>
          <w:kern w:val="0"/>
          <w:sz w:val="24"/>
          <w:szCs w:val="24"/>
          <w:highlight w:val="none"/>
          <w:lang w:val="en-US" w:eastAsia="zh-CN" w:bidi="ar-SA"/>
        </w:rPr>
        <w:t>1类</w:t>
      </w:r>
      <w:r>
        <w:rPr>
          <w:rFonts w:hint="default" w:ascii="Times New Roman" w:hAnsi="Times New Roman" w:eastAsia="宋体" w:cs="Times New Roman"/>
          <w:color w:val="auto"/>
          <w:kern w:val="0"/>
          <w:sz w:val="24"/>
          <w:szCs w:val="24"/>
          <w:highlight w:val="none"/>
          <w:lang w:val="en-GB" w:eastAsia="zh-CN" w:bidi="ar-SA"/>
        </w:rPr>
        <w:t>区，本项目</w:t>
      </w:r>
      <w:r>
        <w:rPr>
          <w:rFonts w:hint="default" w:ascii="Times New Roman" w:hAnsi="Times New Roman" w:eastAsia="宋体" w:cs="Times New Roman"/>
          <w:color w:val="auto"/>
          <w:kern w:val="0"/>
          <w:sz w:val="24"/>
          <w:szCs w:val="24"/>
          <w:highlight w:val="none"/>
          <w:lang w:val="en-US" w:eastAsia="zh-CN" w:bidi="ar-SA"/>
        </w:rPr>
        <w:t>200m范围内无声环境保护目标</w:t>
      </w:r>
      <w:r>
        <w:rPr>
          <w:rFonts w:hint="default" w:ascii="Times New Roman" w:hAnsi="Times New Roman" w:eastAsia="宋体" w:cs="Times New Roman"/>
          <w:color w:val="auto"/>
          <w:kern w:val="0"/>
          <w:sz w:val="24"/>
          <w:szCs w:val="24"/>
          <w:highlight w:val="none"/>
          <w:lang w:val="en-GB" w:eastAsia="zh-CN" w:bidi="ar-SA"/>
        </w:rPr>
        <w:t>，且受影响的人口数量变化不大。根据《环境影响评价技术导则声环境》（HJ 2.4-2021）中的声环境影响评价等级划分原则，确定声环境影响评价工作等级为</w:t>
      </w:r>
      <w:r>
        <w:rPr>
          <w:rFonts w:hint="default" w:ascii="Times New Roman" w:hAnsi="Times New Roman" w:eastAsia="宋体" w:cs="Times New Roman"/>
          <w:color w:val="auto"/>
          <w:kern w:val="0"/>
          <w:sz w:val="24"/>
          <w:szCs w:val="24"/>
          <w:highlight w:val="none"/>
          <w:lang w:val="en-US" w:eastAsia="zh-CN" w:bidi="ar-SA"/>
        </w:rPr>
        <w:t>二</w:t>
      </w:r>
      <w:r>
        <w:rPr>
          <w:rFonts w:hint="default" w:ascii="Times New Roman" w:hAnsi="Times New Roman" w:eastAsia="宋体" w:cs="Times New Roman"/>
          <w:color w:val="auto"/>
          <w:kern w:val="0"/>
          <w:sz w:val="24"/>
          <w:szCs w:val="24"/>
          <w:highlight w:val="none"/>
          <w:lang w:val="en-GB" w:eastAsia="zh-CN" w:bidi="ar-SA"/>
        </w:rPr>
        <w:t>级评价。</w:t>
      </w:r>
      <w:r>
        <w:rPr>
          <w:rFonts w:hint="default" w:ascii="Times New Roman" w:hAnsi="Times New Roman" w:eastAsia="宋体" w:cs="Times New Roman"/>
          <w:color w:val="auto"/>
          <w:kern w:val="0"/>
          <w:sz w:val="24"/>
          <w:highlight w:val="none"/>
        </w:rPr>
        <w:t>厂界噪声评价范围为厂界外200</w:t>
      </w:r>
      <w:r>
        <w:rPr>
          <w:rFonts w:hint="default" w:ascii="Times New Roman" w:hAnsi="Times New Roman" w:eastAsia="宋体" w:cs="Times New Roman"/>
          <w:color w:val="auto"/>
          <w:kern w:val="0"/>
          <w:sz w:val="24"/>
          <w:highlight w:val="none"/>
          <w:lang w:eastAsia="zh-CN"/>
        </w:rPr>
        <w:t>m</w:t>
      </w:r>
      <w:r>
        <w:rPr>
          <w:rFonts w:hint="default" w:ascii="Times New Roman" w:hAnsi="Times New Roman" w:eastAsia="宋体" w:cs="Times New Roman"/>
          <w:color w:val="auto"/>
          <w:kern w:val="0"/>
          <w:sz w:val="24"/>
          <w:highlight w:val="none"/>
        </w:rPr>
        <w:t>。</w:t>
      </w:r>
    </w:p>
    <w:p w14:paraId="43734330">
      <w:pPr>
        <w:pStyle w:val="7"/>
        <w:bidi w:val="0"/>
        <w:rPr>
          <w:rFonts w:hint="default"/>
          <w:highlight w:val="none"/>
        </w:rPr>
      </w:pPr>
      <w:bookmarkStart w:id="276" w:name="_Toc14057"/>
      <w:bookmarkStart w:id="277" w:name="_Toc30719"/>
      <w:bookmarkStart w:id="278" w:name="_Toc23307"/>
      <w:bookmarkStart w:id="279" w:name="_Toc10152"/>
      <w:r>
        <w:rPr>
          <w:rFonts w:hint="default"/>
          <w:highlight w:val="none"/>
        </w:rPr>
        <w:t>2.4.5土壤环境</w:t>
      </w:r>
      <w:bookmarkEnd w:id="276"/>
      <w:bookmarkEnd w:id="277"/>
      <w:bookmarkEnd w:id="278"/>
      <w:bookmarkEnd w:id="279"/>
    </w:p>
    <w:p w14:paraId="700543B9">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（1）项目类别</w:t>
      </w:r>
    </w:p>
    <w:p w14:paraId="20F06A89">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根据《环境影响评价技术导则 土壤环境（试行）》（HJ964-2018）中附录A，本项目为养殖场建设项目，属于“农林牧渔业”中“年出栏生猪5000头(</w:t>
      </w:r>
      <w:r>
        <w:rPr>
          <w:rFonts w:hint="default" w:ascii="Times New Roman" w:hAnsi="Times New Roman" w:eastAsia="宋体" w:cs="Times New Roman"/>
          <w:color w:val="auto"/>
          <w:sz w:val="24"/>
          <w:szCs w:val="22"/>
          <w:highlight w:val="none"/>
          <w:lang w:val="en-US" w:eastAsia="zh-CN"/>
        </w:rPr>
        <w:t>其他畜禽种类折合猪的养殖规模)及以上的畜禽养殖场或养殖小区”，</w:t>
      </w:r>
      <w:r>
        <w:rPr>
          <w:rFonts w:hint="default" w:ascii="Times New Roman" w:hAnsi="Times New Roman" w:eastAsia="宋体" w:cs="Times New Roman"/>
          <w:color w:val="auto"/>
          <w:sz w:val="24"/>
          <w:szCs w:val="22"/>
          <w:highlight w:val="none"/>
        </w:rPr>
        <w:t>本项目年出栏</w:t>
      </w:r>
      <w:r>
        <w:rPr>
          <w:rFonts w:hint="eastAsia" w:ascii="Times New Roman" w:hAnsi="Times New Roman" w:eastAsia="宋体" w:cs="Times New Roman"/>
          <w:color w:val="auto"/>
          <w:sz w:val="24"/>
          <w:szCs w:val="22"/>
          <w:highlight w:val="none"/>
          <w:lang w:eastAsia="zh-CN"/>
        </w:rPr>
        <w:t>商品猪（仔猪）</w:t>
      </w:r>
      <w:r>
        <w:rPr>
          <w:rFonts w:hint="eastAsia" w:ascii="Times New Roman" w:hAnsi="Times New Roman" w:eastAsia="宋体" w:cs="Times New Roman"/>
          <w:color w:val="auto"/>
          <w:sz w:val="24"/>
          <w:szCs w:val="22"/>
          <w:highlight w:val="none"/>
          <w:lang w:val="en-US" w:eastAsia="zh-CN"/>
        </w:rPr>
        <w:t>16000</w:t>
      </w:r>
      <w:r>
        <w:rPr>
          <w:rFonts w:hint="default" w:ascii="Times New Roman" w:hAnsi="Times New Roman" w:eastAsia="宋体" w:cs="Times New Roman"/>
          <w:color w:val="auto"/>
          <w:sz w:val="24"/>
          <w:szCs w:val="22"/>
          <w:highlight w:val="none"/>
        </w:rPr>
        <w:t>头、年存栏生猪8000头</w:t>
      </w:r>
      <w:r>
        <w:rPr>
          <w:rFonts w:hint="default" w:ascii="Times New Roman" w:hAnsi="Times New Roman" w:eastAsia="宋体" w:cs="Times New Roman"/>
          <w:color w:val="auto"/>
          <w:kern w:val="2"/>
          <w:sz w:val="24"/>
          <w:szCs w:val="32"/>
          <w:highlight w:val="none"/>
        </w:rPr>
        <w:t>”，因此，本项目土壤环境影响评价项目类别为Ⅲ类。</w:t>
      </w:r>
    </w:p>
    <w:p w14:paraId="2B6E64C4">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（2）项目占地规模</w:t>
      </w:r>
    </w:p>
    <w:p w14:paraId="5AB40E8E">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根据《环境影响评价技术导则 土壤环境（试行）》（HJ964-2018）中的6.2.2.1项，建设项目占地规模分为大型（≥50hm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color w:val="auto"/>
          <w:kern w:val="2"/>
          <w:sz w:val="24"/>
          <w:szCs w:val="32"/>
          <w:highlight w:val="none"/>
        </w:rPr>
        <w:t>）、中型（5~50hm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color w:val="auto"/>
          <w:kern w:val="2"/>
          <w:sz w:val="24"/>
          <w:szCs w:val="32"/>
          <w:highlight w:val="none"/>
        </w:rPr>
        <w:t>）、小型（≤5hm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color w:val="auto"/>
          <w:kern w:val="2"/>
          <w:sz w:val="24"/>
          <w:szCs w:val="32"/>
          <w:highlight w:val="none"/>
        </w:rPr>
        <w:t>）,本项目占地面积</w:t>
      </w:r>
      <w:r>
        <w:rPr>
          <w:rFonts w:hint="eastAsia" w:ascii="Times New Roman" w:hAnsi="Times New Roman" w:eastAsia="宋体" w:cs="Times New Roman"/>
          <w:color w:val="auto"/>
          <w:kern w:val="2"/>
          <w:sz w:val="24"/>
          <w:szCs w:val="32"/>
          <w:highlight w:val="none"/>
          <w:lang w:eastAsia="zh-CN"/>
        </w:rPr>
        <w:t>27000</w:t>
      </w:r>
      <w:r>
        <w:rPr>
          <w:rFonts w:hint="default" w:ascii="Times New Roman" w:hAnsi="Times New Roman" w:eastAsia="宋体" w:cs="Times New Roman"/>
          <w:color w:val="auto"/>
          <w:kern w:val="2"/>
          <w:sz w:val="24"/>
          <w:szCs w:val="32"/>
          <w:highlight w:val="none"/>
        </w:rPr>
        <w:t>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snapToGrid w:val="0"/>
          <w:color w:val="auto"/>
          <w:sz w:val="24"/>
          <w:szCs w:val="32"/>
          <w:highlight w:val="none"/>
          <w:lang w:val="zh-CN"/>
        </w:rPr>
        <w:t>（</w:t>
      </w:r>
      <w:r>
        <w:rPr>
          <w:rFonts w:hint="eastAsia" w:ascii="Times New Roman" w:hAnsi="Times New Roman" w:eastAsia="宋体" w:cs="Times New Roman"/>
          <w:snapToGrid w:val="0"/>
          <w:color w:val="auto"/>
          <w:sz w:val="24"/>
          <w:szCs w:val="32"/>
          <w:highlight w:val="none"/>
          <w:lang w:val="en-US" w:eastAsia="zh-CN"/>
        </w:rPr>
        <w:t>2.7</w:t>
      </w:r>
      <w:r>
        <w:rPr>
          <w:rFonts w:hint="default" w:ascii="Times New Roman" w:hAnsi="Times New Roman" w:eastAsia="宋体" w:cs="Times New Roman"/>
          <w:color w:val="auto"/>
          <w:kern w:val="2"/>
          <w:sz w:val="24"/>
          <w:szCs w:val="32"/>
          <w:highlight w:val="none"/>
        </w:rPr>
        <w:t>hm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snapToGrid w:val="0"/>
          <w:color w:val="auto"/>
          <w:sz w:val="24"/>
          <w:szCs w:val="32"/>
          <w:highlight w:val="none"/>
          <w:lang w:val="zh-CN"/>
        </w:rPr>
        <w:t>）</w:t>
      </w:r>
      <w:r>
        <w:rPr>
          <w:rFonts w:hint="default" w:ascii="Times New Roman" w:hAnsi="Times New Roman" w:eastAsia="宋体" w:cs="Times New Roman"/>
          <w:color w:val="auto"/>
          <w:kern w:val="2"/>
          <w:sz w:val="24"/>
          <w:szCs w:val="32"/>
          <w:highlight w:val="none"/>
        </w:rPr>
        <w:t>，因此本项目占地规模属于小型。</w:t>
      </w:r>
    </w:p>
    <w:p w14:paraId="6F182E5C">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（3）环境敏感程度</w:t>
      </w:r>
    </w:p>
    <w:p w14:paraId="20A8A512">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根据《环境影响评价技术导则 土壤环境（试行）》（HJ964-2018），建设项目所在地周边的土壤环境敏感程度分为敏感、较敏感、不敏感，判别依据见</w:t>
      </w:r>
      <w:r>
        <w:rPr>
          <w:rFonts w:hint="default" w:ascii="Times New Roman" w:hAnsi="Times New Roman" w:eastAsia="宋体" w:cs="Times New Roman"/>
          <w:color w:val="auto"/>
          <w:kern w:val="2"/>
          <w:sz w:val="24"/>
          <w:szCs w:val="32"/>
          <w:highlight w:val="none"/>
          <w:lang w:val="en-US" w:eastAsia="zh-CN"/>
        </w:rPr>
        <w:t>下</w:t>
      </w:r>
      <w:r>
        <w:rPr>
          <w:rFonts w:hint="default" w:ascii="Times New Roman" w:hAnsi="Times New Roman" w:eastAsia="宋体" w:cs="Times New Roman"/>
          <w:color w:val="auto"/>
          <w:kern w:val="2"/>
          <w:sz w:val="24"/>
          <w:szCs w:val="32"/>
          <w:highlight w:val="none"/>
        </w:rPr>
        <w:t>表。</w:t>
      </w:r>
    </w:p>
    <w:p w14:paraId="5FD16C45">
      <w:pPr>
        <w:pStyle w:val="263"/>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4-1</w:t>
      </w:r>
      <w:r>
        <w:rPr>
          <w:rFonts w:hint="eastAsia" w:ascii="Times New Roman" w:hAnsi="Times New Roman" w:eastAsia="黑体" w:cs="Times New Roman"/>
          <w:b w:val="0"/>
          <w:bCs/>
          <w:smallCaps w:val="0"/>
          <w:snapToGrid/>
          <w:kern w:val="2"/>
          <w:sz w:val="21"/>
          <w:szCs w:val="24"/>
          <w:highlight w:val="none"/>
          <w:lang w:val="en-US" w:eastAsia="zh-CN" w:bidi="ar-SA"/>
        </w:rPr>
        <w:t>0</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 xml:space="preserve"> 土壤环境敏感程度分级一览表</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38"/>
        <w:gridCol w:w="7384"/>
      </w:tblGrid>
      <w:tr w14:paraId="062FBF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218" w:type="dxa"/>
            <w:tcBorders>
              <w:tl2br w:val="nil"/>
              <w:tr2bl w:val="nil"/>
            </w:tcBorders>
            <w:vAlign w:val="center"/>
          </w:tcPr>
          <w:p w14:paraId="3961EE3E">
            <w:pPr>
              <w:pStyle w:val="39"/>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敏感程度</w:t>
            </w:r>
          </w:p>
        </w:tc>
        <w:tc>
          <w:tcPr>
            <w:tcW w:w="8024" w:type="dxa"/>
            <w:tcBorders>
              <w:tl2br w:val="nil"/>
              <w:tr2bl w:val="nil"/>
            </w:tcBorders>
            <w:vAlign w:val="center"/>
          </w:tcPr>
          <w:p w14:paraId="0718932B">
            <w:pPr>
              <w:pStyle w:val="39"/>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判别依据</w:t>
            </w:r>
          </w:p>
        </w:tc>
      </w:tr>
      <w:tr w14:paraId="7248E7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218" w:type="dxa"/>
            <w:tcBorders>
              <w:tl2br w:val="nil"/>
              <w:tr2bl w:val="nil"/>
            </w:tcBorders>
            <w:vAlign w:val="center"/>
          </w:tcPr>
          <w:p w14:paraId="371CF6FF">
            <w:pPr>
              <w:pStyle w:val="39"/>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w:t>
            </w:r>
          </w:p>
        </w:tc>
        <w:tc>
          <w:tcPr>
            <w:tcW w:w="8024" w:type="dxa"/>
            <w:tcBorders>
              <w:tl2br w:val="nil"/>
              <w:tr2bl w:val="nil"/>
            </w:tcBorders>
            <w:vAlign w:val="center"/>
          </w:tcPr>
          <w:p w14:paraId="07AD7AD0">
            <w:pPr>
              <w:pStyle w:val="39"/>
              <w:adjustRightInd w:val="0"/>
              <w:snapToGrid w:val="0"/>
              <w:spacing w:after="0"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建设项目周边存在耕地、园地、牧草地、饮用水水源地或居民区、学校、医院、疗养院、养老院等土壤环境敏感目标的</w:t>
            </w:r>
          </w:p>
        </w:tc>
      </w:tr>
      <w:tr w14:paraId="11FDE7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218" w:type="dxa"/>
            <w:tcBorders>
              <w:tl2br w:val="nil"/>
              <w:tr2bl w:val="nil"/>
            </w:tcBorders>
            <w:vAlign w:val="center"/>
          </w:tcPr>
          <w:p w14:paraId="411AE49A">
            <w:pPr>
              <w:pStyle w:val="39"/>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较敏感</w:t>
            </w:r>
          </w:p>
        </w:tc>
        <w:tc>
          <w:tcPr>
            <w:tcW w:w="8024" w:type="dxa"/>
            <w:tcBorders>
              <w:tl2br w:val="nil"/>
              <w:tr2bl w:val="nil"/>
            </w:tcBorders>
            <w:vAlign w:val="center"/>
          </w:tcPr>
          <w:p w14:paraId="6F228133">
            <w:pPr>
              <w:pStyle w:val="39"/>
              <w:adjustRightInd w:val="0"/>
              <w:snapToGrid w:val="0"/>
              <w:spacing w:after="0"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建设项目周边存在其他土壤环境敏感目标的</w:t>
            </w:r>
          </w:p>
        </w:tc>
      </w:tr>
      <w:tr w14:paraId="60333C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218" w:type="dxa"/>
            <w:tcBorders>
              <w:tl2br w:val="nil"/>
              <w:tr2bl w:val="nil"/>
            </w:tcBorders>
            <w:vAlign w:val="center"/>
          </w:tcPr>
          <w:p w14:paraId="49D83B28">
            <w:pPr>
              <w:pStyle w:val="39"/>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不敏感</w:t>
            </w:r>
          </w:p>
        </w:tc>
        <w:tc>
          <w:tcPr>
            <w:tcW w:w="8024" w:type="dxa"/>
            <w:tcBorders>
              <w:tl2br w:val="nil"/>
              <w:tr2bl w:val="nil"/>
            </w:tcBorders>
            <w:vAlign w:val="center"/>
          </w:tcPr>
          <w:p w14:paraId="103652CF">
            <w:pPr>
              <w:pStyle w:val="39"/>
              <w:adjustRightInd w:val="0"/>
              <w:snapToGrid w:val="0"/>
              <w:spacing w:after="0"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其他情况</w:t>
            </w:r>
          </w:p>
        </w:tc>
      </w:tr>
    </w:tbl>
    <w:p w14:paraId="2468299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本项目占地周边存在耕地等，因此，本项目土壤环境敏感程度属于敏感。</w:t>
      </w:r>
    </w:p>
    <w:p w14:paraId="1BAE574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（4）评价等级</w:t>
      </w:r>
    </w:p>
    <w:p w14:paraId="7FE4FB1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 土壤环境（试行）》（HJ964-2018），建设项目土壤评价工作等级划分见</w:t>
      </w:r>
      <w:r>
        <w:rPr>
          <w:rFonts w:hint="default" w:ascii="Times New Roman" w:hAnsi="Times New Roman" w:eastAsia="宋体" w:cs="Times New Roman"/>
          <w:color w:val="auto"/>
          <w:kern w:val="2"/>
          <w:sz w:val="24"/>
          <w:szCs w:val="32"/>
          <w:highlight w:val="none"/>
          <w:lang w:val="en-US" w:eastAsia="zh-CN"/>
        </w:rPr>
        <w:t>下</w:t>
      </w:r>
      <w:r>
        <w:rPr>
          <w:rFonts w:hint="default" w:ascii="Times New Roman" w:hAnsi="Times New Roman" w:eastAsia="宋体" w:cs="Times New Roman"/>
          <w:color w:val="auto"/>
          <w:sz w:val="24"/>
          <w:highlight w:val="none"/>
        </w:rPr>
        <w:t>表。</w:t>
      </w:r>
    </w:p>
    <w:p w14:paraId="3EB3A4A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4-1</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 xml:space="preserve">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土壤环境评价工作等级划分一览表</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67"/>
        <w:gridCol w:w="661"/>
        <w:gridCol w:w="661"/>
        <w:gridCol w:w="662"/>
        <w:gridCol w:w="662"/>
        <w:gridCol w:w="662"/>
        <w:gridCol w:w="661"/>
        <w:gridCol w:w="662"/>
        <w:gridCol w:w="662"/>
        <w:gridCol w:w="662"/>
      </w:tblGrid>
      <w:tr w14:paraId="7CCA9C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tblHeader/>
          <w:jc w:val="center"/>
        </w:trPr>
        <w:tc>
          <w:tcPr>
            <w:tcW w:w="2960" w:type="dxa"/>
            <w:vMerge w:val="restart"/>
            <w:tcBorders>
              <w:tl2br w:val="nil"/>
              <w:tr2bl w:val="nil"/>
            </w:tcBorders>
            <w:vAlign w:val="center"/>
          </w:tcPr>
          <w:p w14:paraId="35F0F700">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敏感程度</w:t>
            </w:r>
          </w:p>
          <w:p w14:paraId="72C78414">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评价工作等级</w:t>
            </w:r>
          </w:p>
          <w:p w14:paraId="6256799D">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占地规模</w:t>
            </w:r>
          </w:p>
        </w:tc>
        <w:tc>
          <w:tcPr>
            <w:tcW w:w="2199" w:type="dxa"/>
            <w:gridSpan w:val="3"/>
            <w:tcBorders>
              <w:tl2br w:val="nil"/>
              <w:tr2bl w:val="nil"/>
            </w:tcBorders>
            <w:vAlign w:val="center"/>
          </w:tcPr>
          <w:p w14:paraId="07FEB42F">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Ⅰ类</w:t>
            </w:r>
          </w:p>
        </w:tc>
        <w:tc>
          <w:tcPr>
            <w:tcW w:w="2198" w:type="dxa"/>
            <w:gridSpan w:val="3"/>
            <w:tcBorders>
              <w:tl2br w:val="nil"/>
              <w:tr2bl w:val="nil"/>
            </w:tcBorders>
            <w:vAlign w:val="center"/>
          </w:tcPr>
          <w:p w14:paraId="00374E8F">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Ⅱ类</w:t>
            </w:r>
          </w:p>
        </w:tc>
        <w:tc>
          <w:tcPr>
            <w:tcW w:w="2200" w:type="dxa"/>
            <w:gridSpan w:val="3"/>
            <w:tcBorders>
              <w:tl2br w:val="nil"/>
              <w:tr2bl w:val="nil"/>
            </w:tcBorders>
            <w:vAlign w:val="center"/>
          </w:tcPr>
          <w:p w14:paraId="5CA37297">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Ⅲ类</w:t>
            </w:r>
          </w:p>
        </w:tc>
      </w:tr>
      <w:tr w14:paraId="08560C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2960" w:type="dxa"/>
            <w:vMerge w:val="continue"/>
            <w:tcBorders>
              <w:tl2br w:val="nil"/>
              <w:tr2bl w:val="nil"/>
            </w:tcBorders>
            <w:vAlign w:val="center"/>
          </w:tcPr>
          <w:p w14:paraId="65662C83">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p>
        </w:tc>
        <w:tc>
          <w:tcPr>
            <w:tcW w:w="733" w:type="dxa"/>
            <w:tcBorders>
              <w:tl2br w:val="nil"/>
              <w:tr2bl w:val="nil"/>
            </w:tcBorders>
            <w:vAlign w:val="center"/>
          </w:tcPr>
          <w:p w14:paraId="17ABBB47">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大</w:t>
            </w:r>
          </w:p>
        </w:tc>
        <w:tc>
          <w:tcPr>
            <w:tcW w:w="733" w:type="dxa"/>
            <w:tcBorders>
              <w:tl2br w:val="nil"/>
              <w:tr2bl w:val="nil"/>
            </w:tcBorders>
            <w:vAlign w:val="center"/>
          </w:tcPr>
          <w:p w14:paraId="7943CA9B">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中</w:t>
            </w:r>
          </w:p>
        </w:tc>
        <w:tc>
          <w:tcPr>
            <w:tcW w:w="733" w:type="dxa"/>
            <w:tcBorders>
              <w:tl2br w:val="nil"/>
              <w:tr2bl w:val="nil"/>
            </w:tcBorders>
            <w:vAlign w:val="center"/>
          </w:tcPr>
          <w:p w14:paraId="3E51C578">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小</w:t>
            </w:r>
          </w:p>
        </w:tc>
        <w:tc>
          <w:tcPr>
            <w:tcW w:w="733" w:type="dxa"/>
            <w:tcBorders>
              <w:tl2br w:val="nil"/>
              <w:tr2bl w:val="nil"/>
            </w:tcBorders>
            <w:vAlign w:val="center"/>
          </w:tcPr>
          <w:p w14:paraId="677082B0">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大</w:t>
            </w:r>
          </w:p>
        </w:tc>
        <w:tc>
          <w:tcPr>
            <w:tcW w:w="733" w:type="dxa"/>
            <w:tcBorders>
              <w:tl2br w:val="nil"/>
              <w:tr2bl w:val="nil"/>
            </w:tcBorders>
            <w:vAlign w:val="center"/>
          </w:tcPr>
          <w:p w14:paraId="2804EE22">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中</w:t>
            </w:r>
          </w:p>
        </w:tc>
        <w:tc>
          <w:tcPr>
            <w:tcW w:w="732" w:type="dxa"/>
            <w:tcBorders>
              <w:tl2br w:val="nil"/>
              <w:tr2bl w:val="nil"/>
            </w:tcBorders>
            <w:vAlign w:val="center"/>
          </w:tcPr>
          <w:p w14:paraId="77F44AEC">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小</w:t>
            </w:r>
          </w:p>
        </w:tc>
        <w:tc>
          <w:tcPr>
            <w:tcW w:w="733" w:type="dxa"/>
            <w:tcBorders>
              <w:tl2br w:val="nil"/>
              <w:tr2bl w:val="nil"/>
            </w:tcBorders>
            <w:vAlign w:val="center"/>
          </w:tcPr>
          <w:p w14:paraId="6A36D6BE">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大</w:t>
            </w:r>
          </w:p>
        </w:tc>
        <w:tc>
          <w:tcPr>
            <w:tcW w:w="733" w:type="dxa"/>
            <w:tcBorders>
              <w:tl2br w:val="nil"/>
              <w:tr2bl w:val="nil"/>
            </w:tcBorders>
            <w:vAlign w:val="center"/>
          </w:tcPr>
          <w:p w14:paraId="01080937">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中</w:t>
            </w:r>
          </w:p>
        </w:tc>
        <w:tc>
          <w:tcPr>
            <w:tcW w:w="734" w:type="dxa"/>
            <w:tcBorders>
              <w:tl2br w:val="nil"/>
              <w:tr2bl w:val="nil"/>
            </w:tcBorders>
            <w:vAlign w:val="center"/>
          </w:tcPr>
          <w:p w14:paraId="40C15ECF">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小</w:t>
            </w:r>
          </w:p>
        </w:tc>
      </w:tr>
      <w:tr w14:paraId="4167D5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60" w:type="dxa"/>
            <w:tcBorders>
              <w:tl2br w:val="nil"/>
              <w:tr2bl w:val="nil"/>
            </w:tcBorders>
            <w:vAlign w:val="center"/>
          </w:tcPr>
          <w:p w14:paraId="3C736ED9">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w:t>
            </w:r>
          </w:p>
        </w:tc>
        <w:tc>
          <w:tcPr>
            <w:tcW w:w="733" w:type="dxa"/>
            <w:tcBorders>
              <w:tl2br w:val="nil"/>
              <w:tr2bl w:val="nil"/>
            </w:tcBorders>
            <w:vAlign w:val="center"/>
          </w:tcPr>
          <w:p w14:paraId="08B01E84">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0FF37AA2">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1E779DF3">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65CF2C7B">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78D4F4DF">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2" w:type="dxa"/>
            <w:tcBorders>
              <w:tl2br w:val="nil"/>
              <w:tr2bl w:val="nil"/>
            </w:tcBorders>
            <w:vAlign w:val="center"/>
          </w:tcPr>
          <w:p w14:paraId="2E5A6348">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shd w:val="clear" w:color="auto" w:fill="FFFFFF" w:themeFill="background1"/>
            <w:vAlign w:val="center"/>
          </w:tcPr>
          <w:p w14:paraId="145674D7">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shd w:val="clear" w:color="auto" w:fill="FFFFFF" w:themeFill="background1"/>
            <w:vAlign w:val="center"/>
          </w:tcPr>
          <w:p w14:paraId="3FE816E8">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4" w:type="dxa"/>
            <w:tcBorders>
              <w:tl2br w:val="nil"/>
              <w:tr2bl w:val="nil"/>
            </w:tcBorders>
            <w:shd w:val="clear" w:color="auto" w:fill="FFFFFF" w:themeFill="background1"/>
            <w:vAlign w:val="center"/>
          </w:tcPr>
          <w:p w14:paraId="731227EF">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r>
      <w:tr w14:paraId="1346EB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60" w:type="dxa"/>
            <w:tcBorders>
              <w:tl2br w:val="nil"/>
              <w:tr2bl w:val="nil"/>
            </w:tcBorders>
            <w:vAlign w:val="center"/>
          </w:tcPr>
          <w:p w14:paraId="62637909">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较敏感</w:t>
            </w:r>
          </w:p>
        </w:tc>
        <w:tc>
          <w:tcPr>
            <w:tcW w:w="733" w:type="dxa"/>
            <w:tcBorders>
              <w:tl2br w:val="nil"/>
              <w:tr2bl w:val="nil"/>
            </w:tcBorders>
            <w:vAlign w:val="center"/>
          </w:tcPr>
          <w:p w14:paraId="655FD8D3">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2A26D2E3">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2ABD1A91">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06C6A63E">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21431AD1">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2" w:type="dxa"/>
            <w:tcBorders>
              <w:tl2br w:val="nil"/>
              <w:tr2bl w:val="nil"/>
            </w:tcBorders>
            <w:vAlign w:val="center"/>
          </w:tcPr>
          <w:p w14:paraId="177657F1">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shd w:val="clear" w:color="auto" w:fill="FFFFFF" w:themeFill="background1"/>
            <w:vAlign w:val="center"/>
          </w:tcPr>
          <w:p w14:paraId="4AE0CA9C">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shd w:val="clear" w:color="auto" w:fill="FFFFFF" w:themeFill="background1"/>
            <w:vAlign w:val="center"/>
          </w:tcPr>
          <w:p w14:paraId="4E8837D5">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4" w:type="dxa"/>
            <w:tcBorders>
              <w:tl2br w:val="nil"/>
              <w:tr2bl w:val="nil"/>
            </w:tcBorders>
            <w:shd w:val="clear" w:color="auto" w:fill="FFFFFF" w:themeFill="background1"/>
            <w:vAlign w:val="center"/>
          </w:tcPr>
          <w:p w14:paraId="53C2A509">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2396C5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60" w:type="dxa"/>
            <w:tcBorders>
              <w:tl2br w:val="nil"/>
              <w:tr2bl w:val="nil"/>
            </w:tcBorders>
            <w:vAlign w:val="center"/>
          </w:tcPr>
          <w:p w14:paraId="762B42C3">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不敏感</w:t>
            </w:r>
          </w:p>
        </w:tc>
        <w:tc>
          <w:tcPr>
            <w:tcW w:w="733" w:type="dxa"/>
            <w:tcBorders>
              <w:tl2br w:val="nil"/>
              <w:tr2bl w:val="nil"/>
            </w:tcBorders>
            <w:vAlign w:val="center"/>
          </w:tcPr>
          <w:p w14:paraId="0FCB2F7D">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4B4442CA">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2BD15156">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777FDDF5">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565A86D6">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2" w:type="dxa"/>
            <w:tcBorders>
              <w:tl2br w:val="nil"/>
              <w:tr2bl w:val="nil"/>
            </w:tcBorders>
            <w:vAlign w:val="center"/>
          </w:tcPr>
          <w:p w14:paraId="354B2D23">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vAlign w:val="center"/>
          </w:tcPr>
          <w:p w14:paraId="4EDFF9B5">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vAlign w:val="center"/>
          </w:tcPr>
          <w:p w14:paraId="079E2D1D">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34" w:type="dxa"/>
            <w:tcBorders>
              <w:tl2br w:val="nil"/>
              <w:tr2bl w:val="nil"/>
            </w:tcBorders>
            <w:vAlign w:val="center"/>
          </w:tcPr>
          <w:p w14:paraId="5DC8391D">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1665F4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9557" w:type="dxa"/>
            <w:gridSpan w:val="10"/>
            <w:tcBorders>
              <w:tl2br w:val="nil"/>
              <w:tr2bl w:val="nil"/>
            </w:tcBorders>
            <w:vAlign w:val="center"/>
          </w:tcPr>
          <w:p w14:paraId="5EFE0BD2">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注：“-”表示可不开展土壤环境评价工作。</w:t>
            </w:r>
          </w:p>
        </w:tc>
      </w:tr>
    </w:tbl>
    <w:p w14:paraId="5A5A0CC1">
      <w:pPr>
        <w:pStyle w:val="2"/>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根据项目类别、占地规模和敏感程度判断出本项目土壤环境评价工作等级为三级。</w:t>
      </w:r>
    </w:p>
    <w:p w14:paraId="0C2C265A">
      <w:pPr>
        <w:pStyle w:val="7"/>
        <w:bidi w:val="0"/>
        <w:rPr>
          <w:rFonts w:hint="default"/>
          <w:highlight w:val="none"/>
        </w:rPr>
      </w:pPr>
      <w:bookmarkStart w:id="280" w:name="_Toc9768"/>
      <w:bookmarkStart w:id="281" w:name="_Toc3138"/>
      <w:bookmarkStart w:id="282" w:name="_Toc11585"/>
      <w:bookmarkStart w:id="283" w:name="_Toc14115"/>
      <w:r>
        <w:rPr>
          <w:rFonts w:hint="default"/>
          <w:highlight w:val="none"/>
        </w:rPr>
        <w:t>2.4.6生态环境</w:t>
      </w:r>
      <w:bookmarkEnd w:id="280"/>
      <w:bookmarkEnd w:id="281"/>
      <w:bookmarkEnd w:id="282"/>
      <w:bookmarkEnd w:id="283"/>
    </w:p>
    <w:p w14:paraId="0838325A">
      <w:pPr>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color w:val="auto"/>
          <w:kern w:val="1"/>
          <w:sz w:val="24"/>
          <w:highlight w:val="none"/>
        </w:rPr>
        <w:t>根据《环境影响评价技术导则 生态影响》（HJ19-2022）中评价工作级别的划定方法，具体如下：</w:t>
      </w:r>
    </w:p>
    <w:p w14:paraId="5B0C6165">
      <w:pPr>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color w:val="auto"/>
          <w:kern w:val="1"/>
          <w:sz w:val="24"/>
          <w:highlight w:val="none"/>
        </w:rPr>
        <w:t>6.1.2 按以下原则确定评价等级：a）涉及国家公园、自然保护区、世界自然遗产、重要生境时，评价等级为一级；b）涉及自然公园时，评价等级为二级；c）涉及生态保护红线时，评价等级不低于二级；d）根据HJ2.3判断属于水文要素影响型且地表水评价等级不低于二级的建设项目，生态影响评价等级不低于二级；e）根据HJ610、HJ964判断地下水水位或土壤影响范围内分布有天然林、公益林、湿地等生态保护目标的建设项目，生态影响评价等级不低于二级；f）当工程占地规模大于20km</w:t>
      </w:r>
      <w:r>
        <w:rPr>
          <w:rFonts w:hint="default" w:ascii="Times New Roman" w:hAnsi="Times New Roman" w:eastAsia="宋体" w:cs="Times New Roman"/>
          <w:color w:val="auto"/>
          <w:kern w:val="1"/>
          <w:sz w:val="24"/>
          <w:highlight w:val="none"/>
          <w:vertAlign w:val="superscript"/>
        </w:rPr>
        <w:t>2</w:t>
      </w:r>
      <w:r>
        <w:rPr>
          <w:rFonts w:hint="default" w:ascii="Times New Roman" w:hAnsi="Times New Roman" w:eastAsia="宋体" w:cs="Times New Roman"/>
          <w:color w:val="auto"/>
          <w:kern w:val="1"/>
          <w:sz w:val="24"/>
          <w:highlight w:val="none"/>
        </w:rPr>
        <w:t>时（包括永久和临时占用陆域和水域），评价等级不低于二级；</w:t>
      </w:r>
      <w:r>
        <w:rPr>
          <w:rFonts w:hint="eastAsia" w:ascii="Times New Roman" w:hAnsi="Times New Roman" w:cs="Times New Roman"/>
          <w:color w:val="auto"/>
          <w:kern w:val="1"/>
          <w:sz w:val="24"/>
          <w:highlight w:val="none"/>
          <w:lang w:eastAsia="zh-CN"/>
        </w:rPr>
        <w:t>新建项目</w:t>
      </w:r>
      <w:r>
        <w:rPr>
          <w:rFonts w:hint="default" w:ascii="Times New Roman" w:hAnsi="Times New Roman" w:eastAsia="宋体" w:cs="Times New Roman"/>
          <w:color w:val="auto"/>
          <w:kern w:val="1"/>
          <w:sz w:val="24"/>
          <w:highlight w:val="none"/>
        </w:rPr>
        <w:t>的占地范围以新增占地（包括陆域和水域）确定；g）除本条a）、b）、c）、d）、e）、f）以外的情况，评价等级为三级；h）当评价等级判定同时符合上述多种情况时，应采用其中最高的评价等级。</w:t>
      </w:r>
    </w:p>
    <w:p w14:paraId="7A90E25F">
      <w:pPr>
        <w:pStyle w:val="2"/>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1"/>
          <w:sz w:val="24"/>
          <w:highlight w:val="none"/>
        </w:rPr>
        <w:t>本项目选址在</w:t>
      </w:r>
      <w:r>
        <w:rPr>
          <w:rFonts w:hint="eastAsia" w:ascii="Times New Roman" w:hAnsi="Times New Roman" w:cs="Times New Roman"/>
          <w:color w:val="auto"/>
          <w:sz w:val="24"/>
          <w:highlight w:val="none"/>
          <w:lang w:eastAsia="zh-CN"/>
        </w:rPr>
        <w:t>鸡西市密山市柳毛乡团结村4组</w:t>
      </w:r>
      <w:r>
        <w:rPr>
          <w:rFonts w:hint="default" w:ascii="Times New Roman" w:hAnsi="Times New Roman" w:eastAsia="宋体" w:cs="Times New Roman"/>
          <w:color w:val="auto"/>
          <w:kern w:val="1"/>
          <w:sz w:val="24"/>
          <w:highlight w:val="none"/>
        </w:rPr>
        <w:t>，不涉及国家公园、自然保护区、世界自然遗产、重要生境、自然公园、生态保护红线，本项目不属于水文要素影响型项目，不影响地下水水位</w:t>
      </w:r>
      <w:r>
        <w:rPr>
          <w:rFonts w:hint="default" w:ascii="Times New Roman" w:hAnsi="Times New Roman" w:cs="Times New Roman"/>
          <w:color w:val="auto"/>
          <w:kern w:val="1"/>
          <w:sz w:val="24"/>
          <w:highlight w:val="none"/>
          <w:lang w:eastAsia="zh-CN"/>
        </w:rPr>
        <w:t>。</w:t>
      </w:r>
      <w:r>
        <w:rPr>
          <w:rFonts w:hint="default" w:ascii="Times New Roman" w:hAnsi="Times New Roman" w:cs="Times New Roman"/>
          <w:color w:val="auto"/>
          <w:highlight w:val="none"/>
        </w:rPr>
        <w:t>本项目为</w:t>
      </w:r>
      <w:r>
        <w:rPr>
          <w:rFonts w:hint="eastAsia" w:ascii="Times New Roman" w:cs="Times New Roman"/>
          <w:color w:val="auto"/>
          <w:highlight w:val="none"/>
          <w:lang w:val="en-US" w:eastAsia="zh-CN"/>
        </w:rPr>
        <w:t>扩</w:t>
      </w:r>
      <w:r>
        <w:rPr>
          <w:rFonts w:hint="eastAsia" w:ascii="Times New Roman" w:hAnsi="Times New Roman" w:cs="Times New Roman"/>
          <w:color w:val="auto"/>
          <w:highlight w:val="none"/>
          <w:lang w:eastAsia="zh-CN"/>
        </w:rPr>
        <w:t>建项目</w:t>
      </w:r>
      <w:r>
        <w:rPr>
          <w:rFonts w:hint="default" w:ascii="Times New Roman" w:hAnsi="Times New Roman" w:cs="Times New Roman"/>
          <w:color w:val="auto"/>
          <w:highlight w:val="none"/>
        </w:rPr>
        <w:t>，</w:t>
      </w:r>
      <w:r>
        <w:rPr>
          <w:rFonts w:hint="default" w:ascii="Times New Roman" w:hAnsi="Times New Roman" w:cs="Times New Roman"/>
          <w:color w:val="auto"/>
          <w:sz w:val="24"/>
          <w:highlight w:val="none"/>
        </w:rPr>
        <w:t>本项目用地类型为</w:t>
      </w:r>
      <w:r>
        <w:rPr>
          <w:rFonts w:hint="eastAsia" w:ascii="Times New Roman" w:hAnsi="Times New Roman" w:cs="Times New Roman"/>
          <w:color w:val="auto"/>
          <w:sz w:val="24"/>
          <w:highlight w:val="none"/>
          <w:lang w:val="en-US" w:eastAsia="zh-CN"/>
        </w:rPr>
        <w:t>设施农用地，</w:t>
      </w:r>
      <w:r>
        <w:rPr>
          <w:rFonts w:hint="default" w:ascii="Times New Roman" w:hAnsi="Times New Roman" w:eastAsia="宋体" w:cs="Times New Roman"/>
          <w:color w:val="auto"/>
          <w:kern w:val="1"/>
          <w:sz w:val="24"/>
          <w:highlight w:val="none"/>
        </w:rPr>
        <w:t>根据《环境影响评价技术导则 生态影响》（HJ19-2022）的规定，</w:t>
      </w:r>
      <w:r>
        <w:rPr>
          <w:rFonts w:hint="eastAsia" w:ascii="Times New Roman" w:hAnsi="Times New Roman" w:cs="Times New Roman"/>
          <w:color w:val="auto"/>
          <w:kern w:val="1"/>
          <w:sz w:val="24"/>
          <w:highlight w:val="none"/>
          <w:lang w:val="en-US" w:eastAsia="zh-CN"/>
        </w:rPr>
        <w:t>本项目生态</w:t>
      </w:r>
      <w:r>
        <w:rPr>
          <w:rFonts w:hint="default" w:ascii="Times New Roman" w:hAnsi="Times New Roman" w:eastAsia="宋体" w:cs="Times New Roman"/>
          <w:color w:val="auto"/>
          <w:highlight w:val="none"/>
        </w:rPr>
        <w:t>环境评价工作等级为三级。</w:t>
      </w:r>
      <w:bookmarkStart w:id="284" w:name="_Toc23387"/>
      <w:bookmarkStart w:id="285" w:name="_Toc27290"/>
      <w:bookmarkStart w:id="286" w:name="_Toc3292"/>
      <w:bookmarkStart w:id="287" w:name="_Toc19280"/>
    </w:p>
    <w:p w14:paraId="42A66482">
      <w:pPr>
        <w:pStyle w:val="2"/>
        <w:adjustRightInd/>
        <w:spacing w:line="360" w:lineRule="auto"/>
        <w:ind w:firstLine="480"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highlight w:val="none"/>
        </w:rPr>
        <w:t>评价范围</w:t>
      </w:r>
      <w:r>
        <w:rPr>
          <w:rFonts w:hint="eastAsia" w:ascii="Times New Roman" w:cs="Times New Roman"/>
          <w:color w:val="auto"/>
          <w:highlight w:val="none"/>
          <w:lang w:eastAsia="zh-CN"/>
        </w:rPr>
        <w:t>：</w:t>
      </w:r>
      <w:r>
        <w:rPr>
          <w:rFonts w:hint="default" w:ascii="Times New Roman" w:hAnsi="Times New Roman" w:eastAsia="宋体" w:cs="Times New Roman"/>
          <w:color w:val="auto"/>
          <w:highlight w:val="none"/>
        </w:rPr>
        <w:t>根据评价工作等级，并结合环境技术导则要求及建设项目在施工期、运行期对环境影响的特点，本次评价范围为</w:t>
      </w:r>
      <w:r>
        <w:rPr>
          <w:rFonts w:hint="eastAsia" w:ascii="Times New Roman" w:cs="Times New Roman"/>
          <w:color w:val="auto"/>
          <w:highlight w:val="none"/>
          <w:lang w:eastAsia="zh-CN"/>
        </w:rPr>
        <w:t>以养殖场边界外扩200m范围内</w:t>
      </w:r>
      <w:r>
        <w:rPr>
          <w:rFonts w:hint="default" w:ascii="Times New Roman" w:hAnsi="Times New Roman" w:eastAsia="宋体" w:cs="Times New Roman"/>
          <w:color w:val="auto"/>
          <w:highlight w:val="none"/>
        </w:rPr>
        <w:t>。</w:t>
      </w:r>
    </w:p>
    <w:p w14:paraId="02E5A68E">
      <w:pPr>
        <w:pStyle w:val="7"/>
        <w:bidi w:val="0"/>
        <w:rPr>
          <w:rFonts w:hint="default"/>
          <w:highlight w:val="none"/>
        </w:rPr>
      </w:pPr>
      <w:r>
        <w:rPr>
          <w:rFonts w:hint="default"/>
          <w:highlight w:val="none"/>
        </w:rPr>
        <w:t>2.4.7环境风险</w:t>
      </w:r>
      <w:bookmarkEnd w:id="284"/>
      <w:bookmarkEnd w:id="285"/>
      <w:bookmarkEnd w:id="286"/>
      <w:bookmarkEnd w:id="287"/>
    </w:p>
    <w:p w14:paraId="52F6CD8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1、风险调查</w:t>
      </w:r>
    </w:p>
    <w:p w14:paraId="5D443CE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根据《建设项目环境风险评价技术导则》（HJ169-2018）“附录B重点关注的危险物质及临界量”可知，本项目生产过程中涉及的危险物质为污黑膜厌氧池产生的沼气。</w:t>
      </w:r>
    </w:p>
    <w:p w14:paraId="380F6D5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2、风险潜势初判</w:t>
      </w:r>
    </w:p>
    <w:p w14:paraId="68C1325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根据《建设项目环境风险评价技术导则》（HJ169-2018）中附录C危险物质及工艺系统危险性（P）的分级中C.1计算物质总量与其临界量比值（Q）。</w:t>
      </w:r>
    </w:p>
    <w:p w14:paraId="68A3A875">
      <w:pPr>
        <w:spacing w:line="360" w:lineRule="auto"/>
        <w:jc w:val="center"/>
        <w:rPr>
          <w:rFonts w:hint="default" w:ascii="Times New Roman" w:hAnsi="Times New Roman" w:eastAsia="宋体" w:cs="Times New Roman"/>
          <w:bCs/>
          <w:i w:val="0"/>
          <w:iCs w:val="0"/>
          <w:snapToGrid w:val="0"/>
          <w:color w:val="auto"/>
          <w:highlight w:val="none"/>
          <w:vertAlign w:val="subscript"/>
        </w:rPr>
      </w:pP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1</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1</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2</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2</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n</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n</w:t>
      </w:r>
    </w:p>
    <w:p w14:paraId="4F24FEEE">
      <w:pPr>
        <w:spacing w:line="360" w:lineRule="auto"/>
        <w:ind w:firstLine="420"/>
        <w:jc w:val="both"/>
        <w:rPr>
          <w:rFonts w:hint="default" w:ascii="Times New Roman" w:hAnsi="Times New Roman" w:eastAsia="宋体" w:cs="Times New Roman"/>
          <w:i w:val="0"/>
          <w:iCs w:val="0"/>
          <w:snapToGrid w:val="0"/>
          <w:color w:val="auto"/>
          <w:highlight w:val="none"/>
        </w:rPr>
      </w:pPr>
      <w:r>
        <w:rPr>
          <w:rFonts w:hint="default" w:ascii="Times New Roman" w:hAnsi="Times New Roman" w:eastAsia="宋体" w:cs="Times New Roman"/>
          <w:i w:val="0"/>
          <w:iCs w:val="0"/>
          <w:snapToGrid w:val="0"/>
          <w:color w:val="auto"/>
          <w:highlight w:val="none"/>
        </w:rPr>
        <w:t>式中：q</w:t>
      </w:r>
      <w:r>
        <w:rPr>
          <w:rFonts w:hint="default" w:ascii="Times New Roman" w:hAnsi="Times New Roman" w:eastAsia="宋体" w:cs="Times New Roman"/>
          <w:i w:val="0"/>
          <w:iCs w:val="0"/>
          <w:snapToGrid w:val="0"/>
          <w:color w:val="auto"/>
          <w:highlight w:val="none"/>
          <w:vertAlign w:val="subscript"/>
        </w:rPr>
        <w:t>1</w:t>
      </w: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2</w:t>
      </w: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n</w:t>
      </w:r>
      <w:r>
        <w:rPr>
          <w:rFonts w:hint="default" w:ascii="Times New Roman" w:hAnsi="Times New Roman" w:eastAsia="宋体" w:cs="Times New Roman"/>
          <w:i w:val="0"/>
          <w:iCs w:val="0"/>
          <w:snapToGrid w:val="0"/>
          <w:color w:val="auto"/>
          <w:highlight w:val="none"/>
        </w:rPr>
        <w:t>—每种危险物质的最大存在总量，t。</w:t>
      </w:r>
    </w:p>
    <w:p w14:paraId="3FFEE411">
      <w:pPr>
        <w:spacing w:line="360" w:lineRule="auto"/>
        <w:ind w:firstLine="720" w:firstLineChars="300"/>
        <w:jc w:val="both"/>
        <w:rPr>
          <w:rFonts w:hint="default" w:ascii="Times New Roman" w:hAnsi="Times New Roman" w:eastAsia="宋体" w:cs="Times New Roman"/>
          <w:i w:val="0"/>
          <w:iCs w:val="0"/>
          <w:snapToGrid w:val="0"/>
          <w:color w:val="auto"/>
          <w:highlight w:val="none"/>
        </w:rPr>
      </w:pP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1</w:t>
      </w: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2</w:t>
      </w: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n</w:t>
      </w:r>
      <w:r>
        <w:rPr>
          <w:rFonts w:hint="default" w:ascii="Times New Roman" w:hAnsi="Times New Roman" w:eastAsia="宋体" w:cs="Times New Roman"/>
          <w:i w:val="0"/>
          <w:iCs w:val="0"/>
          <w:snapToGrid w:val="0"/>
          <w:color w:val="auto"/>
          <w:highlight w:val="none"/>
        </w:rPr>
        <w:t>—每种危险物质的临界量，t。</w:t>
      </w:r>
    </w:p>
    <w:p w14:paraId="57521094">
      <w:pPr>
        <w:spacing w:line="360" w:lineRule="auto"/>
        <w:ind w:firstLine="720" w:firstLineChars="3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当Q＜1时，该项目环境风险潜势为</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w:t>
      </w:r>
    </w:p>
    <w:p w14:paraId="276E598A">
      <w:pPr>
        <w:spacing w:line="360" w:lineRule="auto"/>
        <w:ind w:firstLine="420"/>
        <w:jc w:val="both"/>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i w:val="0"/>
          <w:iCs w:val="0"/>
          <w:snapToGrid w:val="0"/>
          <w:color w:val="auto"/>
          <w:highlight w:val="none"/>
          <w:lang w:val="en-US" w:eastAsia="zh-CN"/>
        </w:rPr>
        <w:t>本项目</w:t>
      </w:r>
      <w:r>
        <w:rPr>
          <w:rFonts w:hint="default" w:ascii="Times New Roman" w:hAnsi="Times New Roman" w:eastAsia="宋体" w:cs="Times New Roman"/>
          <w:b w:val="0"/>
          <w:bCs w:val="0"/>
          <w:i w:val="0"/>
          <w:iCs w:val="0"/>
          <w:snapToGrid w:val="0"/>
          <w:color w:val="auto"/>
          <w:highlight w:val="none"/>
        </w:rPr>
        <w:t>污水处理工艺产</w:t>
      </w:r>
      <w:r>
        <w:rPr>
          <w:rFonts w:hint="default" w:ascii="Times New Roman" w:hAnsi="Times New Roman" w:eastAsia="宋体" w:cs="Times New Roman"/>
          <w:i w:val="0"/>
          <w:iCs w:val="0"/>
          <w:snapToGrid w:val="0"/>
          <w:color w:val="auto"/>
          <w:highlight w:val="none"/>
        </w:rPr>
        <w:t>生的沼气火炬</w:t>
      </w:r>
      <w:r>
        <w:rPr>
          <w:rFonts w:hint="default" w:ascii="Times New Roman" w:hAnsi="Times New Roman" w:eastAsia="宋体" w:cs="Times New Roman"/>
          <w:i w:val="0"/>
          <w:iCs w:val="0"/>
          <w:snapToGrid w:val="0"/>
          <w:color w:val="auto"/>
          <w:highlight w:val="none"/>
          <w:lang w:val="en-US" w:eastAsia="zh-CN"/>
        </w:rPr>
        <w:t>直接</w:t>
      </w:r>
      <w:r>
        <w:rPr>
          <w:rFonts w:hint="default" w:ascii="Times New Roman" w:hAnsi="Times New Roman" w:eastAsia="宋体" w:cs="Times New Roman"/>
          <w:i w:val="0"/>
          <w:iCs w:val="0"/>
          <w:snapToGrid w:val="0"/>
          <w:color w:val="auto"/>
          <w:highlight w:val="none"/>
        </w:rPr>
        <w:t>燃烧排放</w:t>
      </w:r>
      <w:r>
        <w:rPr>
          <w:rFonts w:hint="default" w:ascii="Times New Roman" w:hAnsi="Times New Roman" w:eastAsia="宋体" w:cs="Times New Roman"/>
          <w:i w:val="0"/>
          <w:iCs w:val="0"/>
          <w:snapToGrid w:val="0"/>
          <w:color w:val="auto"/>
          <w:highlight w:val="none"/>
          <w:lang w:eastAsia="zh-CN"/>
        </w:rPr>
        <w:t>，沼气火炬设有火焰控制系统，在供气管路上安装有检测器，达到燃烧条件时，沼气火炬自动运行点燃烧，</w:t>
      </w:r>
      <w:r>
        <w:rPr>
          <w:rFonts w:hint="default" w:ascii="Times New Roman" w:hAnsi="Times New Roman" w:eastAsia="宋体" w:cs="Times New Roman"/>
          <w:i w:val="0"/>
          <w:iCs w:val="0"/>
          <w:snapToGrid w:val="0"/>
          <w:color w:val="auto"/>
          <w:highlight w:val="none"/>
          <w:lang w:val="en-US" w:eastAsia="zh-CN"/>
        </w:rPr>
        <w:t>不设置沼气供气管道，沼气火炬</w:t>
      </w:r>
      <w:r>
        <w:rPr>
          <w:rFonts w:hint="default" w:ascii="Times New Roman" w:hAnsi="Times New Roman" w:eastAsia="宋体" w:cs="Times New Roman"/>
          <w:i w:val="0"/>
          <w:iCs w:val="0"/>
          <w:snapToGrid w:val="0"/>
          <w:color w:val="auto"/>
          <w:highlight w:val="none"/>
          <w:lang w:eastAsia="zh-CN"/>
        </w:rPr>
        <w:t>管路</w:t>
      </w:r>
      <w:r>
        <w:rPr>
          <w:rFonts w:hint="default" w:ascii="Times New Roman" w:hAnsi="Times New Roman" w:eastAsia="宋体" w:cs="Times New Roman"/>
          <w:i w:val="0"/>
          <w:iCs w:val="0"/>
          <w:snapToGrid w:val="0"/>
          <w:color w:val="auto"/>
          <w:highlight w:val="none"/>
          <w:lang w:val="en-US" w:eastAsia="zh-CN"/>
        </w:rPr>
        <w:t>长10m，直径0.1m，体积为</w:t>
      </w:r>
      <w:r>
        <w:rPr>
          <w:rFonts w:hint="eastAsia" w:ascii="Times New Roman" w:hAnsi="Times New Roman" w:cs="Times New Roman"/>
          <w:i w:val="0"/>
          <w:iCs w:val="0"/>
          <w:snapToGrid w:val="0"/>
          <w:color w:val="auto"/>
          <w:highlight w:val="none"/>
          <w:lang w:val="en-US" w:eastAsia="zh-CN"/>
        </w:rPr>
        <w:t>0.0785</w:t>
      </w:r>
      <w:r>
        <w:rPr>
          <w:rFonts w:hint="default" w:ascii="Times New Roman" w:hAnsi="Times New Roman" w:eastAsia="宋体" w:cs="Times New Roman"/>
          <w:i w:val="0"/>
          <w:iCs w:val="0"/>
          <w:snapToGrid w:val="0"/>
          <w:color w:val="auto"/>
          <w:highlight w:val="none"/>
          <w:lang w:val="en-US" w:eastAsia="zh-CN"/>
        </w:rPr>
        <w:t>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。通常情况下，沼气中甲烷含量占60%左右，甲烷密度为0.71kg/m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（标准状况下，1个标准大气压，20℃）。经计算本项目</w:t>
      </w:r>
      <w:r>
        <w:rPr>
          <w:rFonts w:hint="eastAsia" w:ascii="Times New Roman" w:hAnsi="Times New Roman" w:cs="Times New Roman"/>
          <w:i w:val="0"/>
          <w:iCs w:val="0"/>
          <w:snapToGrid w:val="0"/>
          <w:color w:val="auto"/>
          <w:highlight w:val="none"/>
          <w:lang w:val="en-US" w:eastAsia="zh-CN"/>
        </w:rPr>
        <w:t>风险物质</w:t>
      </w:r>
      <w:r>
        <w:rPr>
          <w:rFonts w:hint="default" w:ascii="Times New Roman" w:hAnsi="Times New Roman" w:eastAsia="宋体" w:cs="Times New Roman"/>
          <w:i w:val="0"/>
          <w:iCs w:val="0"/>
          <w:snapToGrid w:val="0"/>
          <w:color w:val="auto"/>
          <w:highlight w:val="none"/>
          <w:lang w:val="en-US" w:eastAsia="zh-CN"/>
        </w:rPr>
        <w:t>最大存在总量贮存情况见表</w:t>
      </w:r>
      <w:r>
        <w:rPr>
          <w:rFonts w:hint="eastAsia" w:ascii="Times New Roman" w:hAnsi="Times New Roman" w:cs="Times New Roman"/>
          <w:i w:val="0"/>
          <w:iCs w:val="0"/>
          <w:snapToGrid w:val="0"/>
          <w:color w:val="auto"/>
          <w:highlight w:val="none"/>
          <w:lang w:val="en-US" w:eastAsia="zh-CN"/>
        </w:rPr>
        <w:t>2.4-12。</w:t>
      </w:r>
    </w:p>
    <w:p w14:paraId="1E50D5CC">
      <w:pPr>
        <w:pStyle w:val="451"/>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cs="Times New Roman"/>
          <w:color w:val="auto"/>
          <w:sz w:val="24"/>
          <w:szCs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4-1</w:t>
      </w:r>
      <w:r>
        <w:rPr>
          <w:rFonts w:hint="eastAsia"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 xml:space="preserve"> 本项目Q值确定一览表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9"/>
        <w:gridCol w:w="1297"/>
        <w:gridCol w:w="1109"/>
        <w:gridCol w:w="1132"/>
        <w:gridCol w:w="1363"/>
        <w:gridCol w:w="1394"/>
        <w:gridCol w:w="1628"/>
      </w:tblGrid>
      <w:tr w14:paraId="5FC7D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9" w:type="dxa"/>
            <w:noWrap w:val="0"/>
            <w:vAlign w:val="center"/>
          </w:tcPr>
          <w:p w14:paraId="3CA440EA">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序号</w:t>
            </w:r>
          </w:p>
        </w:tc>
        <w:tc>
          <w:tcPr>
            <w:tcW w:w="1297" w:type="dxa"/>
            <w:noWrap w:val="0"/>
            <w:vAlign w:val="center"/>
          </w:tcPr>
          <w:p w14:paraId="42C191E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装置</w:t>
            </w:r>
          </w:p>
        </w:tc>
        <w:tc>
          <w:tcPr>
            <w:tcW w:w="1109" w:type="dxa"/>
            <w:noWrap w:val="0"/>
            <w:vAlign w:val="center"/>
          </w:tcPr>
          <w:p w14:paraId="74B22B9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危险物质名称</w:t>
            </w:r>
          </w:p>
        </w:tc>
        <w:tc>
          <w:tcPr>
            <w:tcW w:w="1132" w:type="dxa"/>
            <w:noWrap w:val="0"/>
            <w:vAlign w:val="center"/>
          </w:tcPr>
          <w:p w14:paraId="510B0A3C">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CAS号</w:t>
            </w:r>
          </w:p>
        </w:tc>
        <w:tc>
          <w:tcPr>
            <w:tcW w:w="1363" w:type="dxa"/>
            <w:noWrap w:val="0"/>
            <w:vAlign w:val="center"/>
          </w:tcPr>
          <w:p w14:paraId="498CB12C">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最大存在总量q</w:t>
            </w:r>
            <w:r>
              <w:rPr>
                <w:rFonts w:hint="default" w:ascii="Times New Roman" w:hAnsi="Times New Roman" w:cs="Times New Roman"/>
                <w:b w:val="0"/>
                <w:bCs w:val="0"/>
                <w:color w:val="auto"/>
                <w:sz w:val="21"/>
                <w:szCs w:val="21"/>
                <w:highlight w:val="none"/>
                <w:vertAlign w:val="subscript"/>
              </w:rPr>
              <w:t>n</w:t>
            </w:r>
            <w:r>
              <w:rPr>
                <w:rFonts w:hint="default" w:ascii="Times New Roman" w:hAnsi="Times New Roman" w:cs="Times New Roman"/>
                <w:b w:val="0"/>
                <w:bCs w:val="0"/>
                <w:color w:val="auto"/>
                <w:sz w:val="21"/>
                <w:szCs w:val="21"/>
                <w:highlight w:val="none"/>
              </w:rPr>
              <w:t>/t</w:t>
            </w:r>
          </w:p>
        </w:tc>
        <w:tc>
          <w:tcPr>
            <w:tcW w:w="1394" w:type="dxa"/>
            <w:noWrap w:val="0"/>
            <w:vAlign w:val="center"/>
          </w:tcPr>
          <w:p w14:paraId="1E3BDA5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临界量Q</w:t>
            </w:r>
            <w:r>
              <w:rPr>
                <w:rFonts w:hint="default" w:ascii="Times New Roman" w:hAnsi="Times New Roman" w:cs="Times New Roman"/>
                <w:b w:val="0"/>
                <w:bCs w:val="0"/>
                <w:color w:val="auto"/>
                <w:sz w:val="21"/>
                <w:szCs w:val="21"/>
                <w:highlight w:val="none"/>
                <w:vertAlign w:val="subscript"/>
              </w:rPr>
              <w:t>n</w:t>
            </w:r>
            <w:r>
              <w:rPr>
                <w:rFonts w:hint="default" w:ascii="Times New Roman" w:hAnsi="Times New Roman" w:cs="Times New Roman"/>
                <w:b w:val="0"/>
                <w:bCs w:val="0"/>
                <w:color w:val="auto"/>
                <w:sz w:val="21"/>
                <w:szCs w:val="21"/>
                <w:highlight w:val="none"/>
              </w:rPr>
              <w:t>/t</w:t>
            </w:r>
          </w:p>
        </w:tc>
        <w:tc>
          <w:tcPr>
            <w:tcW w:w="1628" w:type="dxa"/>
            <w:noWrap w:val="0"/>
            <w:vAlign w:val="center"/>
          </w:tcPr>
          <w:p w14:paraId="55DA2F7A">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该种危险物质Q值</w:t>
            </w:r>
          </w:p>
        </w:tc>
      </w:tr>
      <w:tr w14:paraId="2427B8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9" w:type="dxa"/>
            <w:noWrap w:val="0"/>
            <w:vAlign w:val="center"/>
          </w:tcPr>
          <w:p w14:paraId="5F77FFBD">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w:t>
            </w:r>
          </w:p>
        </w:tc>
        <w:tc>
          <w:tcPr>
            <w:tcW w:w="1297" w:type="dxa"/>
            <w:noWrap w:val="0"/>
            <w:vAlign w:val="center"/>
          </w:tcPr>
          <w:p w14:paraId="53317E1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沼气燃烧火炬管道</w:t>
            </w:r>
          </w:p>
        </w:tc>
        <w:tc>
          <w:tcPr>
            <w:tcW w:w="1109" w:type="dxa"/>
            <w:noWrap w:val="0"/>
            <w:vAlign w:val="center"/>
          </w:tcPr>
          <w:p w14:paraId="5646C45B">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甲烷</w:t>
            </w:r>
          </w:p>
        </w:tc>
        <w:tc>
          <w:tcPr>
            <w:tcW w:w="1132" w:type="dxa"/>
            <w:noWrap w:val="0"/>
            <w:vAlign w:val="center"/>
          </w:tcPr>
          <w:p w14:paraId="763695D7">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74-82-8</w:t>
            </w:r>
          </w:p>
        </w:tc>
        <w:tc>
          <w:tcPr>
            <w:tcW w:w="1363" w:type="dxa"/>
            <w:noWrap w:val="0"/>
            <w:vAlign w:val="center"/>
          </w:tcPr>
          <w:p w14:paraId="3209BEC6">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0.000055735</w:t>
            </w:r>
          </w:p>
        </w:tc>
        <w:tc>
          <w:tcPr>
            <w:tcW w:w="1394" w:type="dxa"/>
            <w:noWrap w:val="0"/>
            <w:vAlign w:val="center"/>
          </w:tcPr>
          <w:p w14:paraId="0589AC79">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10</w:t>
            </w:r>
          </w:p>
        </w:tc>
        <w:tc>
          <w:tcPr>
            <w:tcW w:w="1628" w:type="dxa"/>
            <w:noWrap w:val="0"/>
            <w:vAlign w:val="center"/>
          </w:tcPr>
          <w:p w14:paraId="4649D4B9">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0.0000055735</w:t>
            </w:r>
          </w:p>
        </w:tc>
      </w:tr>
      <w:tr w14:paraId="087B0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500" w:type="dxa"/>
            <w:gridSpan w:val="5"/>
            <w:noWrap w:val="0"/>
            <w:vAlign w:val="center"/>
          </w:tcPr>
          <w:p w14:paraId="5C460288">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项目Q值∑</w:t>
            </w:r>
          </w:p>
        </w:tc>
        <w:tc>
          <w:tcPr>
            <w:tcW w:w="1394" w:type="dxa"/>
            <w:noWrap w:val="0"/>
            <w:vAlign w:val="center"/>
          </w:tcPr>
          <w:p w14:paraId="0D972FB1">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w:t>
            </w:r>
          </w:p>
        </w:tc>
        <w:tc>
          <w:tcPr>
            <w:tcW w:w="1628" w:type="dxa"/>
            <w:noWrap w:val="0"/>
            <w:vAlign w:val="center"/>
          </w:tcPr>
          <w:p w14:paraId="75466364">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0.0000055735</w:t>
            </w:r>
          </w:p>
        </w:tc>
      </w:tr>
    </w:tbl>
    <w:p w14:paraId="3EDFC67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根据《建设项目环境风险评价技术导则》（HJ169-2018）中附录B重点关注的危险物质及临界量，甲烷易燃气体临界量为10t。</w:t>
      </w:r>
    </w:p>
    <w:p w14:paraId="3B594D7E">
      <w:pPr>
        <w:spacing w:line="360" w:lineRule="auto"/>
        <w:ind w:firstLine="42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危险物质数量与临界量比值（Q）为</w:t>
      </w:r>
      <w:r>
        <w:rPr>
          <w:rFonts w:hint="eastAsia" w:ascii="Times New Roman" w:hAnsi="Times New Roman" w:cs="Times New Roman"/>
          <w:color w:val="auto"/>
          <w:sz w:val="24"/>
          <w:highlight w:val="none"/>
          <w:lang w:eastAsia="zh-CN"/>
        </w:rPr>
        <w:t>0.0000055735</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4"/>
          <w:highlight w:val="none"/>
        </w:rPr>
        <w:t>Q＜1，即环境风险潜式为Ⅰ。</w:t>
      </w:r>
    </w:p>
    <w:p w14:paraId="318DD8B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3、评价等级</w:t>
      </w:r>
    </w:p>
    <w:p w14:paraId="592BD3D4">
      <w:pPr>
        <w:pStyle w:val="216"/>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 xml:space="preserve">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环境风险评价工作等级确定表</w:t>
      </w:r>
    </w:p>
    <w:tbl>
      <w:tblPr>
        <w:tblStyle w:val="48"/>
        <w:tblW w:w="4998"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119"/>
        <w:gridCol w:w="1537"/>
        <w:gridCol w:w="1520"/>
        <w:gridCol w:w="1820"/>
        <w:gridCol w:w="1523"/>
      </w:tblGrid>
      <w:tr w14:paraId="02AC90E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1244" w:type="pct"/>
            <w:tcBorders>
              <w:top w:val="single" w:color="auto" w:sz="12" w:space="0"/>
              <w:left w:val="nil"/>
              <w:bottom w:val="single" w:color="000000" w:sz="4" w:space="0"/>
              <w:right w:val="single" w:color="000000" w:sz="4" w:space="0"/>
            </w:tcBorders>
            <w:vAlign w:val="center"/>
          </w:tcPr>
          <w:p w14:paraId="07FB5CD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环境风险潜势</w:t>
            </w:r>
          </w:p>
        </w:tc>
        <w:tc>
          <w:tcPr>
            <w:tcW w:w="902" w:type="pct"/>
            <w:tcBorders>
              <w:top w:val="single" w:color="auto" w:sz="12" w:space="0"/>
              <w:left w:val="single" w:color="000000" w:sz="4" w:space="0"/>
              <w:bottom w:val="single" w:color="000000" w:sz="4" w:space="0"/>
              <w:right w:val="single" w:color="000000" w:sz="4" w:space="0"/>
            </w:tcBorders>
            <w:vAlign w:val="center"/>
          </w:tcPr>
          <w:p w14:paraId="6749C79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Ⅳ、Ⅳ</w:t>
            </w:r>
            <w:r>
              <w:rPr>
                <w:rFonts w:hint="default" w:ascii="Times New Roman" w:hAnsi="Times New Roman" w:eastAsia="宋体" w:cs="Times New Roman"/>
                <w:color w:val="auto"/>
                <w:highlight w:val="none"/>
                <w:vertAlign w:val="superscript"/>
              </w:rPr>
              <w:t>+</w:t>
            </w:r>
          </w:p>
        </w:tc>
        <w:tc>
          <w:tcPr>
            <w:tcW w:w="892" w:type="pct"/>
            <w:tcBorders>
              <w:top w:val="single" w:color="auto" w:sz="12" w:space="0"/>
              <w:left w:val="single" w:color="000000" w:sz="4" w:space="0"/>
              <w:bottom w:val="single" w:color="000000" w:sz="4" w:space="0"/>
              <w:right w:val="single" w:color="000000" w:sz="4" w:space="0"/>
            </w:tcBorders>
            <w:vAlign w:val="center"/>
          </w:tcPr>
          <w:p w14:paraId="139C17C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Ⅲ</w:t>
            </w:r>
          </w:p>
        </w:tc>
        <w:tc>
          <w:tcPr>
            <w:tcW w:w="1068" w:type="pct"/>
            <w:tcBorders>
              <w:top w:val="single" w:color="auto" w:sz="12" w:space="0"/>
              <w:left w:val="single" w:color="000000" w:sz="4" w:space="0"/>
              <w:bottom w:val="single" w:color="000000" w:sz="4" w:space="0"/>
              <w:right w:val="single" w:color="000000" w:sz="4" w:space="0"/>
            </w:tcBorders>
            <w:vAlign w:val="center"/>
          </w:tcPr>
          <w:p w14:paraId="59944F8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Ⅱ</w:t>
            </w:r>
          </w:p>
        </w:tc>
        <w:tc>
          <w:tcPr>
            <w:tcW w:w="891" w:type="pct"/>
            <w:tcBorders>
              <w:top w:val="single" w:color="auto" w:sz="12" w:space="0"/>
              <w:left w:val="single" w:color="000000" w:sz="4" w:space="0"/>
              <w:bottom w:val="single" w:color="000000" w:sz="4" w:space="0"/>
              <w:right w:val="nil"/>
            </w:tcBorders>
            <w:vAlign w:val="center"/>
          </w:tcPr>
          <w:p w14:paraId="5D5CBE2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Ⅰ</w:t>
            </w:r>
          </w:p>
        </w:tc>
      </w:tr>
      <w:tr w14:paraId="3C89E765">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1244" w:type="pct"/>
            <w:tcBorders>
              <w:top w:val="single" w:color="000000" w:sz="4" w:space="0"/>
              <w:left w:val="nil"/>
              <w:bottom w:val="single" w:color="000000" w:sz="4" w:space="0"/>
              <w:right w:val="single" w:color="000000" w:sz="4" w:space="0"/>
            </w:tcBorders>
            <w:vAlign w:val="center"/>
          </w:tcPr>
          <w:p w14:paraId="6572898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评价工作等级</w:t>
            </w:r>
          </w:p>
        </w:tc>
        <w:tc>
          <w:tcPr>
            <w:tcW w:w="902" w:type="pct"/>
            <w:tcBorders>
              <w:top w:val="single" w:color="000000" w:sz="4" w:space="0"/>
              <w:left w:val="single" w:color="000000" w:sz="4" w:space="0"/>
              <w:bottom w:val="single" w:color="000000" w:sz="4" w:space="0"/>
              <w:right w:val="single" w:color="000000" w:sz="4" w:space="0"/>
            </w:tcBorders>
            <w:vAlign w:val="center"/>
          </w:tcPr>
          <w:p w14:paraId="6CA87BC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w:t>
            </w:r>
          </w:p>
        </w:tc>
        <w:tc>
          <w:tcPr>
            <w:tcW w:w="892" w:type="pct"/>
            <w:tcBorders>
              <w:top w:val="single" w:color="000000" w:sz="4" w:space="0"/>
              <w:left w:val="single" w:color="000000" w:sz="4" w:space="0"/>
              <w:bottom w:val="single" w:color="000000" w:sz="4" w:space="0"/>
              <w:right w:val="single" w:color="000000" w:sz="4" w:space="0"/>
            </w:tcBorders>
            <w:vAlign w:val="center"/>
          </w:tcPr>
          <w:p w14:paraId="0AD6F0E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w:t>
            </w:r>
          </w:p>
        </w:tc>
        <w:tc>
          <w:tcPr>
            <w:tcW w:w="1068" w:type="pct"/>
            <w:tcBorders>
              <w:top w:val="single" w:color="000000" w:sz="4" w:space="0"/>
              <w:left w:val="single" w:color="000000" w:sz="4" w:space="0"/>
              <w:bottom w:val="single" w:color="000000" w:sz="4" w:space="0"/>
              <w:right w:val="single" w:color="000000" w:sz="4" w:space="0"/>
            </w:tcBorders>
            <w:vAlign w:val="center"/>
          </w:tcPr>
          <w:p w14:paraId="3CADCF6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w:t>
            </w:r>
          </w:p>
        </w:tc>
        <w:tc>
          <w:tcPr>
            <w:tcW w:w="891" w:type="pct"/>
            <w:tcBorders>
              <w:top w:val="single" w:color="000000" w:sz="4" w:space="0"/>
              <w:left w:val="single" w:color="000000" w:sz="4" w:space="0"/>
              <w:bottom w:val="single" w:color="000000" w:sz="4" w:space="0"/>
              <w:right w:val="nil"/>
            </w:tcBorders>
            <w:vAlign w:val="center"/>
          </w:tcPr>
          <w:p w14:paraId="1C5DAE9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简单分析</w:t>
            </w:r>
            <w:r>
              <w:rPr>
                <w:rFonts w:hint="default" w:ascii="Times New Roman" w:hAnsi="Times New Roman" w:eastAsia="宋体" w:cs="Times New Roman"/>
                <w:color w:val="auto"/>
                <w:highlight w:val="none"/>
                <w:vertAlign w:val="superscript"/>
              </w:rPr>
              <w:t>a</w:t>
            </w:r>
          </w:p>
        </w:tc>
      </w:tr>
      <w:tr w14:paraId="779C8687">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5000" w:type="pct"/>
            <w:gridSpan w:val="5"/>
            <w:tcBorders>
              <w:top w:val="single" w:color="000000" w:sz="4" w:space="0"/>
              <w:left w:val="nil"/>
              <w:bottom w:val="single" w:color="auto" w:sz="12" w:space="0"/>
              <w:right w:val="nil"/>
            </w:tcBorders>
            <w:vAlign w:val="center"/>
          </w:tcPr>
          <w:p w14:paraId="7727488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a是相对于详细评价工作内容而言，在描述危险物质、环境影响途径、环境危害后果、风险防范措施等方面给出定性的说明。</w:t>
            </w:r>
          </w:p>
        </w:tc>
      </w:tr>
    </w:tbl>
    <w:p w14:paraId="6D4E1E20">
      <w:pPr>
        <w:spacing w:line="360" w:lineRule="auto"/>
        <w:ind w:firstLine="42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本项目环境风险潜势为Ⅰ，评价工作等级为简单分析，在描述危险物质、环境影响途径、环境危害后果、风险防范措施等方面给出定性的说明。</w:t>
      </w:r>
    </w:p>
    <w:p w14:paraId="027729D7">
      <w:pPr>
        <w:pStyle w:val="5"/>
        <w:bidi w:val="0"/>
        <w:rPr>
          <w:rFonts w:hint="default"/>
          <w:highlight w:val="none"/>
        </w:rPr>
      </w:pPr>
      <w:bookmarkStart w:id="288" w:name="_Toc1665"/>
      <w:bookmarkStart w:id="289" w:name="_Toc21089"/>
      <w:bookmarkStart w:id="290" w:name="_Toc19380"/>
      <w:bookmarkStart w:id="291" w:name="_Toc19203"/>
      <w:bookmarkStart w:id="292" w:name="_Toc32262"/>
      <w:bookmarkStart w:id="293" w:name="_Toc3780"/>
      <w:r>
        <w:rPr>
          <w:rFonts w:hint="default"/>
          <w:highlight w:val="none"/>
        </w:rPr>
        <w:t>2.5评价范围及评价时段</w:t>
      </w:r>
      <w:bookmarkEnd w:id="288"/>
      <w:bookmarkEnd w:id="289"/>
      <w:bookmarkEnd w:id="290"/>
      <w:bookmarkEnd w:id="291"/>
      <w:bookmarkEnd w:id="292"/>
      <w:bookmarkEnd w:id="293"/>
    </w:p>
    <w:p w14:paraId="68BC9B32">
      <w:pPr>
        <w:pStyle w:val="7"/>
        <w:bidi w:val="0"/>
        <w:rPr>
          <w:rFonts w:hint="default"/>
          <w:highlight w:val="none"/>
        </w:rPr>
      </w:pPr>
      <w:bookmarkStart w:id="294" w:name="_Toc5893"/>
      <w:bookmarkStart w:id="295" w:name="_Toc11758479"/>
      <w:bookmarkStart w:id="296" w:name="_Toc2374"/>
      <w:bookmarkStart w:id="297" w:name="_Toc5543"/>
      <w:bookmarkStart w:id="298" w:name="_Toc11797"/>
      <w:r>
        <w:rPr>
          <w:rFonts w:hint="default"/>
          <w:highlight w:val="none"/>
        </w:rPr>
        <w:t>2.5.1评价范围</w:t>
      </w:r>
      <w:bookmarkEnd w:id="294"/>
      <w:bookmarkEnd w:id="295"/>
      <w:bookmarkEnd w:id="296"/>
      <w:bookmarkEnd w:id="297"/>
      <w:bookmarkEnd w:id="298"/>
    </w:p>
    <w:p w14:paraId="6C5813B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（1）环境空气</w:t>
      </w:r>
    </w:p>
    <w:p w14:paraId="03F9B41D">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根据评价工作等级要求，考虑本项目所在区域的地形、地理特征，评价范围为以项目</w:t>
      </w:r>
      <w:r>
        <w:rPr>
          <w:rFonts w:hint="default" w:ascii="Times New Roman" w:hAnsi="Times New Roman" w:eastAsia="宋体" w:cs="Times New Roman"/>
          <w:color w:val="auto"/>
          <w:highlight w:val="none"/>
        </w:rPr>
        <w:t>场</w:t>
      </w:r>
      <w:r>
        <w:rPr>
          <w:rFonts w:hint="default" w:ascii="Times New Roman" w:hAnsi="Times New Roman" w:eastAsia="宋体" w:cs="Times New Roman"/>
          <w:snapToGrid w:val="0"/>
          <w:color w:val="auto"/>
          <w:highlight w:val="none"/>
        </w:rPr>
        <w:t>址为中心，边长为5km的矩形区域。</w:t>
      </w:r>
    </w:p>
    <w:p w14:paraId="39A120D4">
      <w:pPr>
        <w:spacing w:line="360" w:lineRule="auto"/>
        <w:ind w:firstLine="420"/>
        <w:jc w:val="both"/>
        <w:rPr>
          <w:rFonts w:hint="default" w:ascii="Times New Roman" w:hAnsi="Times New Roman" w:eastAsia="宋体" w:cs="Times New Roman"/>
          <w:color w:val="auto"/>
          <w:highlight w:val="none"/>
          <w:vertAlign w:val="superscript"/>
        </w:rPr>
      </w:pPr>
      <w:r>
        <w:rPr>
          <w:rFonts w:hint="default" w:ascii="Times New Roman" w:hAnsi="Times New Roman" w:eastAsia="宋体" w:cs="Times New Roman"/>
          <w:color w:val="auto"/>
          <w:highlight w:val="none"/>
        </w:rPr>
        <w:t>（2）地下水</w:t>
      </w:r>
    </w:p>
    <w:p w14:paraId="01CF2F5A">
      <w:pPr>
        <w:pStyle w:val="94"/>
        <w:spacing w:line="360" w:lineRule="auto"/>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地下水评价范围参照《环境影响评价技术导则-地下水环境》（HJ610-2016）中公式计算法：</w:t>
      </w:r>
    </w:p>
    <w:p w14:paraId="61C8E605">
      <w:pPr>
        <w:keepNext w:val="0"/>
        <w:keepLines w:val="0"/>
        <w:pageBreakBefore w:val="0"/>
        <w:widowControl/>
        <w:kinsoku/>
        <w:wordWrap/>
        <w:overflowPunct/>
        <w:topLinePunct w:val="0"/>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2"/>
          <w:sz w:val="24"/>
          <w:highlight w:val="none"/>
        </w:rPr>
        <w:t>L＝α×K×I×T/n</w:t>
      </w:r>
      <w:r>
        <w:rPr>
          <w:rFonts w:hint="default" w:ascii="Times New Roman" w:hAnsi="Times New Roman" w:eastAsia="宋体" w:cs="Times New Roman"/>
          <w:color w:val="auto"/>
          <w:position w:val="2"/>
          <w:sz w:val="24"/>
          <w:highlight w:val="none"/>
          <w:vertAlign w:val="subscript"/>
        </w:rPr>
        <w:t>e</w:t>
      </w:r>
    </w:p>
    <w:p w14:paraId="367F088C">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式中：L—下游迁移距离，m；</w:t>
      </w:r>
    </w:p>
    <w:p w14:paraId="69B2544D">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α—变化系数，α≥1，一般取2；</w:t>
      </w:r>
    </w:p>
    <w:p w14:paraId="16E342B0">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K—渗透系数，m/d，（参照《环境影响评价技术导则 地下水环境》（HJ 610-2016）附录B，水源地的目标含水层</w:t>
      </w:r>
      <w:r>
        <w:rPr>
          <w:rFonts w:hint="default" w:ascii="Times New Roman" w:hAnsi="Times New Roman" w:eastAsia="宋体" w:cs="Times New Roman"/>
          <w:color w:val="auto"/>
          <w:sz w:val="24"/>
          <w:highlight w:val="none"/>
          <w:lang w:eastAsia="zh-CN"/>
        </w:rPr>
        <w:t>为</w:t>
      </w:r>
      <w:r>
        <w:rPr>
          <w:rFonts w:hint="default" w:ascii="Times New Roman" w:hAnsi="Times New Roman" w:eastAsia="宋体" w:cs="Times New Roman"/>
          <w:color w:val="auto"/>
          <w:sz w:val="24"/>
          <w:highlight w:val="none"/>
        </w:rPr>
        <w:t>亚粘土，渗透系数取值为</w:t>
      </w:r>
      <w:r>
        <w:rPr>
          <w:rFonts w:hint="default" w:ascii="Times New Roman" w:hAnsi="Times New Roman" w:eastAsia="宋体" w:cs="Times New Roman"/>
          <w:color w:val="auto"/>
          <w:sz w:val="24"/>
          <w:highlight w:val="none"/>
          <w:lang w:val="en-US" w:eastAsia="zh-CN"/>
        </w:rPr>
        <w:t>0.1-0.25</w:t>
      </w:r>
      <w:r>
        <w:rPr>
          <w:rFonts w:hint="default" w:ascii="Times New Roman" w:hAnsi="Times New Roman" w:eastAsia="宋体" w:cs="Times New Roman"/>
          <w:color w:val="auto"/>
          <w:sz w:val="24"/>
          <w:highlight w:val="none"/>
        </w:rPr>
        <w:t>m/d</w:t>
      </w:r>
      <w:r>
        <w:rPr>
          <w:rFonts w:hint="default" w:ascii="Times New Roman" w:hAnsi="Times New Roman" w:eastAsia="宋体" w:cs="Times New Roman"/>
          <w:color w:val="auto"/>
          <w:sz w:val="24"/>
          <w:highlight w:val="none"/>
          <w:lang w:eastAsia="zh-CN"/>
        </w:rPr>
        <w:t>，本项目取</w:t>
      </w:r>
      <w:r>
        <w:rPr>
          <w:rFonts w:hint="eastAsia" w:ascii="Times New Roman" w:hAnsi="Times New Roman" w:cs="Times New Roman"/>
          <w:color w:val="auto"/>
          <w:sz w:val="24"/>
          <w:highlight w:val="none"/>
          <w:lang w:val="en-US" w:eastAsia="zh-CN"/>
        </w:rPr>
        <w:t>0.225</w:t>
      </w:r>
      <w:r>
        <w:rPr>
          <w:rFonts w:hint="default" w:ascii="Times New Roman" w:hAnsi="Times New Roman" w:eastAsia="宋体" w:cs="Times New Roman"/>
          <w:color w:val="auto"/>
          <w:sz w:val="24"/>
          <w:highlight w:val="none"/>
        </w:rPr>
        <w:t>m/d）；</w:t>
      </w:r>
    </w:p>
    <w:p w14:paraId="319CE98F">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I—水力坡度，无量纲，取</w:t>
      </w:r>
      <w:r>
        <w:rPr>
          <w:rFonts w:hint="eastAsia" w:ascii="Times New Roman" w:hAnsi="Times New Roman" w:cs="Times New Roman"/>
          <w:color w:val="auto"/>
          <w:sz w:val="24"/>
          <w:highlight w:val="none"/>
          <w:lang w:val="en-US" w:eastAsia="zh-CN"/>
        </w:rPr>
        <w:t>0.034</w:t>
      </w:r>
      <w:r>
        <w:rPr>
          <w:rFonts w:hint="default" w:ascii="Times New Roman" w:hAnsi="Times New Roman" w:eastAsia="宋体" w:cs="Times New Roman"/>
          <w:color w:val="auto"/>
          <w:sz w:val="24"/>
          <w:highlight w:val="none"/>
        </w:rPr>
        <w:t>；</w:t>
      </w:r>
    </w:p>
    <w:p w14:paraId="4D055A54">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T—质点迁移天数，本项目取</w:t>
      </w:r>
      <w:r>
        <w:rPr>
          <w:rFonts w:hint="eastAsia"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rPr>
        <w:t>000d范围作为较敏感区；</w:t>
      </w:r>
    </w:p>
    <w:p w14:paraId="0D4CEE9C">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ne—有效孔隙度，无量纲，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有效孔隙度取值为</w:t>
      </w:r>
      <w:r>
        <w:rPr>
          <w:rFonts w:hint="eastAsia" w:ascii="Times New Roman" w:hAnsi="Times New Roman" w:cs="Times New Roman"/>
          <w:color w:val="auto"/>
          <w:sz w:val="24"/>
          <w:highlight w:val="none"/>
          <w:lang w:val="en-US" w:eastAsia="zh-CN"/>
        </w:rPr>
        <w:t>0.28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14:paraId="43199AB6">
      <w:pPr>
        <w:spacing w:line="360" w:lineRule="auto"/>
        <w:ind w:firstLine="480"/>
        <w:rPr>
          <w:rFonts w:hint="default" w:ascii="Times New Roman" w:hAnsi="Times New Roman" w:cs="Times New Roman"/>
          <w:color w:val="auto"/>
          <w:highlight w:val="none"/>
          <w:lang w:val="en-US" w:eastAsia="zh-CN"/>
        </w:rPr>
      </w:pPr>
      <w:r>
        <w:rPr>
          <w:rFonts w:hint="default" w:ascii="Times New Roman" w:hAnsi="Times New Roman" w:cs="Times New Roman"/>
          <w:snapToGrid w:val="0"/>
          <w:color w:val="auto"/>
          <w:highlight w:val="none"/>
        </w:rPr>
        <w:t>经计算，地下水下游迁移距离L=</w:t>
      </w:r>
      <w:r>
        <w:rPr>
          <w:rFonts w:hint="eastAsia" w:ascii="Times New Roman" w:hAnsi="Times New Roman" w:cs="Times New Roman"/>
          <w:snapToGrid w:val="0"/>
          <w:color w:val="auto"/>
          <w:highlight w:val="none"/>
          <w:lang w:val="en-US" w:eastAsia="zh-CN"/>
        </w:rPr>
        <w:t>273.2</w:t>
      </w:r>
      <w:r>
        <w:rPr>
          <w:rFonts w:hint="default" w:ascii="Times New Roman" w:hAnsi="Times New Roman" w:cs="Times New Roman"/>
          <w:snapToGrid w:val="0"/>
          <w:color w:val="auto"/>
          <w:highlight w:val="none"/>
        </w:rPr>
        <w:t>m，场地两侧距离均为L/2。</w:t>
      </w:r>
      <w:r>
        <w:rPr>
          <w:rFonts w:hint="default" w:ascii="Times New Roman" w:hAnsi="Times New Roman" w:cs="Times New Roman"/>
          <w:snapToGrid w:val="0"/>
          <w:color w:val="auto"/>
          <w:kern w:val="0"/>
          <w:sz w:val="24"/>
          <w:szCs w:val="24"/>
          <w:highlight w:val="none"/>
          <w:lang w:val="en-US" w:eastAsia="zh-CN" w:bidi="ar-SA"/>
        </w:rPr>
        <w:t>项目</w:t>
      </w:r>
      <w:r>
        <w:rPr>
          <w:rFonts w:hint="default" w:ascii="Times New Roman" w:hAnsi="Times New Roman" w:eastAsia="宋体" w:cs="Times New Roman"/>
          <w:snapToGrid w:val="0"/>
          <w:color w:val="auto"/>
          <w:highlight w:val="none"/>
        </w:rPr>
        <w:t>地下水评价</w:t>
      </w:r>
      <w:r>
        <w:rPr>
          <w:rFonts w:hint="default" w:ascii="Times New Roman" w:hAnsi="Times New Roman" w:cs="Times New Roman"/>
          <w:snapToGrid w:val="0"/>
          <w:color w:val="auto"/>
          <w:highlight w:val="none"/>
          <w:lang w:val="en-US" w:eastAsia="zh-CN"/>
        </w:rPr>
        <w:t>等级为三级，根据查表法，确定本项目评价范围不小于6km</w:t>
      </w:r>
      <w:r>
        <w:rPr>
          <w:rFonts w:hint="default" w:ascii="Times New Roman" w:hAnsi="Times New Roman"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kern w:val="0"/>
          <w:sz w:val="24"/>
          <w:szCs w:val="24"/>
          <w:highlight w:val="none"/>
          <w:lang w:val="en-US" w:eastAsia="zh-CN" w:bidi="ar-SA"/>
        </w:rPr>
        <w:t>。</w:t>
      </w:r>
    </w:p>
    <w:p w14:paraId="50D7658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（3）声环境</w:t>
      </w:r>
    </w:p>
    <w:p w14:paraId="37E3849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根据评价工作等级要求，该项目噪声评价范围为场区场界外200m范围。</w:t>
      </w:r>
    </w:p>
    <w:p w14:paraId="06B00C4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（4）生态环境</w:t>
      </w:r>
    </w:p>
    <w:p w14:paraId="72D4CFF3">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根据评价工作等级要求，考虑本项目所在区域的地形、地理特征，评价范围为</w:t>
      </w:r>
      <w:r>
        <w:rPr>
          <w:rFonts w:hint="eastAsia" w:ascii="Times New Roman" w:hAnsi="Times New Roman" w:cs="Times New Roman"/>
          <w:snapToGrid w:val="0"/>
          <w:color w:val="auto"/>
          <w:highlight w:val="none"/>
          <w:lang w:eastAsia="zh-CN"/>
        </w:rPr>
        <w:t>以养殖场边界外扩200m范围内</w:t>
      </w:r>
      <w:r>
        <w:rPr>
          <w:rFonts w:hint="default" w:ascii="Times New Roman" w:hAnsi="Times New Roman" w:eastAsia="宋体" w:cs="Times New Roman"/>
          <w:snapToGrid w:val="0"/>
          <w:color w:val="auto"/>
          <w:highlight w:val="none"/>
        </w:rPr>
        <w:t>。</w:t>
      </w:r>
    </w:p>
    <w:p w14:paraId="6AD6DB5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（5）土壤环境</w:t>
      </w:r>
    </w:p>
    <w:p w14:paraId="5E3BE9F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根据评价工作等级要求，该项目土壤</w:t>
      </w:r>
      <w:r>
        <w:rPr>
          <w:rFonts w:hint="default" w:ascii="Times New Roman" w:hAnsi="Times New Roman" w:eastAsia="宋体" w:cs="Times New Roman"/>
          <w:snapToGrid w:val="0"/>
          <w:color w:val="auto"/>
          <w:highlight w:val="none"/>
          <w:lang w:val="en-US" w:eastAsia="zh-CN"/>
        </w:rPr>
        <w:t>评价范围为</w:t>
      </w:r>
      <w:r>
        <w:rPr>
          <w:rFonts w:hint="default" w:ascii="Times New Roman" w:hAnsi="Times New Roman" w:eastAsia="宋体" w:cs="Times New Roman"/>
          <w:snapToGrid w:val="0"/>
          <w:color w:val="auto"/>
          <w:highlight w:val="none"/>
        </w:rPr>
        <w:t>占地范围外50m范围内。</w:t>
      </w:r>
    </w:p>
    <w:p w14:paraId="752B4714">
      <w:pPr>
        <w:spacing w:line="360" w:lineRule="auto"/>
        <w:ind w:firstLine="42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根据工程特征与环境现状确定本项目环境影响评价范围见表2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5-1</w:t>
      </w:r>
      <w:r>
        <w:rPr>
          <w:rFonts w:hint="default" w:ascii="Times New Roman" w:hAnsi="Times New Roman" w:eastAsia="宋体" w:cs="Times New Roman"/>
          <w:snapToGrid w:val="0"/>
          <w:color w:val="auto"/>
          <w:highlight w:val="none"/>
        </w:rPr>
        <w:t>。</w:t>
      </w:r>
    </w:p>
    <w:p w14:paraId="2A14C59E">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 xml:space="preserve">5-1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本项目环境影响评价范围一览表</w:t>
      </w:r>
    </w:p>
    <w:tbl>
      <w:tblPr>
        <w:tblStyle w:val="48"/>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317"/>
        <w:gridCol w:w="7205"/>
      </w:tblGrid>
      <w:tr w14:paraId="4C328F1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1317" w:type="dxa"/>
            <w:vAlign w:val="center"/>
          </w:tcPr>
          <w:p w14:paraId="0247D5CE">
            <w:pPr>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kern w:val="0"/>
                <w:sz w:val="21"/>
                <w:szCs w:val="18"/>
                <w:highlight w:val="none"/>
              </w:rPr>
              <w:t>评价内容</w:t>
            </w:r>
          </w:p>
        </w:tc>
        <w:tc>
          <w:tcPr>
            <w:tcW w:w="7205" w:type="dxa"/>
            <w:vAlign w:val="center"/>
          </w:tcPr>
          <w:p w14:paraId="64453FC7">
            <w:pPr>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kern w:val="0"/>
                <w:sz w:val="21"/>
                <w:szCs w:val="18"/>
                <w:highlight w:val="none"/>
              </w:rPr>
              <w:t>评价范围</w:t>
            </w:r>
          </w:p>
        </w:tc>
      </w:tr>
      <w:tr w14:paraId="318CF00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317" w:type="dxa"/>
            <w:vAlign w:val="center"/>
          </w:tcPr>
          <w:p w14:paraId="576AE83A">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大气环境</w:t>
            </w:r>
          </w:p>
        </w:tc>
        <w:tc>
          <w:tcPr>
            <w:tcW w:w="7205" w:type="dxa"/>
            <w:vAlign w:val="center"/>
          </w:tcPr>
          <w:p w14:paraId="50F0E4F9">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以项目厂址为中心，边长5km的矩形区域</w:t>
            </w:r>
          </w:p>
        </w:tc>
      </w:tr>
      <w:tr w14:paraId="5A8F07A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317" w:type="dxa"/>
            <w:vAlign w:val="center"/>
          </w:tcPr>
          <w:p w14:paraId="3090CFFE">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地下水环境</w:t>
            </w:r>
          </w:p>
        </w:tc>
        <w:tc>
          <w:tcPr>
            <w:tcW w:w="7205" w:type="dxa"/>
            <w:vAlign w:val="center"/>
          </w:tcPr>
          <w:p w14:paraId="02D01CD6">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1"/>
                <w:szCs w:val="21"/>
                <w:highlight w:val="none"/>
              </w:rPr>
              <w:t>沿地下水流向，项目地下水评价范围</w:t>
            </w:r>
            <w:r>
              <w:rPr>
                <w:rFonts w:hint="default" w:ascii="Times New Roman" w:hAnsi="Times New Roman" w:cs="Times New Roman"/>
                <w:color w:val="auto"/>
                <w:sz w:val="21"/>
                <w:szCs w:val="21"/>
                <w:highlight w:val="none"/>
                <w:lang w:val="en-US" w:eastAsia="zh-CN"/>
              </w:rPr>
              <w:t>不小于6</w:t>
            </w:r>
            <w:r>
              <w:rPr>
                <w:rFonts w:hint="default" w:ascii="Times New Roman" w:hAnsi="Times New Roman" w:cs="Times New Roman"/>
                <w:color w:val="auto"/>
                <w:sz w:val="21"/>
                <w:szCs w:val="21"/>
                <w:highlight w:val="none"/>
              </w:rPr>
              <w:t>km</w:t>
            </w:r>
            <w:r>
              <w:rPr>
                <w:rFonts w:hint="default" w:ascii="Times New Roman" w:hAnsi="Times New Roman" w:cs="Times New Roman"/>
                <w:color w:val="auto"/>
                <w:sz w:val="21"/>
                <w:szCs w:val="21"/>
                <w:highlight w:val="none"/>
                <w:vertAlign w:val="superscript"/>
              </w:rPr>
              <w:t>2</w:t>
            </w:r>
          </w:p>
        </w:tc>
      </w:tr>
      <w:tr w14:paraId="139E98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317" w:type="dxa"/>
            <w:vAlign w:val="center"/>
          </w:tcPr>
          <w:p w14:paraId="1E69DC2E">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声环境</w:t>
            </w:r>
          </w:p>
        </w:tc>
        <w:tc>
          <w:tcPr>
            <w:tcW w:w="7205" w:type="dxa"/>
            <w:vAlign w:val="center"/>
          </w:tcPr>
          <w:p w14:paraId="345871A2">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厂界外200m范围</w:t>
            </w:r>
          </w:p>
        </w:tc>
      </w:tr>
      <w:tr w14:paraId="79CD54A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317" w:type="dxa"/>
            <w:vAlign w:val="center"/>
          </w:tcPr>
          <w:p w14:paraId="33BD99C9">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土壤环境</w:t>
            </w:r>
          </w:p>
        </w:tc>
        <w:tc>
          <w:tcPr>
            <w:tcW w:w="7205" w:type="dxa"/>
            <w:vAlign w:val="center"/>
          </w:tcPr>
          <w:p w14:paraId="385AA5D7">
            <w:pPr>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1"/>
                <w:szCs w:val="21"/>
                <w:highlight w:val="none"/>
              </w:rPr>
              <w:t>项目占地范围内全部及占地范围外50m范围内</w:t>
            </w:r>
            <w:r>
              <w:rPr>
                <w:rStyle w:val="60"/>
                <w:rFonts w:hint="default" w:ascii="Times New Roman" w:hAnsi="Times New Roman" w:cs="Times New Roman"/>
                <w:color w:val="auto"/>
                <w:highlight w:val="none"/>
                <w:lang w:val="en-US" w:eastAsia="zh-CN"/>
              </w:rPr>
              <w:t>的耕地等</w:t>
            </w:r>
          </w:p>
        </w:tc>
      </w:tr>
      <w:tr w14:paraId="3EFA4FA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317" w:type="dxa"/>
            <w:vAlign w:val="center"/>
          </w:tcPr>
          <w:p w14:paraId="0A9ECEBF">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生态环境</w:t>
            </w:r>
          </w:p>
        </w:tc>
        <w:tc>
          <w:tcPr>
            <w:tcW w:w="7205" w:type="dxa"/>
            <w:vAlign w:val="center"/>
          </w:tcPr>
          <w:p w14:paraId="5252754B">
            <w:pPr>
              <w:tabs>
                <w:tab w:val="left" w:leader="middleDot" w:pos="0"/>
              </w:tabs>
              <w:adjustRightInd w:val="0"/>
              <w:snapToGrid w:val="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cs="Times New Roman"/>
                <w:snapToGrid w:val="0"/>
                <w:color w:val="auto"/>
                <w:sz w:val="21"/>
                <w:szCs w:val="21"/>
                <w:highlight w:val="none"/>
                <w:lang w:eastAsia="zh-CN"/>
              </w:rPr>
              <w:t>以养殖场边界外扩200m范围内</w:t>
            </w:r>
          </w:p>
        </w:tc>
      </w:tr>
    </w:tbl>
    <w:p w14:paraId="55A6C5A7">
      <w:pPr>
        <w:pStyle w:val="7"/>
        <w:bidi w:val="0"/>
        <w:rPr>
          <w:rFonts w:hint="default"/>
          <w:highlight w:val="none"/>
        </w:rPr>
      </w:pPr>
      <w:bookmarkStart w:id="299" w:name="_Toc524431294"/>
      <w:bookmarkStart w:id="300" w:name="_Toc6039"/>
      <w:bookmarkStart w:id="301" w:name="_Toc12608"/>
      <w:bookmarkStart w:id="302" w:name="_Toc15991636"/>
      <w:bookmarkStart w:id="303" w:name="_Toc28998"/>
      <w:bookmarkStart w:id="304" w:name="_Toc19797"/>
      <w:r>
        <w:rPr>
          <w:rFonts w:hint="default"/>
          <w:highlight w:val="none"/>
        </w:rPr>
        <w:t>2.5.2评价时段</w:t>
      </w:r>
      <w:bookmarkEnd w:id="299"/>
      <w:bookmarkEnd w:id="300"/>
      <w:bookmarkEnd w:id="301"/>
      <w:bookmarkEnd w:id="302"/>
      <w:bookmarkEnd w:id="303"/>
      <w:bookmarkEnd w:id="304"/>
    </w:p>
    <w:p w14:paraId="55EC09AE">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评价时段为施工期、运营期。由于施工期对周围环境影响较小，并且为短期影响，因此施工期只作影响分析；运营期对周围环境影响程度因工序污染物排放不同而不同，而且为长期影响，因此本评价以运营期为重点评价时段。</w:t>
      </w:r>
    </w:p>
    <w:p w14:paraId="3F22D211">
      <w:pPr>
        <w:pStyle w:val="5"/>
        <w:bidi w:val="0"/>
        <w:rPr>
          <w:rFonts w:hint="default"/>
          <w:highlight w:val="none"/>
        </w:rPr>
      </w:pPr>
      <w:bookmarkStart w:id="305" w:name="_Toc133"/>
      <w:bookmarkStart w:id="306" w:name="_Toc22046"/>
      <w:bookmarkStart w:id="307" w:name="_Toc74066087"/>
      <w:bookmarkStart w:id="308" w:name="_Toc23017"/>
      <w:bookmarkStart w:id="309" w:name="_Toc8225"/>
      <w:bookmarkStart w:id="310" w:name="_Toc29365"/>
      <w:bookmarkStart w:id="311" w:name="_Toc31329"/>
      <w:r>
        <w:rPr>
          <w:rFonts w:hint="default"/>
          <w:highlight w:val="none"/>
        </w:rPr>
        <w:t>2.6相关规划及环境功能区划</w:t>
      </w:r>
      <w:bookmarkEnd w:id="305"/>
      <w:bookmarkEnd w:id="306"/>
      <w:bookmarkEnd w:id="307"/>
      <w:bookmarkEnd w:id="308"/>
      <w:bookmarkEnd w:id="309"/>
      <w:bookmarkEnd w:id="310"/>
      <w:bookmarkEnd w:id="311"/>
    </w:p>
    <w:p w14:paraId="040D8293">
      <w:pPr>
        <w:pStyle w:val="7"/>
        <w:bidi w:val="0"/>
        <w:rPr>
          <w:rFonts w:hint="default"/>
          <w:highlight w:val="none"/>
        </w:rPr>
      </w:pPr>
      <w:bookmarkStart w:id="312" w:name="_Toc30092"/>
      <w:bookmarkStart w:id="313" w:name="_Toc6939"/>
      <w:bookmarkStart w:id="314" w:name="_Toc32256"/>
      <w:bookmarkStart w:id="315" w:name="_Toc32673"/>
      <w:r>
        <w:rPr>
          <w:rFonts w:hint="default"/>
          <w:highlight w:val="none"/>
        </w:rPr>
        <w:t>2.6.1环境功能区划</w:t>
      </w:r>
      <w:bookmarkEnd w:id="312"/>
      <w:bookmarkEnd w:id="313"/>
      <w:bookmarkEnd w:id="314"/>
      <w:bookmarkEnd w:id="315"/>
    </w:p>
    <w:p w14:paraId="5AC6018A">
      <w:pPr>
        <w:pStyle w:val="8"/>
        <w:bidi w:val="0"/>
        <w:rPr>
          <w:rFonts w:hint="default"/>
          <w:highlight w:val="none"/>
        </w:rPr>
      </w:pPr>
      <w:r>
        <w:rPr>
          <w:rFonts w:hint="default"/>
          <w:highlight w:val="none"/>
        </w:rPr>
        <w:t>2.6.1.1大气环境功能区划</w:t>
      </w:r>
    </w:p>
    <w:p w14:paraId="3A4DA140">
      <w:pPr>
        <w:pStyle w:val="30"/>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根据环境空气质量功能区划，本评价范围内环境空气质量功能为《环境空气质量标准》（</w:t>
      </w:r>
      <w:r>
        <w:rPr>
          <w:rFonts w:hint="default" w:ascii="Times New Roman" w:hAnsi="Times New Roman" w:eastAsia="宋体" w:cs="Times New Roman"/>
          <w:color w:val="auto"/>
          <w:kern w:val="1"/>
          <w:sz w:val="24"/>
          <w:szCs w:val="24"/>
          <w:highlight w:val="none"/>
        </w:rPr>
        <w:t>GB3095-2012及修改单</w:t>
      </w:r>
      <w:r>
        <w:rPr>
          <w:rFonts w:hint="default" w:ascii="Times New Roman" w:hAnsi="Times New Roman" w:eastAsia="宋体" w:cs="Times New Roman"/>
          <w:color w:val="auto"/>
          <w:sz w:val="24"/>
          <w:szCs w:val="24"/>
          <w:highlight w:val="none"/>
        </w:rPr>
        <w:t>）二类区。</w:t>
      </w:r>
    </w:p>
    <w:p w14:paraId="6AB5C7E1">
      <w:pPr>
        <w:pStyle w:val="8"/>
        <w:bidi w:val="0"/>
        <w:rPr>
          <w:rFonts w:hint="default"/>
          <w:highlight w:val="none"/>
        </w:rPr>
      </w:pPr>
      <w:r>
        <w:rPr>
          <w:rFonts w:hint="default"/>
          <w:highlight w:val="none"/>
        </w:rPr>
        <w:t>2.6.1.2地表水环境功能区划</w:t>
      </w:r>
    </w:p>
    <w:p w14:paraId="41665A2F">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项目区域</w:t>
      </w:r>
      <w:r>
        <w:rPr>
          <w:rFonts w:hint="default" w:ascii="Times New Roman" w:hAnsi="Times New Roman" w:cs="Times New Roman"/>
          <w:color w:val="auto"/>
          <w:sz w:val="24"/>
          <w:szCs w:val="24"/>
          <w:highlight w:val="none"/>
          <w:lang w:val="en-US" w:eastAsia="zh-CN"/>
        </w:rPr>
        <w:t>本项目附近地表水体为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为穆棱河一级支流，</w:t>
      </w:r>
      <w:r>
        <w:rPr>
          <w:rFonts w:hint="default" w:ascii="Times New Roman" w:hAnsi="Times New Roman" w:cs="Times New Roman"/>
          <w:color w:val="auto"/>
          <w:sz w:val="24"/>
          <w:szCs w:val="24"/>
          <w:highlight w:val="none"/>
          <w:lang w:eastAsia="zh-CN"/>
        </w:rPr>
        <w:t>根据《水利部 国家发展和改革委员会环境保护部关于印发全国重要江河湖泊水功能区划（2011-2030年）的通知》，</w:t>
      </w:r>
      <w:r>
        <w:rPr>
          <w:rFonts w:hint="default" w:ascii="Times New Roman" w:hAnsi="Times New Roman" w:cs="Times New Roman"/>
          <w:color w:val="auto"/>
          <w:sz w:val="24"/>
          <w:szCs w:val="24"/>
          <w:highlight w:val="none"/>
          <w:lang w:val="en-US" w:eastAsia="zh-CN"/>
        </w:rPr>
        <w:t>评价区穆棱河</w:t>
      </w:r>
      <w:r>
        <w:rPr>
          <w:rFonts w:hint="default" w:ascii="Times New Roman" w:hAnsi="Times New Roman" w:cs="Times New Roman"/>
          <w:color w:val="auto"/>
          <w:sz w:val="24"/>
          <w:szCs w:val="24"/>
          <w:highlight w:val="none"/>
          <w:lang w:eastAsia="zh-CN"/>
        </w:rPr>
        <w:t>水体执行《地表水环境质量标准》（GB3838-2002）</w:t>
      </w:r>
      <w:r>
        <w:rPr>
          <w:rFonts w:hint="default" w:ascii="Times New Roman" w:hAnsi="Times New Roman" w:cs="Times New Roman"/>
          <w:color w:val="auto"/>
          <w:sz w:val="24"/>
          <w:szCs w:val="24"/>
          <w:highlight w:val="none"/>
          <w:lang w:val="en-US" w:eastAsia="zh-CN"/>
        </w:rPr>
        <w:t>Ⅲ</w:t>
      </w:r>
      <w:r>
        <w:rPr>
          <w:rFonts w:hint="default" w:ascii="Times New Roman" w:hAnsi="Times New Roman" w:cs="Times New Roman"/>
          <w:color w:val="auto"/>
          <w:sz w:val="24"/>
          <w:szCs w:val="24"/>
          <w:highlight w:val="none"/>
          <w:lang w:eastAsia="zh-CN"/>
        </w:rPr>
        <w:t>类水体标准限值，</w:t>
      </w:r>
      <w:r>
        <w:rPr>
          <w:rFonts w:hint="default" w:ascii="Times New Roman" w:hAnsi="Times New Roman" w:cs="Times New Roman"/>
          <w:color w:val="auto"/>
          <w:sz w:val="24"/>
          <w:szCs w:val="24"/>
          <w:highlight w:val="none"/>
          <w:lang w:val="en-US" w:eastAsia="zh-CN"/>
        </w:rPr>
        <w:t>因此</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水质参照Ⅲ</w:t>
      </w:r>
      <w:r>
        <w:rPr>
          <w:rFonts w:hint="default" w:ascii="Times New Roman" w:hAnsi="Times New Roman" w:cs="Times New Roman"/>
          <w:color w:val="auto"/>
          <w:sz w:val="24"/>
          <w:szCs w:val="24"/>
          <w:highlight w:val="none"/>
          <w:lang w:eastAsia="zh-CN"/>
        </w:rPr>
        <w:t>类水体标准限值。</w:t>
      </w:r>
    </w:p>
    <w:p w14:paraId="3AE29792">
      <w:pPr>
        <w:pStyle w:val="8"/>
        <w:bidi w:val="0"/>
        <w:rPr>
          <w:rFonts w:hint="default"/>
          <w:highlight w:val="none"/>
        </w:rPr>
      </w:pPr>
      <w:r>
        <w:rPr>
          <w:rFonts w:hint="default"/>
          <w:highlight w:val="none"/>
        </w:rPr>
        <w:t>2.6.1.3地下水环境功能区划</w:t>
      </w:r>
    </w:p>
    <w:p w14:paraId="32C1622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本项目所在区域地下水为《地下水质量标准》（GB/T14848-2017）中Ⅲ类区域。</w:t>
      </w:r>
    </w:p>
    <w:p w14:paraId="08D7E065">
      <w:pPr>
        <w:pStyle w:val="8"/>
        <w:bidi w:val="0"/>
        <w:rPr>
          <w:rFonts w:hint="default"/>
          <w:highlight w:val="none"/>
        </w:rPr>
      </w:pPr>
      <w:r>
        <w:rPr>
          <w:rFonts w:hint="default"/>
          <w:highlight w:val="none"/>
        </w:rPr>
        <w:t>2.6.1.4声环境功能区划</w:t>
      </w:r>
    </w:p>
    <w:p w14:paraId="531880D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本项目所在地声环境质量执行</w:t>
      </w:r>
      <w:r>
        <w:rPr>
          <w:rFonts w:hint="default" w:ascii="Times New Roman" w:hAnsi="Times New Roman" w:cs="Times New Roman"/>
          <w:color w:val="auto"/>
          <w:sz w:val="24"/>
          <w:highlight w:val="none"/>
          <w:lang w:eastAsia="zh-CN"/>
        </w:rPr>
        <w:t>《声环境质量标准》（GB3096-2008）</w:t>
      </w:r>
      <w:r>
        <w:rPr>
          <w:rFonts w:hint="eastAsia" w:ascii="Times New Roman" w:hAnsi="Times New Roman" w:cs="Times New Roman"/>
          <w:color w:val="auto"/>
          <w:sz w:val="24"/>
          <w:highlight w:val="none"/>
          <w:lang w:val="en-US" w:eastAsia="zh-CN"/>
        </w:rPr>
        <w:t>1类</w:t>
      </w:r>
      <w:r>
        <w:rPr>
          <w:rFonts w:hint="default" w:ascii="Times New Roman" w:hAnsi="Times New Roman" w:eastAsia="宋体" w:cs="Times New Roman"/>
          <w:color w:val="auto"/>
          <w:sz w:val="24"/>
          <w:highlight w:val="none"/>
        </w:rPr>
        <w:t>声环境功能区。</w:t>
      </w:r>
    </w:p>
    <w:p w14:paraId="39E2FB69">
      <w:pPr>
        <w:pStyle w:val="5"/>
        <w:bidi w:val="0"/>
        <w:rPr>
          <w:rFonts w:hint="default"/>
          <w:highlight w:val="none"/>
        </w:rPr>
      </w:pPr>
      <w:bookmarkStart w:id="316" w:name="_Toc28729"/>
      <w:bookmarkStart w:id="317" w:name="_Toc8809"/>
      <w:bookmarkStart w:id="318" w:name="_Toc1189"/>
      <w:bookmarkStart w:id="319" w:name="_Toc13643"/>
      <w:bookmarkStart w:id="320" w:name="_Toc18743"/>
      <w:bookmarkStart w:id="321" w:name="_Toc9500"/>
      <w:r>
        <w:rPr>
          <w:rFonts w:hint="default"/>
          <w:highlight w:val="none"/>
        </w:rPr>
        <w:t>2.7主要环境保护目标</w:t>
      </w:r>
      <w:bookmarkEnd w:id="316"/>
      <w:bookmarkEnd w:id="317"/>
      <w:bookmarkEnd w:id="318"/>
      <w:bookmarkEnd w:id="319"/>
      <w:bookmarkEnd w:id="320"/>
      <w:bookmarkEnd w:id="321"/>
    </w:p>
    <w:p w14:paraId="0E5A86CA">
      <w:pPr>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4"/>
          <w:highlight w:val="none"/>
        </w:rPr>
        <w:t>本项目位于</w:t>
      </w:r>
      <w:r>
        <w:rPr>
          <w:rFonts w:hint="eastAsia" w:ascii="Times New Roman" w:hAnsi="Times New Roman" w:cs="Times New Roman"/>
          <w:color w:val="auto"/>
          <w:sz w:val="24"/>
          <w:highlight w:val="none"/>
          <w:lang w:eastAsia="zh-CN"/>
        </w:rPr>
        <w:t>黑龙江省鸡西市密山市柳毛乡团结村4组</w:t>
      </w:r>
      <w:r>
        <w:rPr>
          <w:rFonts w:hint="default" w:ascii="Times New Roman" w:hAnsi="Times New Roman" w:eastAsia="宋体" w:cs="Times New Roman"/>
          <w:color w:val="auto"/>
          <w:sz w:val="24"/>
          <w:highlight w:val="none"/>
        </w:rPr>
        <w:t>，中心地理坐标：</w:t>
      </w:r>
      <w:r>
        <w:rPr>
          <w:rFonts w:hint="default" w:ascii="Times New Roman" w:hAnsi="Times New Roman" w:eastAsia="宋体" w:cs="Times New Roman"/>
          <w:color w:val="auto"/>
          <w:sz w:val="24"/>
          <w:highlight w:val="none"/>
          <w:lang w:val="zh-CN"/>
        </w:rPr>
        <w:t>东经132°10′34.521″，北纬45°34′7.14</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rPr>
        <w:t>，项目四周均为</w:t>
      </w:r>
      <w:r>
        <w:rPr>
          <w:rFonts w:hint="eastAsia" w:ascii="Times New Roman" w:hAnsi="Times New Roman" w:cs="Times New Roman"/>
          <w:color w:val="auto"/>
          <w:sz w:val="24"/>
          <w:highlight w:val="none"/>
          <w:lang w:val="en-US" w:eastAsia="zh-CN"/>
        </w:rPr>
        <w:t>农田</w:t>
      </w:r>
      <w:r>
        <w:rPr>
          <w:rFonts w:hint="default" w:ascii="Times New Roman" w:hAnsi="Times New Roman" w:eastAsia="宋体" w:cs="Times New Roman"/>
          <w:color w:val="auto"/>
          <w:sz w:val="24"/>
          <w:highlight w:val="none"/>
        </w:rPr>
        <w:t>。项目</w:t>
      </w:r>
      <w:r>
        <w:rPr>
          <w:rFonts w:hint="eastAsia" w:ascii="Times New Roman" w:hAnsi="Times New Roman" w:cs="Times New Roman"/>
          <w:color w:val="auto"/>
          <w:sz w:val="24"/>
          <w:highlight w:val="none"/>
          <w:lang w:val="en-US" w:eastAsia="zh-CN"/>
        </w:rPr>
        <w:t>厂区</w:t>
      </w:r>
      <w:r>
        <w:rPr>
          <w:rFonts w:hint="default" w:ascii="Times New Roman" w:hAnsi="Times New Roman" w:eastAsia="宋体" w:cs="Times New Roman"/>
          <w:color w:val="auto"/>
          <w:sz w:val="24"/>
          <w:highlight w:val="none"/>
        </w:rPr>
        <w:t>外距离最近居民区为</w:t>
      </w:r>
      <w:r>
        <w:rPr>
          <w:rFonts w:hint="default" w:ascii="Times New Roman" w:hAnsi="Times New Roman" w:eastAsia="宋体" w:cs="Times New Roman"/>
          <w:color w:val="auto"/>
          <w:sz w:val="24"/>
          <w:highlight w:val="none"/>
          <w:lang w:val="en-US" w:eastAsia="zh-CN"/>
        </w:rPr>
        <w:t>东南侧578m处的团结村四组。</w:t>
      </w:r>
      <w:r>
        <w:rPr>
          <w:rFonts w:hint="default" w:ascii="Times New Roman" w:hAnsi="Times New Roman" w:eastAsia="宋体" w:cs="Times New Roman"/>
          <w:snapToGrid w:val="0"/>
          <w:color w:val="auto"/>
          <w:sz w:val="24"/>
          <w:szCs w:val="32"/>
          <w:highlight w:val="none"/>
        </w:rPr>
        <w:t>本项目评价范围内无国家、省、市级自然保护区、风景名胜区、世界文化和自然遗产地、饮用水水源保护区等环境敏感区。本项目环境保护目标见表</w:t>
      </w:r>
      <w:r>
        <w:rPr>
          <w:rFonts w:hint="default" w:ascii="Times New Roman" w:hAnsi="Times New Roman" w:eastAsia="宋体" w:cs="Times New Roman"/>
          <w:color w:val="auto"/>
          <w:sz w:val="24"/>
          <w:highlight w:val="none"/>
        </w:rPr>
        <w:t>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7-1、</w:t>
      </w:r>
      <w:r>
        <w:rPr>
          <w:rFonts w:hint="default" w:ascii="Times New Roman" w:hAnsi="Times New Roman" w:eastAsia="宋体" w:cs="Times New Roman"/>
          <w:snapToGrid w:val="0"/>
          <w:color w:val="auto"/>
          <w:sz w:val="24"/>
          <w:szCs w:val="32"/>
          <w:highlight w:val="none"/>
        </w:rPr>
        <w:t>表</w:t>
      </w:r>
      <w:r>
        <w:rPr>
          <w:rFonts w:hint="default" w:ascii="Times New Roman" w:hAnsi="Times New Roman" w:eastAsia="宋体" w:cs="Times New Roman"/>
          <w:color w:val="auto"/>
          <w:sz w:val="24"/>
          <w:highlight w:val="none"/>
        </w:rPr>
        <w:t>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7-2</w:t>
      </w:r>
      <w:r>
        <w:rPr>
          <w:rFonts w:hint="default" w:ascii="Times New Roman" w:hAnsi="Times New Roman" w:eastAsia="宋体" w:cs="Times New Roman"/>
          <w:snapToGrid w:val="0"/>
          <w:color w:val="auto"/>
          <w:sz w:val="24"/>
          <w:szCs w:val="32"/>
          <w:highlight w:val="none"/>
        </w:rPr>
        <w:t>，环境保护目标分布图见图2</w:t>
      </w:r>
      <w:r>
        <w:rPr>
          <w:rFonts w:hint="eastAsia" w:ascii="Times New Roman" w:hAnsi="Times New Roman" w:cs="Times New Roman"/>
          <w:snapToGrid w:val="0"/>
          <w:color w:val="auto"/>
          <w:sz w:val="24"/>
          <w:szCs w:val="32"/>
          <w:highlight w:val="none"/>
          <w:lang w:val="en-US" w:eastAsia="zh-CN"/>
        </w:rPr>
        <w:t>.</w:t>
      </w:r>
      <w:r>
        <w:rPr>
          <w:rFonts w:hint="default" w:ascii="Times New Roman" w:hAnsi="Times New Roman" w:eastAsia="宋体" w:cs="Times New Roman"/>
          <w:snapToGrid w:val="0"/>
          <w:color w:val="auto"/>
          <w:sz w:val="24"/>
          <w:szCs w:val="32"/>
          <w:highlight w:val="none"/>
        </w:rPr>
        <w:t>7-1。</w:t>
      </w:r>
    </w:p>
    <w:p w14:paraId="46C4C9ED">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 xml:space="preserve">7-1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大气环境保护目标一览表</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2"/>
        <w:gridCol w:w="1364"/>
        <w:gridCol w:w="1322"/>
        <w:gridCol w:w="1323"/>
        <w:gridCol w:w="723"/>
        <w:gridCol w:w="764"/>
        <w:gridCol w:w="1063"/>
        <w:gridCol w:w="1431"/>
      </w:tblGrid>
      <w:tr w14:paraId="632D0A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4" w:hRule="atLeast"/>
          <w:tblHeader/>
          <w:jc w:val="center"/>
        </w:trPr>
        <w:tc>
          <w:tcPr>
            <w:tcW w:w="532" w:type="dxa"/>
            <w:vMerge w:val="restart"/>
            <w:tcBorders>
              <w:tl2br w:val="nil"/>
              <w:tr2bl w:val="nil"/>
            </w:tcBorders>
            <w:vAlign w:val="center"/>
          </w:tcPr>
          <w:p w14:paraId="4D539768">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要素</w:t>
            </w:r>
          </w:p>
        </w:tc>
        <w:tc>
          <w:tcPr>
            <w:tcW w:w="1364" w:type="dxa"/>
            <w:vMerge w:val="restart"/>
            <w:tcBorders>
              <w:tl2br w:val="nil"/>
              <w:tr2bl w:val="nil"/>
            </w:tcBorders>
            <w:vAlign w:val="center"/>
          </w:tcPr>
          <w:p w14:paraId="6EA32E30">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保护目标</w:t>
            </w:r>
          </w:p>
        </w:tc>
        <w:tc>
          <w:tcPr>
            <w:tcW w:w="2645" w:type="dxa"/>
            <w:gridSpan w:val="2"/>
            <w:tcBorders>
              <w:tl2br w:val="nil"/>
              <w:tr2bl w:val="nil"/>
            </w:tcBorders>
            <w:vAlign w:val="center"/>
          </w:tcPr>
          <w:p w14:paraId="49A54D37">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坐标</w:t>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color w:val="auto"/>
                <w:sz w:val="21"/>
                <w:szCs w:val="21"/>
                <w:highlight w:val="none"/>
                <w:vertAlign w:val="superscript"/>
              </w:rPr>
              <w:t>o</w:t>
            </w:r>
          </w:p>
        </w:tc>
        <w:tc>
          <w:tcPr>
            <w:tcW w:w="723" w:type="dxa"/>
            <w:vMerge w:val="restart"/>
            <w:tcBorders>
              <w:tl2br w:val="nil"/>
              <w:tr2bl w:val="nil"/>
            </w:tcBorders>
            <w:vAlign w:val="center"/>
          </w:tcPr>
          <w:p w14:paraId="3FF42579">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保护</w:t>
            </w:r>
          </w:p>
          <w:p w14:paraId="60B04E3D">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对象</w:t>
            </w:r>
          </w:p>
        </w:tc>
        <w:tc>
          <w:tcPr>
            <w:tcW w:w="764" w:type="dxa"/>
            <w:vMerge w:val="restart"/>
            <w:tcBorders>
              <w:tl2br w:val="nil"/>
              <w:tr2bl w:val="nil"/>
            </w:tcBorders>
            <w:vAlign w:val="center"/>
          </w:tcPr>
          <w:p w14:paraId="02388CED">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保护</w:t>
            </w:r>
          </w:p>
          <w:p w14:paraId="4724D8DA">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内容</w:t>
            </w:r>
          </w:p>
        </w:tc>
        <w:tc>
          <w:tcPr>
            <w:tcW w:w="1063" w:type="dxa"/>
            <w:vMerge w:val="restart"/>
            <w:tcBorders>
              <w:tl2br w:val="nil"/>
              <w:tr2bl w:val="nil"/>
            </w:tcBorders>
            <w:vAlign w:val="center"/>
          </w:tcPr>
          <w:p w14:paraId="7F0F288B">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方位/相对距离</w:t>
            </w:r>
          </w:p>
        </w:tc>
        <w:tc>
          <w:tcPr>
            <w:tcW w:w="1431" w:type="dxa"/>
            <w:vMerge w:val="restart"/>
            <w:tcBorders>
              <w:tl2br w:val="nil"/>
              <w:tr2bl w:val="nil"/>
            </w:tcBorders>
            <w:vAlign w:val="center"/>
          </w:tcPr>
          <w:p w14:paraId="228A4E9B">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执行标准</w:t>
            </w:r>
          </w:p>
        </w:tc>
      </w:tr>
      <w:tr w14:paraId="61E99A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tblHeader/>
          <w:jc w:val="center"/>
        </w:trPr>
        <w:tc>
          <w:tcPr>
            <w:tcW w:w="532" w:type="dxa"/>
            <w:vMerge w:val="continue"/>
            <w:tcBorders>
              <w:tl2br w:val="nil"/>
              <w:tr2bl w:val="nil"/>
            </w:tcBorders>
            <w:vAlign w:val="center"/>
          </w:tcPr>
          <w:p w14:paraId="09D42803">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1364" w:type="dxa"/>
            <w:vMerge w:val="continue"/>
            <w:tcBorders>
              <w:tl2br w:val="nil"/>
              <w:tr2bl w:val="nil"/>
            </w:tcBorders>
            <w:vAlign w:val="center"/>
          </w:tcPr>
          <w:p w14:paraId="2CDE056D">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1322" w:type="dxa"/>
            <w:tcBorders>
              <w:tl2br w:val="nil"/>
              <w:tr2bl w:val="nil"/>
            </w:tcBorders>
            <w:vAlign w:val="center"/>
          </w:tcPr>
          <w:p w14:paraId="15A0E2A2">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X</w:t>
            </w:r>
          </w:p>
        </w:tc>
        <w:tc>
          <w:tcPr>
            <w:tcW w:w="1323" w:type="dxa"/>
            <w:tcBorders>
              <w:tl2br w:val="nil"/>
              <w:tr2bl w:val="nil"/>
            </w:tcBorders>
            <w:vAlign w:val="center"/>
          </w:tcPr>
          <w:p w14:paraId="51C8C5F3">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Y</w:t>
            </w:r>
          </w:p>
        </w:tc>
        <w:tc>
          <w:tcPr>
            <w:tcW w:w="723" w:type="dxa"/>
            <w:vMerge w:val="continue"/>
            <w:tcBorders>
              <w:tl2br w:val="nil"/>
              <w:tr2bl w:val="nil"/>
            </w:tcBorders>
            <w:vAlign w:val="center"/>
          </w:tcPr>
          <w:p w14:paraId="0C45BBDE">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764" w:type="dxa"/>
            <w:vMerge w:val="continue"/>
            <w:tcBorders>
              <w:tl2br w:val="nil"/>
              <w:tr2bl w:val="nil"/>
            </w:tcBorders>
            <w:vAlign w:val="center"/>
          </w:tcPr>
          <w:p w14:paraId="69CDA7FD">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1063" w:type="dxa"/>
            <w:vMerge w:val="continue"/>
            <w:tcBorders>
              <w:tl2br w:val="nil"/>
              <w:tr2bl w:val="nil"/>
            </w:tcBorders>
            <w:vAlign w:val="center"/>
          </w:tcPr>
          <w:p w14:paraId="5E28E910">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1431" w:type="dxa"/>
            <w:vMerge w:val="continue"/>
            <w:tcBorders>
              <w:tl2br w:val="nil"/>
              <w:tr2bl w:val="nil"/>
            </w:tcBorders>
            <w:vAlign w:val="center"/>
          </w:tcPr>
          <w:p w14:paraId="37D712E9">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r>
      <w:tr w14:paraId="47D6E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restart"/>
            <w:tcBorders>
              <w:tl2br w:val="nil"/>
              <w:tr2bl w:val="nil"/>
            </w:tcBorders>
            <w:vAlign w:val="center"/>
          </w:tcPr>
          <w:p w14:paraId="769725DB">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大气</w:t>
            </w:r>
          </w:p>
          <w:p w14:paraId="2CEEB303">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环境</w:t>
            </w:r>
          </w:p>
        </w:tc>
        <w:tc>
          <w:tcPr>
            <w:tcW w:w="1364" w:type="dxa"/>
            <w:tcBorders>
              <w:tl2br w:val="nil"/>
              <w:tr2bl w:val="nil"/>
            </w:tcBorders>
            <w:vAlign w:val="center"/>
          </w:tcPr>
          <w:p w14:paraId="4ECF34B6">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半拉城子</w:t>
            </w:r>
          </w:p>
        </w:tc>
        <w:tc>
          <w:tcPr>
            <w:tcW w:w="1322" w:type="dxa"/>
            <w:tcBorders>
              <w:tl2br w:val="nil"/>
              <w:tr2bl w:val="nil"/>
            </w:tcBorders>
            <w:vAlign w:val="center"/>
          </w:tcPr>
          <w:p w14:paraId="15DBE91C">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132.218399</w:t>
            </w:r>
          </w:p>
        </w:tc>
        <w:tc>
          <w:tcPr>
            <w:tcW w:w="1323" w:type="dxa"/>
            <w:tcBorders>
              <w:tl2br w:val="nil"/>
              <w:tr2bl w:val="nil"/>
            </w:tcBorders>
            <w:vAlign w:val="center"/>
          </w:tcPr>
          <w:p w14:paraId="12B8778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45.607553</w:t>
            </w:r>
          </w:p>
        </w:tc>
        <w:tc>
          <w:tcPr>
            <w:tcW w:w="723" w:type="dxa"/>
            <w:vMerge w:val="restart"/>
            <w:tcBorders>
              <w:tl2br w:val="nil"/>
              <w:tr2bl w:val="nil"/>
            </w:tcBorders>
            <w:vAlign w:val="center"/>
          </w:tcPr>
          <w:p w14:paraId="37D4D0AA">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农村人群集中区</w:t>
            </w:r>
          </w:p>
        </w:tc>
        <w:tc>
          <w:tcPr>
            <w:tcW w:w="764" w:type="dxa"/>
            <w:tcBorders>
              <w:tl2br w:val="nil"/>
              <w:tr2bl w:val="nil"/>
            </w:tcBorders>
            <w:vAlign w:val="center"/>
          </w:tcPr>
          <w:p w14:paraId="7DDF60A7">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72A55391">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N</w:t>
            </w:r>
            <w:r>
              <w:rPr>
                <w:rFonts w:hint="eastAsia" w:ascii="Times New Roman" w:hAnsi="Times New Roman" w:cs="Times New Roman"/>
                <w:snapToGrid w:val="0"/>
                <w:color w:val="auto"/>
                <w:sz w:val="21"/>
                <w:szCs w:val="21"/>
                <w:highlight w:val="none"/>
                <w:lang w:val="en-US" w:eastAsia="zh-CN"/>
              </w:rPr>
              <w:t>E</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4995</w:t>
            </w:r>
            <w:r>
              <w:rPr>
                <w:rFonts w:hint="default" w:ascii="Times New Roman" w:hAnsi="Times New Roman" w:eastAsia="宋体" w:cs="Times New Roman"/>
                <w:snapToGrid w:val="0"/>
                <w:color w:val="auto"/>
                <w:sz w:val="21"/>
                <w:szCs w:val="21"/>
                <w:highlight w:val="none"/>
              </w:rPr>
              <w:t>m</w:t>
            </w:r>
          </w:p>
        </w:tc>
        <w:tc>
          <w:tcPr>
            <w:tcW w:w="1431" w:type="dxa"/>
            <w:vMerge w:val="restart"/>
            <w:tcBorders>
              <w:tl2br w:val="nil"/>
              <w:tr2bl w:val="nil"/>
            </w:tcBorders>
            <w:vAlign w:val="center"/>
          </w:tcPr>
          <w:p w14:paraId="52A160A2">
            <w:pPr>
              <w:pStyle w:val="30"/>
              <w:adjustRightInd w:val="0"/>
              <w:snapToGrid/>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w:t>
            </w:r>
          </w:p>
          <w:p w14:paraId="0071517B">
            <w:pPr>
              <w:pStyle w:val="30"/>
              <w:adjustRightInd w:val="0"/>
              <w:snapToGrid/>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(GB3095-2012及修改单)</w:t>
            </w:r>
          </w:p>
          <w:p w14:paraId="06D69C7B">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二级标准</w:t>
            </w:r>
          </w:p>
        </w:tc>
      </w:tr>
      <w:tr w14:paraId="16E9AE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3DAC999A">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781E056A">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王家店屯</w:t>
            </w:r>
          </w:p>
        </w:tc>
        <w:tc>
          <w:tcPr>
            <w:tcW w:w="1322" w:type="dxa"/>
            <w:tcBorders>
              <w:tl2br w:val="nil"/>
              <w:tr2bl w:val="nil"/>
            </w:tcBorders>
            <w:vAlign w:val="center"/>
          </w:tcPr>
          <w:p w14:paraId="70F2FCB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132.158418</w:t>
            </w:r>
          </w:p>
        </w:tc>
        <w:tc>
          <w:tcPr>
            <w:tcW w:w="1323" w:type="dxa"/>
            <w:tcBorders>
              <w:tl2br w:val="nil"/>
              <w:tr2bl w:val="nil"/>
            </w:tcBorders>
            <w:vAlign w:val="center"/>
          </w:tcPr>
          <w:p w14:paraId="0C6E2A0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45.581658</w:t>
            </w:r>
          </w:p>
        </w:tc>
        <w:tc>
          <w:tcPr>
            <w:tcW w:w="723" w:type="dxa"/>
            <w:vMerge w:val="continue"/>
            <w:tcBorders>
              <w:tl2br w:val="nil"/>
              <w:tr2bl w:val="nil"/>
            </w:tcBorders>
            <w:vAlign w:val="center"/>
          </w:tcPr>
          <w:p w14:paraId="415D1EE0">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3E44FFCB">
            <w:pPr>
              <w:adjustRightInd w:val="0"/>
              <w:snapToGrid w:val="0"/>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0D63DBF2">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NW</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1900</w:t>
            </w:r>
            <w:r>
              <w:rPr>
                <w:rFonts w:hint="default" w:ascii="Times New Roman" w:hAnsi="Times New Roman" w:eastAsia="宋体" w:cs="Times New Roman"/>
                <w:snapToGrid w:val="0"/>
                <w:color w:val="auto"/>
                <w:sz w:val="21"/>
                <w:szCs w:val="21"/>
                <w:highlight w:val="none"/>
              </w:rPr>
              <w:t>m</w:t>
            </w:r>
          </w:p>
        </w:tc>
        <w:tc>
          <w:tcPr>
            <w:tcW w:w="1431" w:type="dxa"/>
            <w:vMerge w:val="continue"/>
            <w:tcBorders>
              <w:tl2br w:val="nil"/>
              <w:tr2bl w:val="nil"/>
            </w:tcBorders>
            <w:vAlign w:val="center"/>
          </w:tcPr>
          <w:p w14:paraId="268DD11D">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4EA21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721F1B0A">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2EA3692E">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团结村</w:t>
            </w:r>
          </w:p>
        </w:tc>
        <w:tc>
          <w:tcPr>
            <w:tcW w:w="1322" w:type="dxa"/>
            <w:tcBorders>
              <w:tl2br w:val="nil"/>
              <w:tr2bl w:val="nil"/>
            </w:tcBorders>
            <w:vAlign w:val="center"/>
          </w:tcPr>
          <w:p w14:paraId="173DD807">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132.212219</w:t>
            </w:r>
          </w:p>
        </w:tc>
        <w:tc>
          <w:tcPr>
            <w:tcW w:w="1323" w:type="dxa"/>
            <w:tcBorders>
              <w:tl2br w:val="nil"/>
              <w:tr2bl w:val="nil"/>
            </w:tcBorders>
            <w:vAlign w:val="center"/>
          </w:tcPr>
          <w:p w14:paraId="1FE13CBB">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45.575600</w:t>
            </w:r>
          </w:p>
        </w:tc>
        <w:tc>
          <w:tcPr>
            <w:tcW w:w="723" w:type="dxa"/>
            <w:vMerge w:val="continue"/>
            <w:tcBorders>
              <w:tl2br w:val="nil"/>
              <w:tr2bl w:val="nil"/>
            </w:tcBorders>
            <w:vAlign w:val="center"/>
          </w:tcPr>
          <w:p w14:paraId="01020B5F">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5C13B005">
            <w:pPr>
              <w:adjustRightInd w:val="0"/>
              <w:snapToGrid w:val="0"/>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263B1583">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NE</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2778</w:t>
            </w:r>
            <w:r>
              <w:rPr>
                <w:rFonts w:hint="default" w:ascii="Times New Roman" w:hAnsi="Times New Roman" w:eastAsia="宋体" w:cs="Times New Roman"/>
                <w:snapToGrid w:val="0"/>
                <w:color w:val="auto"/>
                <w:sz w:val="21"/>
                <w:szCs w:val="21"/>
                <w:highlight w:val="none"/>
              </w:rPr>
              <w:t>m</w:t>
            </w:r>
          </w:p>
        </w:tc>
        <w:tc>
          <w:tcPr>
            <w:tcW w:w="1431" w:type="dxa"/>
            <w:vMerge w:val="continue"/>
            <w:tcBorders>
              <w:tl2br w:val="nil"/>
              <w:tr2bl w:val="nil"/>
            </w:tcBorders>
            <w:vAlign w:val="center"/>
          </w:tcPr>
          <w:p w14:paraId="52C0A61C">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1D62D4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54118EA3">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7B121752">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团结村四组</w:t>
            </w:r>
          </w:p>
        </w:tc>
        <w:tc>
          <w:tcPr>
            <w:tcW w:w="1322" w:type="dxa"/>
            <w:tcBorders>
              <w:tl2br w:val="nil"/>
              <w:tr2bl w:val="nil"/>
            </w:tcBorders>
            <w:vAlign w:val="center"/>
          </w:tcPr>
          <w:p w14:paraId="5E26E7DC">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132.186213</w:t>
            </w:r>
          </w:p>
        </w:tc>
        <w:tc>
          <w:tcPr>
            <w:tcW w:w="1323" w:type="dxa"/>
            <w:tcBorders>
              <w:tl2br w:val="nil"/>
              <w:tr2bl w:val="nil"/>
            </w:tcBorders>
            <w:vAlign w:val="center"/>
          </w:tcPr>
          <w:p w14:paraId="4C0F1B93">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45.568480</w:t>
            </w:r>
          </w:p>
        </w:tc>
        <w:tc>
          <w:tcPr>
            <w:tcW w:w="723" w:type="dxa"/>
            <w:vMerge w:val="continue"/>
            <w:tcBorders>
              <w:tl2br w:val="nil"/>
              <w:tr2bl w:val="nil"/>
            </w:tcBorders>
            <w:vAlign w:val="center"/>
          </w:tcPr>
          <w:p w14:paraId="37FCD79B">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0C715F35">
            <w:pPr>
              <w:adjustRightInd w:val="0"/>
              <w:snapToGrid w:val="0"/>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0E5634C2">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NE</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578</w:t>
            </w:r>
            <w:r>
              <w:rPr>
                <w:rFonts w:hint="default" w:ascii="Times New Roman" w:hAnsi="Times New Roman" w:eastAsia="宋体" w:cs="Times New Roman"/>
                <w:snapToGrid w:val="0"/>
                <w:color w:val="auto"/>
                <w:sz w:val="21"/>
                <w:szCs w:val="21"/>
                <w:highlight w:val="none"/>
              </w:rPr>
              <w:t>m</w:t>
            </w:r>
          </w:p>
        </w:tc>
        <w:tc>
          <w:tcPr>
            <w:tcW w:w="1431" w:type="dxa"/>
            <w:vMerge w:val="continue"/>
            <w:tcBorders>
              <w:tl2br w:val="nil"/>
              <w:tr2bl w:val="nil"/>
            </w:tcBorders>
            <w:vAlign w:val="center"/>
          </w:tcPr>
          <w:p w14:paraId="0C5C392B">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7CC53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7FE3FDBE">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49712969">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同心村</w:t>
            </w:r>
          </w:p>
        </w:tc>
        <w:tc>
          <w:tcPr>
            <w:tcW w:w="1322" w:type="dxa"/>
            <w:tcBorders>
              <w:tl2br w:val="nil"/>
              <w:tr2bl w:val="nil"/>
            </w:tcBorders>
            <w:vAlign w:val="center"/>
          </w:tcPr>
          <w:p w14:paraId="5DC5CB3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132.157631</w:t>
            </w:r>
          </w:p>
        </w:tc>
        <w:tc>
          <w:tcPr>
            <w:tcW w:w="1323" w:type="dxa"/>
            <w:tcBorders>
              <w:tl2br w:val="nil"/>
              <w:tr2bl w:val="nil"/>
            </w:tcBorders>
            <w:vAlign w:val="center"/>
          </w:tcPr>
          <w:p w14:paraId="2A0EE82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45.541946</w:t>
            </w:r>
          </w:p>
        </w:tc>
        <w:tc>
          <w:tcPr>
            <w:tcW w:w="723" w:type="dxa"/>
            <w:vMerge w:val="continue"/>
            <w:tcBorders>
              <w:tl2br w:val="nil"/>
              <w:tr2bl w:val="nil"/>
            </w:tcBorders>
            <w:vAlign w:val="center"/>
          </w:tcPr>
          <w:p w14:paraId="46476479">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1BDBB065">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4B079B70">
            <w:pPr>
              <w:pStyle w:val="30"/>
              <w:adjustRightInd w:val="0"/>
              <w:snapToGrid/>
              <w:ind w:left="-96" w:leftChars="-40" w:right="-96" w:rightChars="-4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SW/3087m</w:t>
            </w:r>
          </w:p>
        </w:tc>
        <w:tc>
          <w:tcPr>
            <w:tcW w:w="1431" w:type="dxa"/>
            <w:vMerge w:val="continue"/>
            <w:tcBorders>
              <w:tl2br w:val="nil"/>
              <w:tr2bl w:val="nil"/>
            </w:tcBorders>
            <w:vAlign w:val="center"/>
          </w:tcPr>
          <w:p w14:paraId="6AB4FBEB">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09016D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19B5E86F">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03139595">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同心六组</w:t>
            </w:r>
          </w:p>
        </w:tc>
        <w:tc>
          <w:tcPr>
            <w:tcW w:w="1322" w:type="dxa"/>
            <w:tcBorders>
              <w:tl2br w:val="nil"/>
              <w:tr2bl w:val="nil"/>
            </w:tcBorders>
            <w:vAlign w:val="center"/>
          </w:tcPr>
          <w:p w14:paraId="0C136CC9">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132.197456</w:t>
            </w:r>
          </w:p>
        </w:tc>
        <w:tc>
          <w:tcPr>
            <w:tcW w:w="1323" w:type="dxa"/>
            <w:tcBorders>
              <w:tl2br w:val="nil"/>
              <w:tr2bl w:val="nil"/>
            </w:tcBorders>
            <w:vAlign w:val="center"/>
          </w:tcPr>
          <w:p w14:paraId="70CC1093">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45.555891</w:t>
            </w:r>
          </w:p>
        </w:tc>
        <w:tc>
          <w:tcPr>
            <w:tcW w:w="723" w:type="dxa"/>
            <w:vMerge w:val="continue"/>
            <w:tcBorders>
              <w:tl2br w:val="nil"/>
              <w:tr2bl w:val="nil"/>
            </w:tcBorders>
            <w:vAlign w:val="center"/>
          </w:tcPr>
          <w:p w14:paraId="6E121862">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7AD3DD36">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39DFA825">
            <w:pPr>
              <w:pStyle w:val="30"/>
              <w:adjustRightInd w:val="0"/>
              <w:snapToGrid/>
              <w:ind w:left="-96" w:leftChars="-40" w:right="-96" w:rightChars="-4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SE/2088m</w:t>
            </w:r>
          </w:p>
        </w:tc>
        <w:tc>
          <w:tcPr>
            <w:tcW w:w="1431" w:type="dxa"/>
            <w:vMerge w:val="continue"/>
            <w:tcBorders>
              <w:tl2br w:val="nil"/>
              <w:tr2bl w:val="nil"/>
            </w:tcBorders>
            <w:vAlign w:val="center"/>
          </w:tcPr>
          <w:p w14:paraId="354FF5F8">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6F655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0ECF23CF">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6B4BECBA">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柳毛乡</w:t>
            </w:r>
          </w:p>
        </w:tc>
        <w:tc>
          <w:tcPr>
            <w:tcW w:w="1322" w:type="dxa"/>
            <w:tcBorders>
              <w:tl2br w:val="nil"/>
              <w:tr2bl w:val="nil"/>
            </w:tcBorders>
            <w:vAlign w:val="center"/>
          </w:tcPr>
          <w:p w14:paraId="2DB50126">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132.128448</w:t>
            </w:r>
          </w:p>
        </w:tc>
        <w:tc>
          <w:tcPr>
            <w:tcW w:w="1323" w:type="dxa"/>
            <w:tcBorders>
              <w:tl2br w:val="nil"/>
              <w:tr2bl w:val="nil"/>
            </w:tcBorders>
            <w:vAlign w:val="center"/>
          </w:tcPr>
          <w:p w14:paraId="6D77BB0B">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45.532567</w:t>
            </w:r>
          </w:p>
        </w:tc>
        <w:tc>
          <w:tcPr>
            <w:tcW w:w="723" w:type="dxa"/>
            <w:vMerge w:val="continue"/>
            <w:tcBorders>
              <w:tl2br w:val="nil"/>
              <w:tr2bl w:val="nil"/>
            </w:tcBorders>
            <w:vAlign w:val="center"/>
          </w:tcPr>
          <w:p w14:paraId="6233EEDD">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79AE6D47">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58E5F230">
            <w:pPr>
              <w:pStyle w:val="30"/>
              <w:adjustRightInd w:val="0"/>
              <w:snapToGrid/>
              <w:ind w:left="-96" w:leftChars="-40" w:right="-96" w:rightChars="-4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SW/4921m</w:t>
            </w:r>
          </w:p>
        </w:tc>
        <w:tc>
          <w:tcPr>
            <w:tcW w:w="1431" w:type="dxa"/>
            <w:vMerge w:val="continue"/>
            <w:tcBorders>
              <w:tl2br w:val="nil"/>
              <w:tr2bl w:val="nil"/>
            </w:tcBorders>
            <w:vAlign w:val="center"/>
          </w:tcPr>
          <w:p w14:paraId="4F6AEEC9">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491F0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7BA5D198">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0CF4193A">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双合五组</w:t>
            </w:r>
          </w:p>
        </w:tc>
        <w:tc>
          <w:tcPr>
            <w:tcW w:w="1322" w:type="dxa"/>
            <w:tcBorders>
              <w:tl2br w:val="nil"/>
              <w:tr2bl w:val="nil"/>
            </w:tcBorders>
            <w:vAlign w:val="center"/>
          </w:tcPr>
          <w:p w14:paraId="65A7737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132.117805</w:t>
            </w:r>
          </w:p>
        </w:tc>
        <w:tc>
          <w:tcPr>
            <w:tcW w:w="1323" w:type="dxa"/>
            <w:tcBorders>
              <w:tl2br w:val="nil"/>
              <w:tr2bl w:val="nil"/>
            </w:tcBorders>
            <w:vAlign w:val="center"/>
          </w:tcPr>
          <w:p w14:paraId="537A4975">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45.559256</w:t>
            </w:r>
          </w:p>
        </w:tc>
        <w:tc>
          <w:tcPr>
            <w:tcW w:w="723" w:type="dxa"/>
            <w:vMerge w:val="continue"/>
            <w:tcBorders>
              <w:tl2br w:val="nil"/>
              <w:tr2bl w:val="nil"/>
            </w:tcBorders>
            <w:vAlign w:val="center"/>
          </w:tcPr>
          <w:p w14:paraId="763E18FD">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5584E5CA">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393BEEC0">
            <w:pPr>
              <w:pStyle w:val="30"/>
              <w:adjustRightInd w:val="0"/>
              <w:snapToGrid/>
              <w:ind w:left="-96" w:leftChars="-40" w:right="-96" w:rightChars="-4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SW/4403m</w:t>
            </w:r>
          </w:p>
        </w:tc>
        <w:tc>
          <w:tcPr>
            <w:tcW w:w="1431" w:type="dxa"/>
            <w:vMerge w:val="continue"/>
            <w:tcBorders>
              <w:tl2br w:val="nil"/>
              <w:tr2bl w:val="nil"/>
            </w:tcBorders>
            <w:vAlign w:val="center"/>
          </w:tcPr>
          <w:p w14:paraId="2BA17083">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bl>
    <w:p w14:paraId="7CF1CAE6">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 xml:space="preserve">7-2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环境保护目标一览表</w:t>
      </w:r>
    </w:p>
    <w:tbl>
      <w:tblPr>
        <w:tblStyle w:val="49"/>
        <w:tblW w:w="506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4388"/>
        <w:gridCol w:w="2895"/>
      </w:tblGrid>
      <w:tr w14:paraId="2D212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721CDE8E">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要素</w:t>
            </w:r>
          </w:p>
        </w:tc>
        <w:tc>
          <w:tcPr>
            <w:tcW w:w="4388" w:type="dxa"/>
            <w:tcBorders>
              <w:tl2br w:val="nil"/>
              <w:tr2bl w:val="nil"/>
            </w:tcBorders>
            <w:vAlign w:val="center"/>
          </w:tcPr>
          <w:p w14:paraId="309EFCC6">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保护目标</w:t>
            </w:r>
          </w:p>
        </w:tc>
        <w:tc>
          <w:tcPr>
            <w:tcW w:w="2895" w:type="dxa"/>
            <w:tcBorders>
              <w:tl2br w:val="nil"/>
              <w:tr2bl w:val="nil"/>
            </w:tcBorders>
            <w:vAlign w:val="center"/>
          </w:tcPr>
          <w:p w14:paraId="5E2924E1">
            <w:pPr>
              <w:pStyle w:val="30"/>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执行标准</w:t>
            </w:r>
          </w:p>
        </w:tc>
      </w:tr>
      <w:tr w14:paraId="513D3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017447BC">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地下水环境</w:t>
            </w:r>
          </w:p>
        </w:tc>
        <w:tc>
          <w:tcPr>
            <w:tcW w:w="4388" w:type="dxa"/>
            <w:tcBorders>
              <w:tl2br w:val="nil"/>
              <w:tr2bl w:val="nil"/>
            </w:tcBorders>
            <w:vAlign w:val="center"/>
          </w:tcPr>
          <w:p w14:paraId="448A01C7">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沿地下水流向，以场区为中心，</w:t>
            </w:r>
            <w:r>
              <w:rPr>
                <w:rFonts w:hint="default" w:ascii="Times New Roman" w:hAnsi="Times New Roman" w:cs="Times New Roman"/>
                <w:snapToGrid w:val="0"/>
                <w:color w:val="auto"/>
                <w:sz w:val="21"/>
                <w:szCs w:val="21"/>
                <w:highlight w:val="none"/>
                <w:lang w:val="en-US" w:eastAsia="zh-CN"/>
              </w:rPr>
              <w:t>不小于6</w:t>
            </w:r>
            <w:r>
              <w:rPr>
                <w:rFonts w:hint="default" w:ascii="Times New Roman" w:hAnsi="Times New Roman" w:cs="Times New Roman"/>
                <w:snapToGrid w:val="0"/>
                <w:color w:val="auto"/>
                <w:sz w:val="21"/>
                <w:szCs w:val="21"/>
                <w:highlight w:val="none"/>
              </w:rPr>
              <w:t>km</w:t>
            </w:r>
            <w:r>
              <w:rPr>
                <w:rFonts w:hint="default" w:ascii="Times New Roman" w:hAnsi="Times New Roman" w:cs="Times New Roman"/>
                <w:snapToGrid w:val="0"/>
                <w:color w:val="auto"/>
                <w:sz w:val="21"/>
                <w:szCs w:val="21"/>
                <w:highlight w:val="none"/>
                <w:vertAlign w:val="superscript"/>
              </w:rPr>
              <w:t>2</w:t>
            </w:r>
            <w:r>
              <w:rPr>
                <w:rFonts w:hint="default" w:ascii="Times New Roman" w:hAnsi="Times New Roman" w:cs="Times New Roman"/>
                <w:snapToGrid w:val="0"/>
                <w:color w:val="auto"/>
                <w:sz w:val="21"/>
                <w:szCs w:val="21"/>
                <w:highlight w:val="none"/>
              </w:rPr>
              <w:t>范围内的矩形区域潜水含水层</w:t>
            </w:r>
          </w:p>
        </w:tc>
        <w:tc>
          <w:tcPr>
            <w:tcW w:w="2895" w:type="dxa"/>
            <w:tcBorders>
              <w:tl2br w:val="nil"/>
              <w:tr2bl w:val="nil"/>
            </w:tcBorders>
            <w:vAlign w:val="center"/>
          </w:tcPr>
          <w:p w14:paraId="4E003F2E">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《地下水质量标准》(GB/T14848-2017)Ⅲ类</w:t>
            </w:r>
          </w:p>
        </w:tc>
      </w:tr>
      <w:tr w14:paraId="637BB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5F2CEE9F">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声环境</w:t>
            </w:r>
          </w:p>
        </w:tc>
        <w:tc>
          <w:tcPr>
            <w:tcW w:w="4388" w:type="dxa"/>
            <w:tcBorders>
              <w:tl2br w:val="nil"/>
              <w:tr2bl w:val="nil"/>
            </w:tcBorders>
            <w:vAlign w:val="center"/>
          </w:tcPr>
          <w:p w14:paraId="26C5A44F">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kern w:val="0"/>
                <w:sz w:val="21"/>
                <w:szCs w:val="21"/>
                <w:highlight w:val="none"/>
              </w:rPr>
              <w:t>厂界外200m范围</w:t>
            </w:r>
          </w:p>
        </w:tc>
        <w:tc>
          <w:tcPr>
            <w:tcW w:w="2895" w:type="dxa"/>
            <w:tcBorders>
              <w:tl2br w:val="nil"/>
              <w:tr2bl w:val="nil"/>
            </w:tcBorders>
            <w:vAlign w:val="center"/>
          </w:tcPr>
          <w:p w14:paraId="36E10F9A">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kern w:val="1"/>
                <w:sz w:val="21"/>
                <w:szCs w:val="21"/>
                <w:highlight w:val="none"/>
              </w:rPr>
              <w:t>《声环境质量标准》</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1"/>
                <w:sz w:val="21"/>
                <w:szCs w:val="21"/>
                <w:highlight w:val="none"/>
              </w:rPr>
              <w:t>GB3096-2008</w:t>
            </w:r>
            <w:r>
              <w:rPr>
                <w:rFonts w:hint="default" w:ascii="Times New Roman" w:hAnsi="Times New Roman" w:eastAsia="宋体" w:cs="Times New Roman"/>
                <w:color w:val="auto"/>
                <w:sz w:val="21"/>
                <w:szCs w:val="21"/>
                <w:highlight w:val="none"/>
              </w:rPr>
              <w:t>)</w:t>
            </w:r>
            <w:r>
              <w:rPr>
                <w:rFonts w:hint="eastAsia" w:ascii="Times New Roman" w:hAnsi="Times New Roman" w:cs="Times New Roman"/>
                <w:color w:val="auto"/>
                <w:kern w:val="1"/>
                <w:sz w:val="21"/>
                <w:szCs w:val="21"/>
                <w:highlight w:val="none"/>
                <w:lang w:eastAsia="zh-CN"/>
              </w:rPr>
              <w:t>1类</w:t>
            </w:r>
            <w:r>
              <w:rPr>
                <w:rFonts w:hint="default" w:ascii="Times New Roman" w:hAnsi="Times New Roman" w:eastAsia="宋体" w:cs="Times New Roman"/>
                <w:color w:val="auto"/>
                <w:kern w:val="1"/>
                <w:sz w:val="21"/>
                <w:szCs w:val="21"/>
                <w:highlight w:val="none"/>
              </w:rPr>
              <w:t>区标准</w:t>
            </w:r>
          </w:p>
        </w:tc>
      </w:tr>
      <w:tr w14:paraId="3F161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1443CE61">
            <w:pPr>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土壤环境</w:t>
            </w:r>
          </w:p>
        </w:tc>
        <w:tc>
          <w:tcPr>
            <w:tcW w:w="4388" w:type="dxa"/>
            <w:tcBorders>
              <w:tl2br w:val="nil"/>
              <w:tr2bl w:val="nil"/>
            </w:tcBorders>
            <w:vAlign w:val="center"/>
          </w:tcPr>
          <w:p w14:paraId="2453AA02">
            <w:pPr>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1"/>
                <w:szCs w:val="21"/>
                <w:highlight w:val="none"/>
              </w:rPr>
              <w:t>项目占地范围内全部及占地范围外50m范围内</w:t>
            </w:r>
            <w:r>
              <w:rPr>
                <w:rStyle w:val="60"/>
                <w:rFonts w:hint="default" w:ascii="Times New Roman" w:hAnsi="Times New Roman" w:cs="Times New Roman"/>
                <w:color w:val="auto"/>
                <w:highlight w:val="none"/>
                <w:lang w:val="en-US" w:eastAsia="zh-CN"/>
              </w:rPr>
              <w:t>的耕地等</w:t>
            </w:r>
          </w:p>
        </w:tc>
        <w:tc>
          <w:tcPr>
            <w:tcW w:w="2895" w:type="dxa"/>
            <w:tcBorders>
              <w:tl2br w:val="nil"/>
              <w:tr2bl w:val="nil"/>
            </w:tcBorders>
            <w:vAlign w:val="center"/>
          </w:tcPr>
          <w:p w14:paraId="4ECF52D7">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《土壤环境质量 农用地土壤污染风险管控标准（试行）》（GB15618-2018）表1农用地土壤污染风险筛选值（基本项目）</w:t>
            </w:r>
          </w:p>
        </w:tc>
      </w:tr>
      <w:tr w14:paraId="0F482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336907F8">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生态环境</w:t>
            </w:r>
          </w:p>
        </w:tc>
        <w:tc>
          <w:tcPr>
            <w:tcW w:w="4388" w:type="dxa"/>
            <w:tcBorders>
              <w:tl2br w:val="nil"/>
              <w:tr2bl w:val="nil"/>
            </w:tcBorders>
            <w:vAlign w:val="center"/>
          </w:tcPr>
          <w:p w14:paraId="03490801">
            <w:pPr>
              <w:pStyle w:val="30"/>
              <w:adjustRightInd w:val="0"/>
              <w:snapToGrid/>
              <w:ind w:left="-96" w:leftChars="-40" w:right="-96" w:rightChars="-40"/>
              <w:jc w:val="center"/>
              <w:rPr>
                <w:rFonts w:hint="eastAsia" w:ascii="Times New Roman" w:hAnsi="Times New Roman" w:eastAsia="宋体" w:cs="Times New Roman"/>
                <w:snapToGrid w:val="0"/>
                <w:color w:val="auto"/>
                <w:sz w:val="21"/>
                <w:szCs w:val="21"/>
                <w:highlight w:val="none"/>
                <w:lang w:eastAsia="zh-CN"/>
              </w:rPr>
            </w:pPr>
            <w:r>
              <w:rPr>
                <w:rFonts w:hint="eastAsia" w:ascii="Times New Roman" w:hAnsi="Times New Roman" w:cs="Times New Roman"/>
                <w:snapToGrid w:val="0"/>
                <w:color w:val="auto"/>
                <w:sz w:val="21"/>
                <w:szCs w:val="21"/>
                <w:highlight w:val="none"/>
                <w:lang w:eastAsia="zh-CN"/>
              </w:rPr>
              <w:t>以养殖场边界外扩200m范围内</w:t>
            </w:r>
          </w:p>
        </w:tc>
        <w:tc>
          <w:tcPr>
            <w:tcW w:w="2895" w:type="dxa"/>
            <w:tcBorders>
              <w:tl2br w:val="nil"/>
              <w:tr2bl w:val="nil"/>
            </w:tcBorders>
            <w:vAlign w:val="center"/>
          </w:tcPr>
          <w:p w14:paraId="1827B3B5">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保护影响区域的生态完整性和生物多样性</w:t>
            </w:r>
          </w:p>
        </w:tc>
      </w:tr>
    </w:tbl>
    <w:p w14:paraId="62A75EF8">
      <w:pPr>
        <w:pStyle w:val="94"/>
        <w:adjustRightInd/>
        <w:snapToGrid/>
        <w:ind w:left="0" w:leftChars="0" w:firstLine="0" w:firstLineChars="0"/>
        <w:contextualSpacing/>
        <w:jc w:val="center"/>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97A6D78">
      <w:pPr>
        <w:pStyle w:val="94"/>
        <w:adjustRightInd/>
        <w:snapToGrid/>
        <w:ind w:left="0" w:leftChars="0" w:firstLine="0" w:firstLineChars="0"/>
        <w:contextualSpacing/>
        <w:jc w:val="center"/>
        <w:rPr>
          <w:rFonts w:hint="default" w:ascii="Times New Roman" w:hAnsi="Times New Roman" w:eastAsia="宋体" w:cs="Times New Roman"/>
          <w:color w:val="auto"/>
          <w:highlight w:val="none"/>
        </w:rPr>
      </w:pPr>
      <w:r>
        <w:rPr>
          <w:highlight w:val="none"/>
        </w:rPr>
        <w:drawing>
          <wp:anchor distT="0" distB="0" distL="114300" distR="114300" simplePos="0" relativeHeight="251669504" behindDoc="0" locked="0" layoutInCell="1" allowOverlap="1">
            <wp:simplePos x="0" y="0"/>
            <wp:positionH relativeFrom="column">
              <wp:posOffset>4441190</wp:posOffset>
            </wp:positionH>
            <wp:positionV relativeFrom="paragraph">
              <wp:posOffset>95885</wp:posOffset>
            </wp:positionV>
            <wp:extent cx="777875" cy="781685"/>
            <wp:effectExtent l="0" t="0" r="9525" b="5715"/>
            <wp:wrapNone/>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43"/>
                    <a:stretch>
                      <a:fillRect/>
                    </a:stretch>
                  </pic:blipFill>
                  <pic:spPr>
                    <a:xfrm>
                      <a:off x="0" y="0"/>
                      <a:ext cx="777875" cy="781685"/>
                    </a:xfrm>
                    <a:prstGeom prst="rect">
                      <a:avLst/>
                    </a:prstGeom>
                    <a:noFill/>
                    <a:ln>
                      <a:noFill/>
                    </a:ln>
                  </pic:spPr>
                </pic:pic>
              </a:graphicData>
            </a:graphic>
          </wp:anchor>
        </w:drawing>
      </w:r>
      <w:r>
        <w:rPr>
          <w:highlight w:val="none"/>
        </w:rPr>
        <w:drawing>
          <wp:inline distT="0" distB="0" distL="114300" distR="114300">
            <wp:extent cx="5268595" cy="4441825"/>
            <wp:effectExtent l="0" t="0" r="8255" b="15875"/>
            <wp:docPr id="2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3"/>
                    <pic:cNvPicPr>
                      <a:picLocks noChangeAspect="1"/>
                    </pic:cNvPicPr>
                  </pic:nvPicPr>
                  <pic:blipFill>
                    <a:blip r:embed="rId44"/>
                    <a:stretch>
                      <a:fillRect/>
                    </a:stretch>
                  </pic:blipFill>
                  <pic:spPr>
                    <a:xfrm>
                      <a:off x="0" y="0"/>
                      <a:ext cx="5268595" cy="4441825"/>
                    </a:xfrm>
                    <a:prstGeom prst="rect">
                      <a:avLst/>
                    </a:prstGeom>
                    <a:noFill/>
                    <a:ln>
                      <a:noFill/>
                    </a:ln>
                  </pic:spPr>
                </pic:pic>
              </a:graphicData>
            </a:graphic>
          </wp:inline>
        </w:drawing>
      </w:r>
      <w:r>
        <w:rPr>
          <w:sz w:val="24"/>
          <w:highlight w:val="none"/>
        </w:rPr>
        <mc:AlternateContent>
          <mc:Choice Requires="wps">
            <w:drawing>
              <wp:anchor distT="0" distB="0" distL="114300" distR="114300" simplePos="0" relativeHeight="251686912" behindDoc="0" locked="0" layoutInCell="1" allowOverlap="1">
                <wp:simplePos x="0" y="0"/>
                <wp:positionH relativeFrom="column">
                  <wp:posOffset>4421505</wp:posOffset>
                </wp:positionH>
                <wp:positionV relativeFrom="paragraph">
                  <wp:posOffset>4100195</wp:posOffset>
                </wp:positionV>
                <wp:extent cx="436245" cy="534035"/>
                <wp:effectExtent l="0" t="0" r="0" b="0"/>
                <wp:wrapNone/>
                <wp:docPr id="131" name="文本框 131"/>
                <wp:cNvGraphicFramePr/>
                <a:graphic xmlns:a="http://schemas.openxmlformats.org/drawingml/2006/main">
                  <a:graphicData uri="http://schemas.microsoft.com/office/word/2010/wordprocessingShape">
                    <wps:wsp>
                      <wps:cNvSpPr txBox="1"/>
                      <wps:spPr>
                        <a:xfrm>
                          <a:off x="5625465" y="5257800"/>
                          <a:ext cx="436245" cy="5340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63AA59">
                            <w:r>
                              <w:drawing>
                                <wp:inline distT="0" distB="0" distL="114300" distR="114300">
                                  <wp:extent cx="175895" cy="254000"/>
                                  <wp:effectExtent l="0" t="0" r="14605" b="12700"/>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45"/>
                                          <a:stretch>
                                            <a:fillRect/>
                                          </a:stretch>
                                        </pic:blipFill>
                                        <pic:spPr>
                                          <a:xfrm>
                                            <a:off x="0" y="0"/>
                                            <a:ext cx="175895" cy="254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15pt;margin-top:322.85pt;height:42.05pt;width:34.35pt;z-index:251686912;mso-width-relative:page;mso-height-relative:page;" filled="f" stroked="f" coordsize="21600,21600" o:gfxdata="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WA7yo3AAAAAsBAAAPAAAAAAAA&#10;AAEAIAAAACIAAABkcnMvZG93bnJldi54bWxQSwECFAAUAAAACACHTuJAwfPiPkcCAAB1BAAADgAA&#10;AAAAAAABACAAAAArAQAAZHJzL2Uyb0RvYy54bWxQSwUGAAAAAAYABgBZAQAA5AUAAAAA&#10;">
                <v:fill on="f" focussize="0,0"/>
                <v:stroke on="f" weight="0.5pt"/>
                <v:imagedata o:title=""/>
                <o:lock v:ext="edit" aspectratio="f"/>
                <v:textbox>
                  <w:txbxContent>
                    <w:p w14:paraId="0063AA59">
                      <w:r>
                        <w:drawing>
                          <wp:inline distT="0" distB="0" distL="114300" distR="114300">
                            <wp:extent cx="175895" cy="254000"/>
                            <wp:effectExtent l="0" t="0" r="14605" b="12700"/>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45"/>
                                    <a:stretch>
                                      <a:fillRect/>
                                    </a:stretch>
                                  </pic:blipFill>
                                  <pic:spPr>
                                    <a:xfrm>
                                      <a:off x="0" y="0"/>
                                      <a:ext cx="175895" cy="254000"/>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685888" behindDoc="0" locked="0" layoutInCell="1" allowOverlap="1">
                <wp:simplePos x="0" y="0"/>
                <wp:positionH relativeFrom="column">
                  <wp:posOffset>4456430</wp:posOffset>
                </wp:positionH>
                <wp:positionV relativeFrom="paragraph">
                  <wp:posOffset>4053840</wp:posOffset>
                </wp:positionV>
                <wp:extent cx="238125" cy="142875"/>
                <wp:effectExtent l="12700" t="12700" r="15875" b="15875"/>
                <wp:wrapNone/>
                <wp:docPr id="124" name="矩形 124"/>
                <wp:cNvGraphicFramePr/>
                <a:graphic xmlns:a="http://schemas.openxmlformats.org/drawingml/2006/main">
                  <a:graphicData uri="http://schemas.microsoft.com/office/word/2010/wordprocessingShape">
                    <wps:wsp>
                      <wps:cNvSpPr/>
                      <wps:spPr>
                        <a:xfrm>
                          <a:off x="0" y="0"/>
                          <a:ext cx="238125" cy="14287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9pt;margin-top:319.2pt;height:11.25pt;width:18.75pt;z-index:251685888;v-text-anchor:middle;mso-width-relative:page;mso-height-relative:page;" filled="f" stroked="t" coordsize="21600,21600" o:gfxdata="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g5zTZAAAACwEAAA8AAAAAAAAAAQAgAAAAIgAAAGRycy9kb3ducmV2LnhtbFBLAQIUABQA&#10;AAAIAIdO4kDqWO67YQIAALcEAAAOAAAAAAAAAAEAIAAAACgBAABkcnMvZTJvRG9jLnhtbFBLBQYA&#10;AAAABgAGAFkBAAD7BQAAAAA=&#10;">
                <v:fill on="f" focussize="0,0"/>
                <v:stroke weight="2pt" color="#00B0F0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4864" behindDoc="0" locked="0" layoutInCell="1" allowOverlap="1">
                <wp:simplePos x="0" y="0"/>
                <wp:positionH relativeFrom="column">
                  <wp:posOffset>4467860</wp:posOffset>
                </wp:positionH>
                <wp:positionV relativeFrom="paragraph">
                  <wp:posOffset>3863340</wp:posOffset>
                </wp:positionV>
                <wp:extent cx="238125" cy="142875"/>
                <wp:effectExtent l="12700" t="12700" r="15875" b="15875"/>
                <wp:wrapNone/>
                <wp:docPr id="121" name="矩形 121"/>
                <wp:cNvGraphicFramePr/>
                <a:graphic xmlns:a="http://schemas.openxmlformats.org/drawingml/2006/main">
                  <a:graphicData uri="http://schemas.microsoft.com/office/word/2010/wordprocessingShape">
                    <wps:wsp>
                      <wps:cNvSpPr/>
                      <wps:spPr>
                        <a:xfrm>
                          <a:off x="0" y="0"/>
                          <a:ext cx="238125" cy="142875"/>
                        </a:xfrm>
                        <a:prstGeom prst="rect">
                          <a:avLst/>
                        </a:prstGeom>
                        <a:noFill/>
                        <a:ln>
                          <a:solidFill>
                            <a:srgbClr val="16EB0A"/>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1.8pt;margin-top:304.2pt;height:11.25pt;width:18.75pt;z-index:251684864;v-text-anchor:middle;mso-width-relative:page;mso-height-relative:page;" filled="f" stroked="t" coordsize="21600,21600" o:gfxdata="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R9ztwAAAALAQAADwAAAAAAAAABACAAAAAiAAAAZHJzL2Rvd25yZXYueG1sUEsBAhQA&#10;FAAAAAgAh07iQG2ohhtgAgAAtwQAAA4AAAAAAAAAAQAgAAAAKwEAAGRycy9lMm9Eb2MueG1sUEsF&#10;BgAAAAAGAAYAWQEAAP0FAAAAAA==&#10;">
                <v:fill on="f" focussize="0,0"/>
                <v:stroke weight="2pt" color="#16EB0A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3840" behindDoc="0" locked="0" layoutInCell="1" allowOverlap="1">
                <wp:simplePos x="0" y="0"/>
                <wp:positionH relativeFrom="column">
                  <wp:posOffset>4467860</wp:posOffset>
                </wp:positionH>
                <wp:positionV relativeFrom="paragraph">
                  <wp:posOffset>3663950</wp:posOffset>
                </wp:positionV>
                <wp:extent cx="238125" cy="142875"/>
                <wp:effectExtent l="12700" t="12700" r="15875" b="15875"/>
                <wp:wrapNone/>
                <wp:docPr id="120" name="矩形 120"/>
                <wp:cNvGraphicFramePr/>
                <a:graphic xmlns:a="http://schemas.openxmlformats.org/drawingml/2006/main">
                  <a:graphicData uri="http://schemas.microsoft.com/office/word/2010/wordprocessingShape">
                    <wps:wsp>
                      <wps:cNvSpPr/>
                      <wps:spPr>
                        <a:xfrm>
                          <a:off x="0" y="0"/>
                          <a:ext cx="238125" cy="142875"/>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1.8pt;margin-top:288.5pt;height:11.25pt;width:18.75pt;z-index:251683840;v-text-anchor:middle;mso-width-relative:page;mso-height-relative:page;" filled="f" stroked="t" coordsize="21600,21600" o:gfxdata="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MH6qnZAAAACwEAAA8AAAAAAAAAAQAgAAAAIgAAAGRycy9kb3ducmV2LnhtbFBLAQIUABQAAAAI&#10;AIdO4kD0asaiXgIAALcEAAAOAAAAAAAAAAEAIAAAACgBAABkcnMvZTJvRG9jLnhtbFBLBQYAAAAA&#10;BgAGAFkBAAD4BQAAAAA=&#10;">
                <v:fill on="f" focussize="0,0"/>
                <v:stroke weight="2pt" color="#FFFF00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2816" behindDoc="0" locked="0" layoutInCell="1" allowOverlap="1">
                <wp:simplePos x="0" y="0"/>
                <wp:positionH relativeFrom="column">
                  <wp:posOffset>4476115</wp:posOffset>
                </wp:positionH>
                <wp:positionV relativeFrom="paragraph">
                  <wp:posOffset>3480435</wp:posOffset>
                </wp:positionV>
                <wp:extent cx="238125" cy="142875"/>
                <wp:effectExtent l="12700" t="12700" r="15875" b="15875"/>
                <wp:wrapNone/>
                <wp:docPr id="118" name="矩形 118"/>
                <wp:cNvGraphicFramePr/>
                <a:graphic xmlns:a="http://schemas.openxmlformats.org/drawingml/2006/main">
                  <a:graphicData uri="http://schemas.microsoft.com/office/word/2010/wordprocessingShape">
                    <wps:wsp>
                      <wps:cNvSpPr/>
                      <wps:spPr>
                        <a:xfrm>
                          <a:off x="0" y="0"/>
                          <a:ext cx="238125" cy="142875"/>
                        </a:xfrm>
                        <a:prstGeom prst="rect">
                          <a:avLst/>
                        </a:prstGeom>
                        <a:noFill/>
                        <a:ln>
                          <a:solidFill>
                            <a:srgbClr val="2B2EB9"/>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45pt;margin-top:274.05pt;height:11.25pt;width:18.75pt;z-index:251682816;v-text-anchor:middle;mso-width-relative:page;mso-height-relative:page;" filled="f" stroked="t" coordsize="21600,21600" o:gfxdata="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LFk/CNgAAAALAQAADwAAAAAAAAABACAAAAAiAAAAZHJzL2Rvd25yZXYueG1sUEsBAhQAFAAA&#10;AAgAh07iQBDo/qthAgAAtwQAAA4AAAAAAAAAAQAgAAAAJwEAAGRycy9lMm9Eb2MueG1sUEsFBgAA&#10;AAAGAAYAWQEAAPoFAAAAAA==&#10;">
                <v:fill on="f" focussize="0,0"/>
                <v:stroke weight="2pt" color="#2B2EB9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1792" behindDoc="0" locked="0" layoutInCell="1" allowOverlap="1">
                <wp:simplePos x="0" y="0"/>
                <wp:positionH relativeFrom="column">
                  <wp:posOffset>4474210</wp:posOffset>
                </wp:positionH>
                <wp:positionV relativeFrom="paragraph">
                  <wp:posOffset>3248660</wp:posOffset>
                </wp:positionV>
                <wp:extent cx="238125" cy="142875"/>
                <wp:effectExtent l="12700" t="12700" r="15875" b="15875"/>
                <wp:wrapNone/>
                <wp:docPr id="117" name="矩形 117"/>
                <wp:cNvGraphicFramePr/>
                <a:graphic xmlns:a="http://schemas.openxmlformats.org/drawingml/2006/main">
                  <a:graphicData uri="http://schemas.microsoft.com/office/word/2010/wordprocessingShape">
                    <wps:wsp>
                      <wps:cNvSpPr/>
                      <wps:spPr>
                        <a:xfrm>
                          <a:off x="5609590" y="4234180"/>
                          <a:ext cx="238125" cy="1428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3pt;margin-top:255.8pt;height:11.25pt;width:18.75pt;z-index:251681792;v-text-anchor:middle;mso-width-relative:page;mso-height-relative:page;" filled="f" stroked="t" coordsize="21600,21600" o:gfxdata="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O4cEH2gAAAAsBAAAPAAAAAAAAAAEAIAAAACIAAABkcnMvZG93bnJl&#10;di54bWxQSwECFAAUAAAACACHTuJAyepwyG0CAADDBAAADgAAAAAAAAABACAAAAApAQAAZHJzL2Uy&#10;b0RvYy54bWxQSwUGAAAAAAYABgBZAQAACAYAAAAA&#10;">
                <v:fill on="f" focussize="0,0"/>
                <v:stroke weight="2pt" color="#FF0000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0768" behindDoc="0" locked="0" layoutInCell="1" allowOverlap="1">
                <wp:simplePos x="0" y="0"/>
                <wp:positionH relativeFrom="column">
                  <wp:posOffset>4349750</wp:posOffset>
                </wp:positionH>
                <wp:positionV relativeFrom="paragraph">
                  <wp:posOffset>2978150</wp:posOffset>
                </wp:positionV>
                <wp:extent cx="1492250" cy="1635125"/>
                <wp:effectExtent l="4445" t="4445" r="8255" b="17780"/>
                <wp:wrapNone/>
                <wp:docPr id="26" name="文本框 26"/>
                <wp:cNvGraphicFramePr/>
                <a:graphic xmlns:a="http://schemas.openxmlformats.org/drawingml/2006/main">
                  <a:graphicData uri="http://schemas.microsoft.com/office/word/2010/wordprocessingShape">
                    <wps:wsp>
                      <wps:cNvSpPr txBox="1"/>
                      <wps:spPr>
                        <a:xfrm>
                          <a:off x="5403215" y="3987800"/>
                          <a:ext cx="1492250" cy="1635125"/>
                        </a:xfrm>
                        <a:prstGeom prst="rect">
                          <a:avLst/>
                        </a:prstGeom>
                        <a:solidFill>
                          <a:schemeClr val="bg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A061E26">
                            <w:pPr>
                              <w:keepNext w:val="0"/>
                              <w:keepLines w:val="0"/>
                              <w:pageBreakBefore w:val="0"/>
                              <w:widowControl/>
                              <w:kinsoku/>
                              <w:wordWrap/>
                              <w:overflowPunct/>
                              <w:topLinePunct w:val="0"/>
                              <w:bidi w:val="0"/>
                              <w:adjustRightInd/>
                              <w:snapToGrid/>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图 例</w:t>
                            </w:r>
                          </w:p>
                          <w:p w14:paraId="69680693">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项目所在地</w:t>
                            </w:r>
                          </w:p>
                          <w:p w14:paraId="1D0A8182">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大气评级范围</w:t>
                            </w:r>
                          </w:p>
                          <w:p w14:paraId="2F400EF0">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噪声评价范围</w:t>
                            </w:r>
                          </w:p>
                          <w:p w14:paraId="55BA18E7">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土壤评价范围</w:t>
                            </w:r>
                          </w:p>
                          <w:p w14:paraId="59DE28D7">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地下水评价范围</w:t>
                            </w:r>
                          </w:p>
                          <w:p w14:paraId="042BB678">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2.5pt;margin-top:234.5pt;height:128.75pt;width:117.5pt;z-index:251680768;mso-width-relative:page;mso-height-relative:page;" fillcolor="#FFFFFF [3212]" filled="t" stroked="t" coordsize="21600,21600" o:gfxdata="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DSXaaNgAAAALAQAADwAAAAAAAAABACAAAAAiAAAAZHJzL2Rvd25yZXYueG1sUEsBAhQA&#10;FAAAAAgAh07iQPPdtP9kAgAAxgQAAA4AAAAAAAAAAQAgAAAAJwEAAGRycy9lMm9Eb2MueG1sUEsF&#10;BgAAAAAGAAYAWQEAAP0FAAAAAA==&#10;">
                <v:fill on="t" focussize="0,0"/>
                <v:stroke weight="0.5pt" color="#000000 [3204]" joinstyle="round"/>
                <v:imagedata o:title=""/>
                <o:lock v:ext="edit" aspectratio="f"/>
                <v:textbox>
                  <w:txbxContent>
                    <w:p w14:paraId="5A061E26">
                      <w:pPr>
                        <w:keepNext w:val="0"/>
                        <w:keepLines w:val="0"/>
                        <w:pageBreakBefore w:val="0"/>
                        <w:widowControl/>
                        <w:kinsoku/>
                        <w:wordWrap/>
                        <w:overflowPunct/>
                        <w:topLinePunct w:val="0"/>
                        <w:bidi w:val="0"/>
                        <w:adjustRightInd/>
                        <w:snapToGrid/>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图 例</w:t>
                      </w:r>
                    </w:p>
                    <w:p w14:paraId="69680693">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项目所在地</w:t>
                      </w:r>
                    </w:p>
                    <w:p w14:paraId="1D0A8182">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大气评级范围</w:t>
                      </w:r>
                    </w:p>
                    <w:p w14:paraId="2F400EF0">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噪声评价范围</w:t>
                      </w:r>
                    </w:p>
                    <w:p w14:paraId="55BA18E7">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土壤评价范围</w:t>
                      </w:r>
                    </w:p>
                    <w:p w14:paraId="59DE28D7">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地下水评价范围</w:t>
                      </w:r>
                    </w:p>
                    <w:p w14:paraId="042BB678">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保护目标</w:t>
                      </w:r>
                    </w:p>
                  </w:txbxContent>
                </v:textbox>
              </v:shape>
            </w:pict>
          </mc:Fallback>
        </mc:AlternateContent>
      </w:r>
    </w:p>
    <w:p w14:paraId="4422E34B">
      <w:pPr>
        <w:jc w:val="center"/>
        <w:rPr>
          <w:rFonts w:hint="default" w:ascii="Times New Roman" w:hAnsi="Times New Roman" w:eastAsia="宋体" w:cs="Times New Roman"/>
          <w:color w:val="auto"/>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黑体" w:cs="Times New Roman"/>
          <w:b w:val="0"/>
          <w:bCs/>
          <w:smallCaps w:val="0"/>
          <w:snapToGrid/>
          <w:kern w:val="2"/>
          <w:sz w:val="21"/>
          <w:szCs w:val="24"/>
          <w:highlight w:val="none"/>
          <w:lang w:val="zh-CN" w:eastAsia="zh-CN" w:bidi="ar-SA"/>
        </w:rPr>
        <w:t>图2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7-1  评价范围及环境保护目标</w:t>
      </w:r>
      <w:r>
        <w:rPr>
          <w:rFonts w:hint="default" w:ascii="Times New Roman" w:hAnsi="Times New Roman" w:eastAsia="黑体" w:cs="Times New Roman"/>
          <w:b w:val="0"/>
          <w:bCs/>
          <w:smallCaps w:val="0"/>
          <w:snapToGrid/>
          <w:kern w:val="2"/>
          <w:sz w:val="21"/>
          <w:szCs w:val="24"/>
          <w:highlight w:val="none"/>
          <w:lang w:val="en-US" w:eastAsia="zh-CN" w:bidi="ar-SA"/>
        </w:rPr>
        <w:t>图</w:t>
      </w:r>
    </w:p>
    <w:p w14:paraId="5385D6F7">
      <w:pPr>
        <w:pStyle w:val="4"/>
        <w:bidi w:val="0"/>
        <w:rPr>
          <w:rFonts w:hint="default"/>
          <w:highlight w:val="none"/>
        </w:rPr>
      </w:pPr>
      <w:bookmarkStart w:id="322" w:name="_Toc2238"/>
      <w:bookmarkStart w:id="323" w:name="_Toc12679"/>
      <w:bookmarkStart w:id="324" w:name="_Toc21938"/>
      <w:bookmarkStart w:id="325" w:name="_Toc480447660"/>
      <w:bookmarkStart w:id="326" w:name="_Toc31204"/>
      <w:bookmarkStart w:id="327" w:name="_Toc8556"/>
      <w:r>
        <w:rPr>
          <w:rFonts w:hint="default"/>
          <w:highlight w:val="none"/>
        </w:rPr>
        <w:t>3建设项目工程分析</w:t>
      </w:r>
      <w:bookmarkEnd w:id="322"/>
      <w:bookmarkEnd w:id="323"/>
      <w:bookmarkEnd w:id="324"/>
      <w:bookmarkEnd w:id="325"/>
      <w:bookmarkEnd w:id="326"/>
      <w:bookmarkEnd w:id="327"/>
    </w:p>
    <w:p w14:paraId="318816B4">
      <w:pPr>
        <w:pStyle w:val="5"/>
        <w:bidi w:val="0"/>
        <w:rPr>
          <w:rFonts w:hint="default"/>
          <w:highlight w:val="none"/>
        </w:rPr>
      </w:pPr>
      <w:bookmarkStart w:id="328" w:name="_Toc10087"/>
      <w:bookmarkStart w:id="329" w:name="_Toc118086777"/>
      <w:bookmarkStart w:id="330" w:name="_Toc480447661"/>
      <w:bookmarkStart w:id="331" w:name="_Toc182022278"/>
      <w:bookmarkStart w:id="332" w:name="_Toc2468"/>
      <w:bookmarkStart w:id="333" w:name="_Toc112420348"/>
      <w:bookmarkStart w:id="334" w:name="_Toc113078918"/>
      <w:bookmarkStart w:id="335" w:name="_Toc32691"/>
      <w:bookmarkStart w:id="336" w:name="_Toc30317"/>
      <w:bookmarkStart w:id="337" w:name="_Toc3742"/>
      <w:bookmarkStart w:id="338" w:name="_Toc456590361"/>
      <w:r>
        <w:rPr>
          <w:rFonts w:hint="default"/>
          <w:highlight w:val="none"/>
        </w:rPr>
        <w:t>3.</w:t>
      </w:r>
      <w:r>
        <w:rPr>
          <w:rFonts w:hint="eastAsia"/>
          <w:highlight w:val="none"/>
          <w:lang w:val="en-US" w:eastAsia="zh-CN"/>
        </w:rPr>
        <w:t>1现有</w:t>
      </w:r>
      <w:r>
        <w:rPr>
          <w:rFonts w:hint="default"/>
          <w:highlight w:val="none"/>
        </w:rPr>
        <w:t>项目概况</w:t>
      </w:r>
      <w:bookmarkEnd w:id="328"/>
    </w:p>
    <w:p w14:paraId="46171717">
      <w:pPr>
        <w:pStyle w:val="7"/>
        <w:bidi w:val="0"/>
        <w:rPr>
          <w:rFonts w:hint="eastAsia"/>
          <w:highlight w:val="none"/>
          <w:lang w:val="en-US" w:eastAsia="zh-CN"/>
        </w:rPr>
      </w:pPr>
      <w:r>
        <w:rPr>
          <w:rFonts w:hint="default"/>
          <w:highlight w:val="none"/>
        </w:rPr>
        <w:t>3.</w:t>
      </w:r>
      <w:r>
        <w:rPr>
          <w:rFonts w:hint="eastAsia"/>
          <w:highlight w:val="none"/>
          <w:lang w:val="en-US" w:eastAsia="zh-CN"/>
        </w:rPr>
        <w:t>1</w:t>
      </w:r>
      <w:r>
        <w:rPr>
          <w:rFonts w:hint="default"/>
          <w:highlight w:val="none"/>
        </w:rPr>
        <w:t>.1</w:t>
      </w:r>
      <w:r>
        <w:rPr>
          <w:rFonts w:hint="eastAsia"/>
          <w:highlight w:val="none"/>
          <w:lang w:val="en-US" w:eastAsia="zh-CN"/>
        </w:rPr>
        <w:t>现有</w:t>
      </w:r>
      <w:r>
        <w:rPr>
          <w:rFonts w:hint="default"/>
          <w:highlight w:val="none"/>
        </w:rPr>
        <w:t>项目</w:t>
      </w:r>
      <w:r>
        <w:rPr>
          <w:rFonts w:hint="eastAsia"/>
          <w:highlight w:val="none"/>
          <w:lang w:val="en-US" w:eastAsia="zh-CN"/>
        </w:rPr>
        <w:t>现状</w:t>
      </w:r>
    </w:p>
    <w:p w14:paraId="243CC3DF">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项目名称：</w:t>
      </w:r>
      <w:r>
        <w:rPr>
          <w:rFonts w:hint="default" w:ascii="Times New Roman" w:hAnsi="Times New Roman" w:eastAsia="宋体" w:cs="Times New Roman"/>
          <w:snapToGrid w:val="0"/>
          <w:color w:val="auto"/>
          <w:highlight w:val="none"/>
          <w:lang w:val="en-US" w:eastAsia="zh-CN"/>
        </w:rPr>
        <w:t>密山市青辉禽畜养殖专业合作社新建猪场项目</w:t>
      </w:r>
    </w:p>
    <w:p w14:paraId="45B29B99">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snapToGrid w:val="0"/>
          <w:color w:val="auto"/>
          <w:highlight w:val="none"/>
        </w:rPr>
        <w:t>建设单位：</w:t>
      </w:r>
      <w:r>
        <w:rPr>
          <w:rFonts w:hint="eastAsia" w:ascii="Times New Roman" w:hAnsi="Times New Roman" w:cs="Times New Roman"/>
          <w:snapToGrid w:val="0"/>
          <w:color w:val="auto"/>
          <w:highlight w:val="none"/>
          <w:lang w:eastAsia="zh-CN"/>
        </w:rPr>
        <w:t>密山市青辉禽畜养殖专业合作社</w:t>
      </w:r>
    </w:p>
    <w:p w14:paraId="5C41912D">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建设地点：</w:t>
      </w:r>
      <w:r>
        <w:rPr>
          <w:rFonts w:hint="eastAsia" w:ascii="Times New Roman" w:hAnsi="Times New Roman" w:cs="Times New Roman"/>
          <w:snapToGrid w:val="0"/>
          <w:color w:val="auto"/>
          <w:highlight w:val="none"/>
          <w:lang w:eastAsia="zh-CN"/>
        </w:rPr>
        <w:t>鸡西市密山市柳毛乡团结村4组</w:t>
      </w:r>
    </w:p>
    <w:p w14:paraId="75F8092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建设性质：</w:t>
      </w:r>
      <w:r>
        <w:rPr>
          <w:rFonts w:hint="eastAsia" w:ascii="Times New Roman" w:hAnsi="Times New Roman" w:cs="Times New Roman"/>
          <w:color w:val="auto"/>
          <w:highlight w:val="none"/>
          <w:lang w:val="en-US" w:eastAsia="zh-CN"/>
        </w:rPr>
        <w:t>已建</w:t>
      </w:r>
    </w:p>
    <w:p w14:paraId="4A542BE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工程投资：</w:t>
      </w:r>
      <w:r>
        <w:rPr>
          <w:rFonts w:hint="eastAsia" w:ascii="Times New Roman" w:hAnsi="Times New Roman" w:cs="Times New Roman"/>
          <w:color w:val="auto"/>
          <w:highlight w:val="none"/>
          <w:lang w:val="en-US" w:eastAsia="zh-CN"/>
        </w:rPr>
        <w:t>740</w:t>
      </w:r>
      <w:r>
        <w:rPr>
          <w:rFonts w:hint="default" w:ascii="Times New Roman" w:hAnsi="Times New Roman" w:eastAsia="宋体" w:cs="Times New Roman"/>
          <w:color w:val="auto"/>
          <w:highlight w:val="none"/>
        </w:rPr>
        <w:t>万元</w:t>
      </w:r>
    </w:p>
    <w:p w14:paraId="35D8B2E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占地面积：</w:t>
      </w:r>
      <w:r>
        <w:rPr>
          <w:rFonts w:hint="eastAsia" w:ascii="Times New Roman" w:hAnsi="Times New Roman" w:cs="Times New Roman"/>
          <w:snapToGrid w:val="0"/>
          <w:color w:val="auto"/>
          <w:highlight w:val="none"/>
          <w:lang w:val="en-US" w:eastAsia="zh-CN"/>
        </w:rPr>
        <w:t>39186.54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p>
    <w:p w14:paraId="6D1DBEB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占地类型：</w:t>
      </w:r>
      <w:r>
        <w:rPr>
          <w:rFonts w:hint="eastAsia" w:ascii="Times New Roman" w:hAnsi="Times New Roman" w:cs="Times New Roman"/>
          <w:snapToGrid w:val="0"/>
          <w:color w:val="auto"/>
          <w:highlight w:val="none"/>
          <w:lang w:val="en-US" w:eastAsia="zh-CN"/>
        </w:rPr>
        <w:t>设施农</w:t>
      </w:r>
      <w:r>
        <w:rPr>
          <w:rFonts w:hint="default" w:ascii="Times New Roman" w:hAnsi="Times New Roman" w:eastAsia="宋体" w:cs="Times New Roman"/>
          <w:snapToGrid w:val="0"/>
          <w:color w:val="auto"/>
          <w:highlight w:val="none"/>
        </w:rPr>
        <w:t>用地</w:t>
      </w:r>
    </w:p>
    <w:p w14:paraId="5261A7E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建筑面积：</w:t>
      </w:r>
      <w:r>
        <w:rPr>
          <w:rFonts w:hint="default" w:ascii="Times New Roman" w:hAnsi="Times New Roman" w:cs="Times New Roman"/>
          <w:snapToGrid w:val="0"/>
          <w:color w:val="auto"/>
          <w:highlight w:val="none"/>
          <w:lang w:val="en-US" w:eastAsia="zh-CN"/>
        </w:rPr>
        <w:t>总建筑面积为</w:t>
      </w:r>
      <w:r>
        <w:rPr>
          <w:rFonts w:hint="eastAsia" w:ascii="Times New Roman" w:hAnsi="Times New Roman" w:cs="Times New Roman"/>
          <w:snapToGrid w:val="0"/>
          <w:color w:val="auto"/>
          <w:highlight w:val="none"/>
          <w:lang w:val="en-US" w:eastAsia="zh-CN"/>
        </w:rPr>
        <w:t>6048</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vertAlign w:val="baseline"/>
          <w:lang w:val="en-US" w:eastAsia="zh-CN"/>
        </w:rPr>
        <w:t>。</w:t>
      </w:r>
    </w:p>
    <w:p w14:paraId="396CD27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劳动定员及工作制度：</w:t>
      </w:r>
      <w:r>
        <w:rPr>
          <w:rFonts w:hint="default" w:ascii="Times New Roman" w:hAnsi="Times New Roman" w:cs="Times New Roman"/>
          <w:snapToGrid w:val="0"/>
          <w:color w:val="auto"/>
          <w:highlight w:val="none"/>
          <w:lang w:val="en-US" w:eastAsia="zh-CN"/>
        </w:rPr>
        <w:t>本项目劳动定员</w:t>
      </w:r>
      <w:r>
        <w:rPr>
          <w:rFonts w:hint="eastAsia" w:ascii="Times New Roman" w:hAnsi="Times New Roman" w:cs="Times New Roman"/>
          <w:snapToGrid w:val="0"/>
          <w:color w:val="auto"/>
          <w:highlight w:val="none"/>
          <w:lang w:val="en-US" w:eastAsia="zh-CN"/>
        </w:rPr>
        <w:t>8</w:t>
      </w:r>
      <w:r>
        <w:rPr>
          <w:rFonts w:hint="default" w:ascii="Times New Roman" w:hAnsi="Times New Roman" w:cs="Times New Roman"/>
          <w:snapToGrid w:val="0"/>
          <w:color w:val="auto"/>
          <w:highlight w:val="none"/>
        </w:rPr>
        <w:t>人，</w:t>
      </w:r>
      <w:r>
        <w:rPr>
          <w:rFonts w:hint="default" w:ascii="Times New Roman" w:hAnsi="Times New Roman" w:eastAsia="宋体" w:cs="Times New Roman"/>
          <w:snapToGrid w:val="0"/>
          <w:color w:val="auto"/>
          <w:highlight w:val="none"/>
        </w:rPr>
        <w:t>全年工作天数为365天，实行</w:t>
      </w:r>
      <w:r>
        <w:rPr>
          <w:rFonts w:hint="eastAsia" w:ascii="Times New Roman" w:hAnsi="Times New Roman" w:cs="Times New Roman"/>
          <w:snapToGrid w:val="0"/>
          <w:color w:val="auto"/>
          <w:highlight w:val="none"/>
          <w:lang w:val="en-US" w:eastAsia="zh-CN"/>
        </w:rPr>
        <w:t>一</w:t>
      </w:r>
      <w:r>
        <w:rPr>
          <w:rFonts w:hint="default" w:ascii="Times New Roman" w:hAnsi="Times New Roman" w:eastAsia="宋体" w:cs="Times New Roman"/>
          <w:snapToGrid w:val="0"/>
          <w:color w:val="auto"/>
          <w:highlight w:val="none"/>
        </w:rPr>
        <w:t>班制，每班8小时</w:t>
      </w:r>
      <w:r>
        <w:rPr>
          <w:rFonts w:hint="default" w:ascii="Times New Roman" w:hAnsi="Times New Roman" w:eastAsia="宋体" w:cs="Times New Roman"/>
          <w:bCs/>
          <w:color w:val="auto"/>
          <w:highlight w:val="none"/>
          <w:lang w:val="en-US" w:eastAsia="zh-CN"/>
        </w:rPr>
        <w:t>。</w:t>
      </w:r>
    </w:p>
    <w:p w14:paraId="7E51B6F4">
      <w:pPr>
        <w:pStyle w:val="7"/>
        <w:bidi w:val="0"/>
        <w:rPr>
          <w:rFonts w:hint="default"/>
          <w:highlight w:val="none"/>
        </w:rPr>
      </w:pPr>
      <w:r>
        <w:rPr>
          <w:rFonts w:hint="default"/>
          <w:highlight w:val="none"/>
        </w:rPr>
        <w:t>3.</w:t>
      </w:r>
      <w:r>
        <w:rPr>
          <w:rFonts w:hint="eastAsia"/>
          <w:highlight w:val="none"/>
          <w:lang w:val="en-US" w:eastAsia="zh-CN"/>
        </w:rPr>
        <w:t>1</w:t>
      </w:r>
      <w:r>
        <w:rPr>
          <w:rFonts w:hint="default"/>
          <w:highlight w:val="none"/>
        </w:rPr>
        <w:t>.2现有项目环评手续情况</w:t>
      </w:r>
    </w:p>
    <w:p w14:paraId="615FFDBF">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highlight w:val="none"/>
          <w:lang w:val="en-US" w:eastAsia="zh-CN"/>
        </w:rPr>
        <w:t>密山市青辉禽畜养殖专业合作社成立于2021年9月22日，注册地址位于黑龙江省鸡西市密山市柳毛乡团结村四组</w:t>
      </w:r>
      <w:r>
        <w:rPr>
          <w:rFonts w:hint="eastAsia" w:ascii="Times New Roman" w:hAnsi="Times New Roman" w:cs="Times New Roman"/>
          <w:highlight w:val="none"/>
          <w:lang w:val="en-US" w:eastAsia="zh-CN"/>
        </w:rPr>
        <w:t>。经营范围为许可项目：家禽饲养；牲畜饲养；食品销售。一般项目：鲜肉零售、鲜蛋零售、食品互联网镇售(仅销售预包装食品)；食用农产品销售。密山市青辉禽畜养殖专业合作社于2023年在</w:t>
      </w:r>
      <w:r>
        <w:rPr>
          <w:rFonts w:hint="eastAsia" w:ascii="Times New Roman" w:hAnsi="Times New Roman" w:cs="Times New Roman"/>
          <w:snapToGrid w:val="0"/>
          <w:color w:val="auto"/>
          <w:highlight w:val="none"/>
          <w:lang w:eastAsia="zh-CN"/>
        </w:rPr>
        <w:t>鸡西市密山市柳毛乡团结村4组</w:t>
      </w:r>
      <w:r>
        <w:rPr>
          <w:rFonts w:hint="eastAsia" w:ascii="Times New Roman" w:hAnsi="Times New Roman" w:cs="Times New Roman"/>
          <w:snapToGrid w:val="0"/>
          <w:color w:val="auto"/>
          <w:highlight w:val="none"/>
          <w:lang w:val="en-US" w:eastAsia="zh-CN"/>
        </w:rPr>
        <w:t>建设了猪舍6栋并配备了相应的污染处置设施，规模为年存栏生猪2400头，年出栏生猪4500头。根据《建设项目环境影响评价分类管理名录》（2021年版），密山市青辉禽畜养殖专业合作社仅需办理环评登记表即可。密山市青辉禽畜养殖专业合作社于2024年10月办理了环评登记表，备案号为：202423038200000029。于2024年7月办理了固定污染源排污登记回执，2024年11月完成固定污染源排污登记回执变更，登记编号：93230382MA1F6LNA0M001W。该项目于2024年11月投入运营。</w:t>
      </w:r>
    </w:p>
    <w:p w14:paraId="4BC1FE52">
      <w:pPr>
        <w:pStyle w:val="7"/>
        <w:bidi w:val="0"/>
        <w:rPr>
          <w:rFonts w:hint="default"/>
          <w:highlight w:val="none"/>
        </w:rPr>
      </w:pPr>
      <w:r>
        <w:rPr>
          <w:rFonts w:hint="eastAsia"/>
          <w:highlight w:val="none"/>
          <w:lang w:val="en-US" w:eastAsia="zh-CN"/>
        </w:rPr>
        <w:t>3.1.3现有项目建设内容</w:t>
      </w:r>
    </w:p>
    <w:p w14:paraId="1FDB783B">
      <w:pPr>
        <w:pStyle w:val="94"/>
        <w:ind w:firstLine="480"/>
        <w:rPr>
          <w:rFonts w:hint="default" w:ascii="Times New Roman" w:hAnsi="Times New Roman" w:eastAsia="宋体" w:cs="Times New Roman"/>
          <w:b/>
          <w:bCs w:val="0"/>
          <w:color w:val="auto"/>
          <w:sz w:val="24"/>
          <w:highlight w:val="none"/>
        </w:rPr>
      </w:pPr>
      <w:r>
        <w:rPr>
          <w:rFonts w:hint="default" w:ascii="Times New Roman" w:hAnsi="Times New Roman" w:cs="Times New Roman"/>
          <w:color w:val="auto"/>
          <w:sz w:val="24"/>
          <w:highlight w:val="none"/>
          <w:lang w:val="en-US" w:eastAsia="zh-CN"/>
        </w:rPr>
        <w:t>根据相关资料及历史影像，现有项目主要建设内容如表</w:t>
      </w:r>
      <w:r>
        <w:rPr>
          <w:rFonts w:hint="eastAsia" w:ascii="Times New Roman" w:cs="Times New Roman"/>
          <w:color w:val="auto"/>
          <w:sz w:val="24"/>
          <w:highlight w:val="none"/>
          <w:lang w:val="en-US" w:eastAsia="zh-CN"/>
        </w:rPr>
        <w:t>3.1</w:t>
      </w:r>
      <w:r>
        <w:rPr>
          <w:rFonts w:hint="default" w:ascii="Times New Roman" w:hAnsi="Times New Roman" w:cs="Times New Roman"/>
          <w:color w:val="auto"/>
          <w:sz w:val="24"/>
          <w:highlight w:val="none"/>
          <w:lang w:val="en-US" w:eastAsia="zh-CN"/>
        </w:rPr>
        <w:t>-1所示。</w:t>
      </w:r>
    </w:p>
    <w:p w14:paraId="5EB279AE">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1工程组成一览表</w:t>
      </w:r>
    </w:p>
    <w:tbl>
      <w:tblPr>
        <w:tblStyle w:val="395"/>
        <w:tblpPr w:leftFromText="180" w:rightFromText="180" w:vertAnchor="text" w:tblpXSpec="center" w:tblpY="1"/>
        <w:tblW w:w="830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584"/>
        <w:gridCol w:w="1312"/>
        <w:gridCol w:w="5008"/>
        <w:gridCol w:w="659"/>
        <w:gridCol w:w="18"/>
      </w:tblGrid>
      <w:tr w14:paraId="6D259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Align w:val="center"/>
          </w:tcPr>
          <w:p w14:paraId="563D0E84">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工程类别</w:t>
            </w:r>
          </w:p>
        </w:tc>
        <w:tc>
          <w:tcPr>
            <w:tcW w:w="1896" w:type="dxa"/>
            <w:gridSpan w:val="2"/>
            <w:vAlign w:val="center"/>
          </w:tcPr>
          <w:p w14:paraId="39F94921">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工程名称</w:t>
            </w:r>
          </w:p>
        </w:tc>
        <w:tc>
          <w:tcPr>
            <w:tcW w:w="5008" w:type="dxa"/>
            <w:vAlign w:val="center"/>
          </w:tcPr>
          <w:p w14:paraId="14428C22">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建设内容及规模</w:t>
            </w:r>
          </w:p>
        </w:tc>
        <w:tc>
          <w:tcPr>
            <w:tcW w:w="659" w:type="dxa"/>
            <w:vAlign w:val="center"/>
          </w:tcPr>
          <w:p w14:paraId="4C1C4A5F">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备注</w:t>
            </w:r>
          </w:p>
        </w:tc>
      </w:tr>
      <w:tr w14:paraId="549EE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restart"/>
            <w:vAlign w:val="center"/>
          </w:tcPr>
          <w:p w14:paraId="4661FD12">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eastAsia="zh-CN"/>
              </w:rPr>
              <w:t>主体工程</w:t>
            </w:r>
          </w:p>
        </w:tc>
        <w:tc>
          <w:tcPr>
            <w:tcW w:w="1896" w:type="dxa"/>
            <w:gridSpan w:val="2"/>
            <w:vAlign w:val="center"/>
          </w:tcPr>
          <w:p w14:paraId="481C5DC3">
            <w:pPr>
              <w:pStyle w:val="152"/>
              <w:adjustRightInd w:val="0"/>
              <w:snapToGrid w:val="0"/>
              <w:rPr>
                <w:rFonts w:hint="default" w:ascii="Times New Roman" w:hAnsi="Times New Roman" w:eastAsia="宋体" w:cs="Times New Roman"/>
                <w:snapToGrid w:val="0"/>
                <w:color w:val="auto"/>
                <w:szCs w:val="21"/>
                <w:highlight w:val="none"/>
                <w:lang w:val="en-US"/>
              </w:rPr>
            </w:pPr>
            <w:r>
              <w:rPr>
                <w:rFonts w:hint="eastAsia" w:ascii="Times New Roman" w:hAnsi="Times New Roman" w:cs="Times New Roman"/>
                <w:snapToGrid w:val="0"/>
                <w:szCs w:val="21"/>
                <w:highlight w:val="none"/>
                <w:lang w:val="en-US"/>
              </w:rPr>
              <w:t>配种舍</w:t>
            </w:r>
          </w:p>
        </w:tc>
        <w:tc>
          <w:tcPr>
            <w:tcW w:w="5008" w:type="dxa"/>
            <w:vAlign w:val="center"/>
          </w:tcPr>
          <w:p w14:paraId="52FF797C">
            <w:pPr>
              <w:pStyle w:val="152"/>
              <w:adjustRightInd w:val="0"/>
              <w:snapToGrid w:val="0"/>
              <w:jc w:val="both"/>
              <w:rPr>
                <w:rFonts w:hint="eastAsia"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eastAsia="zh-CN"/>
              </w:rPr>
              <w:t>2</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szCs w:val="21"/>
                <w:highlight w:val="none"/>
                <w:lang w:val="en-US"/>
              </w:rPr>
              <w:t>，一层，</w:t>
            </w:r>
            <w:r>
              <w:rPr>
                <w:rFonts w:hint="eastAsia" w:ascii="Times New Roman" w:hAnsi="Times New Roman" w:cs="Times New Roman"/>
                <w:snapToGrid w:val="0"/>
                <w:szCs w:val="21"/>
                <w:highlight w:val="none"/>
                <w:lang w:val="en-US" w:eastAsia="zh-CN"/>
              </w:rPr>
              <w:t>1#配种舍350</w:t>
            </w:r>
            <w:r>
              <w:rPr>
                <w:rFonts w:hint="eastAsia" w:ascii="Times New Roman" w:hAnsi="Times New Roman" w:cs="Times New Roman"/>
                <w:snapToGrid w:val="0"/>
                <w:szCs w:val="21"/>
                <w:highlight w:val="none"/>
                <w:lang w:val="en-US"/>
              </w:rPr>
              <w:t>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w:t>
            </w:r>
            <w:r>
              <w:rPr>
                <w:rFonts w:hint="eastAsia" w:ascii="Times New Roman" w:hAnsi="Times New Roman" w:cs="Times New Roman"/>
                <w:snapToGrid w:val="0"/>
                <w:szCs w:val="21"/>
                <w:highlight w:val="none"/>
                <w:lang w:val="en-US" w:eastAsia="zh-CN"/>
              </w:rPr>
              <w:t>2#配种舍350</w:t>
            </w:r>
            <w:r>
              <w:rPr>
                <w:rFonts w:hint="eastAsia" w:ascii="Times New Roman" w:hAnsi="Times New Roman" w:cs="Times New Roman"/>
                <w:snapToGrid w:val="0"/>
                <w:szCs w:val="21"/>
                <w:highlight w:val="none"/>
                <w:lang w:val="en-US"/>
              </w:rPr>
              <w:t>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w:t>
            </w:r>
            <w:r>
              <w:rPr>
                <w:rFonts w:hint="eastAsia" w:ascii="Times New Roman" w:hAnsi="Times New Roman" w:cs="Times New Roman"/>
                <w:snapToGrid w:val="0"/>
                <w:szCs w:val="21"/>
                <w:highlight w:val="none"/>
                <w:lang w:val="en-US" w:eastAsia="zh-CN"/>
              </w:rPr>
              <w:t>共</w:t>
            </w:r>
            <w:r>
              <w:rPr>
                <w:rFonts w:hint="eastAsia" w:ascii="Times New Roman" w:hAnsi="Times New Roman" w:cs="Times New Roman"/>
                <w:snapToGrid w:val="0"/>
                <w:szCs w:val="21"/>
                <w:highlight w:val="none"/>
                <w:lang w:val="en-US"/>
              </w:rPr>
              <w:t>安装268个限位栏，用于妊娠母猪饲养</w:t>
            </w:r>
            <w:r>
              <w:rPr>
                <w:rFonts w:hint="eastAsia" w:ascii="Times New Roman" w:hAnsi="Times New Roman" w:cs="Times New Roman"/>
                <w:snapToGrid w:val="0"/>
                <w:szCs w:val="21"/>
                <w:highlight w:val="none"/>
                <w:lang w:val="en-US" w:eastAsia="zh-CN"/>
              </w:rPr>
              <w:t>。</w:t>
            </w:r>
          </w:p>
        </w:tc>
        <w:tc>
          <w:tcPr>
            <w:tcW w:w="659" w:type="dxa"/>
            <w:vAlign w:val="center"/>
          </w:tcPr>
          <w:p w14:paraId="70E7F114">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32C63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882A51C">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vAlign w:val="center"/>
          </w:tcPr>
          <w:p w14:paraId="2802D4D8">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分娩舍</w:t>
            </w:r>
          </w:p>
        </w:tc>
        <w:tc>
          <w:tcPr>
            <w:tcW w:w="5008" w:type="dxa"/>
            <w:vAlign w:val="center"/>
          </w:tcPr>
          <w:p w14:paraId="39BAC973">
            <w:pPr>
              <w:pStyle w:val="152"/>
              <w:adjustRightInd w:val="0"/>
              <w:snapToGrid w:val="0"/>
              <w:jc w:val="both"/>
              <w:rPr>
                <w:rFonts w:hint="eastAsia"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1</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szCs w:val="21"/>
                <w:highlight w:val="none"/>
                <w:lang w:val="en-US"/>
              </w:rPr>
              <w:t>，一层，360m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w:t>
            </w:r>
            <w:r>
              <w:rPr>
                <w:rFonts w:hint="eastAsia" w:ascii="Times New Roman" w:hAnsi="Times New Roman" w:cs="Times New Roman"/>
                <w:snapToGrid w:val="0"/>
                <w:szCs w:val="21"/>
                <w:highlight w:val="none"/>
                <w:lang w:val="en-US" w:eastAsia="zh-CN"/>
              </w:rPr>
              <w:t>房，</w:t>
            </w:r>
            <w:r>
              <w:rPr>
                <w:rFonts w:hint="eastAsia" w:ascii="Times New Roman" w:hAnsi="Times New Roman" w:cs="Times New Roman"/>
                <w:snapToGrid w:val="0"/>
                <w:szCs w:val="21"/>
                <w:highlight w:val="none"/>
                <w:lang w:val="en-US"/>
              </w:rPr>
              <w:t>安装48个分娩床，用于哺乳母猪及哺乳仔猪饲养</w:t>
            </w:r>
            <w:r>
              <w:rPr>
                <w:rFonts w:hint="eastAsia" w:ascii="Times New Roman" w:hAnsi="Times New Roman" w:cs="Times New Roman"/>
                <w:snapToGrid w:val="0"/>
                <w:szCs w:val="21"/>
                <w:highlight w:val="none"/>
                <w:lang w:val="en-US" w:eastAsia="zh-CN"/>
              </w:rPr>
              <w:t>。</w:t>
            </w:r>
          </w:p>
        </w:tc>
        <w:tc>
          <w:tcPr>
            <w:tcW w:w="659" w:type="dxa"/>
            <w:vAlign w:val="center"/>
          </w:tcPr>
          <w:p w14:paraId="6E16FD68">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67D39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63FD37E3">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vAlign w:val="center"/>
          </w:tcPr>
          <w:p w14:paraId="0AFEE790">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保育舍</w:t>
            </w:r>
          </w:p>
        </w:tc>
        <w:tc>
          <w:tcPr>
            <w:tcW w:w="5008" w:type="dxa"/>
            <w:vAlign w:val="center"/>
          </w:tcPr>
          <w:p w14:paraId="68C03281">
            <w:pPr>
              <w:pStyle w:val="152"/>
              <w:adjustRightInd w:val="0"/>
              <w:snapToGrid w:val="0"/>
              <w:jc w:val="both"/>
              <w:rPr>
                <w:rFonts w:hint="eastAsia"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1</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szCs w:val="21"/>
                <w:highlight w:val="none"/>
                <w:lang w:val="en-US"/>
              </w:rPr>
              <w:t>，一层，440m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厂房，安装32套保育床，用于断奶仔猪饲养</w:t>
            </w:r>
            <w:r>
              <w:rPr>
                <w:rFonts w:hint="eastAsia" w:ascii="Times New Roman" w:hAnsi="Times New Roman" w:cs="Times New Roman"/>
                <w:snapToGrid w:val="0"/>
                <w:szCs w:val="21"/>
                <w:highlight w:val="none"/>
                <w:lang w:val="en-US" w:eastAsia="zh-CN"/>
              </w:rPr>
              <w:t>。</w:t>
            </w:r>
          </w:p>
        </w:tc>
        <w:tc>
          <w:tcPr>
            <w:tcW w:w="659" w:type="dxa"/>
            <w:vAlign w:val="center"/>
          </w:tcPr>
          <w:p w14:paraId="59DC0A34">
            <w:pPr>
              <w:adjustRightInd w:val="0"/>
              <w:snapToGrid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352D04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519" w:hRule="atLeast"/>
        </w:trPr>
        <w:tc>
          <w:tcPr>
            <w:tcW w:w="728" w:type="dxa"/>
            <w:vMerge w:val="continue"/>
            <w:vAlign w:val="center"/>
          </w:tcPr>
          <w:p w14:paraId="7793E2B8">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vAlign w:val="center"/>
          </w:tcPr>
          <w:p w14:paraId="62E22B8A">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后备舍</w:t>
            </w:r>
          </w:p>
        </w:tc>
        <w:tc>
          <w:tcPr>
            <w:tcW w:w="5008" w:type="dxa"/>
            <w:vAlign w:val="center"/>
          </w:tcPr>
          <w:p w14:paraId="4658ACCE">
            <w:pPr>
              <w:pStyle w:val="152"/>
              <w:adjustRightInd w:val="0"/>
              <w:snapToGrid w:val="0"/>
              <w:jc w:val="both"/>
              <w:rPr>
                <w:rFonts w:hint="eastAsia"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2</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szCs w:val="21"/>
                <w:highlight w:val="none"/>
                <w:lang w:val="en-US"/>
              </w:rPr>
              <w:t>，一层，1#后备舍1000m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厂房，2#后备舍1000m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厂房，共安装64个后备栏，用于后备猪饲养</w:t>
            </w:r>
            <w:r>
              <w:rPr>
                <w:rFonts w:hint="eastAsia" w:ascii="Times New Roman" w:hAnsi="Times New Roman" w:cs="Times New Roman"/>
                <w:snapToGrid w:val="0"/>
                <w:szCs w:val="21"/>
                <w:highlight w:val="none"/>
                <w:lang w:val="en-US" w:eastAsia="zh-CN"/>
              </w:rPr>
              <w:t>。</w:t>
            </w:r>
          </w:p>
        </w:tc>
        <w:tc>
          <w:tcPr>
            <w:tcW w:w="659" w:type="dxa"/>
            <w:vAlign w:val="center"/>
          </w:tcPr>
          <w:p w14:paraId="395B32FC">
            <w:pPr>
              <w:pStyle w:val="152"/>
              <w:adjustRightInd w:val="0"/>
              <w:snapToGrid w:val="0"/>
              <w:jc w:val="both"/>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Cs w:val="21"/>
                <w:highlight w:val="none"/>
                <w:lang w:val="en-US" w:eastAsia="zh-CN"/>
              </w:rPr>
              <w:t>现有</w:t>
            </w:r>
          </w:p>
        </w:tc>
      </w:tr>
      <w:tr w14:paraId="34DB8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6" w:hRule="atLeast"/>
        </w:trPr>
        <w:tc>
          <w:tcPr>
            <w:tcW w:w="728" w:type="dxa"/>
            <w:vMerge w:val="restart"/>
            <w:vAlign w:val="center"/>
          </w:tcPr>
          <w:p w14:paraId="36B74D2D">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eastAsia="zh-CN"/>
              </w:rPr>
              <w:t>辅助</w:t>
            </w:r>
            <w:r>
              <w:rPr>
                <w:rFonts w:hint="default" w:ascii="Times New Roman" w:hAnsi="Times New Roman" w:eastAsia="宋体" w:cs="Times New Roman"/>
                <w:snapToGrid w:val="0"/>
                <w:color w:val="auto"/>
                <w:szCs w:val="21"/>
                <w:highlight w:val="none"/>
              </w:rPr>
              <w:t>工程</w:t>
            </w:r>
          </w:p>
        </w:tc>
        <w:tc>
          <w:tcPr>
            <w:tcW w:w="1896" w:type="dxa"/>
            <w:gridSpan w:val="2"/>
            <w:noWrap/>
            <w:vAlign w:val="center"/>
          </w:tcPr>
          <w:p w14:paraId="016D7FF7">
            <w:pPr>
              <w:pStyle w:val="152"/>
              <w:adjustRightInd w:val="0"/>
              <w:snapToGrid w:val="0"/>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eastAsia="宋体" w:cs="Times New Roman"/>
                <w:snapToGrid w:val="0"/>
                <w:color w:val="auto"/>
                <w:szCs w:val="21"/>
                <w:highlight w:val="none"/>
                <w:lang w:val="en-US" w:eastAsia="zh-CN" w:bidi="ar"/>
              </w:rPr>
              <w:t>综合用房</w:t>
            </w:r>
          </w:p>
        </w:tc>
        <w:tc>
          <w:tcPr>
            <w:tcW w:w="5008" w:type="dxa"/>
            <w:noWrap/>
            <w:vAlign w:val="center"/>
          </w:tcPr>
          <w:p w14:paraId="1754FD5F">
            <w:pPr>
              <w:pStyle w:val="152"/>
              <w:adjustRightInd w:val="0"/>
              <w:snapToGrid w:val="0"/>
              <w:jc w:val="both"/>
              <w:rPr>
                <w:rFonts w:hint="default" w:ascii="Times New Roman" w:hAnsi="Times New Roman" w:eastAsia="宋体" w:cs="Times New Roman"/>
                <w:snapToGrid w:val="0"/>
                <w:color w:val="auto"/>
                <w:szCs w:val="21"/>
                <w:highlight w:val="none"/>
                <w:lang w:val="en-US"/>
              </w:rPr>
            </w:pPr>
            <w:r>
              <w:rPr>
                <w:rFonts w:hint="default" w:ascii="Times New Roman" w:hAnsi="Times New Roman" w:eastAsia="宋体" w:cs="Times New Roman"/>
                <w:snapToGrid w:val="0"/>
                <w:color w:val="auto"/>
                <w:szCs w:val="21"/>
                <w:highlight w:val="none"/>
                <w:lang w:val="en-US" w:eastAsia="zh-CN"/>
              </w:rPr>
              <w:t>1</w:t>
            </w:r>
            <w:r>
              <w:rPr>
                <w:rFonts w:hint="default" w:ascii="Times New Roman" w:hAnsi="Times New Roman" w:eastAsia="宋体" w:cs="Times New Roman"/>
                <w:snapToGrid w:val="0"/>
                <w:color w:val="auto"/>
                <w:szCs w:val="21"/>
                <w:highlight w:val="none"/>
                <w:lang w:eastAsia="zh-CN"/>
              </w:rPr>
              <w:t>栋，</w:t>
            </w:r>
            <w:r>
              <w:rPr>
                <w:rFonts w:hint="default" w:ascii="Times New Roman" w:hAnsi="Times New Roman" w:eastAsia="宋体" w:cs="Times New Roman"/>
                <w:snapToGrid w:val="0"/>
                <w:color w:val="auto"/>
                <w:szCs w:val="21"/>
                <w:highlight w:val="none"/>
                <w:lang w:val="en-US" w:eastAsia="zh-CN"/>
              </w:rPr>
              <w:t>一层</w:t>
            </w:r>
            <w:r>
              <w:rPr>
                <w:rFonts w:hint="eastAsia" w:ascii="Times New Roman" w:hAnsi="Times New Roman" w:cs="Times New Roman"/>
                <w:snapToGrid w:val="0"/>
                <w:color w:val="auto"/>
                <w:szCs w:val="21"/>
                <w:highlight w:val="none"/>
                <w:lang w:val="en-US" w:eastAsia="zh-CN"/>
              </w:rPr>
              <w:t>彩钢</w:t>
            </w:r>
            <w:r>
              <w:rPr>
                <w:rFonts w:hint="default" w:ascii="Times New Roman" w:hAnsi="Times New Roman" w:eastAsia="宋体" w:cs="Times New Roman"/>
                <w:snapToGrid w:val="0"/>
                <w:color w:val="auto"/>
                <w:szCs w:val="21"/>
                <w:highlight w:val="none"/>
                <w:lang w:val="en-US" w:eastAsia="zh-CN"/>
              </w:rPr>
              <w:t>结构，</w:t>
            </w:r>
            <w:r>
              <w:rPr>
                <w:rFonts w:hint="default" w:ascii="Times New Roman" w:hAnsi="Times New Roman" w:eastAsia="宋体" w:cs="Times New Roman"/>
                <w:snapToGrid w:val="0"/>
                <w:color w:val="auto"/>
                <w:szCs w:val="21"/>
                <w:highlight w:val="none"/>
                <w:lang w:eastAsia="zh-CN"/>
              </w:rPr>
              <w:t>建筑面积为</w:t>
            </w:r>
            <w:r>
              <w:rPr>
                <w:rFonts w:hint="eastAsia" w:ascii="Times New Roman" w:hAnsi="Times New Roman" w:cs="Times New Roman"/>
                <w:snapToGrid w:val="0"/>
                <w:color w:val="auto"/>
                <w:szCs w:val="21"/>
                <w:highlight w:val="none"/>
                <w:lang w:val="en-US" w:eastAsia="zh-CN"/>
              </w:rPr>
              <w:t>300</w:t>
            </w:r>
            <w:r>
              <w:rPr>
                <w:rFonts w:hint="default" w:ascii="Times New Roman" w:hAnsi="Times New Roman" w:eastAsia="宋体" w:cs="Times New Roman"/>
                <w:snapToGrid w:val="0"/>
                <w:color w:val="auto"/>
                <w:szCs w:val="21"/>
                <w:highlight w:val="none"/>
                <w:lang w:eastAsia="zh-CN"/>
              </w:rPr>
              <w:t>m</w:t>
            </w:r>
            <w:r>
              <w:rPr>
                <w:rFonts w:hint="default" w:ascii="Times New Roman" w:hAnsi="Times New Roman" w:eastAsia="宋体" w:cs="Times New Roman"/>
                <w:snapToGrid w:val="0"/>
                <w:color w:val="auto"/>
                <w:szCs w:val="21"/>
                <w:highlight w:val="none"/>
                <w:vertAlign w:val="superscript"/>
                <w:lang w:eastAsia="zh-CN"/>
              </w:rPr>
              <w:t>2</w:t>
            </w:r>
            <w:r>
              <w:rPr>
                <w:rFonts w:hint="default" w:ascii="Times New Roman" w:hAnsi="Times New Roman" w:eastAsia="宋体" w:cs="Times New Roman"/>
                <w:snapToGrid w:val="0"/>
                <w:color w:val="auto"/>
                <w:szCs w:val="21"/>
                <w:highlight w:val="none"/>
                <w:lang w:eastAsia="zh-CN"/>
              </w:rPr>
              <w:t>。</w:t>
            </w:r>
            <w:r>
              <w:rPr>
                <w:rFonts w:hint="default" w:ascii="Times New Roman" w:hAnsi="Times New Roman" w:eastAsia="宋体" w:cs="Times New Roman"/>
                <w:snapToGrid w:val="0"/>
                <w:color w:val="auto"/>
                <w:szCs w:val="21"/>
                <w:highlight w:val="none"/>
                <w:lang w:val="en-US" w:eastAsia="zh-CN"/>
              </w:rPr>
              <w:t>用于工作人员办公</w:t>
            </w:r>
            <w:r>
              <w:rPr>
                <w:rFonts w:hint="eastAsia" w:ascii="Times New Roman" w:hAnsi="Times New Roman" w:cs="Times New Roman"/>
                <w:snapToGrid w:val="0"/>
                <w:color w:val="auto"/>
                <w:szCs w:val="21"/>
                <w:highlight w:val="none"/>
                <w:lang w:val="en-US" w:eastAsia="zh-CN"/>
              </w:rPr>
              <w:t>和休息。</w:t>
            </w:r>
          </w:p>
        </w:tc>
        <w:tc>
          <w:tcPr>
            <w:tcW w:w="659" w:type="dxa"/>
            <w:vAlign w:val="center"/>
          </w:tcPr>
          <w:p w14:paraId="72212C65">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7C59BB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6" w:hRule="atLeast"/>
        </w:trPr>
        <w:tc>
          <w:tcPr>
            <w:tcW w:w="728" w:type="dxa"/>
            <w:vMerge w:val="continue"/>
            <w:vAlign w:val="center"/>
          </w:tcPr>
          <w:p w14:paraId="563EC809">
            <w:pPr>
              <w:pStyle w:val="152"/>
              <w:adjustRightInd w:val="0"/>
              <w:snapToGrid w:val="0"/>
              <w:rPr>
                <w:rFonts w:hint="default" w:ascii="Times New Roman" w:hAnsi="Times New Roman" w:eastAsia="宋体" w:cs="Times New Roman"/>
                <w:snapToGrid w:val="0"/>
                <w:color w:val="auto"/>
                <w:szCs w:val="21"/>
                <w:highlight w:val="none"/>
                <w:lang w:eastAsia="zh-CN"/>
              </w:rPr>
            </w:pPr>
          </w:p>
        </w:tc>
        <w:tc>
          <w:tcPr>
            <w:tcW w:w="1896" w:type="dxa"/>
            <w:gridSpan w:val="2"/>
            <w:noWrap/>
            <w:vAlign w:val="center"/>
          </w:tcPr>
          <w:p w14:paraId="5B785448">
            <w:pPr>
              <w:pStyle w:val="152"/>
              <w:adjustRightInd w:val="0"/>
              <w:snapToGrid w:val="0"/>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eastAsia="宋体" w:cs="Times New Roman"/>
                <w:snapToGrid w:val="0"/>
                <w:color w:val="auto"/>
                <w:szCs w:val="21"/>
                <w:highlight w:val="none"/>
                <w:lang w:val="en-US" w:eastAsia="zh-CN" w:bidi="ar"/>
              </w:rPr>
              <w:t>兽医室</w:t>
            </w:r>
          </w:p>
        </w:tc>
        <w:tc>
          <w:tcPr>
            <w:tcW w:w="5008" w:type="dxa"/>
            <w:noWrap/>
            <w:vAlign w:val="center"/>
          </w:tcPr>
          <w:p w14:paraId="72AF8D3F">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1</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color w:val="auto"/>
                <w:szCs w:val="21"/>
                <w:highlight w:val="none"/>
                <w:lang w:val="en-US" w:eastAsia="zh-CN"/>
              </w:rPr>
              <w:t>位于综合用房旁</w:t>
            </w:r>
            <w:r>
              <w:rPr>
                <w:rFonts w:hint="default" w:ascii="Times New Roman" w:hAnsi="Times New Roman" w:eastAsia="宋体" w:cs="Times New Roman"/>
                <w:snapToGrid w:val="0"/>
                <w:color w:val="auto"/>
                <w:szCs w:val="21"/>
                <w:highlight w:val="none"/>
                <w:lang w:val="en-US" w:eastAsia="zh-CN"/>
              </w:rPr>
              <w:t>，</w:t>
            </w:r>
            <w:r>
              <w:rPr>
                <w:rFonts w:hint="eastAsia" w:ascii="Times New Roman" w:hAnsi="Times New Roman" w:cs="Times New Roman"/>
                <w:snapToGrid w:val="0"/>
                <w:color w:val="auto"/>
                <w:szCs w:val="21"/>
                <w:highlight w:val="none"/>
                <w:lang w:val="en-US" w:eastAsia="zh-CN"/>
              </w:rPr>
              <w:t>占地</w:t>
            </w:r>
            <w:r>
              <w:rPr>
                <w:rFonts w:hint="default" w:ascii="Times New Roman" w:hAnsi="Times New Roman" w:eastAsia="宋体" w:cs="Times New Roman"/>
                <w:snapToGrid w:val="0"/>
                <w:color w:val="auto"/>
                <w:szCs w:val="21"/>
                <w:highlight w:val="none"/>
                <w:lang w:eastAsia="zh-CN"/>
              </w:rPr>
              <w:t>面积为</w:t>
            </w:r>
            <w:r>
              <w:rPr>
                <w:rFonts w:hint="eastAsia" w:ascii="Times New Roman" w:hAnsi="Times New Roman" w:cs="Times New Roman"/>
                <w:snapToGrid w:val="0"/>
                <w:color w:val="auto"/>
                <w:szCs w:val="21"/>
                <w:highlight w:val="none"/>
                <w:lang w:val="en-US" w:eastAsia="zh-CN"/>
              </w:rPr>
              <w:t>70</w:t>
            </w:r>
            <w:r>
              <w:rPr>
                <w:rFonts w:hint="default" w:ascii="Times New Roman" w:hAnsi="Times New Roman" w:eastAsia="宋体" w:cs="Times New Roman"/>
                <w:snapToGrid w:val="0"/>
                <w:color w:val="auto"/>
                <w:szCs w:val="21"/>
                <w:highlight w:val="none"/>
                <w:lang w:eastAsia="zh-CN"/>
              </w:rPr>
              <w:t>m</w:t>
            </w:r>
            <w:r>
              <w:rPr>
                <w:rFonts w:hint="default" w:ascii="Times New Roman" w:hAnsi="Times New Roman" w:eastAsia="宋体" w:cs="Times New Roman"/>
                <w:snapToGrid w:val="0"/>
                <w:color w:val="auto"/>
                <w:szCs w:val="21"/>
                <w:highlight w:val="none"/>
                <w:vertAlign w:val="superscript"/>
                <w:lang w:eastAsia="zh-CN"/>
              </w:rPr>
              <w:t>2</w:t>
            </w:r>
            <w:r>
              <w:rPr>
                <w:rFonts w:hint="eastAsia" w:ascii="Times New Roman" w:hAnsi="Times New Roman" w:cs="Times New Roman"/>
                <w:snapToGrid w:val="0"/>
                <w:color w:val="auto"/>
                <w:szCs w:val="21"/>
                <w:highlight w:val="none"/>
                <w:vertAlign w:val="baseline"/>
                <w:lang w:eastAsia="zh-CN"/>
              </w:rPr>
              <w:t>，</w:t>
            </w:r>
            <w:r>
              <w:rPr>
                <w:rFonts w:hint="default" w:ascii="Times New Roman" w:hAnsi="Times New Roman" w:eastAsia="宋体" w:cs="Times New Roman"/>
                <w:snapToGrid w:val="0"/>
                <w:color w:val="auto"/>
                <w:szCs w:val="21"/>
                <w:highlight w:val="none"/>
                <w:lang w:eastAsia="zh-CN"/>
              </w:rPr>
              <w:t>建筑面积为</w:t>
            </w:r>
            <w:r>
              <w:rPr>
                <w:rFonts w:hint="eastAsia" w:ascii="Times New Roman" w:hAnsi="Times New Roman" w:cs="Times New Roman"/>
                <w:snapToGrid w:val="0"/>
                <w:color w:val="auto"/>
                <w:szCs w:val="21"/>
                <w:highlight w:val="none"/>
                <w:lang w:val="en-US" w:eastAsia="zh-CN"/>
              </w:rPr>
              <w:t>70</w:t>
            </w:r>
            <w:r>
              <w:rPr>
                <w:rFonts w:hint="default" w:ascii="Times New Roman" w:hAnsi="Times New Roman" w:eastAsia="宋体" w:cs="Times New Roman"/>
                <w:snapToGrid w:val="0"/>
                <w:color w:val="auto"/>
                <w:szCs w:val="21"/>
                <w:highlight w:val="none"/>
                <w:lang w:eastAsia="zh-CN"/>
              </w:rPr>
              <w:t>m</w:t>
            </w:r>
            <w:r>
              <w:rPr>
                <w:rFonts w:hint="default" w:ascii="Times New Roman" w:hAnsi="Times New Roman" w:eastAsia="宋体" w:cs="Times New Roman"/>
                <w:snapToGrid w:val="0"/>
                <w:color w:val="auto"/>
                <w:szCs w:val="21"/>
                <w:highlight w:val="none"/>
                <w:vertAlign w:val="superscript"/>
                <w:lang w:eastAsia="zh-CN"/>
              </w:rPr>
              <w:t>2</w:t>
            </w:r>
            <w:r>
              <w:rPr>
                <w:rFonts w:hint="default" w:ascii="Times New Roman" w:hAnsi="Times New Roman" w:eastAsia="宋体" w:cs="Times New Roman"/>
                <w:snapToGrid w:val="0"/>
                <w:color w:val="auto"/>
                <w:szCs w:val="21"/>
                <w:highlight w:val="none"/>
                <w:lang w:eastAsia="zh-CN"/>
              </w:rPr>
              <w:t>。</w:t>
            </w:r>
            <w:r>
              <w:rPr>
                <w:rFonts w:hint="eastAsia" w:ascii="Times New Roman" w:hAnsi="Times New Roman" w:cs="Times New Roman"/>
                <w:snapToGrid w:val="0"/>
                <w:color w:val="auto"/>
                <w:szCs w:val="21"/>
                <w:highlight w:val="none"/>
                <w:lang w:val="en-US" w:eastAsia="zh-CN"/>
              </w:rPr>
              <w:t>用于猪的治疗。</w:t>
            </w:r>
          </w:p>
        </w:tc>
        <w:tc>
          <w:tcPr>
            <w:tcW w:w="659" w:type="dxa"/>
            <w:vAlign w:val="center"/>
          </w:tcPr>
          <w:p w14:paraId="49061A88">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14F29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395" w:hRule="atLeast"/>
        </w:trPr>
        <w:tc>
          <w:tcPr>
            <w:tcW w:w="728" w:type="dxa"/>
            <w:vMerge w:val="continue"/>
            <w:vAlign w:val="center"/>
          </w:tcPr>
          <w:p w14:paraId="48F0D50D">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0499E400">
            <w:pPr>
              <w:pStyle w:val="152"/>
              <w:adjustRightInd w:val="0"/>
              <w:snapToGrid w:val="0"/>
              <w:rPr>
                <w:rFonts w:hint="default" w:ascii="Times New Roman" w:hAnsi="Times New Roman" w:eastAsia="宋体" w:cs="Times New Roman"/>
                <w:snapToGrid w:val="0"/>
                <w:color w:val="auto"/>
                <w:szCs w:val="21"/>
                <w:highlight w:val="none"/>
                <w:lang w:val="en-US" w:eastAsia="zh-CN" w:bidi="ar"/>
              </w:rPr>
            </w:pPr>
            <w:r>
              <w:rPr>
                <w:rFonts w:hint="eastAsia" w:ascii="Times New Roman" w:hAnsi="Times New Roman" w:cs="Times New Roman"/>
                <w:snapToGrid w:val="0"/>
                <w:color w:val="auto"/>
                <w:szCs w:val="21"/>
                <w:highlight w:val="none"/>
                <w:lang w:val="en-US" w:eastAsia="zh-CN"/>
              </w:rPr>
              <w:t>洗消车间</w:t>
            </w:r>
          </w:p>
        </w:tc>
        <w:tc>
          <w:tcPr>
            <w:tcW w:w="5008" w:type="dxa"/>
            <w:noWrap/>
            <w:vAlign w:val="center"/>
          </w:tcPr>
          <w:p w14:paraId="59D918CE">
            <w:pPr>
              <w:pStyle w:val="152"/>
              <w:adjustRightInd w:val="0"/>
              <w:snapToGrid w:val="0"/>
              <w:jc w:val="both"/>
              <w:rPr>
                <w:rFonts w:hint="default" w:ascii="Times New Roman" w:hAnsi="Times New Roman" w:eastAsia="宋体" w:cs="Times New Roman"/>
                <w:snapToGrid w:val="0"/>
                <w:color w:val="auto"/>
                <w:szCs w:val="21"/>
                <w:highlight w:val="none"/>
                <w:lang w:val="en-US"/>
              </w:rPr>
            </w:pPr>
            <w:r>
              <w:rPr>
                <w:rFonts w:hint="eastAsia" w:ascii="Times New Roman" w:hAnsi="Times New Roman" w:cs="Times New Roman"/>
                <w:snapToGrid w:val="0"/>
                <w:color w:val="auto"/>
                <w:szCs w:val="21"/>
                <w:highlight w:val="none"/>
                <w:lang w:val="en-US" w:eastAsia="zh-CN"/>
              </w:rPr>
              <w:t>1栋，一层，彩钢结构，占地面积为90m</w:t>
            </w:r>
            <w:r>
              <w:rPr>
                <w:rFonts w:hint="eastAsia" w:ascii="Times New Roman" w:hAnsi="Times New Roman" w:cs="Times New Roman"/>
                <w:snapToGrid w:val="0"/>
                <w:color w:val="auto"/>
                <w:szCs w:val="21"/>
                <w:highlight w:val="none"/>
                <w:vertAlign w:val="superscript"/>
                <w:lang w:val="en-US" w:eastAsia="zh-CN"/>
              </w:rPr>
              <w:t>2</w:t>
            </w:r>
            <w:r>
              <w:rPr>
                <w:rFonts w:hint="eastAsia" w:ascii="Times New Roman" w:hAnsi="Times New Roman"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rPr>
              <w:t>建筑面积为</w:t>
            </w:r>
            <w:r>
              <w:rPr>
                <w:rFonts w:hint="eastAsia" w:ascii="Times New Roman" w:hAnsi="Times New Roman" w:cs="Times New Roman"/>
                <w:snapToGrid w:val="0"/>
                <w:color w:val="auto"/>
                <w:szCs w:val="21"/>
                <w:highlight w:val="none"/>
                <w:lang w:val="en-US" w:eastAsia="zh-CN"/>
              </w:rPr>
              <w:t>90</w:t>
            </w:r>
            <w:r>
              <w:rPr>
                <w:rFonts w:hint="default" w:ascii="Times New Roman" w:hAnsi="Times New Roman" w:eastAsia="宋体" w:cs="Times New Roman"/>
                <w:snapToGrid w:val="0"/>
                <w:color w:val="auto"/>
                <w:szCs w:val="21"/>
                <w:highlight w:val="none"/>
              </w:rPr>
              <w:t>m</w:t>
            </w:r>
            <w:r>
              <w:rPr>
                <w:rFonts w:hint="default" w:ascii="Times New Roman" w:hAnsi="Times New Roman" w:eastAsia="宋体" w:cs="Times New Roman"/>
                <w:snapToGrid w:val="0"/>
                <w:color w:val="auto"/>
                <w:szCs w:val="21"/>
                <w:highlight w:val="none"/>
                <w:vertAlign w:val="superscript"/>
              </w:rPr>
              <w:t>2</w:t>
            </w:r>
            <w:r>
              <w:rPr>
                <w:rFonts w:hint="default" w:ascii="Times New Roman" w:hAnsi="Times New Roman" w:eastAsia="宋体" w:cs="Times New Roman"/>
                <w:snapToGrid w:val="0"/>
                <w:color w:val="auto"/>
                <w:szCs w:val="21"/>
                <w:highlight w:val="none"/>
                <w:lang w:eastAsia="zh-CN"/>
              </w:rPr>
              <w:t>。</w:t>
            </w:r>
            <w:r>
              <w:rPr>
                <w:rFonts w:hint="eastAsia" w:ascii="Times New Roman" w:hAnsi="Times New Roman" w:cs="Times New Roman"/>
                <w:snapToGrid w:val="0"/>
                <w:color w:val="auto"/>
                <w:szCs w:val="21"/>
                <w:highlight w:val="none"/>
                <w:lang w:val="en-US" w:eastAsia="zh-CN"/>
              </w:rPr>
              <w:t>用于洗消。</w:t>
            </w:r>
          </w:p>
        </w:tc>
        <w:tc>
          <w:tcPr>
            <w:tcW w:w="659" w:type="dxa"/>
            <w:vAlign w:val="center"/>
          </w:tcPr>
          <w:p w14:paraId="2F676FF6">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Cs w:val="21"/>
                <w:highlight w:val="none"/>
                <w:lang w:val="en-US" w:eastAsia="zh-CN"/>
              </w:rPr>
              <w:t>现有</w:t>
            </w:r>
          </w:p>
        </w:tc>
      </w:tr>
      <w:tr w14:paraId="081E75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394" w:hRule="atLeast"/>
        </w:trPr>
        <w:tc>
          <w:tcPr>
            <w:tcW w:w="728" w:type="dxa"/>
            <w:vMerge w:val="continue"/>
            <w:vAlign w:val="center"/>
          </w:tcPr>
          <w:p w14:paraId="0C589DCB">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543D4054">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配电室</w:t>
            </w:r>
          </w:p>
        </w:tc>
        <w:tc>
          <w:tcPr>
            <w:tcW w:w="5008" w:type="dxa"/>
            <w:noWrap/>
            <w:vAlign w:val="center"/>
          </w:tcPr>
          <w:p w14:paraId="347065FD">
            <w:pPr>
              <w:pStyle w:val="152"/>
              <w:adjustRightInd w:val="0"/>
              <w:snapToGrid w:val="0"/>
              <w:jc w:val="both"/>
              <w:rPr>
                <w:rFonts w:hint="default" w:ascii="Times New Roman" w:hAnsi="Times New Roman" w:eastAsia="宋体" w:cs="Times New Roman"/>
                <w:snapToGrid w:val="0"/>
                <w:color w:val="auto"/>
                <w:szCs w:val="21"/>
                <w:highlight w:val="none"/>
                <w:lang w:val="en-US"/>
              </w:rPr>
            </w:pPr>
            <w:r>
              <w:rPr>
                <w:rFonts w:hint="eastAsia" w:ascii="Times New Roman" w:hAnsi="Times New Roman" w:cs="Times New Roman"/>
                <w:snapToGrid w:val="0"/>
                <w:color w:val="auto"/>
                <w:szCs w:val="21"/>
                <w:highlight w:val="none"/>
                <w:lang w:val="en-US" w:eastAsia="zh-CN"/>
              </w:rPr>
              <w:t>1栋，位于兽医室旁，占地面积33m</w:t>
            </w:r>
            <w:r>
              <w:rPr>
                <w:rFonts w:hint="eastAsia" w:ascii="Times New Roman" w:hAnsi="Times New Roman" w:cs="Times New Roman"/>
                <w:snapToGrid w:val="0"/>
                <w:color w:val="auto"/>
                <w:szCs w:val="21"/>
                <w:highlight w:val="none"/>
                <w:vertAlign w:val="superscript"/>
                <w:lang w:val="en-US" w:eastAsia="zh-CN"/>
              </w:rPr>
              <w:t>2</w:t>
            </w:r>
            <w:r>
              <w:rPr>
                <w:rFonts w:hint="eastAsia" w:ascii="Times New Roman" w:hAnsi="Times New Roman"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rPr>
              <w:t>建筑面积为</w:t>
            </w:r>
            <w:r>
              <w:rPr>
                <w:rFonts w:hint="eastAsia" w:ascii="Times New Roman" w:hAnsi="Times New Roman" w:cs="Times New Roman"/>
                <w:snapToGrid w:val="0"/>
                <w:color w:val="auto"/>
                <w:szCs w:val="21"/>
                <w:highlight w:val="none"/>
                <w:lang w:val="en-US" w:eastAsia="zh-CN"/>
              </w:rPr>
              <w:t>33</w:t>
            </w:r>
            <w:r>
              <w:rPr>
                <w:rFonts w:hint="default" w:ascii="Times New Roman" w:hAnsi="Times New Roman" w:eastAsia="宋体" w:cs="Times New Roman"/>
                <w:snapToGrid w:val="0"/>
                <w:color w:val="auto"/>
                <w:szCs w:val="21"/>
                <w:highlight w:val="none"/>
              </w:rPr>
              <w:t>m</w:t>
            </w:r>
            <w:r>
              <w:rPr>
                <w:rFonts w:hint="default" w:ascii="Times New Roman" w:hAnsi="Times New Roman" w:eastAsia="宋体" w:cs="Times New Roman"/>
                <w:snapToGrid w:val="0"/>
                <w:color w:val="auto"/>
                <w:szCs w:val="21"/>
                <w:highlight w:val="none"/>
                <w:vertAlign w:val="superscript"/>
              </w:rPr>
              <w:t>2</w:t>
            </w:r>
            <w:r>
              <w:rPr>
                <w:rFonts w:hint="default" w:ascii="Times New Roman" w:hAnsi="Times New Roman" w:eastAsia="宋体" w:cs="Times New Roman"/>
                <w:snapToGrid w:val="0"/>
                <w:color w:val="auto"/>
                <w:szCs w:val="21"/>
                <w:highlight w:val="none"/>
                <w:lang w:eastAsia="zh-CN"/>
              </w:rPr>
              <w:t>。</w:t>
            </w:r>
            <w:r>
              <w:rPr>
                <w:rFonts w:hint="eastAsia" w:ascii="Times New Roman" w:hAnsi="Times New Roman" w:cs="Times New Roman"/>
                <w:snapToGrid w:val="0"/>
                <w:color w:val="auto"/>
                <w:szCs w:val="21"/>
                <w:highlight w:val="none"/>
                <w:lang w:val="en-US" w:eastAsia="zh-CN"/>
              </w:rPr>
              <w:t>用于厂区配电。</w:t>
            </w:r>
          </w:p>
        </w:tc>
        <w:tc>
          <w:tcPr>
            <w:tcW w:w="659" w:type="dxa"/>
            <w:vAlign w:val="center"/>
          </w:tcPr>
          <w:p w14:paraId="51029A56">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468916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02FD77EF">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restart"/>
            <w:noWrap/>
            <w:vAlign w:val="center"/>
          </w:tcPr>
          <w:p w14:paraId="01976797">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eastAsia="zh-CN"/>
              </w:rPr>
              <w:t>粪污处理区</w:t>
            </w:r>
          </w:p>
        </w:tc>
        <w:tc>
          <w:tcPr>
            <w:tcW w:w="1312" w:type="dxa"/>
            <w:vAlign w:val="center"/>
          </w:tcPr>
          <w:p w14:paraId="6A6C10EE">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黑膜厌氧池</w:t>
            </w:r>
            <w:r>
              <w:rPr>
                <w:rFonts w:hint="eastAsia" w:ascii="Times New Roman" w:hAnsi="Times New Roman"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黑膜囊</w:t>
            </w:r>
            <w:r>
              <w:rPr>
                <w:rFonts w:hint="eastAsia" w:ascii="Times New Roman" w:hAnsi="Times New Roman" w:cs="Times New Roman"/>
                <w:snapToGrid w:val="0"/>
                <w:color w:val="auto"/>
                <w:sz w:val="21"/>
                <w:szCs w:val="21"/>
                <w:highlight w:val="none"/>
                <w:lang w:eastAsia="zh-CN"/>
              </w:rPr>
              <w:t>）</w:t>
            </w:r>
          </w:p>
        </w:tc>
        <w:tc>
          <w:tcPr>
            <w:tcW w:w="5008" w:type="dxa"/>
            <w:vAlign w:val="center"/>
          </w:tcPr>
          <w:p w14:paraId="14238A3D">
            <w:pPr>
              <w:pStyle w:val="152"/>
              <w:adjustRightInd w:val="0"/>
              <w:snapToGrid w:val="0"/>
              <w:jc w:val="left"/>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bidi="ar"/>
              </w:rPr>
              <w:t>利用1座黑膜厌氧池，</w:t>
            </w:r>
            <w:r>
              <w:rPr>
                <w:rFonts w:hint="eastAsia" w:ascii="Times New Roman" w:hAnsi="Times New Roman" w:cs="Times New Roman"/>
                <w:snapToGrid w:val="0"/>
                <w:color w:val="auto"/>
                <w:sz w:val="21"/>
                <w:szCs w:val="21"/>
                <w:highlight w:val="none"/>
                <w:vertAlign w:val="baseline"/>
                <w:lang w:val="en-US" w:eastAsia="zh-CN" w:bidi="ar"/>
              </w:rPr>
              <w:t>占地面积为1750m</w:t>
            </w:r>
            <w:r>
              <w:rPr>
                <w:rFonts w:hint="eastAsia" w:ascii="Times New Roman" w:hAnsi="Times New Roman"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，建筑面积为1750m</w:t>
            </w:r>
            <w:r>
              <w:rPr>
                <w:rFonts w:hint="eastAsia" w:ascii="Times New Roman" w:hAnsi="Times New Roman"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容积</w:t>
            </w:r>
            <w:r>
              <w:rPr>
                <w:rFonts w:hint="eastAsia" w:ascii="Times New Roman" w:hAnsi="Times New Roman" w:cs="Times New Roman"/>
                <w:snapToGrid w:val="0"/>
                <w:szCs w:val="21"/>
                <w:highlight w:val="none"/>
                <w:lang w:val="en-US"/>
              </w:rPr>
              <w:t>1</w:t>
            </w:r>
            <w:r>
              <w:rPr>
                <w:rFonts w:hint="eastAsia" w:ascii="Times New Roman" w:hAnsi="Times New Roman" w:cs="Times New Roman"/>
                <w:snapToGrid w:val="0"/>
                <w:szCs w:val="21"/>
                <w:highlight w:val="none"/>
                <w:lang w:val="en-US" w:eastAsia="zh-CN"/>
              </w:rPr>
              <w:t>3</w:t>
            </w:r>
            <w:r>
              <w:rPr>
                <w:rFonts w:hint="eastAsia" w:ascii="Times New Roman" w:hAnsi="Times New Roman" w:cs="Times New Roman"/>
                <w:snapToGrid w:val="0"/>
                <w:szCs w:val="21"/>
                <w:highlight w:val="none"/>
                <w:lang w:val="en-US"/>
              </w:rPr>
              <w:t>000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3</w:t>
            </w:r>
            <w:r>
              <w:rPr>
                <w:rFonts w:hint="default" w:ascii="Times New Roman" w:hAnsi="Times New Roman" w:eastAsia="宋体" w:cs="Times New Roman"/>
                <w:snapToGrid w:val="0"/>
                <w:color w:val="auto"/>
                <w:sz w:val="21"/>
                <w:szCs w:val="21"/>
                <w:highlight w:val="none"/>
                <w:lang w:val="en-US" w:eastAsia="zh-CN" w:bidi="ar"/>
              </w:rPr>
              <w:t>。用于液态肥发</w:t>
            </w:r>
            <w:r>
              <w:rPr>
                <w:rFonts w:hint="default" w:ascii="Times New Roman" w:hAnsi="Times New Roman" w:eastAsia="宋体" w:cs="Times New Roman"/>
                <w:snapToGrid w:val="0"/>
                <w:color w:val="auto"/>
                <w:kern w:val="0"/>
                <w:sz w:val="21"/>
                <w:szCs w:val="21"/>
                <w:highlight w:val="none"/>
                <w:lang w:val="en-US" w:eastAsia="zh-CN" w:bidi="ar"/>
              </w:rPr>
              <w:t>酵，运营期生活污水</w:t>
            </w:r>
            <w:r>
              <w:rPr>
                <w:rFonts w:hint="eastAsia" w:ascii="Times New Roman" w:hAnsi="Times New Roman" w:cs="Times New Roman"/>
                <w:snapToGrid w:val="0"/>
                <w:color w:val="auto"/>
                <w:kern w:val="0"/>
                <w:sz w:val="21"/>
                <w:szCs w:val="21"/>
                <w:highlight w:val="none"/>
                <w:lang w:val="en-US" w:eastAsia="zh-CN" w:bidi="ar"/>
              </w:rPr>
              <w:t>和</w:t>
            </w:r>
            <w:r>
              <w:rPr>
                <w:rFonts w:hint="default" w:ascii="Times New Roman" w:hAnsi="Times New Roman" w:eastAsia="宋体" w:cs="Times New Roman"/>
                <w:snapToGrid w:val="0"/>
                <w:color w:val="auto"/>
                <w:kern w:val="0"/>
                <w:sz w:val="21"/>
                <w:szCs w:val="21"/>
                <w:highlight w:val="none"/>
                <w:lang w:val="en-US" w:eastAsia="zh-CN" w:bidi="ar"/>
              </w:rPr>
              <w:t>生产废水分别集中收集后进入黑膜厌氧池发酵处理，处理后的沼液满足《畜禽粪便无害化处理技术规范》（GB/T36195-2018）表2标准，在施肥季节用于农田施肥，冬季暂存于黑膜厌氧池。可满足沼液发酵</w:t>
            </w:r>
            <w:r>
              <w:rPr>
                <w:rFonts w:hint="eastAsia" w:ascii="Times New Roman" w:hAnsi="Times New Roman" w:cs="Times New Roman"/>
                <w:snapToGrid w:val="0"/>
                <w:color w:val="auto"/>
                <w:kern w:val="0"/>
                <w:sz w:val="21"/>
                <w:szCs w:val="21"/>
                <w:highlight w:val="none"/>
                <w:lang w:val="en-US" w:eastAsia="zh-CN" w:bidi="ar"/>
              </w:rPr>
              <w:t>30天</w:t>
            </w:r>
            <w:r>
              <w:rPr>
                <w:rFonts w:hint="default" w:ascii="Times New Roman" w:hAnsi="Times New Roman" w:eastAsia="宋体" w:cs="Times New Roman"/>
                <w:snapToGrid w:val="0"/>
                <w:color w:val="auto"/>
                <w:kern w:val="0"/>
                <w:sz w:val="21"/>
                <w:szCs w:val="21"/>
                <w:highlight w:val="none"/>
                <w:lang w:val="en-US" w:eastAsia="zh-CN" w:bidi="ar"/>
              </w:rPr>
              <w:t>的要求。</w:t>
            </w:r>
            <w:r>
              <w:rPr>
                <w:rFonts w:hint="eastAsia" w:ascii="Times New Roman" w:hAnsi="Times New Roman" w:cs="Times New Roman"/>
                <w:snapToGrid w:val="0"/>
                <w:color w:val="auto"/>
                <w:kern w:val="0"/>
                <w:sz w:val="21"/>
                <w:szCs w:val="21"/>
                <w:highlight w:val="none"/>
                <w:lang w:val="en-US" w:eastAsia="zh-CN" w:bidi="ar"/>
              </w:rPr>
              <w:t>黑膜厌氧池</w:t>
            </w:r>
            <w:r>
              <w:rPr>
                <w:rFonts w:hint="default" w:ascii="Times New Roman" w:hAnsi="Times New Roman" w:eastAsia="宋体" w:cs="Times New Roman"/>
                <w:snapToGrid w:val="0"/>
                <w:color w:val="auto"/>
                <w:kern w:val="0"/>
                <w:sz w:val="21"/>
                <w:szCs w:val="21"/>
                <w:highlight w:val="none"/>
                <w:lang w:val="en-US" w:eastAsia="zh-CN" w:bidi="ar"/>
              </w:rPr>
              <w:t>底部铺设HDPE防渗膜，顶部覆盖HDPE顶膜，形成密闭空间，进料口均匀设置排污管，使粪污进入</w:t>
            </w:r>
            <w:r>
              <w:rPr>
                <w:rFonts w:hint="eastAsia" w:ascii="Times New Roman" w:hAnsi="Times New Roman" w:cs="Times New Roman"/>
                <w:snapToGrid w:val="0"/>
                <w:color w:val="auto"/>
                <w:kern w:val="0"/>
                <w:sz w:val="21"/>
                <w:szCs w:val="21"/>
                <w:highlight w:val="none"/>
                <w:lang w:val="en-US" w:eastAsia="zh-CN" w:bidi="ar"/>
              </w:rPr>
              <w:t>黑膜厌氧池</w:t>
            </w:r>
            <w:r>
              <w:rPr>
                <w:rFonts w:hint="default" w:ascii="Times New Roman" w:hAnsi="Times New Roman" w:eastAsia="宋体" w:cs="Times New Roman"/>
                <w:snapToGrid w:val="0"/>
                <w:color w:val="auto"/>
                <w:kern w:val="0"/>
                <w:sz w:val="21"/>
                <w:szCs w:val="21"/>
                <w:highlight w:val="none"/>
                <w:lang w:val="en-US" w:eastAsia="zh-CN" w:bidi="ar"/>
              </w:rPr>
              <w:t>内均匀铺设，同时内部设置排气管，将产生的沼气导出。</w:t>
            </w:r>
          </w:p>
        </w:tc>
        <w:tc>
          <w:tcPr>
            <w:tcW w:w="659" w:type="dxa"/>
            <w:vAlign w:val="center"/>
          </w:tcPr>
          <w:p w14:paraId="5FED5C8B">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04642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592" w:hRule="atLeast"/>
        </w:trPr>
        <w:tc>
          <w:tcPr>
            <w:tcW w:w="728" w:type="dxa"/>
            <w:vMerge w:val="continue"/>
            <w:vAlign w:val="center"/>
          </w:tcPr>
          <w:p w14:paraId="7FEBA10E">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1386FA74">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357541D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bidi="ar"/>
              </w:rPr>
              <w:t>固液分离间</w:t>
            </w:r>
          </w:p>
        </w:tc>
        <w:tc>
          <w:tcPr>
            <w:tcW w:w="5008" w:type="dxa"/>
            <w:noWrap/>
            <w:vAlign w:val="center"/>
          </w:tcPr>
          <w:p w14:paraId="6FDE3205">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一层，占地面积</w:t>
            </w:r>
            <w:r>
              <w:rPr>
                <w:rFonts w:hint="eastAsia" w:ascii="Times New Roman" w:hAnsi="Times New Roman" w:cs="Times New Roman"/>
                <w:snapToGrid w:val="0"/>
                <w:color w:val="auto"/>
                <w:sz w:val="21"/>
                <w:szCs w:val="21"/>
                <w:highlight w:val="none"/>
                <w:vertAlign w:val="baseline"/>
                <w:lang w:val="en-US" w:eastAsia="zh-CN" w:bidi="ar"/>
              </w:rPr>
              <w:t>40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，建筑面积为</w:t>
            </w:r>
            <w:r>
              <w:rPr>
                <w:rFonts w:hint="eastAsia" w:ascii="Times New Roman" w:hAnsi="Times New Roman" w:cs="Times New Roman"/>
                <w:snapToGrid w:val="0"/>
                <w:color w:val="auto"/>
                <w:sz w:val="21"/>
                <w:szCs w:val="21"/>
                <w:highlight w:val="none"/>
                <w:vertAlign w:val="baseline"/>
                <w:lang w:val="en-US" w:eastAsia="zh-CN" w:bidi="ar"/>
              </w:rPr>
              <w:t>40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eastAsia" w:ascii="Times New Roman" w:hAnsi="Times New Roman" w:cs="Times New Roman"/>
                <w:snapToGrid w:val="0"/>
                <w:color w:val="auto"/>
                <w:sz w:val="21"/>
                <w:szCs w:val="21"/>
                <w:highlight w:val="none"/>
                <w:vertAlign w:val="baseline"/>
                <w:lang w:val="en-US" w:eastAsia="zh-CN" w:bidi="ar"/>
              </w:rPr>
              <w:t>位于分娩舍旁。</w:t>
            </w:r>
            <w:r>
              <w:rPr>
                <w:rFonts w:hint="default" w:ascii="Times New Roman" w:hAnsi="Times New Roman" w:eastAsia="宋体" w:cs="Times New Roman"/>
                <w:snapToGrid w:val="0"/>
                <w:color w:val="auto"/>
                <w:sz w:val="21"/>
                <w:szCs w:val="21"/>
                <w:highlight w:val="none"/>
                <w:vertAlign w:val="baseline"/>
                <w:lang w:val="en-US" w:eastAsia="zh-CN" w:bidi="ar"/>
              </w:rPr>
              <w:t>主要处理输送过来的粪污，筛分后的</w:t>
            </w:r>
            <w:r>
              <w:rPr>
                <w:rFonts w:hint="eastAsia" w:ascii="Times New Roman" w:hAnsi="Times New Roman" w:cs="Times New Roman"/>
                <w:snapToGrid w:val="0"/>
                <w:color w:val="auto"/>
                <w:sz w:val="21"/>
                <w:szCs w:val="21"/>
                <w:highlight w:val="none"/>
                <w:vertAlign w:val="baseline"/>
                <w:lang w:val="en-US" w:eastAsia="zh-CN" w:bidi="ar"/>
              </w:rPr>
              <w:t>干粪</w:t>
            </w:r>
            <w:r>
              <w:rPr>
                <w:rFonts w:hint="default" w:ascii="Times New Roman" w:hAnsi="Times New Roman" w:eastAsia="宋体" w:cs="Times New Roman"/>
                <w:snapToGrid w:val="0"/>
                <w:color w:val="auto"/>
                <w:sz w:val="21"/>
                <w:szCs w:val="21"/>
                <w:highlight w:val="none"/>
                <w:vertAlign w:val="baseline"/>
                <w:lang w:val="en-US" w:eastAsia="zh-CN" w:bidi="ar"/>
              </w:rPr>
              <w:t>运至</w:t>
            </w:r>
            <w:r>
              <w:rPr>
                <w:rFonts w:hint="eastAsia" w:ascii="Times New Roman" w:hAnsi="Times New Roman" w:cs="Times New Roman"/>
                <w:snapToGrid w:val="0"/>
                <w:color w:val="auto"/>
                <w:sz w:val="21"/>
                <w:szCs w:val="21"/>
                <w:highlight w:val="none"/>
                <w:vertAlign w:val="baseline"/>
                <w:lang w:val="en-US" w:eastAsia="zh-CN" w:bidi="ar"/>
              </w:rPr>
              <w:t>干粪堆积场</w:t>
            </w:r>
            <w:r>
              <w:rPr>
                <w:rFonts w:hint="default" w:ascii="Times New Roman" w:hAnsi="Times New Roman" w:eastAsia="宋体" w:cs="Times New Roman"/>
                <w:snapToGrid w:val="0"/>
                <w:color w:val="auto"/>
                <w:sz w:val="21"/>
                <w:szCs w:val="21"/>
                <w:highlight w:val="none"/>
                <w:vertAlign w:val="baseline"/>
                <w:lang w:val="en-US" w:eastAsia="zh-CN" w:bidi="ar"/>
              </w:rPr>
              <w:t>堆肥；筛分后的猪粪水由管道输送到黑膜厌氧池内。</w:t>
            </w:r>
          </w:p>
        </w:tc>
        <w:tc>
          <w:tcPr>
            <w:tcW w:w="659" w:type="dxa"/>
            <w:vAlign w:val="center"/>
          </w:tcPr>
          <w:p w14:paraId="688A7A72">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eastAsia" w:ascii="Times New Roman" w:hAnsi="Times New Roman" w:cs="Times New Roman"/>
                <w:snapToGrid w:val="0"/>
                <w:color w:val="auto"/>
                <w:szCs w:val="21"/>
                <w:highlight w:val="none"/>
                <w:lang w:val="en-US" w:eastAsia="zh-CN"/>
              </w:rPr>
              <w:t>现有</w:t>
            </w:r>
          </w:p>
        </w:tc>
      </w:tr>
      <w:tr w14:paraId="14106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59" w:hRule="atLeast"/>
        </w:trPr>
        <w:tc>
          <w:tcPr>
            <w:tcW w:w="728" w:type="dxa"/>
            <w:vMerge w:val="continue"/>
            <w:vAlign w:val="center"/>
          </w:tcPr>
          <w:p w14:paraId="0BF06634">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187F138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3726D0B3">
            <w:pPr>
              <w:pStyle w:val="152"/>
              <w:adjustRightInd w:val="0"/>
              <w:snapToGrid w:val="0"/>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bidi="ar"/>
              </w:rPr>
              <w:t>干粪堆积场</w:t>
            </w:r>
          </w:p>
        </w:tc>
        <w:tc>
          <w:tcPr>
            <w:tcW w:w="5008" w:type="dxa"/>
            <w:noWrap/>
            <w:vAlign w:val="center"/>
          </w:tcPr>
          <w:p w14:paraId="7E2F0192">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bidi="ar"/>
              </w:rPr>
              <w:t>1座，占地面积</w:t>
            </w:r>
            <w:r>
              <w:rPr>
                <w:rFonts w:hint="eastAsia" w:ascii="Times New Roman" w:hAnsi="Times New Roman" w:cs="Times New Roman"/>
                <w:snapToGrid w:val="0"/>
                <w:color w:val="auto"/>
                <w:sz w:val="21"/>
                <w:szCs w:val="21"/>
                <w:highlight w:val="none"/>
                <w:lang w:val="en-US" w:eastAsia="zh-CN" w:bidi="ar"/>
              </w:rPr>
              <w:t>245</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建筑面积为</w:t>
            </w:r>
            <w:r>
              <w:rPr>
                <w:rFonts w:hint="eastAsia" w:ascii="Times New Roman" w:hAnsi="Times New Roman" w:cs="Times New Roman"/>
                <w:snapToGrid w:val="0"/>
                <w:color w:val="auto"/>
                <w:sz w:val="21"/>
                <w:szCs w:val="21"/>
                <w:highlight w:val="none"/>
                <w:lang w:val="en-US" w:eastAsia="zh-CN" w:bidi="ar"/>
              </w:rPr>
              <w:t>245</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，容积为490m</w:t>
            </w:r>
            <w:r>
              <w:rPr>
                <w:rFonts w:hint="eastAsia" w:ascii="Times New Roman" w:hAnsi="Times New Roman" w:cs="Times New Roman"/>
                <w:snapToGrid w:val="0"/>
                <w:color w:val="auto"/>
                <w:sz w:val="21"/>
                <w:szCs w:val="21"/>
                <w:highlight w:val="none"/>
                <w:vertAlign w:val="superscript"/>
                <w:lang w:val="en-US" w:eastAsia="zh-CN" w:bidi="ar"/>
              </w:rPr>
              <w:t>3</w:t>
            </w:r>
            <w:r>
              <w:rPr>
                <w:rFonts w:hint="eastAsia" w:ascii="Times New Roman" w:hAnsi="Times New Roman"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bidi="ar"/>
              </w:rPr>
              <w:t>主要将筛分后的</w:t>
            </w:r>
            <w:r>
              <w:rPr>
                <w:rFonts w:hint="eastAsia" w:ascii="Times New Roman" w:hAnsi="Times New Roman" w:cs="Times New Roman"/>
                <w:snapToGrid w:val="0"/>
                <w:color w:val="auto"/>
                <w:sz w:val="21"/>
                <w:szCs w:val="21"/>
                <w:highlight w:val="none"/>
                <w:vertAlign w:val="baseline"/>
                <w:lang w:val="en-US" w:eastAsia="zh-CN" w:bidi="ar"/>
              </w:rPr>
              <w:t>干粪</w:t>
            </w:r>
            <w:r>
              <w:rPr>
                <w:rFonts w:hint="default" w:ascii="Times New Roman" w:hAnsi="Times New Roman" w:eastAsia="宋体" w:cs="Times New Roman"/>
                <w:snapToGrid w:val="0"/>
                <w:color w:val="auto"/>
                <w:sz w:val="21"/>
                <w:szCs w:val="21"/>
                <w:highlight w:val="none"/>
                <w:vertAlign w:val="baseline"/>
                <w:lang w:val="en-US" w:eastAsia="zh-CN" w:bidi="ar"/>
              </w:rPr>
              <w:t>（含水率</w:t>
            </w:r>
            <w:r>
              <w:rPr>
                <w:rFonts w:hint="eastAsia" w:ascii="Times New Roman" w:hAnsi="Times New Roman" w:cs="Times New Roman"/>
                <w:snapToGrid w:val="0"/>
                <w:color w:val="auto"/>
                <w:sz w:val="21"/>
                <w:szCs w:val="21"/>
                <w:highlight w:val="none"/>
                <w:vertAlign w:val="baseline"/>
                <w:lang w:val="en-US" w:eastAsia="zh-CN" w:bidi="ar"/>
              </w:rPr>
              <w:t>20</w:t>
            </w:r>
            <w:r>
              <w:rPr>
                <w:rFonts w:hint="default" w:ascii="Times New Roman" w:hAnsi="Times New Roman" w:eastAsia="宋体" w:cs="Times New Roman"/>
                <w:snapToGrid w:val="0"/>
                <w:color w:val="auto"/>
                <w:sz w:val="21"/>
                <w:szCs w:val="21"/>
                <w:highlight w:val="none"/>
                <w:vertAlign w:val="baseline"/>
                <w:lang w:val="en-US" w:eastAsia="zh-CN" w:bidi="ar"/>
              </w:rPr>
              <w:t>%）进行发酵，发酵后施用于农田。</w:t>
            </w:r>
            <w:r>
              <w:rPr>
                <w:rFonts w:hint="default" w:ascii="Times New Roman" w:hAnsi="Times New Roman" w:eastAsia="宋体" w:cs="Times New Roman"/>
                <w:snapToGrid w:val="0"/>
                <w:color w:val="auto"/>
                <w:sz w:val="21"/>
                <w:szCs w:val="21"/>
                <w:highlight w:val="none"/>
              </w:rPr>
              <w:t>本项目生产固体</w:t>
            </w:r>
            <w:r>
              <w:rPr>
                <w:rFonts w:hint="eastAsia" w:ascii="Times New Roman" w:hAnsi="Times New Roman" w:cs="Times New Roman"/>
                <w:snapToGrid w:val="0"/>
                <w:color w:val="auto"/>
                <w:sz w:val="21"/>
                <w:szCs w:val="21"/>
                <w:highlight w:val="none"/>
                <w:lang w:eastAsia="zh-CN"/>
              </w:rPr>
              <w:t>粪污</w:t>
            </w:r>
            <w:r>
              <w:rPr>
                <w:rFonts w:hint="default" w:ascii="Times New Roman" w:hAnsi="Times New Roman" w:eastAsia="宋体" w:cs="Times New Roman"/>
                <w:snapToGrid w:val="0"/>
                <w:color w:val="auto"/>
                <w:sz w:val="21"/>
                <w:szCs w:val="21"/>
                <w:highlight w:val="none"/>
              </w:rPr>
              <w:t>可作为肥料施用于项目周边区域的农田。</w:t>
            </w:r>
          </w:p>
        </w:tc>
        <w:tc>
          <w:tcPr>
            <w:tcW w:w="659" w:type="dxa"/>
            <w:vAlign w:val="center"/>
          </w:tcPr>
          <w:p w14:paraId="039E3405">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20FA3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59" w:hRule="atLeast"/>
        </w:trPr>
        <w:tc>
          <w:tcPr>
            <w:tcW w:w="728" w:type="dxa"/>
            <w:vMerge w:val="continue"/>
            <w:vAlign w:val="center"/>
          </w:tcPr>
          <w:p w14:paraId="508ECBA1">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69EB92A7">
            <w:pPr>
              <w:pStyle w:val="152"/>
              <w:adjustRightInd w:val="0"/>
              <w:snapToGrid w:val="0"/>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医疗废物暂存间</w:t>
            </w:r>
          </w:p>
        </w:tc>
        <w:tc>
          <w:tcPr>
            <w:tcW w:w="5008" w:type="dxa"/>
            <w:noWrap/>
            <w:vAlign w:val="center"/>
          </w:tcPr>
          <w:p w14:paraId="41D7A8F9">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一层，占地面积20m</w:t>
            </w:r>
            <w:r>
              <w:rPr>
                <w:rFonts w:hint="eastAsia" w:ascii="Times New Roman" w:hAnsi="Times New Roman" w:cs="Times New Roman"/>
                <w:snapToGrid w:val="0"/>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建筑面积</w:t>
            </w:r>
            <w:r>
              <w:rPr>
                <w:rFonts w:hint="eastAsia" w:ascii="Times New Roman" w:hAnsi="Times New Roman" w:cs="Times New Roman"/>
                <w:snapToGrid w:val="0"/>
                <w:color w:val="auto"/>
                <w:sz w:val="21"/>
                <w:szCs w:val="21"/>
                <w:highlight w:val="none"/>
                <w:vertAlign w:val="baseline"/>
                <w:lang w:val="en-US" w:eastAsia="zh-CN"/>
              </w:rPr>
              <w:t>20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用于</w:t>
            </w:r>
            <w:r>
              <w:rPr>
                <w:rFonts w:hint="eastAsia" w:ascii="Times New Roman" w:hAnsi="Times New Roman" w:cs="Times New Roman"/>
                <w:snapToGrid w:val="0"/>
                <w:color w:val="auto"/>
                <w:sz w:val="21"/>
                <w:szCs w:val="21"/>
                <w:highlight w:val="none"/>
                <w:vertAlign w:val="baseline"/>
                <w:lang w:val="en-US" w:eastAsia="zh-CN"/>
              </w:rPr>
              <w:t>动物医疗废物</w:t>
            </w:r>
            <w:r>
              <w:rPr>
                <w:rFonts w:hint="default" w:ascii="Times New Roman" w:hAnsi="Times New Roman" w:eastAsia="宋体" w:cs="Times New Roman"/>
                <w:snapToGrid w:val="0"/>
                <w:color w:val="auto"/>
                <w:sz w:val="21"/>
                <w:szCs w:val="21"/>
                <w:highlight w:val="none"/>
                <w:vertAlign w:val="baseline"/>
                <w:lang w:val="en-US" w:eastAsia="zh-CN"/>
              </w:rPr>
              <w:t>的暂存，为单独隔间。</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659" w:type="dxa"/>
            <w:vAlign w:val="center"/>
          </w:tcPr>
          <w:p w14:paraId="336882AB">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5918E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restart"/>
            <w:vAlign w:val="center"/>
          </w:tcPr>
          <w:p w14:paraId="326C7AF6">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储运工程</w:t>
            </w:r>
          </w:p>
        </w:tc>
        <w:tc>
          <w:tcPr>
            <w:tcW w:w="1896" w:type="dxa"/>
            <w:gridSpan w:val="2"/>
            <w:noWrap/>
            <w:vAlign w:val="center"/>
          </w:tcPr>
          <w:p w14:paraId="2C25F5A0">
            <w:pPr>
              <w:pStyle w:val="152"/>
              <w:adjustRightInd w:val="0"/>
              <w:snapToGrid w:val="0"/>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eastAsia="zh-CN" w:bidi="ar"/>
              </w:rPr>
              <w:t>干粪堆积场</w:t>
            </w:r>
          </w:p>
        </w:tc>
        <w:tc>
          <w:tcPr>
            <w:tcW w:w="5008" w:type="dxa"/>
            <w:noWrap/>
            <w:vAlign w:val="center"/>
          </w:tcPr>
          <w:p w14:paraId="7A7D31FD">
            <w:pPr>
              <w:pStyle w:val="152"/>
              <w:adjustRightInd w:val="0"/>
              <w:snapToGrid w:val="0"/>
              <w:jc w:val="both"/>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lang w:val="en-US" w:eastAsia="zh-CN"/>
              </w:rPr>
              <w:t>全封闭</w:t>
            </w:r>
            <w:r>
              <w:rPr>
                <w:rFonts w:hint="eastAsia" w:ascii="Times New Roman" w:hAnsi="Times New Roman" w:cs="Times New Roman"/>
                <w:snapToGrid w:val="0"/>
                <w:color w:val="auto"/>
                <w:szCs w:val="21"/>
                <w:highlight w:val="none"/>
                <w:lang w:eastAsia="zh-CN"/>
              </w:rPr>
              <w:t>干粪堆积场</w:t>
            </w:r>
            <w:r>
              <w:rPr>
                <w:rFonts w:hint="default" w:ascii="Times New Roman" w:hAnsi="Times New Roman" w:eastAsia="宋体" w:cs="Times New Roman"/>
                <w:snapToGrid w:val="0"/>
                <w:color w:val="auto"/>
                <w:szCs w:val="21"/>
                <w:highlight w:val="none"/>
              </w:rPr>
              <w:t>：</w:t>
            </w:r>
            <w:r>
              <w:rPr>
                <w:rFonts w:hint="eastAsia" w:ascii="Times New Roman" w:hAnsi="Times New Roman" w:cs="Times New Roman"/>
                <w:snapToGrid w:val="0"/>
                <w:color w:val="auto"/>
                <w:szCs w:val="21"/>
                <w:highlight w:val="none"/>
                <w:lang w:val="en-US" w:eastAsia="zh-CN"/>
              </w:rPr>
              <w:t>砖混</w:t>
            </w:r>
            <w:r>
              <w:rPr>
                <w:rFonts w:hint="default" w:ascii="Times New Roman" w:hAnsi="Times New Roman" w:eastAsia="宋体" w:cs="Times New Roman"/>
                <w:snapToGrid w:val="0"/>
                <w:color w:val="auto"/>
                <w:szCs w:val="21"/>
                <w:highlight w:val="none"/>
              </w:rPr>
              <w:t>结构</w:t>
            </w:r>
            <w:r>
              <w:rPr>
                <w:rFonts w:hint="default" w:ascii="Times New Roman" w:hAnsi="Times New Roman" w:eastAsia="宋体" w:cs="Times New Roman"/>
                <w:snapToGrid w:val="0"/>
                <w:color w:val="auto"/>
                <w:szCs w:val="21"/>
                <w:highlight w:val="none"/>
                <w:lang w:eastAsia="zh-CN"/>
              </w:rPr>
              <w:t>。</w:t>
            </w:r>
          </w:p>
          <w:p w14:paraId="76D65177">
            <w:pPr>
              <w:pStyle w:val="152"/>
              <w:adjustRightInd w:val="0"/>
              <w:snapToGrid w:val="0"/>
              <w:jc w:val="both"/>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一层，占地面积245</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建筑面积</w:t>
            </w:r>
            <w:r>
              <w:rPr>
                <w:rFonts w:hint="eastAsia" w:ascii="Times New Roman" w:hAnsi="Times New Roman" w:cs="Times New Roman"/>
                <w:snapToGrid w:val="0"/>
                <w:color w:val="auto"/>
                <w:sz w:val="21"/>
                <w:szCs w:val="21"/>
                <w:highlight w:val="none"/>
                <w:vertAlign w:val="baseline"/>
                <w:lang w:val="en-US" w:eastAsia="zh-CN"/>
              </w:rPr>
              <w:t>245</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eastAsia" w:ascii="Times New Roman" w:hAnsi="Times New Roman" w:cs="Times New Roman"/>
                <w:snapToGrid w:val="0"/>
                <w:color w:val="auto"/>
                <w:sz w:val="21"/>
                <w:szCs w:val="21"/>
                <w:highlight w:val="none"/>
                <w:vertAlign w:val="baseline"/>
                <w:lang w:val="en-US" w:eastAsia="zh-CN" w:bidi="ar"/>
              </w:rPr>
              <w:t>容积为490m</w:t>
            </w:r>
            <w:r>
              <w:rPr>
                <w:rFonts w:hint="eastAsia" w:ascii="Times New Roman" w:hAnsi="Times New Roman" w:cs="Times New Roman"/>
                <w:snapToGrid w:val="0"/>
                <w:color w:val="auto"/>
                <w:sz w:val="21"/>
                <w:szCs w:val="21"/>
                <w:highlight w:val="none"/>
                <w:vertAlign w:val="superscript"/>
                <w:lang w:val="en-US" w:eastAsia="zh-CN" w:bidi="ar"/>
              </w:rPr>
              <w:t>3</w:t>
            </w:r>
            <w:r>
              <w:rPr>
                <w:rFonts w:hint="eastAsia" w:ascii="Times New Roman" w:hAnsi="Times New Roman" w:cs="Times New Roman"/>
                <w:snapToGrid w:val="0"/>
                <w:color w:val="auto"/>
                <w:szCs w:val="21"/>
                <w:highlight w:val="none"/>
                <w:lang w:eastAsia="zh-CN"/>
              </w:rPr>
              <w:t>。</w:t>
            </w:r>
            <w:r>
              <w:rPr>
                <w:rFonts w:hint="default" w:ascii="Times New Roman" w:hAnsi="Times New Roman" w:eastAsia="宋体" w:cs="Times New Roman"/>
                <w:snapToGrid w:val="0"/>
                <w:color w:val="auto"/>
                <w:szCs w:val="21"/>
                <w:highlight w:val="none"/>
              </w:rPr>
              <w:t>采用“猪粪收集→猪粪发酵→农田施用”工艺。猪舍的猪粪采用粪车运送到</w:t>
            </w:r>
            <w:r>
              <w:rPr>
                <w:rFonts w:hint="eastAsia" w:ascii="Times New Roman" w:hAnsi="Times New Roman" w:cs="Times New Roman"/>
                <w:snapToGrid w:val="0"/>
                <w:color w:val="auto"/>
                <w:szCs w:val="21"/>
                <w:highlight w:val="none"/>
                <w:lang w:eastAsia="zh-CN"/>
              </w:rPr>
              <w:t>干粪堆积场</w:t>
            </w:r>
            <w:r>
              <w:rPr>
                <w:rFonts w:hint="default" w:ascii="Times New Roman" w:hAnsi="Times New Roman" w:eastAsia="宋体" w:cs="Times New Roman"/>
                <w:snapToGrid w:val="0"/>
                <w:color w:val="auto"/>
                <w:szCs w:val="21"/>
                <w:highlight w:val="none"/>
                <w:lang w:eastAsia="zh-CN"/>
              </w:rPr>
              <w:t>，</w:t>
            </w:r>
            <w:r>
              <w:rPr>
                <w:rFonts w:hint="default" w:ascii="Times New Roman" w:hAnsi="Times New Roman" w:eastAsia="宋体" w:cs="Times New Roman"/>
                <w:snapToGrid w:val="0"/>
                <w:color w:val="auto"/>
                <w:sz w:val="21"/>
                <w:szCs w:val="21"/>
                <w:highlight w:val="none"/>
              </w:rPr>
              <w:t>可作为肥料施用于项目周边区域的农田。</w:t>
            </w:r>
          </w:p>
        </w:tc>
        <w:tc>
          <w:tcPr>
            <w:tcW w:w="659" w:type="dxa"/>
            <w:vMerge w:val="restart"/>
            <w:vAlign w:val="center"/>
          </w:tcPr>
          <w:p w14:paraId="4210D5A9">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409BD9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359DCE62">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40273C08">
            <w:pPr>
              <w:pStyle w:val="152"/>
              <w:adjustRightInd w:val="0"/>
              <w:snapToGrid w:val="0"/>
              <w:rPr>
                <w:rFonts w:hint="eastAsia" w:ascii="Times New Roman" w:hAnsi="Times New Roman" w:cs="Times New Roman"/>
                <w:snapToGrid w:val="0"/>
                <w:color w:val="auto"/>
                <w:szCs w:val="21"/>
                <w:highlight w:val="none"/>
                <w:lang w:eastAsia="zh-CN" w:bidi="ar"/>
              </w:rPr>
            </w:pPr>
            <w:r>
              <w:rPr>
                <w:rFonts w:hint="eastAsia" w:ascii="Times New Roman" w:hAnsi="Times New Roman" w:cs="Times New Roman"/>
                <w:snapToGrid w:val="0"/>
                <w:sz w:val="21"/>
                <w:highlight w:val="none"/>
                <w:lang w:bidi="ar"/>
              </w:rPr>
              <w:t>饲料塔</w:t>
            </w:r>
          </w:p>
        </w:tc>
        <w:tc>
          <w:tcPr>
            <w:tcW w:w="5008" w:type="dxa"/>
            <w:noWrap/>
            <w:vAlign w:val="center"/>
          </w:tcPr>
          <w:p w14:paraId="1C2981CA">
            <w:pPr>
              <w:pStyle w:val="152"/>
              <w:adjustRightInd w:val="0"/>
              <w:snapToGrid w:val="0"/>
              <w:jc w:val="both"/>
              <w:rPr>
                <w:rFonts w:hint="default" w:ascii="Times New Roman" w:hAnsi="Times New Roman" w:eastAsia="宋体" w:cs="Times New Roman"/>
                <w:snapToGrid w:val="0"/>
                <w:color w:val="auto"/>
                <w:sz w:val="21"/>
                <w:szCs w:val="21"/>
                <w:highlight w:val="none"/>
                <w:vertAlign w:val="baseline"/>
                <w:lang w:val="en-US" w:eastAsia="zh-CN"/>
              </w:rPr>
            </w:pPr>
            <w:r>
              <w:rPr>
                <w:rFonts w:hint="eastAsia" w:ascii="Times New Roman" w:hAnsi="Times New Roman" w:cs="Times New Roman"/>
                <w:snapToGrid w:val="0"/>
                <w:color w:val="auto"/>
                <w:sz w:val="21"/>
                <w:szCs w:val="21"/>
                <w:highlight w:val="none"/>
                <w:vertAlign w:val="baseline"/>
                <w:lang w:val="en-US" w:eastAsia="zh-CN"/>
              </w:rPr>
              <w:t>5套，用于储存外购全价饲料，外购饲料直接管道密闭输送至饲料塔，饲料投料采用密闭管道投加，无粉尘排放。饲料储量为18.6t，满负荷运行情况能够满足15天饲料用量，厂区内不设饲料储存区及饲料加工区。</w:t>
            </w:r>
          </w:p>
        </w:tc>
        <w:tc>
          <w:tcPr>
            <w:tcW w:w="659" w:type="dxa"/>
            <w:vMerge w:val="continue"/>
            <w:vAlign w:val="center"/>
          </w:tcPr>
          <w:p w14:paraId="338148A6">
            <w:pPr>
              <w:pStyle w:val="152"/>
              <w:adjustRightInd w:val="0"/>
              <w:snapToGrid w:val="0"/>
              <w:jc w:val="both"/>
              <w:rPr>
                <w:rFonts w:hint="eastAsia" w:ascii="Times New Roman" w:hAnsi="Times New Roman" w:cs="Times New Roman"/>
                <w:snapToGrid w:val="0"/>
                <w:color w:val="auto"/>
                <w:szCs w:val="21"/>
                <w:highlight w:val="none"/>
                <w:lang w:val="en-US" w:eastAsia="zh-CN"/>
              </w:rPr>
            </w:pPr>
          </w:p>
        </w:tc>
      </w:tr>
      <w:tr w14:paraId="45A58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restart"/>
            <w:vAlign w:val="center"/>
          </w:tcPr>
          <w:p w14:paraId="53A4EFA0">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公用工程</w:t>
            </w:r>
          </w:p>
        </w:tc>
        <w:tc>
          <w:tcPr>
            <w:tcW w:w="1896" w:type="dxa"/>
            <w:gridSpan w:val="2"/>
            <w:noWrap/>
            <w:vAlign w:val="center"/>
          </w:tcPr>
          <w:p w14:paraId="271432CA">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供电</w:t>
            </w:r>
          </w:p>
        </w:tc>
        <w:tc>
          <w:tcPr>
            <w:tcW w:w="5008" w:type="dxa"/>
            <w:noWrap/>
            <w:vAlign w:val="center"/>
          </w:tcPr>
          <w:p w14:paraId="1ABE2ACB">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val="en-US" w:eastAsia="zh-CN"/>
              </w:rPr>
              <w:t>由</w:t>
            </w:r>
            <w:r>
              <w:rPr>
                <w:rFonts w:hint="default" w:ascii="Times New Roman" w:hAnsi="Times New Roman" w:eastAsia="宋体" w:cs="Times New Roman"/>
                <w:snapToGrid w:val="0"/>
                <w:color w:val="auto"/>
                <w:szCs w:val="21"/>
                <w:highlight w:val="none"/>
              </w:rPr>
              <w:t>当地电网接入。</w:t>
            </w:r>
          </w:p>
        </w:tc>
        <w:tc>
          <w:tcPr>
            <w:tcW w:w="659" w:type="dxa"/>
            <w:vAlign w:val="center"/>
          </w:tcPr>
          <w:p w14:paraId="1F7CED50">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35623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5DEAD67C">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5EC95366">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给水</w:t>
            </w:r>
          </w:p>
        </w:tc>
        <w:tc>
          <w:tcPr>
            <w:tcW w:w="5008" w:type="dxa"/>
            <w:noWrap/>
            <w:vAlign w:val="center"/>
          </w:tcPr>
          <w:p w14:paraId="77BD752B">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val="en-US" w:eastAsia="zh-CN" w:bidi="ar"/>
              </w:rPr>
              <w:t>生产用水为地下水</w:t>
            </w:r>
            <w:r>
              <w:rPr>
                <w:rFonts w:hint="default" w:ascii="Times New Roman" w:hAnsi="Times New Roman" w:cs="Times New Roman"/>
                <w:snapToGrid w:val="0"/>
                <w:color w:val="auto"/>
                <w:szCs w:val="21"/>
                <w:highlight w:val="none"/>
                <w:lang w:val="en-US" w:bidi="ar"/>
              </w:rPr>
              <w:t>；生活用水外购桶装水。</w:t>
            </w:r>
          </w:p>
        </w:tc>
        <w:tc>
          <w:tcPr>
            <w:tcW w:w="659" w:type="dxa"/>
            <w:vAlign w:val="center"/>
          </w:tcPr>
          <w:p w14:paraId="3E5D193A">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Cs w:val="21"/>
                <w:highlight w:val="none"/>
                <w:lang w:val="en-US" w:eastAsia="zh-CN"/>
              </w:rPr>
              <w:t>现有</w:t>
            </w:r>
          </w:p>
        </w:tc>
      </w:tr>
      <w:tr w14:paraId="47614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77" w:hRule="atLeast"/>
        </w:trPr>
        <w:tc>
          <w:tcPr>
            <w:tcW w:w="728" w:type="dxa"/>
            <w:vMerge w:val="continue"/>
            <w:vAlign w:val="center"/>
          </w:tcPr>
          <w:p w14:paraId="556E78BF">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070008D2">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排水</w:t>
            </w:r>
          </w:p>
        </w:tc>
        <w:tc>
          <w:tcPr>
            <w:tcW w:w="5008" w:type="dxa"/>
            <w:noWrap/>
            <w:vAlign w:val="center"/>
          </w:tcPr>
          <w:p w14:paraId="4E925D2A">
            <w:pPr>
              <w:pStyle w:val="152"/>
              <w:adjustRightInd w:val="0"/>
              <w:snapToGrid w:val="0"/>
              <w:jc w:val="both"/>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lang w:val="en-US" w:bidi="ar"/>
              </w:rPr>
              <w:t>运营期生活污水</w:t>
            </w:r>
            <w:r>
              <w:rPr>
                <w:rFonts w:hint="eastAsia" w:ascii="Times New Roman" w:hAnsi="Times New Roman" w:cs="Times New Roman"/>
                <w:snapToGrid w:val="0"/>
                <w:color w:val="auto"/>
                <w:szCs w:val="21"/>
                <w:highlight w:val="none"/>
                <w:lang w:val="en-US" w:eastAsia="zh-CN" w:bidi="ar"/>
              </w:rPr>
              <w:t>和</w:t>
            </w:r>
            <w:r>
              <w:rPr>
                <w:rFonts w:hint="default" w:ascii="Times New Roman" w:hAnsi="Times New Roman" w:cs="Times New Roman"/>
                <w:snapToGrid w:val="0"/>
                <w:color w:val="auto"/>
                <w:szCs w:val="21"/>
                <w:highlight w:val="none"/>
                <w:lang w:val="en-US" w:bidi="ar"/>
              </w:rPr>
              <w:t>生产废水分别集中收集后进入黑膜厌氧池发酵处理，处理后的沼液满足《畜禽粪便无害化处理技术规范》（GB/T36195-2018）表2标准，在施肥季节用于农田施肥，冬季暂存于黑膜厌氧池</w:t>
            </w:r>
            <w:r>
              <w:rPr>
                <w:rFonts w:hint="eastAsia" w:ascii="Times New Roman" w:hAnsi="Times New Roman" w:cs="Times New Roman"/>
                <w:snapToGrid w:val="0"/>
                <w:color w:val="auto"/>
                <w:szCs w:val="21"/>
                <w:highlight w:val="none"/>
                <w:lang w:val="en-US" w:eastAsia="zh-CN" w:bidi="ar"/>
              </w:rPr>
              <w:t>。</w:t>
            </w:r>
            <w:r>
              <w:rPr>
                <w:rFonts w:hint="default" w:ascii="Times New Roman" w:hAnsi="Times New Roman" w:cs="Times New Roman"/>
                <w:snapToGrid w:val="0"/>
                <w:color w:val="auto"/>
                <w:szCs w:val="21"/>
                <w:highlight w:val="none"/>
                <w:lang w:val="en-US" w:bidi="ar"/>
              </w:rPr>
              <w:t>采取雨污分流方式，雨水采用明沟排放。</w:t>
            </w:r>
          </w:p>
        </w:tc>
        <w:tc>
          <w:tcPr>
            <w:tcW w:w="659" w:type="dxa"/>
            <w:vAlign w:val="center"/>
          </w:tcPr>
          <w:p w14:paraId="46F1B3CF">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0E095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439E8A96">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793C1D52">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供热</w:t>
            </w:r>
          </w:p>
        </w:tc>
        <w:tc>
          <w:tcPr>
            <w:tcW w:w="5008" w:type="dxa"/>
            <w:noWrap/>
            <w:vAlign w:val="center"/>
          </w:tcPr>
          <w:p w14:paraId="504AA81E">
            <w:pPr>
              <w:pStyle w:val="152"/>
              <w:adjustRightInd w:val="0"/>
              <w:snapToGrid w:val="0"/>
              <w:jc w:val="both"/>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rPr>
              <w:t>厂区冬季采用</w:t>
            </w:r>
            <w:r>
              <w:rPr>
                <w:rFonts w:hint="default" w:ascii="Times New Roman" w:hAnsi="Times New Roman" w:eastAsia="宋体" w:cs="Times New Roman"/>
                <w:snapToGrid w:val="0"/>
                <w:color w:val="auto"/>
                <w:szCs w:val="21"/>
                <w:highlight w:val="none"/>
                <w:lang w:val="en-US" w:eastAsia="zh-CN"/>
              </w:rPr>
              <w:t>电暖气</w:t>
            </w:r>
            <w:r>
              <w:rPr>
                <w:rFonts w:hint="default" w:ascii="Times New Roman" w:hAnsi="Times New Roman" w:eastAsia="宋体" w:cs="Times New Roman"/>
                <w:snapToGrid w:val="0"/>
                <w:color w:val="auto"/>
                <w:szCs w:val="21"/>
                <w:highlight w:val="none"/>
                <w:lang w:eastAsia="zh-CN"/>
              </w:rPr>
              <w:t>取暖。</w:t>
            </w:r>
          </w:p>
        </w:tc>
        <w:tc>
          <w:tcPr>
            <w:tcW w:w="659" w:type="dxa"/>
            <w:vAlign w:val="center"/>
          </w:tcPr>
          <w:p w14:paraId="45C0570B">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3B3027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1414" w:hRule="atLeast"/>
        </w:trPr>
        <w:tc>
          <w:tcPr>
            <w:tcW w:w="728" w:type="dxa"/>
            <w:vMerge w:val="restart"/>
            <w:vAlign w:val="center"/>
          </w:tcPr>
          <w:p w14:paraId="3C100DC3">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环保工程</w:t>
            </w:r>
          </w:p>
        </w:tc>
        <w:tc>
          <w:tcPr>
            <w:tcW w:w="584" w:type="dxa"/>
            <w:vMerge w:val="restart"/>
            <w:noWrap/>
            <w:vAlign w:val="center"/>
          </w:tcPr>
          <w:p w14:paraId="10F6652D">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废水</w:t>
            </w:r>
          </w:p>
        </w:tc>
        <w:tc>
          <w:tcPr>
            <w:tcW w:w="1312" w:type="dxa"/>
            <w:vAlign w:val="center"/>
          </w:tcPr>
          <w:p w14:paraId="6E4C734E">
            <w:pPr>
              <w:pStyle w:val="152"/>
              <w:adjustRightInd w:val="0"/>
              <w:snapToGrid w:val="0"/>
              <w:rPr>
                <w:rFonts w:hint="default" w:ascii="Times New Roman" w:hAnsi="Times New Roman" w:eastAsia="宋体" w:cs="Times New Roman"/>
                <w:snapToGrid w:val="0"/>
                <w:color w:val="auto"/>
                <w:szCs w:val="21"/>
                <w:highlight w:val="none"/>
                <w:lang w:val="en-US"/>
              </w:rPr>
            </w:pPr>
            <w:r>
              <w:rPr>
                <w:rFonts w:hint="default" w:ascii="Times New Roman" w:hAnsi="Times New Roman" w:cs="Times New Roman"/>
                <w:snapToGrid w:val="0"/>
                <w:color w:val="auto"/>
                <w:sz w:val="21"/>
                <w:szCs w:val="21"/>
                <w:highlight w:val="none"/>
                <w:lang w:val="en-US" w:eastAsia="zh-CN" w:bidi="ar"/>
              </w:rPr>
              <w:t>生产废水</w:t>
            </w:r>
          </w:p>
        </w:tc>
        <w:tc>
          <w:tcPr>
            <w:tcW w:w="5008" w:type="dxa"/>
            <w:vAlign w:val="center"/>
          </w:tcPr>
          <w:p w14:paraId="2A96CCC2">
            <w:pPr>
              <w:pStyle w:val="152"/>
              <w:adjustRightInd w:val="0"/>
              <w:snapToGrid w:val="0"/>
              <w:jc w:val="both"/>
              <w:rPr>
                <w:rFonts w:hint="eastAsia"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lang w:val="en-US" w:bidi="ar"/>
              </w:rPr>
              <w:t>运营期生产废水集中收集后进入黑膜厌氧池发酵处理，固液分离出来的液体进入黑膜厌氧池中发酵，发酵成的沼液于黑膜厌氧池中储存，施肥季节用于配套用于周围土地消纳，非施肥季节储存于黑膜厌氧池中储存。处理后的沼液满足《畜禽粪便无害化处理技术规范》（GB/T36195-2018）表2标准，在施肥季节用于农田施肥，冬季暂存于黑膜厌氧池。废水冬季储存于黑膜厌氧池内，项目设置</w:t>
            </w:r>
            <w:r>
              <w:rPr>
                <w:rFonts w:hint="default" w:ascii="Times New Roman" w:hAnsi="Times New Roman" w:cs="Times New Roman"/>
                <w:snapToGrid w:val="0"/>
                <w:color w:val="auto"/>
                <w:szCs w:val="21"/>
                <w:highlight w:val="none"/>
                <w:lang w:val="en-US" w:eastAsia="zh-CN" w:bidi="ar"/>
              </w:rPr>
              <w:t>1</w:t>
            </w:r>
            <w:r>
              <w:rPr>
                <w:rFonts w:hint="default" w:ascii="Times New Roman" w:hAnsi="Times New Roman" w:cs="Times New Roman"/>
                <w:snapToGrid w:val="0"/>
                <w:color w:val="auto"/>
                <w:szCs w:val="21"/>
                <w:highlight w:val="none"/>
                <w:lang w:val="en-US" w:bidi="ar"/>
              </w:rPr>
              <w:t>座黑膜厌氧池，容积</w:t>
            </w:r>
            <w:r>
              <w:rPr>
                <w:rFonts w:hint="eastAsia" w:ascii="Times New Roman" w:hAnsi="Times New Roman" w:cs="Times New Roman"/>
                <w:snapToGrid w:val="0"/>
                <w:color w:val="auto"/>
                <w:sz w:val="21"/>
                <w:szCs w:val="21"/>
                <w:highlight w:val="none"/>
                <w:lang w:val="en-US" w:eastAsia="zh-CN"/>
              </w:rPr>
              <w:t>13000</w:t>
            </w:r>
            <w:r>
              <w:rPr>
                <w:rFonts w:hint="default" w:ascii="Times New Roman" w:hAnsi="Times New Roman" w:cs="Times New Roman"/>
                <w:snapToGrid w:val="0"/>
                <w:color w:val="auto"/>
                <w:szCs w:val="21"/>
                <w:highlight w:val="none"/>
                <w:lang w:val="en-US" w:bidi="ar"/>
              </w:rPr>
              <w:t>m</w:t>
            </w:r>
            <w:r>
              <w:rPr>
                <w:rFonts w:hint="default" w:ascii="Times New Roman" w:hAnsi="Times New Roman" w:cs="Times New Roman"/>
                <w:snapToGrid w:val="0"/>
                <w:color w:val="auto"/>
                <w:szCs w:val="21"/>
                <w:highlight w:val="none"/>
                <w:vertAlign w:val="superscript"/>
                <w:lang w:val="en-US" w:bidi="ar"/>
              </w:rPr>
              <w:t>3</w:t>
            </w:r>
            <w:r>
              <w:rPr>
                <w:rFonts w:hint="default" w:ascii="Times New Roman" w:hAnsi="Times New Roman" w:cs="Times New Roman"/>
                <w:snapToGrid w:val="0"/>
                <w:color w:val="auto"/>
                <w:szCs w:val="21"/>
                <w:highlight w:val="none"/>
                <w:lang w:val="en-US" w:bidi="ar"/>
              </w:rPr>
              <w:t>，在</w:t>
            </w:r>
            <w:r>
              <w:rPr>
                <w:rFonts w:hint="eastAsia" w:ascii="Times New Roman" w:hAnsi="Times New Roman" w:cs="Times New Roman"/>
                <w:snapToGrid w:val="0"/>
                <w:color w:val="auto"/>
                <w:szCs w:val="21"/>
                <w:highlight w:val="none"/>
                <w:lang w:val="en-US" w:eastAsia="zh-CN" w:bidi="ar"/>
              </w:rPr>
              <w:t>厂区</w:t>
            </w:r>
            <w:r>
              <w:rPr>
                <w:rFonts w:hint="default" w:ascii="Times New Roman" w:hAnsi="Times New Roman" w:cs="Times New Roman"/>
                <w:snapToGrid w:val="0"/>
                <w:color w:val="auto"/>
                <w:szCs w:val="21"/>
                <w:highlight w:val="none"/>
                <w:lang w:val="en-US" w:bidi="ar"/>
              </w:rPr>
              <w:t>周边挖排水沟、建拦水坝，防止雨水进入，喷淋微生物除臭剂。沼液满足《</w:t>
            </w:r>
            <w:r>
              <w:rPr>
                <w:rFonts w:hint="eastAsia" w:ascii="Times New Roman" w:hAnsi="Times New Roman" w:cs="Times New Roman"/>
                <w:snapToGrid w:val="0"/>
                <w:color w:val="auto"/>
                <w:szCs w:val="21"/>
                <w:highlight w:val="none"/>
                <w:lang w:val="en-US" w:eastAsia="zh-CN" w:bidi="ar"/>
              </w:rPr>
              <w:t>沼肥施用技术规范</w:t>
            </w:r>
            <w:r>
              <w:rPr>
                <w:rFonts w:hint="default" w:ascii="Times New Roman" w:hAnsi="Times New Roman" w:cs="Times New Roman"/>
                <w:snapToGrid w:val="0"/>
                <w:color w:val="auto"/>
                <w:szCs w:val="21"/>
                <w:highlight w:val="none"/>
                <w:lang w:val="en-US" w:bidi="ar"/>
              </w:rPr>
              <w:t>》（NY/T2065-2011）相关要求，沼液冬季存储，施肥季节还田。</w:t>
            </w:r>
            <w:r>
              <w:rPr>
                <w:rFonts w:hint="eastAsia" w:ascii="Times New Roman" w:hAnsi="Times New Roman" w:cs="Times New Roman"/>
                <w:snapToGrid w:val="0"/>
                <w:color w:val="auto"/>
                <w:szCs w:val="21"/>
                <w:highlight w:val="none"/>
                <w:lang w:val="en-US" w:eastAsia="zh-CN" w:bidi="ar"/>
              </w:rPr>
              <w:t>不外排。</w:t>
            </w:r>
          </w:p>
        </w:tc>
        <w:tc>
          <w:tcPr>
            <w:tcW w:w="659" w:type="dxa"/>
            <w:vAlign w:val="center"/>
          </w:tcPr>
          <w:p w14:paraId="68B770E1">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val="en-US" w:eastAsia="zh-CN"/>
              </w:rPr>
              <w:t>现有</w:t>
            </w:r>
          </w:p>
        </w:tc>
      </w:tr>
      <w:tr w14:paraId="722605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77" w:hRule="atLeast"/>
        </w:trPr>
        <w:tc>
          <w:tcPr>
            <w:tcW w:w="728" w:type="dxa"/>
            <w:vMerge w:val="continue"/>
            <w:vAlign w:val="center"/>
          </w:tcPr>
          <w:p w14:paraId="74ACDBCE">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1C0EA0DA">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6A2D4FBB">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eastAsia="zh-CN"/>
              </w:rPr>
              <w:t>生活污水</w:t>
            </w:r>
          </w:p>
        </w:tc>
        <w:tc>
          <w:tcPr>
            <w:tcW w:w="5008" w:type="dxa"/>
            <w:vAlign w:val="center"/>
          </w:tcPr>
          <w:p w14:paraId="5A2B054B">
            <w:pPr>
              <w:pStyle w:val="152"/>
              <w:adjustRightInd w:val="0"/>
              <w:snapToGrid w:val="0"/>
              <w:jc w:val="both"/>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lang w:val="en-US" w:bidi="ar"/>
              </w:rPr>
              <w:t>进入</w:t>
            </w:r>
            <w:r>
              <w:rPr>
                <w:rFonts w:hint="default" w:ascii="Times New Roman" w:hAnsi="Times New Roman" w:cs="Times New Roman"/>
                <w:snapToGrid w:val="0"/>
                <w:color w:val="auto"/>
                <w:szCs w:val="21"/>
                <w:highlight w:val="none"/>
                <w:lang w:val="en-US" w:eastAsia="zh-CN" w:bidi="ar"/>
              </w:rPr>
              <w:t>黑膜厌氧池</w:t>
            </w:r>
            <w:r>
              <w:rPr>
                <w:rFonts w:hint="default" w:ascii="Times New Roman" w:hAnsi="Times New Roman" w:cs="Times New Roman"/>
                <w:snapToGrid w:val="0"/>
                <w:color w:val="auto"/>
                <w:szCs w:val="21"/>
                <w:highlight w:val="none"/>
                <w:lang w:val="en-US" w:bidi="ar"/>
              </w:rPr>
              <w:t>发酵处理</w:t>
            </w:r>
            <w:r>
              <w:rPr>
                <w:rFonts w:hint="default" w:ascii="Times New Roman" w:hAnsi="Times New Roman" w:cs="Times New Roman"/>
                <w:snapToGrid w:val="0"/>
                <w:color w:val="auto"/>
                <w:szCs w:val="21"/>
                <w:highlight w:val="none"/>
                <w:lang w:val="en-US" w:eastAsia="zh-CN" w:bidi="ar"/>
              </w:rPr>
              <w:t>。</w:t>
            </w:r>
          </w:p>
        </w:tc>
        <w:tc>
          <w:tcPr>
            <w:tcW w:w="659" w:type="dxa"/>
            <w:vAlign w:val="center"/>
          </w:tcPr>
          <w:p w14:paraId="4A1DE175">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6A603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786B11DC">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restart"/>
            <w:noWrap/>
            <w:vAlign w:val="center"/>
          </w:tcPr>
          <w:p w14:paraId="529BA966">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废气</w:t>
            </w:r>
          </w:p>
        </w:tc>
        <w:tc>
          <w:tcPr>
            <w:tcW w:w="1312" w:type="dxa"/>
            <w:vAlign w:val="center"/>
          </w:tcPr>
          <w:p w14:paraId="7A81308E">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val="en-US"/>
              </w:rPr>
              <w:t>猪舍</w:t>
            </w:r>
            <w:r>
              <w:rPr>
                <w:rFonts w:hint="default" w:ascii="Times New Roman" w:hAnsi="Times New Roman" w:eastAsia="宋体" w:cs="Times New Roman"/>
                <w:snapToGrid w:val="0"/>
                <w:color w:val="auto"/>
                <w:szCs w:val="21"/>
                <w:highlight w:val="none"/>
                <w:lang w:val="en-US" w:eastAsia="zh-CN"/>
              </w:rPr>
              <w:t>（配种舍、分娩舍、保育舍、后备舍）</w:t>
            </w:r>
          </w:p>
        </w:tc>
        <w:tc>
          <w:tcPr>
            <w:tcW w:w="5008" w:type="dxa"/>
            <w:vAlign w:val="center"/>
          </w:tcPr>
          <w:p w14:paraId="413B26A2">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bidi="ar"/>
              </w:rPr>
              <w:t>猪舍采用</w:t>
            </w:r>
            <w:r>
              <w:rPr>
                <w:rFonts w:hint="eastAsia" w:ascii="Times New Roman" w:hAnsi="Times New Roman" w:cs="Times New Roman"/>
                <w:snapToGrid w:val="0"/>
                <w:color w:val="auto"/>
                <w:sz w:val="21"/>
                <w:szCs w:val="21"/>
                <w:highlight w:val="none"/>
                <w:lang w:val="en-US" w:eastAsia="zh-CN" w:bidi="ar"/>
              </w:rPr>
              <w:t>尿泡粪—干清粪</w:t>
            </w:r>
            <w:r>
              <w:rPr>
                <w:rFonts w:hint="default" w:ascii="Times New Roman" w:hAnsi="Times New Roman" w:eastAsia="宋体" w:cs="Times New Roman"/>
                <w:snapToGrid w:val="0"/>
                <w:color w:val="auto"/>
                <w:sz w:val="21"/>
                <w:szCs w:val="21"/>
                <w:highlight w:val="none"/>
                <w:lang w:val="en-US" w:eastAsia="zh-CN" w:bidi="ar"/>
              </w:rPr>
              <w:t>的清粪方式，</w:t>
            </w:r>
            <w:r>
              <w:rPr>
                <w:rFonts w:hint="default" w:ascii="Times New Roman" w:hAnsi="Times New Roman" w:cs="Times New Roman"/>
                <w:snapToGrid w:val="0"/>
                <w:color w:val="auto"/>
                <w:sz w:val="21"/>
                <w:szCs w:val="21"/>
                <w:highlight w:val="none"/>
                <w:lang w:val="en-US" w:eastAsia="zh-CN"/>
              </w:rPr>
              <w:t>及时清运粪污；</w:t>
            </w:r>
            <w:r>
              <w:rPr>
                <w:rFonts w:hint="default" w:ascii="Times New Roman" w:hAnsi="Times New Roman" w:eastAsia="宋体" w:cs="Times New Roman"/>
                <w:snapToGrid w:val="0"/>
                <w:color w:val="auto"/>
                <w:sz w:val="21"/>
                <w:szCs w:val="21"/>
                <w:highlight w:val="none"/>
                <w:lang w:val="en-US" w:eastAsia="zh-CN" w:bidi="ar"/>
              </w:rPr>
              <w:t>在日粮中添加EM菌</w:t>
            </w:r>
            <w:r>
              <w:rPr>
                <w:rFonts w:hint="default" w:ascii="Times New Roman" w:hAnsi="Times New Roman" w:cs="Times New Roman"/>
                <w:snapToGrid w:val="0"/>
                <w:color w:val="auto"/>
                <w:sz w:val="21"/>
                <w:szCs w:val="21"/>
                <w:highlight w:val="none"/>
                <w:lang w:val="en-US" w:eastAsia="zh-CN" w:bidi="ar"/>
              </w:rPr>
              <w:t>；定期喷洒生物除臭剂等方法减少恶臭气体的排放。</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5F77F551">
            <w:pPr>
              <w:adjustRightInd w:val="0"/>
              <w:snapToGrid w:val="0"/>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7A4C4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3A7D3ABE">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95C2376">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0D8D93E1">
            <w:pPr>
              <w:pStyle w:val="152"/>
              <w:adjustRightInd w:val="0"/>
              <w:snapToGrid w:val="0"/>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szCs w:val="21"/>
                <w:highlight w:val="none"/>
                <w:lang w:eastAsia="zh-CN"/>
              </w:rPr>
              <w:t>干粪堆积场</w:t>
            </w:r>
          </w:p>
        </w:tc>
        <w:tc>
          <w:tcPr>
            <w:tcW w:w="5008" w:type="dxa"/>
            <w:vAlign w:val="center"/>
          </w:tcPr>
          <w:p w14:paraId="36A4FFC7">
            <w:pPr>
              <w:numPr>
                <w:ilvl w:val="0"/>
                <w:numId w:val="0"/>
              </w:numPr>
              <w:adjustRightInd w:val="0"/>
              <w:snapToGrid w:val="0"/>
              <w:jc w:val="left"/>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bidi="ar"/>
              </w:rPr>
              <w:t>干粪堆积场</w:t>
            </w:r>
            <w:r>
              <w:rPr>
                <w:rFonts w:hint="default" w:ascii="Times New Roman" w:hAnsi="Times New Roman" w:eastAsia="宋体" w:cs="Times New Roman"/>
                <w:snapToGrid w:val="0"/>
                <w:color w:val="auto"/>
                <w:sz w:val="21"/>
                <w:szCs w:val="21"/>
                <w:highlight w:val="none"/>
                <w:lang w:val="en-US" w:eastAsia="zh-CN" w:bidi="ar"/>
              </w:rPr>
              <w:t>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cs="Times New Roman"/>
                <w:bCs/>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及时清运固体粪污；采用好氧堆肥方式；</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bCs/>
                <w:snapToGrid w:val="0"/>
                <w:color w:val="auto"/>
                <w:sz w:val="21"/>
                <w:szCs w:val="21"/>
                <w:highlight w:val="none"/>
                <w:lang w:val="en-US" w:eastAsia="zh-CN"/>
              </w:rPr>
              <w:t>车间顶部排气口排放</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1C893C55">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Cs w:val="21"/>
                <w:highlight w:val="none"/>
                <w:lang w:val="en-US" w:eastAsia="zh-CN"/>
              </w:rPr>
              <w:t>现有</w:t>
            </w:r>
          </w:p>
        </w:tc>
      </w:tr>
      <w:tr w14:paraId="338DFE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6A5DDF4">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36D4942C">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66A4FB84">
            <w:pPr>
              <w:pStyle w:val="152"/>
              <w:adjustRightInd w:val="0"/>
              <w:snapToGrid w:val="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lang w:val="en-US" w:eastAsia="zh-CN" w:bidi="ar"/>
              </w:rPr>
              <w:t>固液分离间</w:t>
            </w:r>
          </w:p>
        </w:tc>
        <w:tc>
          <w:tcPr>
            <w:tcW w:w="5008" w:type="dxa"/>
            <w:vAlign w:val="center"/>
          </w:tcPr>
          <w:p w14:paraId="17802259">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
              </w:rPr>
              <w:t>对处理设施进行封闭，定期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195C22A0">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31043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4CE2D9BD">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6083712">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1206034C">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eastAsia="zh-CN"/>
              </w:rPr>
              <w:t>黑膜厌氧池</w:t>
            </w:r>
            <w:r>
              <w:rPr>
                <w:rFonts w:hint="eastAsia" w:ascii="Times New Roman" w:hAnsi="Times New Roman"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黑膜囊</w:t>
            </w:r>
            <w:r>
              <w:rPr>
                <w:rFonts w:hint="eastAsia" w:ascii="Times New Roman" w:hAnsi="Times New Roman" w:cs="Times New Roman"/>
                <w:snapToGrid w:val="0"/>
                <w:color w:val="auto"/>
                <w:sz w:val="21"/>
                <w:szCs w:val="21"/>
                <w:highlight w:val="none"/>
                <w:lang w:eastAsia="zh-CN"/>
              </w:rPr>
              <w:t>）</w:t>
            </w:r>
          </w:p>
        </w:tc>
        <w:tc>
          <w:tcPr>
            <w:tcW w:w="5008" w:type="dxa"/>
            <w:vAlign w:val="center"/>
          </w:tcPr>
          <w:p w14:paraId="536C3E89">
            <w:pPr>
              <w:pStyle w:val="2"/>
              <w:numPr>
                <w:ilvl w:val="0"/>
                <w:numId w:val="0"/>
              </w:numPr>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定期喷洒除臭剂</w:t>
            </w:r>
            <w:r>
              <w:rPr>
                <w:rFonts w:hint="default" w:ascii="Times New Roman" w:hAnsi="Times New Roman"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kern w:val="0"/>
                <w:sz w:val="21"/>
                <w:szCs w:val="21"/>
                <w:highlight w:val="none"/>
                <w:lang w:val="en-US" w:eastAsia="zh-CN" w:bidi="ar"/>
              </w:rPr>
              <w:t>黑膜厌氧池</w:t>
            </w:r>
            <w:r>
              <w:rPr>
                <w:rFonts w:hint="default" w:ascii="Times New Roman" w:hAnsi="Times New Roman" w:cs="Times New Roman"/>
                <w:snapToGrid w:val="0"/>
                <w:color w:val="auto"/>
                <w:kern w:val="0"/>
                <w:sz w:val="21"/>
                <w:szCs w:val="21"/>
                <w:highlight w:val="none"/>
                <w:lang w:val="en-US" w:eastAsia="zh-CN" w:bidi="ar"/>
              </w:rPr>
              <w:t>全封闭</w:t>
            </w:r>
            <w:r>
              <w:rPr>
                <w:rFonts w:hint="default" w:ascii="Times New Roman" w:hAnsi="Times New Roman" w:eastAsia="宋体"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2DF4DF86">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462F0F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6F10C1D6">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3D9761F8">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6CFBA24A">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eastAsia="zh-CN" w:bidi="ar"/>
              </w:rPr>
              <w:t>全场</w:t>
            </w:r>
          </w:p>
        </w:tc>
        <w:tc>
          <w:tcPr>
            <w:tcW w:w="5008" w:type="dxa"/>
            <w:vAlign w:val="center"/>
          </w:tcPr>
          <w:p w14:paraId="47F21E58">
            <w:pPr>
              <w:pStyle w:val="2"/>
              <w:numPr>
                <w:ilvl w:val="0"/>
                <w:numId w:val="0"/>
              </w:numPr>
              <w:snapToGrid w:val="0"/>
              <w:jc w:val="center"/>
              <w:rPr>
                <w:rFonts w:hint="default" w:ascii="Times New Roman" w:hAnsi="Times New Roman" w:eastAsia="宋体" w:cs="Times New Roman"/>
                <w:snapToGrid w:val="0"/>
                <w:color w:val="auto"/>
                <w:kern w:val="0"/>
                <w:sz w:val="21"/>
                <w:szCs w:val="21"/>
                <w:highlight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
              </w:rPr>
              <w:t>固体粪污规范还田利用；场区运输道路硬化、及时清扫、无积灰扬尘、定期洒水抑尘。</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466BA902">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51D0A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2D258DE7">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noWrap/>
            <w:vAlign w:val="center"/>
          </w:tcPr>
          <w:p w14:paraId="61361395">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噪声</w:t>
            </w:r>
          </w:p>
        </w:tc>
        <w:tc>
          <w:tcPr>
            <w:tcW w:w="1312" w:type="dxa"/>
            <w:noWrap/>
            <w:vAlign w:val="center"/>
          </w:tcPr>
          <w:p w14:paraId="23800304">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降噪措施</w:t>
            </w:r>
          </w:p>
        </w:tc>
        <w:tc>
          <w:tcPr>
            <w:tcW w:w="5008" w:type="dxa"/>
            <w:vAlign w:val="center"/>
          </w:tcPr>
          <w:p w14:paraId="1CA2494F">
            <w:pPr>
              <w:pStyle w:val="152"/>
              <w:adjustRightInd w:val="0"/>
              <w:snapToGrid w:val="0"/>
              <w:jc w:val="both"/>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水泵、固液分离机</w:t>
            </w:r>
            <w:r>
              <w:rPr>
                <w:rFonts w:hint="default" w:ascii="Times New Roman" w:hAnsi="Times New Roman" w:eastAsia="宋体" w:cs="Times New Roman"/>
                <w:snapToGrid w:val="0"/>
                <w:color w:val="auto"/>
                <w:szCs w:val="21"/>
                <w:highlight w:val="none"/>
                <w:lang w:eastAsia="zh-CN"/>
              </w:rPr>
              <w:t>等</w:t>
            </w:r>
            <w:r>
              <w:rPr>
                <w:rFonts w:hint="default" w:ascii="Times New Roman" w:hAnsi="Times New Roman" w:eastAsia="宋体" w:cs="Times New Roman"/>
                <w:snapToGrid w:val="0"/>
                <w:color w:val="auto"/>
                <w:szCs w:val="21"/>
                <w:highlight w:val="none"/>
              </w:rPr>
              <w:t>设备采取隔声、减振降噪措施</w:t>
            </w:r>
            <w:r>
              <w:rPr>
                <w:rFonts w:hint="default" w:ascii="Times New Roman" w:hAnsi="Times New Roman" w:eastAsia="宋体" w:cs="Times New Roman"/>
                <w:snapToGrid w:val="0"/>
                <w:color w:val="auto"/>
                <w:szCs w:val="21"/>
                <w:highlight w:val="none"/>
                <w:lang w:eastAsia="zh-CN"/>
              </w:rPr>
              <w:t>。满足</w:t>
            </w:r>
            <w:r>
              <w:rPr>
                <w:rFonts w:hint="default" w:ascii="Times New Roman" w:hAnsi="Times New Roman" w:eastAsia="宋体" w:cs="Times New Roman"/>
                <w:snapToGrid w:val="0"/>
                <w:color w:val="auto"/>
                <w:szCs w:val="21"/>
                <w:highlight w:val="none"/>
              </w:rPr>
              <w:t>《工业企业厂界环境噪声排放标准》（GB12348-2008）</w:t>
            </w:r>
            <w:r>
              <w:rPr>
                <w:rFonts w:hint="default" w:ascii="Times New Roman" w:hAnsi="Times New Roman" w:eastAsia="宋体" w:cs="Times New Roman"/>
                <w:snapToGrid w:val="0"/>
                <w:color w:val="auto"/>
                <w:szCs w:val="21"/>
                <w:highlight w:val="none"/>
                <w:lang w:eastAsia="zh-CN"/>
              </w:rPr>
              <w:t>表1中的</w:t>
            </w:r>
            <w:r>
              <w:rPr>
                <w:rFonts w:hint="eastAsia" w:ascii="Times New Roman" w:hAnsi="Times New Roman" w:cs="Times New Roman"/>
                <w:snapToGrid w:val="0"/>
                <w:color w:val="auto"/>
                <w:szCs w:val="21"/>
                <w:highlight w:val="none"/>
                <w:lang w:val="en-US" w:eastAsia="zh-CN"/>
              </w:rPr>
              <w:t>1类</w:t>
            </w:r>
            <w:r>
              <w:rPr>
                <w:rFonts w:hint="default" w:ascii="Times New Roman" w:hAnsi="Times New Roman" w:eastAsia="宋体" w:cs="Times New Roman"/>
                <w:snapToGrid w:val="0"/>
                <w:color w:val="auto"/>
                <w:szCs w:val="21"/>
                <w:highlight w:val="none"/>
              </w:rPr>
              <w:t>标准</w:t>
            </w:r>
            <w:r>
              <w:rPr>
                <w:rFonts w:hint="default" w:ascii="Times New Roman" w:hAnsi="Times New Roman" w:eastAsia="宋体" w:cs="Times New Roman"/>
                <w:snapToGrid w:val="0"/>
                <w:color w:val="auto"/>
                <w:szCs w:val="21"/>
                <w:highlight w:val="none"/>
                <w:lang w:eastAsia="zh-CN"/>
              </w:rPr>
              <w:t>。</w:t>
            </w:r>
          </w:p>
        </w:tc>
        <w:tc>
          <w:tcPr>
            <w:tcW w:w="659" w:type="dxa"/>
            <w:tcBorders>
              <w:right w:val="nil"/>
            </w:tcBorders>
            <w:vAlign w:val="center"/>
          </w:tcPr>
          <w:p w14:paraId="737988C9">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val="en-US" w:eastAsia="zh-CN"/>
              </w:rPr>
              <w:t>现有</w:t>
            </w:r>
          </w:p>
        </w:tc>
        <w:tc>
          <w:tcPr>
            <w:tcW w:w="18" w:type="dxa"/>
            <w:tcBorders>
              <w:left w:val="nil"/>
            </w:tcBorders>
            <w:vAlign w:val="center"/>
          </w:tcPr>
          <w:p w14:paraId="29F96317">
            <w:pPr>
              <w:pStyle w:val="152"/>
              <w:adjustRightInd w:val="0"/>
              <w:snapToGrid w:val="0"/>
              <w:jc w:val="both"/>
              <w:rPr>
                <w:snapToGrid w:val="0"/>
                <w:highlight w:val="none"/>
              </w:rPr>
            </w:pPr>
            <w:r>
              <w:rPr>
                <w:rFonts w:hint="eastAsia" w:ascii="Times New Roman" w:hAnsi="Times New Roman" w:cs="Times New Roman"/>
                <w:snapToGrid w:val="0"/>
                <w:color w:val="auto"/>
                <w:szCs w:val="21"/>
                <w:highlight w:val="none"/>
                <w:lang w:val="en-US" w:eastAsia="zh-CN"/>
              </w:rPr>
              <w:t>现有</w:t>
            </w:r>
          </w:p>
        </w:tc>
      </w:tr>
      <w:tr w14:paraId="31B1A8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5" w:hRule="atLeast"/>
        </w:trPr>
        <w:tc>
          <w:tcPr>
            <w:tcW w:w="728" w:type="dxa"/>
            <w:vMerge w:val="continue"/>
            <w:vAlign w:val="center"/>
          </w:tcPr>
          <w:p w14:paraId="33CB5464">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restart"/>
            <w:noWrap/>
            <w:vAlign w:val="center"/>
          </w:tcPr>
          <w:p w14:paraId="6D3AB7A6">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固体废物</w:t>
            </w:r>
          </w:p>
        </w:tc>
        <w:tc>
          <w:tcPr>
            <w:tcW w:w="1312" w:type="dxa"/>
            <w:vAlign w:val="center"/>
          </w:tcPr>
          <w:p w14:paraId="6F8F69D1">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病死猪</w:t>
            </w:r>
            <w:r>
              <w:rPr>
                <w:rFonts w:hint="default" w:ascii="Times New Roman" w:hAnsi="Times New Roman" w:eastAsia="宋体" w:cs="Times New Roman"/>
                <w:snapToGrid w:val="0"/>
                <w:color w:val="auto"/>
                <w:szCs w:val="21"/>
                <w:highlight w:val="none"/>
                <w:lang w:val="en-US" w:eastAsia="zh-CN"/>
              </w:rPr>
              <w:t>及</w:t>
            </w:r>
            <w:r>
              <w:rPr>
                <w:rFonts w:hint="default" w:ascii="Times New Roman" w:hAnsi="Times New Roman" w:eastAsia="宋体" w:cs="Times New Roman"/>
                <w:snapToGrid w:val="0"/>
                <w:color w:val="auto"/>
                <w:szCs w:val="21"/>
                <w:highlight w:val="none"/>
                <w:lang w:eastAsia="zh-CN"/>
              </w:rPr>
              <w:t>胎盘</w:t>
            </w:r>
          </w:p>
        </w:tc>
        <w:tc>
          <w:tcPr>
            <w:tcW w:w="5008" w:type="dxa"/>
            <w:vAlign w:val="center"/>
          </w:tcPr>
          <w:p w14:paraId="195E95BA">
            <w:pPr>
              <w:pStyle w:val="152"/>
              <w:adjustRightInd w:val="0"/>
              <w:snapToGrid w:val="0"/>
              <w:jc w:val="left"/>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bidi="ar"/>
              </w:rPr>
              <w:t>病死猪及胎盘委托</w:t>
            </w:r>
            <w:r>
              <w:rPr>
                <w:rFonts w:hint="eastAsia" w:ascii="Times New Roman" w:hAnsi="Times New Roman" w:cs="Times New Roman"/>
                <w:snapToGrid w:val="0"/>
                <w:color w:val="auto"/>
                <w:szCs w:val="21"/>
                <w:highlight w:val="none"/>
                <w:lang w:val="en-US" w:eastAsia="zh-CN" w:bidi="ar"/>
              </w:rPr>
              <w:t>鸡西市鑫农源固废处理有限公司进行无害化集中处理</w:t>
            </w:r>
            <w:r>
              <w:rPr>
                <w:rFonts w:hint="default" w:ascii="Times New Roman" w:hAnsi="Times New Roman" w:cs="Times New Roman"/>
                <w:snapToGrid w:val="0"/>
                <w:color w:val="auto"/>
                <w:szCs w:val="21"/>
                <w:highlight w:val="none"/>
                <w:lang w:val="en-US" w:eastAsia="zh-CN" w:bidi="ar"/>
              </w:rPr>
              <w:t>。</w:t>
            </w:r>
          </w:p>
        </w:tc>
        <w:tc>
          <w:tcPr>
            <w:tcW w:w="677" w:type="dxa"/>
            <w:gridSpan w:val="2"/>
            <w:vMerge w:val="restart"/>
            <w:vAlign w:val="center"/>
          </w:tcPr>
          <w:p w14:paraId="4FA8BCE4">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处置率100%</w:t>
            </w:r>
          </w:p>
        </w:tc>
      </w:tr>
      <w:tr w14:paraId="2A071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7" w:hRule="atLeast"/>
        </w:trPr>
        <w:tc>
          <w:tcPr>
            <w:tcW w:w="728" w:type="dxa"/>
            <w:vMerge w:val="continue"/>
            <w:vAlign w:val="center"/>
          </w:tcPr>
          <w:p w14:paraId="429B9E59">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0DC8CB8">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7BFB92DB">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生活垃圾</w:t>
            </w:r>
          </w:p>
        </w:tc>
        <w:tc>
          <w:tcPr>
            <w:tcW w:w="5008" w:type="dxa"/>
            <w:vAlign w:val="center"/>
          </w:tcPr>
          <w:p w14:paraId="2B39FA87">
            <w:pPr>
              <w:pStyle w:val="152"/>
              <w:adjustRightInd w:val="0"/>
              <w:snapToGrid w:val="0"/>
              <w:jc w:val="both"/>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生活垃圾单独收集，由环卫部门定期清运。</w:t>
            </w:r>
          </w:p>
        </w:tc>
        <w:tc>
          <w:tcPr>
            <w:tcW w:w="677" w:type="dxa"/>
            <w:gridSpan w:val="2"/>
            <w:vMerge w:val="continue"/>
            <w:vAlign w:val="center"/>
          </w:tcPr>
          <w:p w14:paraId="727E6803">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p>
        </w:tc>
      </w:tr>
      <w:tr w14:paraId="5A859D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728" w:type="dxa"/>
            <w:vMerge w:val="continue"/>
            <w:vAlign w:val="center"/>
          </w:tcPr>
          <w:p w14:paraId="6460CA7D">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0378A74F">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7F330055">
            <w:pPr>
              <w:pStyle w:val="152"/>
              <w:adjustRightInd w:val="0"/>
              <w:snapToGrid w:val="0"/>
              <w:rPr>
                <w:rFonts w:hint="eastAsia" w:ascii="Times New Roman" w:hAnsi="Times New Roman" w:eastAsia="宋体" w:cs="Times New Roman"/>
                <w:snapToGrid w:val="0"/>
                <w:color w:val="auto"/>
                <w:szCs w:val="21"/>
                <w:highlight w:val="none"/>
                <w:lang w:eastAsia="zh-CN"/>
              </w:rPr>
            </w:pPr>
            <w:r>
              <w:rPr>
                <w:rFonts w:hint="eastAsia" w:ascii="Times New Roman" w:hAnsi="Times New Roman" w:cs="Times New Roman"/>
                <w:snapToGrid w:val="0"/>
                <w:color w:val="auto"/>
                <w:szCs w:val="21"/>
                <w:highlight w:val="none"/>
                <w:lang w:eastAsia="zh-CN"/>
              </w:rPr>
              <w:t>动物医疗废物</w:t>
            </w:r>
          </w:p>
        </w:tc>
        <w:tc>
          <w:tcPr>
            <w:tcW w:w="5008" w:type="dxa"/>
            <w:vAlign w:val="center"/>
          </w:tcPr>
          <w:p w14:paraId="5BFB6FCA">
            <w:pPr>
              <w:keepNext w:val="0"/>
              <w:keepLines w:val="0"/>
              <w:widowControl/>
              <w:suppressLineNumbers w:val="0"/>
              <w:adjustRightInd w:val="0"/>
              <w:snapToGrid w:val="0"/>
              <w:jc w:val="left"/>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kern w:val="0"/>
                <w:sz w:val="21"/>
                <w:szCs w:val="21"/>
                <w:highlight w:val="none"/>
                <w:lang w:val="en-US" w:eastAsia="zh-CN" w:bidi="ar"/>
              </w:rPr>
              <w:t>动物医疗废物</w:t>
            </w:r>
            <w:r>
              <w:rPr>
                <w:rFonts w:hint="default" w:ascii="Times New Roman" w:hAnsi="Times New Roman" w:cs="Times New Roman"/>
                <w:snapToGrid w:val="0"/>
                <w:color w:val="auto"/>
                <w:kern w:val="0"/>
                <w:sz w:val="21"/>
                <w:szCs w:val="21"/>
                <w:highlight w:val="none"/>
                <w:lang w:val="en-US" w:eastAsia="zh-CN" w:bidi="ar"/>
              </w:rPr>
              <w:t>交由有资质单位处置。</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677" w:type="dxa"/>
            <w:gridSpan w:val="2"/>
            <w:vMerge w:val="continue"/>
            <w:vAlign w:val="center"/>
          </w:tcPr>
          <w:p w14:paraId="109EA84B">
            <w:pPr>
              <w:adjustRightInd w:val="0"/>
              <w:snapToGrid w:val="0"/>
              <w:jc w:val="center"/>
              <w:rPr>
                <w:rFonts w:hint="default" w:ascii="Times New Roman" w:hAnsi="Times New Roman" w:eastAsia="宋体" w:cs="Times New Roman"/>
                <w:snapToGrid w:val="0"/>
                <w:color w:val="auto"/>
                <w:szCs w:val="21"/>
                <w:highlight w:val="none"/>
              </w:rPr>
            </w:pPr>
          </w:p>
        </w:tc>
      </w:tr>
      <w:tr w14:paraId="25C5C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1" w:hRule="atLeast"/>
        </w:trPr>
        <w:tc>
          <w:tcPr>
            <w:tcW w:w="728" w:type="dxa"/>
            <w:vMerge w:val="continue"/>
            <w:vAlign w:val="center"/>
          </w:tcPr>
          <w:p w14:paraId="5658EF3D">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3D0F1A31">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17AEECE4">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沼渣</w:t>
            </w:r>
          </w:p>
        </w:tc>
        <w:tc>
          <w:tcPr>
            <w:tcW w:w="5008" w:type="dxa"/>
            <w:vAlign w:val="center"/>
          </w:tcPr>
          <w:p w14:paraId="22FB951F">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eastAsia="zh-CN"/>
              </w:rPr>
              <w:t>干粪堆积场</w:t>
            </w:r>
            <w:r>
              <w:rPr>
                <w:rFonts w:hint="default" w:ascii="Times New Roman" w:hAnsi="Times New Roman" w:eastAsia="宋体" w:cs="Times New Roman"/>
                <w:snapToGrid w:val="0"/>
                <w:color w:val="auto"/>
                <w:szCs w:val="21"/>
                <w:highlight w:val="none"/>
              </w:rPr>
              <w:t>堆肥</w:t>
            </w:r>
            <w:r>
              <w:rPr>
                <w:rFonts w:hint="eastAsia" w:ascii="Times New Roman" w:hAnsi="Times New Roman" w:cs="Times New Roman"/>
                <w:snapToGrid w:val="0"/>
                <w:color w:val="auto"/>
                <w:szCs w:val="21"/>
                <w:highlight w:val="none"/>
                <w:lang w:val="en-US" w:eastAsia="zh-CN"/>
              </w:rPr>
              <w:t>后用于周边农户农田</w:t>
            </w:r>
            <w:r>
              <w:rPr>
                <w:rFonts w:hint="default" w:ascii="Times New Roman" w:hAnsi="Times New Roman" w:eastAsia="宋体" w:cs="Times New Roman"/>
                <w:snapToGrid w:val="0"/>
                <w:color w:val="auto"/>
                <w:szCs w:val="21"/>
                <w:highlight w:val="none"/>
              </w:rPr>
              <w:t>。</w:t>
            </w:r>
          </w:p>
        </w:tc>
        <w:tc>
          <w:tcPr>
            <w:tcW w:w="677" w:type="dxa"/>
            <w:gridSpan w:val="2"/>
            <w:vMerge w:val="continue"/>
            <w:vAlign w:val="center"/>
          </w:tcPr>
          <w:p w14:paraId="4F10DEB2">
            <w:pPr>
              <w:pStyle w:val="152"/>
              <w:adjustRightInd w:val="0"/>
              <w:snapToGrid w:val="0"/>
              <w:rPr>
                <w:rFonts w:hint="default" w:ascii="Times New Roman" w:hAnsi="Times New Roman" w:eastAsia="宋体" w:cs="Times New Roman"/>
                <w:snapToGrid w:val="0"/>
                <w:color w:val="auto"/>
                <w:szCs w:val="21"/>
                <w:highlight w:val="none"/>
              </w:rPr>
            </w:pPr>
          </w:p>
        </w:tc>
      </w:tr>
      <w:tr w14:paraId="7240EE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610CF046">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D8F5674">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2F3CFEE6">
            <w:pPr>
              <w:pStyle w:val="152"/>
              <w:adjustRightInd w:val="0"/>
              <w:snapToGrid w:val="0"/>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val="en-US" w:eastAsia="zh-CN"/>
              </w:rPr>
              <w:t>猪粪</w:t>
            </w:r>
          </w:p>
        </w:tc>
        <w:tc>
          <w:tcPr>
            <w:tcW w:w="5008" w:type="dxa"/>
            <w:vAlign w:val="center"/>
          </w:tcPr>
          <w:p w14:paraId="5FA9B470">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eastAsia="zh-CN"/>
              </w:rPr>
              <w:t>采用尿泡粪—干清粪方式进行清粪，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施肥季节用于配套消纳地进行施肥，非施肥季节储存于干粪堆积场内。</w:t>
            </w:r>
          </w:p>
        </w:tc>
        <w:tc>
          <w:tcPr>
            <w:tcW w:w="677" w:type="dxa"/>
            <w:gridSpan w:val="2"/>
            <w:vMerge w:val="continue"/>
            <w:vAlign w:val="center"/>
          </w:tcPr>
          <w:p w14:paraId="107F5B13">
            <w:pPr>
              <w:pStyle w:val="152"/>
              <w:adjustRightInd w:val="0"/>
              <w:snapToGrid w:val="0"/>
              <w:rPr>
                <w:rFonts w:hint="default" w:ascii="Times New Roman" w:hAnsi="Times New Roman" w:eastAsia="宋体" w:cs="Times New Roman"/>
                <w:snapToGrid w:val="0"/>
                <w:color w:val="auto"/>
                <w:szCs w:val="21"/>
                <w:highlight w:val="none"/>
              </w:rPr>
            </w:pPr>
          </w:p>
        </w:tc>
      </w:tr>
      <w:tr w14:paraId="10828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45178E05">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80593B7">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17425A48">
            <w:pPr>
              <w:adjustRightInd w:val="0"/>
              <w:snapToGrid w:val="0"/>
              <w:jc w:val="center"/>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废除臭剂桶</w:t>
            </w:r>
          </w:p>
        </w:tc>
        <w:tc>
          <w:tcPr>
            <w:tcW w:w="5008" w:type="dxa"/>
            <w:vAlign w:val="center"/>
          </w:tcPr>
          <w:p w14:paraId="4FEA23DC">
            <w:pPr>
              <w:adjustRightInd w:val="0"/>
              <w:snapToGrid w:val="0"/>
              <w:jc w:val="left"/>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定期由厂家回收利用</w:t>
            </w:r>
          </w:p>
        </w:tc>
        <w:tc>
          <w:tcPr>
            <w:tcW w:w="677" w:type="dxa"/>
            <w:gridSpan w:val="2"/>
            <w:vMerge w:val="continue"/>
            <w:vAlign w:val="top"/>
          </w:tcPr>
          <w:p w14:paraId="29767F77">
            <w:pPr>
              <w:pStyle w:val="152"/>
              <w:adjustRightInd w:val="0"/>
              <w:snapToGrid w:val="0"/>
              <w:jc w:val="both"/>
              <w:rPr>
                <w:rFonts w:hint="default" w:ascii="Times New Roman" w:hAnsi="Times New Roman" w:eastAsia="宋体" w:cs="Times New Roman"/>
                <w:snapToGrid w:val="0"/>
                <w:color w:val="auto"/>
                <w:szCs w:val="21"/>
                <w:highlight w:val="none"/>
              </w:rPr>
            </w:pPr>
          </w:p>
        </w:tc>
      </w:tr>
      <w:tr w14:paraId="1EA58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4" w:hRule="atLeast"/>
        </w:trPr>
        <w:tc>
          <w:tcPr>
            <w:tcW w:w="728" w:type="dxa"/>
            <w:vMerge w:val="continue"/>
            <w:vAlign w:val="center"/>
          </w:tcPr>
          <w:p w14:paraId="1A430C18">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restart"/>
            <w:noWrap/>
            <w:vAlign w:val="center"/>
          </w:tcPr>
          <w:p w14:paraId="463B005D">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地下水防治</w:t>
            </w:r>
          </w:p>
        </w:tc>
        <w:tc>
          <w:tcPr>
            <w:tcW w:w="1312" w:type="dxa"/>
            <w:vMerge w:val="restart"/>
            <w:vAlign w:val="center"/>
          </w:tcPr>
          <w:p w14:paraId="311AB973">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 w:val="21"/>
                <w:szCs w:val="21"/>
                <w:highlight w:val="none"/>
                <w:lang w:val="en-US" w:eastAsia="zh-CN" w:bidi="ar"/>
              </w:rPr>
              <w:t>防渗工程</w:t>
            </w:r>
          </w:p>
        </w:tc>
        <w:tc>
          <w:tcPr>
            <w:tcW w:w="5008" w:type="dxa"/>
            <w:tcBorders>
              <w:bottom w:val="single" w:color="000000" w:sz="4" w:space="0"/>
            </w:tcBorders>
            <w:vAlign w:val="center"/>
          </w:tcPr>
          <w:p w14:paraId="2850B7EA">
            <w:pPr>
              <w:pStyle w:val="152"/>
              <w:adjustRightInd w:val="0"/>
              <w:snapToGrid w:val="0"/>
              <w:jc w:val="left"/>
              <w:rPr>
                <w:rFonts w:hint="default" w:ascii="Times New Roman" w:hAnsi="Times New Roman" w:cs="Times New Roman"/>
                <w:snapToGrid w:val="0"/>
                <w:color w:val="auto"/>
                <w:szCs w:val="21"/>
                <w:highlight w:val="none"/>
                <w:lang w:val="en-US" w:bidi="ar"/>
              </w:rPr>
            </w:pPr>
            <w:r>
              <w:rPr>
                <w:rFonts w:hint="default" w:ascii="Times New Roman" w:hAnsi="Times New Roman" w:cs="Times New Roman"/>
                <w:snapToGrid w:val="0"/>
                <w:color w:val="auto"/>
                <w:szCs w:val="21"/>
                <w:highlight w:val="none"/>
                <w:lang w:val="en-US" w:bidi="ar"/>
              </w:rPr>
              <w:t>①</w:t>
            </w:r>
            <w:r>
              <w:rPr>
                <w:rFonts w:hint="eastAsia" w:ascii="Times New Roman" w:hAnsi="Times New Roman" w:cs="Times New Roman"/>
                <w:snapToGrid w:val="0"/>
                <w:color w:val="auto"/>
                <w:szCs w:val="21"/>
                <w:highlight w:val="none"/>
                <w:lang w:val="en-US" w:eastAsia="zh-CN" w:bidi="ar"/>
              </w:rPr>
              <w:t>黑膜厌氧池、医疗废物暂存间为重点防渗区</w:t>
            </w:r>
            <w:r>
              <w:rPr>
                <w:rFonts w:hint="default" w:ascii="Times New Roman" w:hAnsi="Times New Roman" w:cs="Times New Roman"/>
                <w:snapToGrid w:val="0"/>
                <w:color w:val="auto"/>
                <w:szCs w:val="21"/>
                <w:highlight w:val="none"/>
                <w:lang w:val="en-US" w:eastAsia="zh-CN" w:bidi="ar"/>
              </w:rPr>
              <w:t>，防渗措施为高密度</w:t>
            </w:r>
            <w:r>
              <w:rPr>
                <w:rFonts w:hint="default" w:ascii="Times New Roman" w:hAnsi="Times New Roman" w:cs="Times New Roman"/>
                <w:snapToGrid w:val="0"/>
                <w:color w:val="auto"/>
                <w:szCs w:val="21"/>
                <w:highlight w:val="none"/>
                <w:lang w:val="en-US" w:bidi="ar"/>
              </w:rPr>
              <w:t>聚乙烯（HDPE）防渗膜（渗透系数K≤10</w:t>
            </w:r>
            <w:r>
              <w:rPr>
                <w:rFonts w:hint="default" w:ascii="Times New Roman" w:hAnsi="Times New Roman" w:cs="Times New Roman"/>
                <w:snapToGrid w:val="0"/>
                <w:color w:val="auto"/>
                <w:szCs w:val="21"/>
                <w:highlight w:val="none"/>
                <w:vertAlign w:val="superscript"/>
                <w:lang w:val="en-US" w:bidi="ar"/>
              </w:rPr>
              <w:t>-12</w:t>
            </w:r>
            <w:r>
              <w:rPr>
                <w:rFonts w:hint="default" w:ascii="Times New Roman" w:hAnsi="Times New Roman" w:cs="Times New Roman"/>
                <w:snapToGrid w:val="0"/>
                <w:color w:val="auto"/>
                <w:szCs w:val="21"/>
                <w:highlight w:val="none"/>
                <w:lang w:val="en-US" w:bidi="ar"/>
              </w:rPr>
              <w:t>cm/s），</w:t>
            </w:r>
            <w:r>
              <w:rPr>
                <w:rFonts w:hint="default" w:ascii="Times New Roman" w:hAnsi="Times New Roman" w:cs="Times New Roman"/>
                <w:snapToGrid w:val="0"/>
                <w:color w:val="auto"/>
                <w:szCs w:val="21"/>
                <w:highlight w:val="none"/>
                <w:lang w:val="en-US" w:eastAsia="zh-CN" w:bidi="ar"/>
              </w:rPr>
              <w:t>满足《环境影响评价技术导则 地下水环境》（HJ610-2016）的防渗要求。</w:t>
            </w:r>
          </w:p>
          <w:p w14:paraId="3EF489F1">
            <w:pPr>
              <w:pStyle w:val="152"/>
              <w:adjustRightInd w:val="0"/>
              <w:snapToGrid w:val="0"/>
              <w:jc w:val="left"/>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bidi="ar"/>
              </w:rPr>
              <w:fldChar w:fldCharType="begin"/>
            </w:r>
            <w:r>
              <w:rPr>
                <w:rFonts w:hint="default" w:ascii="Times New Roman" w:hAnsi="Times New Roman" w:cs="Times New Roman"/>
                <w:snapToGrid w:val="0"/>
                <w:color w:val="auto"/>
                <w:szCs w:val="21"/>
                <w:highlight w:val="none"/>
                <w:lang w:val="en-US" w:bidi="ar"/>
              </w:rPr>
              <w:instrText xml:space="preserve"> = 2 \* GB3 </w:instrText>
            </w:r>
            <w:r>
              <w:rPr>
                <w:rFonts w:hint="default" w:ascii="Times New Roman" w:hAnsi="Times New Roman" w:cs="Times New Roman"/>
                <w:snapToGrid w:val="0"/>
                <w:color w:val="auto"/>
                <w:szCs w:val="21"/>
                <w:highlight w:val="none"/>
                <w:lang w:val="en-US" w:bidi="ar"/>
              </w:rPr>
              <w:fldChar w:fldCharType="separate"/>
            </w:r>
            <w:r>
              <w:rPr>
                <w:rFonts w:hint="default" w:ascii="Times New Roman" w:hAnsi="Times New Roman" w:cs="Times New Roman"/>
                <w:snapToGrid w:val="0"/>
                <w:color w:val="auto"/>
                <w:szCs w:val="21"/>
                <w:highlight w:val="none"/>
                <w:lang w:val="en-US" w:bidi="ar"/>
              </w:rPr>
              <w:t>②</w:t>
            </w:r>
            <w:r>
              <w:rPr>
                <w:rFonts w:hint="default" w:ascii="Times New Roman" w:hAnsi="Times New Roman" w:cs="Times New Roman"/>
                <w:snapToGrid w:val="0"/>
                <w:color w:val="auto"/>
                <w:szCs w:val="21"/>
                <w:highlight w:val="none"/>
                <w:lang w:val="en-US" w:bidi="ar"/>
              </w:rPr>
              <w:fldChar w:fldCharType="end"/>
            </w:r>
            <w:r>
              <w:rPr>
                <w:rFonts w:hint="default" w:ascii="Times New Roman" w:hAnsi="Times New Roman" w:cs="Times New Roman"/>
                <w:snapToGrid w:val="0"/>
                <w:color w:val="auto"/>
                <w:szCs w:val="21"/>
                <w:highlight w:val="none"/>
                <w:lang w:val="en-US" w:bidi="ar"/>
              </w:rPr>
              <w:t>猪舍</w:t>
            </w:r>
            <w:r>
              <w:rPr>
                <w:rFonts w:hint="eastAsia" w:ascii="Times New Roman" w:hAnsi="Times New Roman" w:cs="Times New Roman"/>
                <w:snapToGrid w:val="0"/>
                <w:color w:val="auto"/>
                <w:szCs w:val="21"/>
                <w:highlight w:val="none"/>
                <w:lang w:val="en-US" w:eastAsia="zh-CN" w:bidi="ar"/>
              </w:rPr>
              <w:t>（配种舍、分娩舍、保育舍、后备舍）</w:t>
            </w:r>
            <w:r>
              <w:rPr>
                <w:rFonts w:hint="default" w:ascii="Times New Roman" w:hAnsi="Times New Roman" w:cs="Times New Roman"/>
                <w:snapToGrid w:val="0"/>
                <w:color w:val="auto"/>
                <w:szCs w:val="21"/>
                <w:highlight w:val="none"/>
                <w:lang w:val="en-US" w:bidi="ar"/>
              </w:rPr>
              <w:t>、</w:t>
            </w:r>
            <w:r>
              <w:rPr>
                <w:rFonts w:hint="eastAsia" w:ascii="Times New Roman" w:hAnsi="Times New Roman" w:cs="Times New Roman"/>
                <w:snapToGrid w:val="0"/>
                <w:color w:val="auto"/>
                <w:szCs w:val="21"/>
                <w:highlight w:val="none"/>
                <w:lang w:val="en-US" w:eastAsia="zh-CN" w:bidi="ar"/>
              </w:rPr>
              <w:t>干粪堆积场</w:t>
            </w:r>
            <w:r>
              <w:rPr>
                <w:rFonts w:hint="default" w:ascii="Times New Roman" w:hAnsi="Times New Roman" w:cs="Times New Roman"/>
                <w:snapToGrid w:val="0"/>
                <w:color w:val="auto"/>
                <w:szCs w:val="21"/>
                <w:highlight w:val="none"/>
                <w:lang w:val="en-US" w:eastAsia="zh-CN" w:bidi="ar"/>
              </w:rPr>
              <w:t>为</w:t>
            </w:r>
            <w:r>
              <w:rPr>
                <w:rFonts w:hint="default" w:ascii="Times New Roman" w:hAnsi="Times New Roman" w:cs="Times New Roman"/>
                <w:snapToGrid w:val="0"/>
                <w:color w:val="auto"/>
                <w:szCs w:val="21"/>
                <w:highlight w:val="none"/>
                <w:lang w:val="en-US" w:bidi="ar"/>
              </w:rPr>
              <w:t>一般防渗区</w:t>
            </w:r>
            <w:r>
              <w:rPr>
                <w:rFonts w:hint="default" w:ascii="Times New Roman" w:hAnsi="Times New Roman" w:cs="Times New Roman"/>
                <w:snapToGrid w:val="0"/>
                <w:color w:val="auto"/>
                <w:szCs w:val="21"/>
                <w:highlight w:val="none"/>
                <w:lang w:val="en-US" w:eastAsia="zh-CN" w:bidi="ar"/>
              </w:rPr>
              <w:t>，</w:t>
            </w:r>
            <w:r>
              <w:rPr>
                <w:rFonts w:hint="eastAsia" w:ascii="Times New Roman" w:hAnsi="Times New Roman" w:cs="Times New Roman"/>
                <w:snapToGrid w:val="0"/>
                <w:color w:val="auto"/>
                <w:szCs w:val="21"/>
                <w:highlight w:val="none"/>
                <w:lang w:val="en-US" w:eastAsia="zh-CN" w:bidi="ar"/>
              </w:rPr>
              <w:t>地面及墙面采用水泥混凝土防渗，等效黏土防渗层Mb≥1.5m，K≤1.0×10</w:t>
            </w:r>
            <w:r>
              <w:rPr>
                <w:rFonts w:hint="eastAsia" w:ascii="Times New Roman" w:hAnsi="Times New Roman" w:cs="Times New Roman"/>
                <w:snapToGrid w:val="0"/>
                <w:color w:val="auto"/>
                <w:szCs w:val="21"/>
                <w:highlight w:val="none"/>
                <w:vertAlign w:val="superscript"/>
                <w:lang w:val="en-US" w:eastAsia="zh-CN" w:bidi="ar"/>
              </w:rPr>
              <w:t>-7</w:t>
            </w:r>
            <w:r>
              <w:rPr>
                <w:rFonts w:hint="eastAsia" w:ascii="Times New Roman" w:hAnsi="Times New Roman" w:cs="Times New Roman"/>
                <w:snapToGrid w:val="0"/>
                <w:color w:val="auto"/>
                <w:szCs w:val="21"/>
                <w:highlight w:val="none"/>
                <w:lang w:val="en-US" w:eastAsia="zh-CN" w:bidi="ar"/>
              </w:rPr>
              <w:t>cm/s满足《环境影响评价技术导则 地下水环境》（HJ610-2016）的防渗要求。</w:t>
            </w:r>
          </w:p>
          <w:p w14:paraId="70D69FE4">
            <w:pPr>
              <w:pStyle w:val="152"/>
              <w:adjustRightInd w:val="0"/>
              <w:snapToGrid w:val="0"/>
              <w:jc w:val="left"/>
              <w:rPr>
                <w:rFonts w:hint="default" w:ascii="Times New Roman" w:hAnsi="Times New Roman"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bidi="ar"/>
              </w:rPr>
              <w:fldChar w:fldCharType="begin"/>
            </w:r>
            <w:r>
              <w:rPr>
                <w:rFonts w:hint="default" w:ascii="Times New Roman" w:hAnsi="Times New Roman" w:cs="Times New Roman"/>
                <w:snapToGrid w:val="0"/>
                <w:color w:val="auto"/>
                <w:szCs w:val="21"/>
                <w:highlight w:val="none"/>
                <w:lang w:val="en-US" w:bidi="ar"/>
              </w:rPr>
              <w:instrText xml:space="preserve"> = 3 \* GB3 </w:instrText>
            </w:r>
            <w:r>
              <w:rPr>
                <w:rFonts w:hint="default" w:ascii="Times New Roman" w:hAnsi="Times New Roman" w:cs="Times New Roman"/>
                <w:snapToGrid w:val="0"/>
                <w:color w:val="auto"/>
                <w:szCs w:val="21"/>
                <w:highlight w:val="none"/>
                <w:lang w:val="en-US" w:bidi="ar"/>
              </w:rPr>
              <w:fldChar w:fldCharType="separate"/>
            </w:r>
            <w:r>
              <w:rPr>
                <w:rFonts w:hint="default" w:ascii="Times New Roman" w:hAnsi="Times New Roman" w:cs="Times New Roman"/>
                <w:snapToGrid w:val="0"/>
                <w:color w:val="auto"/>
                <w:szCs w:val="21"/>
                <w:highlight w:val="none"/>
                <w:lang w:val="en-US" w:bidi="ar"/>
              </w:rPr>
              <w:t>③</w:t>
            </w:r>
            <w:r>
              <w:rPr>
                <w:rFonts w:hint="default" w:ascii="Times New Roman" w:hAnsi="Times New Roman" w:cs="Times New Roman"/>
                <w:snapToGrid w:val="0"/>
                <w:color w:val="auto"/>
                <w:szCs w:val="21"/>
                <w:highlight w:val="none"/>
                <w:lang w:val="en-US" w:bidi="ar"/>
              </w:rPr>
              <w:fldChar w:fldCharType="end"/>
            </w:r>
            <w:r>
              <w:rPr>
                <w:rFonts w:hint="default" w:ascii="Times New Roman" w:hAnsi="Times New Roman" w:cs="Times New Roman"/>
                <w:snapToGrid w:val="0"/>
                <w:color w:val="auto"/>
                <w:szCs w:val="21"/>
                <w:highlight w:val="none"/>
                <w:lang w:val="en-US" w:bidi="ar"/>
              </w:rPr>
              <w:t>其他建筑物及道路采取简单防渗，地面</w:t>
            </w:r>
            <w:r>
              <w:rPr>
                <w:rFonts w:hint="default" w:ascii="Times New Roman" w:hAnsi="Times New Roman" w:cs="Times New Roman"/>
                <w:snapToGrid w:val="0"/>
                <w:color w:val="auto"/>
                <w:szCs w:val="21"/>
                <w:highlight w:val="none"/>
                <w:lang w:val="en-US" w:eastAsia="zh-CN" w:bidi="ar"/>
              </w:rPr>
              <w:t>均用水泥进行一般地面硬化。</w:t>
            </w:r>
          </w:p>
        </w:tc>
        <w:tc>
          <w:tcPr>
            <w:tcW w:w="677" w:type="dxa"/>
            <w:gridSpan w:val="2"/>
            <w:tcBorders>
              <w:bottom w:val="single" w:color="000000" w:sz="4" w:space="0"/>
            </w:tcBorders>
            <w:vAlign w:val="center"/>
          </w:tcPr>
          <w:p w14:paraId="6B45694D">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5032D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4" w:hRule="atLeast"/>
        </w:trPr>
        <w:tc>
          <w:tcPr>
            <w:tcW w:w="728" w:type="dxa"/>
            <w:vMerge w:val="continue"/>
            <w:vAlign w:val="center"/>
          </w:tcPr>
          <w:p w14:paraId="7370B811">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1D9B4F82">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Merge w:val="continue"/>
            <w:vAlign w:val="center"/>
          </w:tcPr>
          <w:p w14:paraId="678783A5">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p>
        </w:tc>
        <w:tc>
          <w:tcPr>
            <w:tcW w:w="5008" w:type="dxa"/>
            <w:tcBorders>
              <w:top w:val="single" w:color="000000" w:sz="4" w:space="0"/>
              <w:bottom w:val="single" w:color="000000" w:sz="4" w:space="0"/>
            </w:tcBorders>
            <w:vAlign w:val="center"/>
          </w:tcPr>
          <w:p w14:paraId="15836F7A">
            <w:pPr>
              <w:pStyle w:val="152"/>
              <w:adjustRightInd w:val="0"/>
              <w:snapToGrid w:val="0"/>
              <w:jc w:val="left"/>
              <w:rPr>
                <w:rFonts w:hint="default" w:ascii="Times New Roman" w:hAnsi="Times New Roman"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eastAsia="zh-CN" w:bidi="ar"/>
              </w:rPr>
              <w:t>④</w:t>
            </w:r>
            <w:r>
              <w:rPr>
                <w:rFonts w:hint="default" w:ascii="Times New Roman" w:hAnsi="Times New Roman" w:eastAsia="宋体" w:cs="Times New Roman"/>
                <w:snapToGrid w:val="0"/>
                <w:color w:val="auto"/>
                <w:kern w:val="0"/>
                <w:sz w:val="21"/>
                <w:szCs w:val="21"/>
                <w:highlight w:val="none"/>
                <w:lang w:val="en-US" w:eastAsia="zh-CN" w:bidi="ar"/>
              </w:rPr>
              <w:t>医疗废物暂存间采取防风、防雨、防晒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677" w:type="dxa"/>
            <w:gridSpan w:val="2"/>
            <w:tcBorders>
              <w:top w:val="single" w:color="000000" w:sz="4" w:space="0"/>
              <w:bottom w:val="single" w:color="000000" w:sz="4" w:space="0"/>
            </w:tcBorders>
            <w:vAlign w:val="center"/>
          </w:tcPr>
          <w:p w14:paraId="72110B37">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6466B6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4" w:hRule="atLeast"/>
        </w:trPr>
        <w:tc>
          <w:tcPr>
            <w:tcW w:w="728" w:type="dxa"/>
            <w:vMerge w:val="continue"/>
            <w:vAlign w:val="center"/>
          </w:tcPr>
          <w:p w14:paraId="0E67F3BA">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39666F5B">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Merge w:val="continue"/>
            <w:vAlign w:val="center"/>
          </w:tcPr>
          <w:p w14:paraId="14CDE3C4">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p>
        </w:tc>
        <w:tc>
          <w:tcPr>
            <w:tcW w:w="5008" w:type="dxa"/>
            <w:tcBorders>
              <w:top w:val="single" w:color="000000" w:sz="4" w:space="0"/>
              <w:bottom w:val="single" w:color="000000" w:sz="4" w:space="0"/>
            </w:tcBorders>
            <w:vAlign w:val="center"/>
          </w:tcPr>
          <w:p w14:paraId="580EA129">
            <w:pPr>
              <w:pStyle w:val="152"/>
              <w:adjustRightInd w:val="0"/>
              <w:snapToGrid w:val="0"/>
              <w:jc w:val="left"/>
              <w:rPr>
                <w:rFonts w:hint="default" w:ascii="Times New Roman" w:hAnsi="Times New Roman"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eastAsia="zh-CN" w:bidi="ar"/>
              </w:rPr>
              <w:t>⑤固液分离间为</w:t>
            </w:r>
            <w:r>
              <w:rPr>
                <w:rFonts w:hint="default" w:ascii="Times New Roman" w:hAnsi="Times New Roman" w:cs="Times New Roman"/>
                <w:snapToGrid w:val="0"/>
                <w:color w:val="auto"/>
                <w:szCs w:val="21"/>
                <w:highlight w:val="none"/>
                <w:lang w:val="en-US" w:bidi="ar"/>
              </w:rPr>
              <w:t>一般防渗区</w:t>
            </w:r>
            <w:r>
              <w:rPr>
                <w:rFonts w:hint="default" w:ascii="Times New Roman" w:hAnsi="Times New Roman" w:cs="Times New Roman"/>
                <w:snapToGrid w:val="0"/>
                <w:color w:val="auto"/>
                <w:szCs w:val="21"/>
                <w:highlight w:val="none"/>
                <w:lang w:val="en-US" w:eastAsia="zh-CN" w:bidi="ar"/>
              </w:rPr>
              <w:t>，</w:t>
            </w:r>
            <w:r>
              <w:rPr>
                <w:rFonts w:hint="eastAsia" w:ascii="Times New Roman" w:hAnsi="Times New Roman" w:cs="Times New Roman"/>
                <w:snapToGrid w:val="0"/>
                <w:color w:val="auto"/>
                <w:szCs w:val="21"/>
                <w:highlight w:val="none"/>
                <w:lang w:val="en-US" w:eastAsia="zh-CN" w:bidi="ar"/>
              </w:rPr>
              <w:t>地面及墙面采用水泥混凝土防渗，等效黏土防渗层Mb≥1.5m，K≤1.0×10</w:t>
            </w:r>
            <w:r>
              <w:rPr>
                <w:rFonts w:hint="eastAsia" w:ascii="Times New Roman" w:hAnsi="Times New Roman" w:cs="Times New Roman"/>
                <w:snapToGrid w:val="0"/>
                <w:color w:val="auto"/>
                <w:szCs w:val="21"/>
                <w:highlight w:val="none"/>
                <w:vertAlign w:val="superscript"/>
                <w:lang w:val="en-US" w:eastAsia="zh-CN" w:bidi="ar"/>
              </w:rPr>
              <w:t>-7</w:t>
            </w:r>
            <w:r>
              <w:rPr>
                <w:rFonts w:hint="eastAsia" w:ascii="Times New Roman" w:hAnsi="Times New Roman" w:cs="Times New Roman"/>
                <w:snapToGrid w:val="0"/>
                <w:color w:val="auto"/>
                <w:szCs w:val="21"/>
                <w:highlight w:val="none"/>
                <w:lang w:val="en-US" w:eastAsia="zh-CN" w:bidi="ar"/>
              </w:rPr>
              <w:t>cm/s满足《环境影响评价技术导则 地下水环境》（HJ610-2016）的防渗要求。</w:t>
            </w:r>
          </w:p>
        </w:tc>
        <w:tc>
          <w:tcPr>
            <w:tcW w:w="677" w:type="dxa"/>
            <w:gridSpan w:val="2"/>
            <w:tcBorders>
              <w:top w:val="single" w:color="000000" w:sz="4" w:space="0"/>
              <w:bottom w:val="single" w:color="000000" w:sz="4" w:space="0"/>
            </w:tcBorders>
            <w:vAlign w:val="center"/>
          </w:tcPr>
          <w:p w14:paraId="4D0A8C41">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7B63E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2EC0543C">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6F963C71">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29794CEC">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highlight w:val="none"/>
              </w:rPr>
              <w:t>泄漏监测装置</w:t>
            </w:r>
          </w:p>
        </w:tc>
        <w:tc>
          <w:tcPr>
            <w:tcW w:w="5008" w:type="dxa"/>
            <w:vAlign w:val="center"/>
          </w:tcPr>
          <w:p w14:paraId="34FF3B07">
            <w:pPr>
              <w:pStyle w:val="152"/>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cs="Times New Roman"/>
                <w:snapToGrid w:val="0"/>
                <w:color w:val="auto"/>
                <w:highlight w:val="none"/>
              </w:rPr>
              <w:t>黑膜厌氧池等各池体安装泄漏监测装置</w:t>
            </w:r>
            <w:r>
              <w:rPr>
                <w:rFonts w:hint="default" w:ascii="Times New Roman" w:hAnsi="Times New Roman" w:cs="Times New Roman"/>
                <w:snapToGrid w:val="0"/>
                <w:color w:val="auto"/>
                <w:highlight w:val="none"/>
                <w:lang w:eastAsia="zh-CN"/>
              </w:rPr>
              <w:t>。</w:t>
            </w:r>
          </w:p>
        </w:tc>
        <w:tc>
          <w:tcPr>
            <w:tcW w:w="677" w:type="dxa"/>
            <w:gridSpan w:val="2"/>
            <w:vAlign w:val="center"/>
          </w:tcPr>
          <w:p w14:paraId="039DAD6B">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5797E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728" w:type="dxa"/>
            <w:vAlign w:val="center"/>
          </w:tcPr>
          <w:p w14:paraId="63D221F0">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依托工程</w:t>
            </w:r>
          </w:p>
        </w:tc>
        <w:tc>
          <w:tcPr>
            <w:tcW w:w="1896" w:type="dxa"/>
            <w:gridSpan w:val="2"/>
            <w:noWrap/>
            <w:vAlign w:val="center"/>
          </w:tcPr>
          <w:p w14:paraId="3847B3C0">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鸡西市鑫农源固废处理有限公司</w:t>
            </w:r>
          </w:p>
        </w:tc>
        <w:tc>
          <w:tcPr>
            <w:tcW w:w="5008" w:type="dxa"/>
            <w:vAlign w:val="center"/>
          </w:tcPr>
          <w:p w14:paraId="49F78277">
            <w:pPr>
              <w:pStyle w:val="152"/>
              <w:adjustRightInd w:val="0"/>
              <w:snapToGrid w:val="0"/>
              <w:jc w:val="both"/>
              <w:rPr>
                <w:rFonts w:hint="eastAsia" w:ascii="Times New Roman" w:hAnsi="Times New Roman" w:eastAsia="宋体" w:cs="Times New Roman"/>
                <w:snapToGrid w:val="0"/>
                <w:color w:val="auto"/>
                <w:szCs w:val="21"/>
                <w:highlight w:val="none"/>
                <w:lang w:eastAsia="zh-CN"/>
              </w:rPr>
            </w:pPr>
            <w:r>
              <w:rPr>
                <w:rFonts w:hint="eastAsia" w:ascii="Times New Roman" w:hAnsi="Times New Roman" w:cs="Times New Roman"/>
                <w:snapToGrid w:val="0"/>
                <w:color w:val="auto"/>
                <w:szCs w:val="21"/>
                <w:highlight w:val="none"/>
                <w:lang w:val="en-US" w:eastAsia="zh-CN"/>
              </w:rPr>
              <w:t>鸡西市鑫农源固废处理有限公司于2016年9月21日在鸡西市恒山区市场监督管理局注册成立，《鸡西市鑫农源固废处理有限公司病死畜禽无害化处理项目环境影响报告表》于2022年4月6日获得鸡西市生态环境局审批（鸡环审[2022]6号）</w:t>
            </w:r>
            <w:r>
              <w:rPr>
                <w:rFonts w:hint="default" w:ascii="Times New Roman" w:hAnsi="Times New Roman" w:eastAsia="宋体" w:cs="Times New Roman"/>
                <w:snapToGrid w:val="0"/>
                <w:color w:val="auto"/>
                <w:szCs w:val="21"/>
                <w:highlight w:val="none"/>
                <w:lang w:val="en-US" w:eastAsia="zh-CN"/>
              </w:rPr>
              <w:t>鸡西市鑫农源固废处理有限公司</w:t>
            </w:r>
            <w:r>
              <w:rPr>
                <w:rFonts w:hint="default" w:ascii="Times New Roman" w:hAnsi="Times New Roman" w:eastAsia="宋体" w:cs="Times New Roman"/>
                <w:snapToGrid w:val="0"/>
                <w:color w:val="auto"/>
                <w:szCs w:val="21"/>
                <w:highlight w:val="none"/>
              </w:rPr>
              <w:t>建设1条畜禽无害化处理生产线，日处理能力为8t</w:t>
            </w:r>
            <w:r>
              <w:rPr>
                <w:rFonts w:hint="eastAsia" w:ascii="Times New Roman" w:hAnsi="Times New Roman" w:cs="Times New Roman"/>
                <w:snapToGrid w:val="0"/>
                <w:color w:val="auto"/>
                <w:szCs w:val="21"/>
                <w:highlight w:val="none"/>
                <w:lang w:eastAsia="zh-CN"/>
              </w:rPr>
              <w:t>。</w:t>
            </w:r>
            <w:r>
              <w:rPr>
                <w:rFonts w:hint="eastAsia" w:ascii="Times New Roman" w:hAnsi="Times New Roman" w:cs="Times New Roman"/>
                <w:snapToGrid w:val="0"/>
                <w:color w:val="auto"/>
                <w:szCs w:val="21"/>
                <w:highlight w:val="none"/>
                <w:lang w:val="en-US" w:eastAsia="zh-CN"/>
              </w:rPr>
              <w:t>2023年5月30日变更取得</w:t>
            </w:r>
            <w:r>
              <w:rPr>
                <w:rFonts w:hint="eastAsia" w:ascii="Times New Roman" w:hAnsi="Times New Roman" w:cs="Times New Roman"/>
                <w:snapToGrid w:val="0"/>
                <w:color w:val="auto"/>
                <w:szCs w:val="21"/>
                <w:highlight w:val="none"/>
                <w:lang w:eastAsia="zh-CN"/>
              </w:rPr>
              <w:t>排污许可证（许可证编号：91230300MA1902E954001W），委托可行</w:t>
            </w:r>
          </w:p>
        </w:tc>
        <w:tc>
          <w:tcPr>
            <w:tcW w:w="677" w:type="dxa"/>
            <w:gridSpan w:val="2"/>
            <w:vAlign w:val="center"/>
          </w:tcPr>
          <w:p w14:paraId="253E51A6">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依托</w:t>
            </w:r>
          </w:p>
        </w:tc>
      </w:tr>
    </w:tbl>
    <w:p w14:paraId="2FD9EDF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highlight w:val="none"/>
          <w:lang w:val="en-US" w:eastAsia="zh-CN"/>
        </w:rPr>
      </w:pPr>
      <w:r>
        <w:rPr>
          <w:rFonts w:hint="eastAsia"/>
          <w:highlight w:val="none"/>
          <w:lang w:val="en-US" w:eastAsia="zh-CN"/>
        </w:rPr>
        <w:t>厂区现场照片：</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6166C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1FE180EF">
            <w:pPr>
              <w:pStyle w:val="37"/>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drawing>
                <wp:inline distT="0" distB="0" distL="114300" distR="114300">
                  <wp:extent cx="2463165" cy="2186305"/>
                  <wp:effectExtent l="0" t="0" r="13335" b="0"/>
                  <wp:docPr id="42" name="图片 42" descr="3c7734eda52ba85a6d165548b93fd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c7734eda52ba85a6d165548b93fda9"/>
                          <pic:cNvPicPr>
                            <a:picLocks noChangeAspect="1"/>
                          </pic:cNvPicPr>
                        </pic:nvPicPr>
                        <pic:blipFill>
                          <a:blip r:embed="rId46"/>
                          <a:srcRect l="27679" b="-5511"/>
                          <a:stretch>
                            <a:fillRect/>
                          </a:stretch>
                        </pic:blipFill>
                        <pic:spPr>
                          <a:xfrm>
                            <a:off x="0" y="0"/>
                            <a:ext cx="2463165" cy="2186305"/>
                          </a:xfrm>
                          <a:prstGeom prst="rect">
                            <a:avLst/>
                          </a:prstGeom>
                        </pic:spPr>
                      </pic:pic>
                    </a:graphicData>
                  </a:graphic>
                </wp:inline>
              </w:drawing>
            </w:r>
          </w:p>
        </w:tc>
        <w:tc>
          <w:tcPr>
            <w:tcW w:w="4261" w:type="dxa"/>
            <w:vAlign w:val="center"/>
          </w:tcPr>
          <w:p w14:paraId="3E790243">
            <w:pPr>
              <w:pStyle w:val="37"/>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drawing>
                <wp:inline distT="0" distB="0" distL="114300" distR="114300">
                  <wp:extent cx="2344420" cy="2116455"/>
                  <wp:effectExtent l="0" t="0" r="17780" b="17145"/>
                  <wp:docPr id="52" name="图片 52" descr="a2e087e61cff04d7796340208fbe3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a2e087e61cff04d7796340208fbe3ef"/>
                          <pic:cNvPicPr>
                            <a:picLocks noChangeAspect="1"/>
                          </pic:cNvPicPr>
                        </pic:nvPicPr>
                        <pic:blipFill>
                          <a:blip r:embed="rId47"/>
                          <a:srcRect l="301" b="15459"/>
                          <a:stretch>
                            <a:fillRect/>
                          </a:stretch>
                        </pic:blipFill>
                        <pic:spPr>
                          <a:xfrm>
                            <a:off x="0" y="0"/>
                            <a:ext cx="2344420" cy="2116455"/>
                          </a:xfrm>
                          <a:prstGeom prst="rect">
                            <a:avLst/>
                          </a:prstGeom>
                        </pic:spPr>
                      </pic:pic>
                    </a:graphicData>
                  </a:graphic>
                </wp:inline>
              </w:drawing>
            </w:r>
          </w:p>
        </w:tc>
      </w:tr>
      <w:tr w14:paraId="41D69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22E11CE0">
            <w:pPr>
              <w:pStyle w:val="37"/>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t>猪舍及料塔</w:t>
            </w:r>
          </w:p>
        </w:tc>
        <w:tc>
          <w:tcPr>
            <w:tcW w:w="4261" w:type="dxa"/>
            <w:vAlign w:val="center"/>
          </w:tcPr>
          <w:p w14:paraId="2D006F86">
            <w:pPr>
              <w:pStyle w:val="37"/>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t>黑膜厌氧池</w:t>
            </w:r>
          </w:p>
        </w:tc>
      </w:tr>
      <w:tr w14:paraId="15CD9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7DCEE0CC">
            <w:pPr>
              <w:pStyle w:val="37"/>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drawing>
                <wp:inline distT="0" distB="0" distL="114300" distR="114300">
                  <wp:extent cx="2560320" cy="1706245"/>
                  <wp:effectExtent l="0" t="0" r="11430" b="8255"/>
                  <wp:docPr id="63" name="图片 63" descr="bd61888aa822eb791d793b206580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bd61888aa822eb791d793b206580ba5"/>
                          <pic:cNvPicPr>
                            <a:picLocks noChangeAspect="1"/>
                          </pic:cNvPicPr>
                        </pic:nvPicPr>
                        <pic:blipFill>
                          <a:blip r:embed="rId48"/>
                          <a:stretch>
                            <a:fillRect/>
                          </a:stretch>
                        </pic:blipFill>
                        <pic:spPr>
                          <a:xfrm>
                            <a:off x="0" y="0"/>
                            <a:ext cx="2560320" cy="1706245"/>
                          </a:xfrm>
                          <a:prstGeom prst="rect">
                            <a:avLst/>
                          </a:prstGeom>
                        </pic:spPr>
                      </pic:pic>
                    </a:graphicData>
                  </a:graphic>
                </wp:inline>
              </w:drawing>
            </w:r>
          </w:p>
        </w:tc>
        <w:tc>
          <w:tcPr>
            <w:tcW w:w="4261" w:type="dxa"/>
            <w:vAlign w:val="center"/>
          </w:tcPr>
          <w:p w14:paraId="405AB4F0">
            <w:pPr>
              <w:pStyle w:val="37"/>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drawing>
                <wp:inline distT="0" distB="0" distL="114300" distR="114300">
                  <wp:extent cx="2560320" cy="1744345"/>
                  <wp:effectExtent l="0" t="0" r="11430" b="8255"/>
                  <wp:docPr id="64" name="图片 64" descr="c174a6b4a23c70f53de48a0f39b4a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174a6b4a23c70f53de48a0f39b4a0b"/>
                          <pic:cNvPicPr>
                            <a:picLocks noChangeAspect="1"/>
                          </pic:cNvPicPr>
                        </pic:nvPicPr>
                        <pic:blipFill>
                          <a:blip r:embed="rId49"/>
                          <a:stretch>
                            <a:fillRect/>
                          </a:stretch>
                        </pic:blipFill>
                        <pic:spPr>
                          <a:xfrm>
                            <a:off x="0" y="0"/>
                            <a:ext cx="2560320" cy="1744345"/>
                          </a:xfrm>
                          <a:prstGeom prst="rect">
                            <a:avLst/>
                          </a:prstGeom>
                        </pic:spPr>
                      </pic:pic>
                    </a:graphicData>
                  </a:graphic>
                </wp:inline>
              </w:drawing>
            </w:r>
          </w:p>
        </w:tc>
      </w:tr>
      <w:tr w14:paraId="6622D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12A944B0">
            <w:pPr>
              <w:pStyle w:val="37"/>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干粪堆积场</w:t>
            </w:r>
          </w:p>
        </w:tc>
        <w:tc>
          <w:tcPr>
            <w:tcW w:w="4261" w:type="dxa"/>
            <w:vAlign w:val="center"/>
          </w:tcPr>
          <w:p w14:paraId="21FF85DB">
            <w:pPr>
              <w:pStyle w:val="37"/>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厂房</w:t>
            </w:r>
          </w:p>
        </w:tc>
      </w:tr>
    </w:tbl>
    <w:p w14:paraId="750497F2">
      <w:pPr>
        <w:pStyle w:val="7"/>
        <w:bidi w:val="0"/>
        <w:rPr>
          <w:rFonts w:hint="default"/>
          <w:highlight w:val="none"/>
        </w:rPr>
      </w:pPr>
      <w:r>
        <w:rPr>
          <w:rFonts w:hint="default"/>
          <w:highlight w:val="none"/>
        </w:rPr>
        <w:t>3.</w:t>
      </w:r>
      <w:r>
        <w:rPr>
          <w:rFonts w:hint="eastAsia"/>
          <w:highlight w:val="none"/>
          <w:lang w:val="en-US" w:eastAsia="zh-CN"/>
        </w:rPr>
        <w:t>1</w:t>
      </w:r>
      <w:r>
        <w:rPr>
          <w:rFonts w:hint="default"/>
          <w:highlight w:val="none"/>
        </w:rPr>
        <w:t>.4</w:t>
      </w:r>
      <w:r>
        <w:rPr>
          <w:rFonts w:hint="eastAsia"/>
          <w:highlight w:val="none"/>
          <w:lang w:val="en-US" w:eastAsia="zh-CN"/>
        </w:rPr>
        <w:t>现有项目</w:t>
      </w:r>
      <w:r>
        <w:rPr>
          <w:rFonts w:hint="default"/>
          <w:highlight w:val="none"/>
        </w:rPr>
        <w:t>主要设备</w:t>
      </w:r>
    </w:p>
    <w:p w14:paraId="0D5B764E">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现有项目</w:t>
      </w:r>
      <w:r>
        <w:rPr>
          <w:rFonts w:hint="default" w:ascii="Times New Roman" w:hAnsi="Times New Roman" w:eastAsia="宋体" w:cs="Times New Roman"/>
          <w:snapToGrid w:val="0"/>
          <w:color w:val="auto"/>
          <w:highlight w:val="none"/>
        </w:rPr>
        <w:t>主要设备清单见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w:t>
      </w:r>
    </w:p>
    <w:p w14:paraId="6F42F97C">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2  现有项目</w:t>
      </w:r>
      <w:r>
        <w:rPr>
          <w:rFonts w:hint="default" w:ascii="Times New Roman" w:hAnsi="Times New Roman" w:eastAsia="黑体" w:cs="Times New Roman"/>
          <w:b w:val="0"/>
          <w:bCs/>
          <w:smallCaps w:val="0"/>
          <w:snapToGrid/>
          <w:kern w:val="2"/>
          <w:sz w:val="21"/>
          <w:szCs w:val="24"/>
          <w:highlight w:val="none"/>
          <w:lang w:val="zh-CN" w:eastAsia="zh-CN" w:bidi="ar-SA"/>
        </w:rPr>
        <w:t>主要设备清单</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2"/>
        <w:gridCol w:w="3889"/>
        <w:gridCol w:w="1214"/>
        <w:gridCol w:w="2217"/>
      </w:tblGrid>
      <w:tr w14:paraId="2BC05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05" w:type="pct"/>
            <w:vAlign w:val="center"/>
          </w:tcPr>
          <w:p w14:paraId="6D754ACB">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序号</w:t>
            </w:r>
          </w:p>
        </w:tc>
        <w:tc>
          <w:tcPr>
            <w:tcW w:w="2281" w:type="pct"/>
            <w:vAlign w:val="center"/>
          </w:tcPr>
          <w:p w14:paraId="010E8BEE">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设备名称</w:t>
            </w:r>
          </w:p>
        </w:tc>
        <w:tc>
          <w:tcPr>
            <w:tcW w:w="712" w:type="pct"/>
            <w:vAlign w:val="center"/>
          </w:tcPr>
          <w:p w14:paraId="214632A8">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单位</w:t>
            </w:r>
          </w:p>
        </w:tc>
        <w:tc>
          <w:tcPr>
            <w:tcW w:w="1300" w:type="pct"/>
            <w:vAlign w:val="center"/>
          </w:tcPr>
          <w:p w14:paraId="3369A479">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数量</w:t>
            </w:r>
          </w:p>
        </w:tc>
      </w:tr>
      <w:tr w14:paraId="7AD0F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5" w:type="pct"/>
            <w:vAlign w:val="center"/>
          </w:tcPr>
          <w:p w14:paraId="74A353B3">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1</w:t>
            </w:r>
          </w:p>
        </w:tc>
        <w:tc>
          <w:tcPr>
            <w:tcW w:w="2281" w:type="pct"/>
            <w:vAlign w:val="center"/>
          </w:tcPr>
          <w:p w14:paraId="5DF8DB9E">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猪床</w:t>
            </w:r>
          </w:p>
        </w:tc>
        <w:tc>
          <w:tcPr>
            <w:tcW w:w="712" w:type="pct"/>
            <w:vAlign w:val="center"/>
          </w:tcPr>
          <w:p w14:paraId="0844CE74">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0824FB0D">
            <w:pPr>
              <w:jc w:val="center"/>
              <w:rPr>
                <w:rFonts w:ascii="Times New Roman" w:hAnsi="Times New Roman" w:cs="Times New Roman"/>
                <w:kern w:val="0"/>
                <w:sz w:val="21"/>
                <w:highlight w:val="none"/>
              </w:rPr>
            </w:pPr>
            <w:r>
              <w:rPr>
                <w:rFonts w:hint="eastAsia" w:ascii="Times New Roman" w:hAnsi="Times New Roman" w:cs="Times New Roman"/>
                <w:kern w:val="0"/>
                <w:sz w:val="21"/>
                <w:highlight w:val="none"/>
              </w:rPr>
              <w:t>26</w:t>
            </w:r>
          </w:p>
        </w:tc>
      </w:tr>
      <w:tr w14:paraId="3CFA3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2B4D5716">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2</w:t>
            </w:r>
          </w:p>
        </w:tc>
        <w:tc>
          <w:tcPr>
            <w:tcW w:w="2281" w:type="pct"/>
            <w:vAlign w:val="center"/>
          </w:tcPr>
          <w:p w14:paraId="1385D9FC">
            <w:pPr>
              <w:jc w:val="center"/>
              <w:rPr>
                <w:rFonts w:ascii="Times New Roman" w:hAnsi="Times New Roman" w:cs="Times New Roman"/>
                <w:kern w:val="0"/>
                <w:sz w:val="21"/>
                <w:highlight w:val="none"/>
                <w:lang w:val="zh-CN" w:bidi="ar"/>
              </w:rPr>
            </w:pPr>
            <w:r>
              <w:rPr>
                <w:rFonts w:ascii="Times New Roman" w:hAnsi="Times New Roman" w:cs="Times New Roman"/>
                <w:kern w:val="0"/>
                <w:sz w:val="21"/>
                <w:highlight w:val="none"/>
                <w:lang w:val="zh-CN" w:bidi="ar"/>
              </w:rPr>
              <w:t>自动化喂食系统</w:t>
            </w:r>
          </w:p>
        </w:tc>
        <w:tc>
          <w:tcPr>
            <w:tcW w:w="712" w:type="pct"/>
            <w:vAlign w:val="center"/>
          </w:tcPr>
          <w:p w14:paraId="6D3BD408">
            <w:pPr>
              <w:jc w:val="center"/>
              <w:rPr>
                <w:rFonts w:ascii="Times New Roman" w:hAnsi="Times New Roman" w:cs="Times New Roman"/>
                <w:kern w:val="0"/>
                <w:sz w:val="21"/>
                <w:highlight w:val="none"/>
                <w:lang w:val="zh-CN" w:bidi="ar"/>
              </w:rPr>
            </w:pPr>
            <w:r>
              <w:rPr>
                <w:rFonts w:ascii="Times New Roman" w:hAnsi="Times New Roman" w:cs="Times New Roman"/>
                <w:kern w:val="0"/>
                <w:sz w:val="21"/>
                <w:highlight w:val="none"/>
                <w:lang w:val="zh-CN" w:bidi="ar"/>
              </w:rPr>
              <w:t>套</w:t>
            </w:r>
          </w:p>
        </w:tc>
        <w:tc>
          <w:tcPr>
            <w:tcW w:w="1300" w:type="pct"/>
            <w:vAlign w:val="center"/>
          </w:tcPr>
          <w:p w14:paraId="7DC52558">
            <w:pPr>
              <w:jc w:val="center"/>
              <w:rPr>
                <w:rFonts w:ascii="Times New Roman" w:hAnsi="Times New Roman" w:cs="Times New Roman"/>
                <w:kern w:val="0"/>
                <w:sz w:val="21"/>
                <w:highlight w:val="none"/>
                <w:lang w:val="zh-CN" w:bidi="ar"/>
              </w:rPr>
            </w:pPr>
            <w:r>
              <w:rPr>
                <w:rFonts w:hint="eastAsia" w:ascii="Times New Roman" w:hAnsi="Times New Roman" w:cs="Times New Roman"/>
                <w:kern w:val="0"/>
                <w:sz w:val="21"/>
                <w:highlight w:val="none"/>
                <w:lang w:val="zh-CN" w:bidi="ar"/>
              </w:rPr>
              <w:t>5</w:t>
            </w:r>
          </w:p>
        </w:tc>
      </w:tr>
      <w:tr w14:paraId="7E1C99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3DACE555">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3</w:t>
            </w:r>
          </w:p>
        </w:tc>
        <w:tc>
          <w:tcPr>
            <w:tcW w:w="2281" w:type="pct"/>
            <w:vAlign w:val="center"/>
          </w:tcPr>
          <w:p w14:paraId="73BE3B99">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供水系统</w:t>
            </w:r>
          </w:p>
        </w:tc>
        <w:tc>
          <w:tcPr>
            <w:tcW w:w="712" w:type="pct"/>
            <w:vAlign w:val="center"/>
          </w:tcPr>
          <w:p w14:paraId="04C51747">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3814A8D1">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3AF1AE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72422335">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4</w:t>
            </w:r>
          </w:p>
        </w:tc>
        <w:tc>
          <w:tcPr>
            <w:tcW w:w="2281" w:type="pct"/>
            <w:vAlign w:val="center"/>
          </w:tcPr>
          <w:p w14:paraId="4C875DDA">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供电系统</w:t>
            </w:r>
          </w:p>
        </w:tc>
        <w:tc>
          <w:tcPr>
            <w:tcW w:w="712" w:type="pct"/>
            <w:vAlign w:val="center"/>
          </w:tcPr>
          <w:p w14:paraId="70D14997">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41424831">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6E4C6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539DC74">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rPr>
              <w:t>5</w:t>
            </w:r>
          </w:p>
        </w:tc>
        <w:tc>
          <w:tcPr>
            <w:tcW w:w="2281" w:type="pct"/>
            <w:vAlign w:val="center"/>
          </w:tcPr>
          <w:p w14:paraId="58C3F44C">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供暖设备（</w:t>
            </w:r>
            <w:r>
              <w:rPr>
                <w:rFonts w:ascii="Times New Roman" w:hAnsi="Times New Roman" w:cs="Times New Roman"/>
                <w:kern w:val="0"/>
                <w:sz w:val="21"/>
                <w:highlight w:val="none"/>
                <w:lang w:bidi="ar"/>
              </w:rPr>
              <w:t>电暖气</w:t>
            </w:r>
            <w:r>
              <w:rPr>
                <w:rFonts w:ascii="Times New Roman" w:hAnsi="Times New Roman" w:cs="Times New Roman"/>
                <w:kern w:val="0"/>
                <w:sz w:val="21"/>
                <w:highlight w:val="none"/>
                <w:lang w:val="zh-CN" w:bidi="ar"/>
              </w:rPr>
              <w:t>）</w:t>
            </w:r>
          </w:p>
        </w:tc>
        <w:tc>
          <w:tcPr>
            <w:tcW w:w="712" w:type="pct"/>
            <w:vAlign w:val="center"/>
          </w:tcPr>
          <w:p w14:paraId="0F8F1B72">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3B8B7F73">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8</w:t>
            </w:r>
          </w:p>
        </w:tc>
      </w:tr>
      <w:tr w14:paraId="3AC47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5CC4D965">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6</w:t>
            </w:r>
          </w:p>
        </w:tc>
        <w:tc>
          <w:tcPr>
            <w:tcW w:w="2281" w:type="pct"/>
            <w:vAlign w:val="center"/>
          </w:tcPr>
          <w:p w14:paraId="46FF2609">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电脑、监控系统</w:t>
            </w:r>
          </w:p>
        </w:tc>
        <w:tc>
          <w:tcPr>
            <w:tcW w:w="712" w:type="pct"/>
            <w:vAlign w:val="center"/>
          </w:tcPr>
          <w:p w14:paraId="02AC9D2D">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5A684231">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0BBB7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5" w:type="pct"/>
            <w:vAlign w:val="center"/>
          </w:tcPr>
          <w:p w14:paraId="0CA6DA48">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7</w:t>
            </w:r>
          </w:p>
        </w:tc>
        <w:tc>
          <w:tcPr>
            <w:tcW w:w="2281" w:type="pct"/>
            <w:vAlign w:val="center"/>
          </w:tcPr>
          <w:p w14:paraId="728489DB">
            <w:pPr>
              <w:jc w:val="center"/>
              <w:rPr>
                <w:rFonts w:ascii="Times New Roman" w:hAnsi="Times New Roman" w:cs="Times New Roman"/>
                <w:kern w:val="0"/>
                <w:sz w:val="21"/>
                <w:highlight w:val="none"/>
              </w:rPr>
            </w:pPr>
            <w:r>
              <w:rPr>
                <w:rFonts w:hint="eastAsia" w:ascii="Times New Roman" w:hAnsi="Times New Roman" w:cs="Times New Roman"/>
                <w:kern w:val="0"/>
                <w:sz w:val="21"/>
                <w:highlight w:val="none"/>
                <w:lang w:bidi="ar"/>
              </w:rPr>
              <w:t>饲料塔</w:t>
            </w:r>
          </w:p>
        </w:tc>
        <w:tc>
          <w:tcPr>
            <w:tcW w:w="712" w:type="pct"/>
            <w:vAlign w:val="center"/>
          </w:tcPr>
          <w:p w14:paraId="6F1F0F02">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57814A84">
            <w:pPr>
              <w:jc w:val="center"/>
              <w:rPr>
                <w:rFonts w:ascii="Times New Roman" w:hAnsi="Times New Roman" w:cs="Times New Roman"/>
                <w:kern w:val="0"/>
                <w:sz w:val="21"/>
                <w:highlight w:val="none"/>
              </w:rPr>
            </w:pPr>
            <w:r>
              <w:rPr>
                <w:rFonts w:hint="eastAsia" w:ascii="Times New Roman" w:hAnsi="Times New Roman" w:cs="Times New Roman"/>
                <w:kern w:val="0"/>
                <w:sz w:val="21"/>
                <w:highlight w:val="none"/>
              </w:rPr>
              <w:t>5</w:t>
            </w:r>
          </w:p>
        </w:tc>
      </w:tr>
      <w:tr w14:paraId="2E94F7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58E242BD">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8</w:t>
            </w:r>
          </w:p>
        </w:tc>
        <w:tc>
          <w:tcPr>
            <w:tcW w:w="2281" w:type="pct"/>
            <w:vAlign w:val="center"/>
          </w:tcPr>
          <w:p w14:paraId="3A62FC68">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办公设备</w:t>
            </w:r>
          </w:p>
        </w:tc>
        <w:tc>
          <w:tcPr>
            <w:tcW w:w="712" w:type="pct"/>
            <w:vAlign w:val="center"/>
          </w:tcPr>
          <w:p w14:paraId="3D542243">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4C4498A7">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2</w:t>
            </w:r>
          </w:p>
        </w:tc>
      </w:tr>
      <w:tr w14:paraId="1F566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457436DF">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9</w:t>
            </w:r>
          </w:p>
        </w:tc>
        <w:tc>
          <w:tcPr>
            <w:tcW w:w="2281" w:type="pct"/>
            <w:vAlign w:val="center"/>
          </w:tcPr>
          <w:p w14:paraId="13AB9AA1">
            <w:pPr>
              <w:jc w:val="center"/>
              <w:rPr>
                <w:rFonts w:ascii="Times New Roman" w:hAnsi="Times New Roman" w:cs="Times New Roman"/>
                <w:color w:val="000000" w:themeColor="text1"/>
                <w:kern w:val="0"/>
                <w:sz w:val="21"/>
                <w:highlight w:val="none"/>
                <w:lang w:val="zh-CN"/>
                <w14:textFill>
                  <w14:solidFill>
                    <w14:schemeClr w14:val="tx1"/>
                  </w14:solidFill>
                </w14:textFill>
              </w:rPr>
            </w:pPr>
            <w:r>
              <w:rPr>
                <w:rFonts w:ascii="Times New Roman" w:hAnsi="Times New Roman" w:cs="Times New Roman"/>
                <w:color w:val="000000" w:themeColor="text1"/>
                <w:kern w:val="0"/>
                <w:sz w:val="21"/>
                <w:highlight w:val="none"/>
                <w:lang w:val="zh-CN" w:bidi="ar"/>
                <w14:textFill>
                  <w14:solidFill>
                    <w14:schemeClr w14:val="tx1"/>
                  </w14:solidFill>
                </w14:textFill>
              </w:rPr>
              <w:t>消毒防疫设备</w:t>
            </w:r>
          </w:p>
        </w:tc>
        <w:tc>
          <w:tcPr>
            <w:tcW w:w="712" w:type="pct"/>
            <w:vAlign w:val="center"/>
          </w:tcPr>
          <w:p w14:paraId="0681CE7B">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6C2429B0">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4</w:t>
            </w:r>
          </w:p>
        </w:tc>
      </w:tr>
      <w:tr w14:paraId="07BBCE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7E5D22F6">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10</w:t>
            </w:r>
          </w:p>
        </w:tc>
        <w:tc>
          <w:tcPr>
            <w:tcW w:w="2281" w:type="pct"/>
            <w:vAlign w:val="center"/>
          </w:tcPr>
          <w:p w14:paraId="5BC448C0">
            <w:pPr>
              <w:jc w:val="center"/>
              <w:rPr>
                <w:rFonts w:hint="default" w:ascii="Times New Roman" w:hAnsi="Times New Roman" w:eastAsia="宋体" w:cs="Times New Roman"/>
                <w:color w:val="000000" w:themeColor="text1"/>
                <w:kern w:val="0"/>
                <w:sz w:val="21"/>
                <w:highlight w:val="none"/>
                <w:lang w:val="en-US" w:eastAsia="zh-CN"/>
                <w14:textFill>
                  <w14:solidFill>
                    <w14:schemeClr w14:val="tx1"/>
                  </w14:solidFill>
                </w14:textFill>
              </w:rPr>
            </w:pPr>
            <w:r>
              <w:rPr>
                <w:rFonts w:ascii="Times New Roman" w:hAnsi="Times New Roman" w:cs="Times New Roman"/>
                <w:color w:val="000000" w:themeColor="text1"/>
                <w:kern w:val="0"/>
                <w:sz w:val="21"/>
                <w:highlight w:val="none"/>
                <w:lang w:val="zh-CN" w:bidi="ar"/>
                <w14:textFill>
                  <w14:solidFill>
                    <w14:schemeClr w14:val="tx1"/>
                  </w14:solidFill>
                </w14:textFill>
              </w:rPr>
              <w:t>通风装置</w:t>
            </w:r>
          </w:p>
        </w:tc>
        <w:tc>
          <w:tcPr>
            <w:tcW w:w="712" w:type="pct"/>
            <w:vAlign w:val="center"/>
          </w:tcPr>
          <w:p w14:paraId="33C31CF2">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项</w:t>
            </w:r>
          </w:p>
        </w:tc>
        <w:tc>
          <w:tcPr>
            <w:tcW w:w="1300" w:type="pct"/>
            <w:vAlign w:val="center"/>
          </w:tcPr>
          <w:p w14:paraId="1F67346F">
            <w:pPr>
              <w:jc w:val="center"/>
              <w:rPr>
                <w:rFonts w:ascii="Times New Roman" w:hAnsi="Times New Roman" w:cs="Times New Roman"/>
                <w:kern w:val="0"/>
                <w:sz w:val="21"/>
                <w:highlight w:val="none"/>
              </w:rPr>
            </w:pPr>
            <w:r>
              <w:rPr>
                <w:rFonts w:hint="eastAsia" w:ascii="Times New Roman" w:hAnsi="Times New Roman" w:cs="Times New Roman"/>
                <w:kern w:val="0"/>
                <w:sz w:val="21"/>
                <w:highlight w:val="none"/>
              </w:rPr>
              <w:t>26</w:t>
            </w:r>
          </w:p>
        </w:tc>
      </w:tr>
      <w:tr w14:paraId="6E45FF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5CA1085E">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11</w:t>
            </w:r>
          </w:p>
        </w:tc>
        <w:tc>
          <w:tcPr>
            <w:tcW w:w="2281" w:type="pct"/>
            <w:vAlign w:val="center"/>
          </w:tcPr>
          <w:p w14:paraId="00C51C8D">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铲车</w:t>
            </w:r>
          </w:p>
        </w:tc>
        <w:tc>
          <w:tcPr>
            <w:tcW w:w="712" w:type="pct"/>
            <w:vAlign w:val="center"/>
          </w:tcPr>
          <w:p w14:paraId="1EDD1A00">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台</w:t>
            </w:r>
          </w:p>
        </w:tc>
        <w:tc>
          <w:tcPr>
            <w:tcW w:w="1300" w:type="pct"/>
            <w:vAlign w:val="center"/>
          </w:tcPr>
          <w:p w14:paraId="247124CF">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6EFDE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05" w:type="pct"/>
            <w:vAlign w:val="center"/>
          </w:tcPr>
          <w:p w14:paraId="728E2F61">
            <w:pPr>
              <w:jc w:val="center"/>
              <w:rPr>
                <w:rFonts w:hint="default" w:ascii="Times New Roman" w:hAnsi="Times New Roman" w:eastAsia="宋体" w:cs="Times New Roman"/>
                <w:kern w:val="0"/>
                <w:sz w:val="21"/>
                <w:highlight w:val="none"/>
                <w:lang w:val="en-US" w:eastAsia="zh-CN"/>
              </w:rPr>
            </w:pPr>
            <w:r>
              <w:rPr>
                <w:rFonts w:hint="eastAsia" w:ascii="Times New Roman" w:hAnsi="Times New Roman" w:cs="Times New Roman"/>
                <w:kern w:val="0"/>
                <w:sz w:val="21"/>
                <w:highlight w:val="none"/>
                <w:lang w:val="en-US" w:eastAsia="zh-CN"/>
              </w:rPr>
              <w:t>12</w:t>
            </w:r>
          </w:p>
        </w:tc>
        <w:tc>
          <w:tcPr>
            <w:tcW w:w="2281" w:type="pct"/>
            <w:vAlign w:val="center"/>
          </w:tcPr>
          <w:p w14:paraId="4375088C">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固液分离机</w:t>
            </w:r>
          </w:p>
        </w:tc>
        <w:tc>
          <w:tcPr>
            <w:tcW w:w="712" w:type="pct"/>
            <w:vAlign w:val="center"/>
          </w:tcPr>
          <w:p w14:paraId="33ED98E0">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台</w:t>
            </w:r>
          </w:p>
        </w:tc>
        <w:tc>
          <w:tcPr>
            <w:tcW w:w="1300" w:type="pct"/>
            <w:vAlign w:val="center"/>
          </w:tcPr>
          <w:p w14:paraId="0C771C74">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19B89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4B3D767E">
            <w:pPr>
              <w:jc w:val="center"/>
              <w:rPr>
                <w:rFonts w:hint="eastAsia" w:ascii="Times New Roman" w:hAnsi="Times New Roman" w:eastAsia="宋体" w:cs="Times New Roman"/>
                <w:kern w:val="0"/>
                <w:sz w:val="21"/>
                <w:highlight w:val="none"/>
                <w:lang w:val="zh-CN" w:eastAsia="zh-CN"/>
              </w:rPr>
            </w:pPr>
            <w:r>
              <w:rPr>
                <w:rFonts w:ascii="Times New Roman" w:hAnsi="Times New Roman" w:cs="Times New Roman"/>
                <w:kern w:val="0"/>
                <w:sz w:val="21"/>
                <w:highlight w:val="none"/>
                <w:lang w:val="zh-CN"/>
              </w:rPr>
              <w:t>1</w:t>
            </w:r>
            <w:r>
              <w:rPr>
                <w:rFonts w:hint="eastAsia" w:ascii="Times New Roman" w:hAnsi="Times New Roman" w:cs="Times New Roman"/>
                <w:kern w:val="0"/>
                <w:sz w:val="21"/>
                <w:highlight w:val="none"/>
                <w:lang w:val="en-US" w:eastAsia="zh-CN"/>
              </w:rPr>
              <w:t>3</w:t>
            </w:r>
          </w:p>
        </w:tc>
        <w:tc>
          <w:tcPr>
            <w:tcW w:w="2281" w:type="pct"/>
            <w:vAlign w:val="center"/>
          </w:tcPr>
          <w:p w14:paraId="03AA77B5">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运输车</w:t>
            </w:r>
          </w:p>
        </w:tc>
        <w:tc>
          <w:tcPr>
            <w:tcW w:w="712" w:type="pct"/>
            <w:vAlign w:val="center"/>
          </w:tcPr>
          <w:p w14:paraId="2357D288">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台</w:t>
            </w:r>
          </w:p>
        </w:tc>
        <w:tc>
          <w:tcPr>
            <w:tcW w:w="1300" w:type="pct"/>
            <w:vAlign w:val="center"/>
          </w:tcPr>
          <w:p w14:paraId="59E1A6E1">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bl>
    <w:p w14:paraId="77001C12">
      <w:pPr>
        <w:pStyle w:val="7"/>
        <w:bidi w:val="0"/>
        <w:rPr>
          <w:rFonts w:hint="default"/>
          <w:highlight w:val="none"/>
        </w:rPr>
      </w:pPr>
      <w:r>
        <w:rPr>
          <w:rFonts w:hint="default"/>
          <w:highlight w:val="none"/>
        </w:rPr>
        <w:t>3.</w:t>
      </w:r>
      <w:r>
        <w:rPr>
          <w:rFonts w:hint="eastAsia"/>
          <w:highlight w:val="none"/>
          <w:lang w:val="en-US" w:eastAsia="zh-CN"/>
        </w:rPr>
        <w:t>1</w:t>
      </w:r>
      <w:r>
        <w:rPr>
          <w:rFonts w:hint="default"/>
          <w:highlight w:val="none"/>
        </w:rPr>
        <w:t>.5</w:t>
      </w:r>
      <w:r>
        <w:rPr>
          <w:rFonts w:hint="eastAsia"/>
          <w:highlight w:val="none"/>
          <w:lang w:val="en-US" w:eastAsia="zh-CN"/>
        </w:rPr>
        <w:t>现有项目</w:t>
      </w:r>
      <w:r>
        <w:rPr>
          <w:rFonts w:hint="default"/>
          <w:highlight w:val="none"/>
        </w:rPr>
        <w:t>主要原辅材料消耗</w:t>
      </w:r>
    </w:p>
    <w:p w14:paraId="4709D7F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项目建设地点出入交通便利，饲料供应量充足，品种齐全，建设项目和项目生产过程中所需的主要物资在当地市场均能购进。</w:t>
      </w:r>
    </w:p>
    <w:p w14:paraId="055281A4">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3  </w:t>
      </w:r>
      <w:r>
        <w:rPr>
          <w:rFonts w:hint="default" w:ascii="Times New Roman" w:hAnsi="Times New Roman" w:eastAsia="黑体" w:cs="Times New Roman"/>
          <w:b w:val="0"/>
          <w:bCs/>
          <w:smallCaps w:val="0"/>
          <w:snapToGrid/>
          <w:kern w:val="2"/>
          <w:sz w:val="21"/>
          <w:szCs w:val="24"/>
          <w:highlight w:val="none"/>
          <w:lang w:val="zh-CN" w:eastAsia="zh-CN" w:bidi="ar-SA"/>
        </w:rPr>
        <w:t>原辅材料一览表</w:t>
      </w:r>
    </w:p>
    <w:tbl>
      <w:tblPr>
        <w:tblStyle w:val="39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2"/>
        <w:gridCol w:w="990"/>
        <w:gridCol w:w="1338"/>
        <w:gridCol w:w="1254"/>
        <w:gridCol w:w="995"/>
        <w:gridCol w:w="3340"/>
      </w:tblGrid>
      <w:tr w14:paraId="55A2E5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3" w:type="pct"/>
            <w:vAlign w:val="center"/>
          </w:tcPr>
          <w:p w14:paraId="43EEDA52">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序号</w:t>
            </w:r>
          </w:p>
        </w:tc>
        <w:tc>
          <w:tcPr>
            <w:tcW w:w="1366" w:type="pct"/>
            <w:gridSpan w:val="2"/>
            <w:vAlign w:val="center"/>
          </w:tcPr>
          <w:p w14:paraId="576B73BA">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名称</w:t>
            </w:r>
          </w:p>
        </w:tc>
        <w:tc>
          <w:tcPr>
            <w:tcW w:w="736" w:type="pct"/>
            <w:vAlign w:val="center"/>
          </w:tcPr>
          <w:p w14:paraId="3045D928">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数量</w:t>
            </w:r>
          </w:p>
        </w:tc>
        <w:tc>
          <w:tcPr>
            <w:tcW w:w="584" w:type="pct"/>
            <w:vAlign w:val="center"/>
          </w:tcPr>
          <w:p w14:paraId="692B970D">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rPr>
              <w:t>单位</w:t>
            </w:r>
          </w:p>
        </w:tc>
        <w:tc>
          <w:tcPr>
            <w:tcW w:w="1959" w:type="pct"/>
            <w:vAlign w:val="center"/>
          </w:tcPr>
          <w:p w14:paraId="41D8A673">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备注</w:t>
            </w:r>
          </w:p>
        </w:tc>
      </w:tr>
      <w:tr w14:paraId="5589A6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353" w:type="pct"/>
            <w:vAlign w:val="center"/>
          </w:tcPr>
          <w:p w14:paraId="23AF5F09">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1</w:t>
            </w:r>
          </w:p>
        </w:tc>
        <w:tc>
          <w:tcPr>
            <w:tcW w:w="1366" w:type="pct"/>
            <w:gridSpan w:val="2"/>
            <w:vAlign w:val="center"/>
          </w:tcPr>
          <w:p w14:paraId="3965229B">
            <w:pPr>
              <w:adjustRightInd w:val="0"/>
              <w:snapToGrid w:val="0"/>
              <w:jc w:val="center"/>
              <w:rPr>
                <w:rFonts w:hint="eastAsia"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rPr>
              <w:t>全价饲料</w:t>
            </w:r>
          </w:p>
        </w:tc>
        <w:tc>
          <w:tcPr>
            <w:tcW w:w="736" w:type="pct"/>
            <w:vAlign w:val="center"/>
          </w:tcPr>
          <w:p w14:paraId="6B82F83E">
            <w:pPr>
              <w:adjustRightInd w:val="0"/>
              <w:snapToGrid w:val="0"/>
              <w:jc w:val="center"/>
              <w:rPr>
                <w:rFonts w:hint="eastAsia"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lang w:val="en-US" w:eastAsia="zh-CN"/>
              </w:rPr>
              <w:t>3</w:t>
            </w:r>
            <w:r>
              <w:rPr>
                <w:rFonts w:hint="eastAsia" w:ascii="Times New Roman" w:hAnsi="Times New Roman" w:cs="Times New Roman"/>
                <w:snapToGrid w:val="0"/>
                <w:kern w:val="0"/>
                <w:sz w:val="21"/>
                <w:highlight w:val="none"/>
              </w:rPr>
              <w:t>00</w:t>
            </w:r>
          </w:p>
        </w:tc>
        <w:tc>
          <w:tcPr>
            <w:tcW w:w="584" w:type="pct"/>
            <w:tcBorders>
              <w:top w:val="single" w:color="auto" w:sz="6" w:space="0"/>
              <w:left w:val="single" w:color="auto" w:sz="6" w:space="0"/>
            </w:tcBorders>
            <w:vAlign w:val="center"/>
          </w:tcPr>
          <w:p w14:paraId="2586C933">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t/a</w:t>
            </w:r>
          </w:p>
        </w:tc>
        <w:tc>
          <w:tcPr>
            <w:tcW w:w="1959" w:type="pct"/>
            <w:tcBorders>
              <w:top w:val="single" w:color="auto" w:sz="6" w:space="0"/>
              <w:left w:val="single" w:color="auto" w:sz="6" w:space="0"/>
            </w:tcBorders>
            <w:vAlign w:val="center"/>
          </w:tcPr>
          <w:p w14:paraId="7CC5FA56">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外购</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厂区不储存，厂家定期配送</w:t>
            </w:r>
          </w:p>
        </w:tc>
      </w:tr>
      <w:tr w14:paraId="377763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353" w:type="pct"/>
            <w:vAlign w:val="center"/>
          </w:tcPr>
          <w:p w14:paraId="1F91AD6D">
            <w:pPr>
              <w:adjustRightInd w:val="0"/>
              <w:snapToGrid w:val="0"/>
              <w:jc w:val="center"/>
              <w:rPr>
                <w:rFonts w:hint="eastAsia"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2</w:t>
            </w:r>
          </w:p>
        </w:tc>
        <w:tc>
          <w:tcPr>
            <w:tcW w:w="1366" w:type="pct"/>
            <w:gridSpan w:val="2"/>
            <w:vAlign w:val="center"/>
          </w:tcPr>
          <w:p w14:paraId="26690E34">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EM菌剂</w:t>
            </w:r>
          </w:p>
        </w:tc>
        <w:tc>
          <w:tcPr>
            <w:tcW w:w="736" w:type="pct"/>
            <w:vAlign w:val="center"/>
          </w:tcPr>
          <w:p w14:paraId="737F9EDE">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100</w:t>
            </w:r>
          </w:p>
        </w:tc>
        <w:tc>
          <w:tcPr>
            <w:tcW w:w="584" w:type="pct"/>
            <w:tcBorders>
              <w:top w:val="single" w:color="auto" w:sz="6" w:space="0"/>
              <w:left w:val="single" w:color="auto" w:sz="6" w:space="0"/>
            </w:tcBorders>
            <w:vAlign w:val="center"/>
          </w:tcPr>
          <w:p w14:paraId="3C808144">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t/a</w:t>
            </w:r>
          </w:p>
        </w:tc>
        <w:tc>
          <w:tcPr>
            <w:tcW w:w="1959" w:type="pct"/>
            <w:tcBorders>
              <w:top w:val="single" w:color="auto" w:sz="6" w:space="0"/>
              <w:left w:val="single" w:color="auto" w:sz="6" w:space="0"/>
            </w:tcBorders>
            <w:vAlign w:val="center"/>
          </w:tcPr>
          <w:p w14:paraId="6BEEBF1C">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ascii="Times New Roman" w:hAnsi="Times New Roman" w:cs="Times New Roman"/>
                <w:snapToGrid w:val="0"/>
                <w:kern w:val="0"/>
                <w:sz w:val="21"/>
                <w:highlight w:val="none"/>
                <w:lang w:val="zh-CN"/>
              </w:rPr>
              <w:t>外购</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厂区不储存，厂家定期配送</w:t>
            </w:r>
            <w:r>
              <w:rPr>
                <w:rFonts w:hint="eastAsia" w:ascii="Times New Roman" w:hAnsi="Times New Roman" w:cs="Times New Roman"/>
                <w:snapToGrid w:val="0"/>
                <w:kern w:val="0"/>
                <w:sz w:val="21"/>
                <w:highlight w:val="none"/>
                <w:lang w:eastAsia="zh-CN"/>
              </w:rPr>
              <w:t>，</w:t>
            </w:r>
            <w:r>
              <w:rPr>
                <w:rFonts w:hint="eastAsia" w:ascii="Times New Roman" w:hAnsi="Times New Roman" w:cs="Times New Roman"/>
                <w:snapToGrid w:val="0"/>
                <w:kern w:val="0"/>
                <w:sz w:val="21"/>
                <w:highlight w:val="none"/>
                <w:lang w:val="en-US" w:eastAsia="zh-CN"/>
              </w:rPr>
              <w:t>用于混入日粮，控制养殖区恶臭气体产生</w:t>
            </w:r>
          </w:p>
        </w:tc>
      </w:tr>
      <w:tr w14:paraId="3BBC5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3" w:type="pct"/>
            <w:vAlign w:val="center"/>
          </w:tcPr>
          <w:p w14:paraId="1FF6ABD2">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3</w:t>
            </w:r>
          </w:p>
        </w:tc>
        <w:tc>
          <w:tcPr>
            <w:tcW w:w="1366" w:type="pct"/>
            <w:gridSpan w:val="2"/>
            <w:vAlign w:val="center"/>
          </w:tcPr>
          <w:p w14:paraId="2F416195">
            <w:pPr>
              <w:adjustRightInd w:val="0"/>
              <w:snapToGrid w:val="0"/>
              <w:jc w:val="center"/>
              <w:rPr>
                <w:rFonts w:ascii="Times New Roman" w:hAnsi="Times New Roman" w:cs="Times New Roman"/>
                <w:snapToGrid w:val="0"/>
                <w:sz w:val="21"/>
                <w:highlight w:val="none"/>
                <w:lang w:val="zh-CN"/>
              </w:rPr>
            </w:pPr>
            <w:r>
              <w:rPr>
                <w:rFonts w:ascii="Times New Roman" w:hAnsi="Times New Roman" w:cs="Times New Roman"/>
                <w:snapToGrid w:val="0"/>
                <w:sz w:val="21"/>
                <w:highlight w:val="none"/>
                <w:lang w:val="zh-CN"/>
              </w:rPr>
              <w:t>除臭剂</w:t>
            </w:r>
          </w:p>
        </w:tc>
        <w:tc>
          <w:tcPr>
            <w:tcW w:w="736" w:type="pct"/>
            <w:vAlign w:val="center"/>
          </w:tcPr>
          <w:p w14:paraId="259FED9E">
            <w:pPr>
              <w:pStyle w:val="152"/>
              <w:adjustRightInd w:val="0"/>
              <w:snapToGrid w:val="0"/>
              <w:rPr>
                <w:rFonts w:hint="eastAsia"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lang w:val="en-US" w:eastAsia="zh-CN"/>
              </w:rPr>
              <w:t>16</w:t>
            </w:r>
          </w:p>
        </w:tc>
        <w:tc>
          <w:tcPr>
            <w:tcW w:w="584" w:type="pct"/>
            <w:vAlign w:val="center"/>
          </w:tcPr>
          <w:p w14:paraId="081239FE">
            <w:pPr>
              <w:pStyle w:val="152"/>
              <w:adjustRightInd w:val="0"/>
              <w:snapToGrid w:val="0"/>
              <w:rPr>
                <w:rFonts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rPr>
              <w:t>t/a</w:t>
            </w:r>
          </w:p>
        </w:tc>
        <w:tc>
          <w:tcPr>
            <w:tcW w:w="1959" w:type="pct"/>
            <w:vAlign w:val="center"/>
          </w:tcPr>
          <w:p w14:paraId="7F305CE3">
            <w:pPr>
              <w:adjustRightInd w:val="0"/>
              <w:snapToGrid w:val="0"/>
              <w:jc w:val="center"/>
              <w:rPr>
                <w:rFonts w:ascii="Times New Roman" w:hAnsi="Times New Roman" w:cs="Times New Roman"/>
                <w:snapToGrid w:val="0"/>
                <w:kern w:val="0"/>
                <w:sz w:val="21"/>
                <w:highlight w:val="none"/>
                <w:lang w:val="zh-CN"/>
              </w:rPr>
            </w:pPr>
            <w:r>
              <w:rPr>
                <w:rFonts w:hint="eastAsia" w:ascii="Times New Roman" w:hAnsi="Times New Roman" w:cs="Times New Roman"/>
                <w:snapToGrid w:val="0"/>
                <w:sz w:val="21"/>
                <w:highlight w:val="none"/>
              </w:rPr>
              <w:t>暂存于</w:t>
            </w:r>
            <w:r>
              <w:rPr>
                <w:rFonts w:hint="eastAsia" w:ascii="Times New Roman" w:hAnsi="Times New Roman" w:cs="Times New Roman"/>
                <w:snapToGrid w:val="0"/>
                <w:sz w:val="21"/>
                <w:highlight w:val="none"/>
                <w:lang w:eastAsia="zh-CN"/>
              </w:rPr>
              <w:t>干粪堆积场</w:t>
            </w:r>
            <w:r>
              <w:rPr>
                <w:rFonts w:hint="eastAsia" w:ascii="Times New Roman" w:hAnsi="Times New Roman" w:cs="Times New Roman"/>
                <w:snapToGrid w:val="0"/>
                <w:sz w:val="21"/>
                <w:highlight w:val="none"/>
              </w:rPr>
              <w:t>内，最大储量为</w:t>
            </w:r>
            <w:r>
              <w:rPr>
                <w:rFonts w:hint="eastAsia" w:ascii="Times New Roman" w:hAnsi="Times New Roman" w:cs="Times New Roman"/>
                <w:snapToGrid w:val="0"/>
                <w:sz w:val="21"/>
                <w:highlight w:val="none"/>
                <w:lang w:val="en-US" w:eastAsia="zh-CN"/>
              </w:rPr>
              <w:t>1</w:t>
            </w:r>
            <w:r>
              <w:rPr>
                <w:rFonts w:hint="eastAsia" w:ascii="Times New Roman" w:hAnsi="Times New Roman" w:cs="Times New Roman"/>
                <w:snapToGrid w:val="0"/>
                <w:sz w:val="21"/>
                <w:highlight w:val="none"/>
              </w:rPr>
              <w:t>t</w:t>
            </w:r>
          </w:p>
        </w:tc>
      </w:tr>
      <w:tr w14:paraId="34D4C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353" w:type="pct"/>
            <w:vAlign w:val="center"/>
          </w:tcPr>
          <w:p w14:paraId="7C544B53">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4</w:t>
            </w:r>
          </w:p>
        </w:tc>
        <w:tc>
          <w:tcPr>
            <w:tcW w:w="1366" w:type="pct"/>
            <w:gridSpan w:val="2"/>
            <w:vAlign w:val="center"/>
          </w:tcPr>
          <w:p w14:paraId="442004ED">
            <w:pPr>
              <w:adjustRightInd w:val="0"/>
              <w:snapToGrid w:val="0"/>
              <w:jc w:val="center"/>
              <w:rPr>
                <w:rFonts w:hint="default" w:ascii="Times New Roman" w:hAnsi="Times New Roman" w:eastAsia="宋体" w:cs="Times New Roman"/>
                <w:snapToGrid w:val="0"/>
                <w:sz w:val="21"/>
                <w:highlight w:val="none"/>
                <w:lang w:val="en-US" w:eastAsia="zh-CN"/>
              </w:rPr>
            </w:pPr>
            <w:r>
              <w:rPr>
                <w:rFonts w:ascii="Times New Roman" w:hAnsi="Times New Roman" w:cs="Times New Roman"/>
                <w:snapToGrid w:val="0"/>
                <w:sz w:val="21"/>
                <w:highlight w:val="none"/>
                <w:lang w:val="zh-CN"/>
              </w:rPr>
              <w:t>微生物菌剂</w:t>
            </w:r>
          </w:p>
        </w:tc>
        <w:tc>
          <w:tcPr>
            <w:tcW w:w="736" w:type="pct"/>
            <w:vAlign w:val="center"/>
          </w:tcPr>
          <w:p w14:paraId="6F8F4401">
            <w:pPr>
              <w:pStyle w:val="152"/>
              <w:adjustRightInd w:val="0"/>
              <w:snapToGrid w:val="0"/>
              <w:rPr>
                <w:rFonts w:hint="eastAsia"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lang w:val="en-US" w:eastAsia="zh-CN"/>
              </w:rPr>
              <w:t>8</w:t>
            </w:r>
          </w:p>
        </w:tc>
        <w:tc>
          <w:tcPr>
            <w:tcW w:w="584" w:type="pct"/>
            <w:vAlign w:val="center"/>
          </w:tcPr>
          <w:p w14:paraId="51C82228">
            <w:pPr>
              <w:pStyle w:val="152"/>
              <w:adjustRightInd w:val="0"/>
              <w:snapToGrid w:val="0"/>
              <w:rPr>
                <w:rFonts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rPr>
              <w:t>t/a</w:t>
            </w:r>
          </w:p>
        </w:tc>
        <w:tc>
          <w:tcPr>
            <w:tcW w:w="1959" w:type="pct"/>
            <w:vAlign w:val="center"/>
          </w:tcPr>
          <w:p w14:paraId="5B5C2465">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sz w:val="21"/>
                <w:highlight w:val="none"/>
              </w:rPr>
              <w:t>暂存于兽医室，最大储量为</w:t>
            </w:r>
            <w:r>
              <w:rPr>
                <w:rFonts w:hint="eastAsia" w:ascii="Times New Roman" w:hAnsi="Times New Roman" w:cs="Times New Roman"/>
                <w:snapToGrid w:val="0"/>
                <w:sz w:val="21"/>
                <w:highlight w:val="none"/>
                <w:lang w:val="en-US" w:eastAsia="zh-CN"/>
              </w:rPr>
              <w:t>0.5</w:t>
            </w:r>
            <w:r>
              <w:rPr>
                <w:rFonts w:hint="eastAsia" w:ascii="Times New Roman" w:hAnsi="Times New Roman" w:cs="Times New Roman"/>
                <w:snapToGrid w:val="0"/>
                <w:sz w:val="21"/>
                <w:highlight w:val="none"/>
              </w:rPr>
              <w:t>t</w:t>
            </w:r>
            <w:r>
              <w:rPr>
                <w:rFonts w:hint="eastAsia" w:ascii="Times New Roman" w:hAnsi="Times New Roman" w:cs="Times New Roman"/>
                <w:snapToGrid w:val="0"/>
                <w:sz w:val="21"/>
                <w:highlight w:val="none"/>
                <w:lang w:eastAsia="zh-CN"/>
              </w:rPr>
              <w:t>，</w:t>
            </w:r>
            <w:r>
              <w:rPr>
                <w:rFonts w:hint="eastAsia" w:ascii="Times New Roman" w:hAnsi="Times New Roman" w:cs="Times New Roman"/>
                <w:snapToGrid w:val="0"/>
                <w:sz w:val="21"/>
                <w:highlight w:val="none"/>
                <w:lang w:val="en-US" w:eastAsia="zh-CN"/>
              </w:rPr>
              <w:t>用于干粪堆积场好氧堆肥</w:t>
            </w:r>
          </w:p>
        </w:tc>
      </w:tr>
      <w:tr w14:paraId="47CECD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3" w:type="pct"/>
            <w:vAlign w:val="center"/>
          </w:tcPr>
          <w:p w14:paraId="278AD479">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5</w:t>
            </w:r>
          </w:p>
        </w:tc>
        <w:tc>
          <w:tcPr>
            <w:tcW w:w="1366" w:type="pct"/>
            <w:gridSpan w:val="2"/>
            <w:vAlign w:val="center"/>
          </w:tcPr>
          <w:p w14:paraId="23596D39">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疫苗</w:t>
            </w:r>
          </w:p>
        </w:tc>
        <w:tc>
          <w:tcPr>
            <w:tcW w:w="736" w:type="pct"/>
            <w:vAlign w:val="center"/>
          </w:tcPr>
          <w:p w14:paraId="754A2F09">
            <w:pPr>
              <w:adjustRightInd w:val="0"/>
              <w:snapToGrid w:val="0"/>
              <w:jc w:val="center"/>
              <w:rPr>
                <w:rFonts w:hint="eastAsia" w:ascii="Times New Roman" w:hAnsi="Times New Roman" w:cs="Times New Roman"/>
                <w:snapToGrid w:val="0"/>
                <w:kern w:val="0"/>
                <w:sz w:val="21"/>
                <w:highlight w:val="none"/>
                <w:lang w:val="zh-CN"/>
              </w:rPr>
            </w:pPr>
            <w:r>
              <w:rPr>
                <w:rFonts w:hint="eastAsia" w:ascii="Times New Roman" w:hAnsi="Times New Roman" w:cs="Times New Roman"/>
                <w:snapToGrid w:val="0"/>
                <w:kern w:val="0"/>
                <w:sz w:val="21"/>
                <w:highlight w:val="none"/>
                <w:lang w:val="zh-CN"/>
              </w:rPr>
              <w:t>10000</w:t>
            </w:r>
          </w:p>
        </w:tc>
        <w:tc>
          <w:tcPr>
            <w:tcW w:w="584" w:type="pct"/>
            <w:vAlign w:val="center"/>
          </w:tcPr>
          <w:p w14:paraId="50BE56C3">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只</w:t>
            </w:r>
          </w:p>
        </w:tc>
        <w:tc>
          <w:tcPr>
            <w:tcW w:w="1959" w:type="pct"/>
            <w:vAlign w:val="center"/>
          </w:tcPr>
          <w:p w14:paraId="31917E3E">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猪瘟、口蹄疫、蓝耳病、伪狂犬、猪丹毒、猪肺疫等疫苗</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根据防疫要求配备，数量不明确</w:t>
            </w:r>
          </w:p>
        </w:tc>
      </w:tr>
      <w:tr w14:paraId="4460F3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3" w:type="pct"/>
            <w:vAlign w:val="center"/>
          </w:tcPr>
          <w:p w14:paraId="791B0281">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6</w:t>
            </w:r>
          </w:p>
        </w:tc>
        <w:tc>
          <w:tcPr>
            <w:tcW w:w="1366" w:type="pct"/>
            <w:gridSpan w:val="2"/>
            <w:vAlign w:val="center"/>
          </w:tcPr>
          <w:p w14:paraId="5694C978">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兽药</w:t>
            </w:r>
          </w:p>
        </w:tc>
        <w:tc>
          <w:tcPr>
            <w:tcW w:w="736" w:type="pct"/>
            <w:vAlign w:val="center"/>
          </w:tcPr>
          <w:p w14:paraId="6C145218">
            <w:pPr>
              <w:adjustRightInd w:val="0"/>
              <w:snapToGrid w:val="0"/>
              <w:jc w:val="center"/>
              <w:rPr>
                <w:rFonts w:hint="eastAsia" w:ascii="Times New Roman" w:hAnsi="Times New Roman" w:cs="Times New Roman"/>
                <w:snapToGrid w:val="0"/>
                <w:kern w:val="0"/>
                <w:sz w:val="21"/>
                <w:highlight w:val="none"/>
                <w:lang w:val="zh-CN"/>
              </w:rPr>
            </w:pPr>
            <w:r>
              <w:rPr>
                <w:rFonts w:hint="eastAsia" w:ascii="Times New Roman" w:hAnsi="Times New Roman" w:cs="Times New Roman"/>
                <w:snapToGrid w:val="0"/>
                <w:kern w:val="0"/>
                <w:sz w:val="21"/>
                <w:highlight w:val="none"/>
                <w:lang w:val="zh-CN"/>
              </w:rPr>
              <w:t>50</w:t>
            </w:r>
          </w:p>
        </w:tc>
        <w:tc>
          <w:tcPr>
            <w:tcW w:w="584" w:type="pct"/>
            <w:vAlign w:val="center"/>
          </w:tcPr>
          <w:p w14:paraId="6CCBD647">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kg/a</w:t>
            </w:r>
          </w:p>
        </w:tc>
        <w:tc>
          <w:tcPr>
            <w:tcW w:w="1959" w:type="pct"/>
            <w:vAlign w:val="center"/>
          </w:tcPr>
          <w:p w14:paraId="5D72E39A">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氨苯尼考、强力等</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根据实际要求配备，数量不明确</w:t>
            </w:r>
          </w:p>
        </w:tc>
      </w:tr>
      <w:tr w14:paraId="704A5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53" w:type="pct"/>
            <w:vMerge w:val="restart"/>
            <w:vAlign w:val="center"/>
          </w:tcPr>
          <w:p w14:paraId="7ECA502D">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7</w:t>
            </w:r>
          </w:p>
        </w:tc>
        <w:tc>
          <w:tcPr>
            <w:tcW w:w="581" w:type="pct"/>
            <w:vMerge w:val="restart"/>
            <w:vAlign w:val="center"/>
          </w:tcPr>
          <w:p w14:paraId="32435288">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rPr>
              <w:t>消毒剂</w:t>
            </w:r>
          </w:p>
        </w:tc>
        <w:tc>
          <w:tcPr>
            <w:tcW w:w="785" w:type="pct"/>
            <w:vAlign w:val="center"/>
          </w:tcPr>
          <w:p w14:paraId="6DC5D8BE">
            <w:pPr>
              <w:adjustRightInd w:val="0"/>
              <w:snapToGrid w:val="0"/>
              <w:jc w:val="center"/>
              <w:rPr>
                <w:rFonts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rPr>
              <w:t>戊二醛</w:t>
            </w:r>
          </w:p>
        </w:tc>
        <w:tc>
          <w:tcPr>
            <w:tcW w:w="736" w:type="pct"/>
            <w:vAlign w:val="center"/>
          </w:tcPr>
          <w:p w14:paraId="3F5CFA6C">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70</w:t>
            </w:r>
          </w:p>
        </w:tc>
        <w:tc>
          <w:tcPr>
            <w:tcW w:w="584" w:type="pct"/>
            <w:vMerge w:val="restart"/>
            <w:vAlign w:val="center"/>
          </w:tcPr>
          <w:p w14:paraId="787D4630">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kg/a</w:t>
            </w:r>
          </w:p>
        </w:tc>
        <w:tc>
          <w:tcPr>
            <w:tcW w:w="1959" w:type="pct"/>
            <w:vMerge w:val="restart"/>
            <w:vAlign w:val="center"/>
          </w:tcPr>
          <w:p w14:paraId="14CA2F4F">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rPr>
              <w:t>外购</w:t>
            </w:r>
            <w:r>
              <w:rPr>
                <w:rFonts w:hint="eastAsia" w:ascii="Times New Roman" w:hAnsi="Times New Roman" w:cs="Times New Roman"/>
                <w:snapToGrid w:val="0"/>
                <w:kern w:val="0"/>
                <w:sz w:val="21"/>
                <w:highlight w:val="none"/>
                <w:lang w:eastAsia="zh-CN"/>
              </w:rPr>
              <w:t>，消毒剂（戊二醛、过硫酸氢钾）</w:t>
            </w:r>
            <w:r>
              <w:rPr>
                <w:rFonts w:hint="eastAsia" w:ascii="Times New Roman" w:hAnsi="Times New Roman" w:cs="Times New Roman"/>
                <w:snapToGrid w:val="0"/>
                <w:kern w:val="0"/>
                <w:sz w:val="21"/>
                <w:highlight w:val="none"/>
              </w:rPr>
              <w:t>，暂存于兽医室，最大储量为</w:t>
            </w:r>
            <w:r>
              <w:rPr>
                <w:rFonts w:hint="eastAsia" w:ascii="Times New Roman" w:hAnsi="Times New Roman" w:cs="Times New Roman"/>
                <w:snapToGrid w:val="0"/>
                <w:kern w:val="0"/>
                <w:sz w:val="21"/>
                <w:highlight w:val="none"/>
                <w:lang w:val="en-US" w:eastAsia="zh-CN"/>
              </w:rPr>
              <w:t>2t</w:t>
            </w:r>
          </w:p>
        </w:tc>
      </w:tr>
      <w:tr w14:paraId="0C3360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3" w:type="pct"/>
            <w:vMerge w:val="continue"/>
            <w:vAlign w:val="center"/>
          </w:tcPr>
          <w:p w14:paraId="092C4497">
            <w:pPr>
              <w:adjustRightInd w:val="0"/>
              <w:snapToGrid w:val="0"/>
              <w:jc w:val="center"/>
              <w:rPr>
                <w:rFonts w:hint="eastAsia" w:ascii="Times New Roman" w:hAnsi="Times New Roman" w:cs="Times New Roman"/>
                <w:snapToGrid w:val="0"/>
                <w:kern w:val="0"/>
                <w:sz w:val="21"/>
                <w:highlight w:val="none"/>
                <w:lang w:val="en-US" w:eastAsia="zh-CN"/>
              </w:rPr>
            </w:pPr>
          </w:p>
        </w:tc>
        <w:tc>
          <w:tcPr>
            <w:tcW w:w="581" w:type="pct"/>
            <w:vMerge w:val="continue"/>
            <w:vAlign w:val="center"/>
          </w:tcPr>
          <w:p w14:paraId="0E3476CC">
            <w:pPr>
              <w:adjustRightInd w:val="0"/>
              <w:snapToGrid w:val="0"/>
              <w:jc w:val="center"/>
              <w:rPr>
                <w:rFonts w:ascii="Times New Roman" w:hAnsi="Times New Roman" w:cs="Times New Roman"/>
                <w:snapToGrid w:val="0"/>
                <w:kern w:val="0"/>
                <w:sz w:val="21"/>
                <w:highlight w:val="none"/>
              </w:rPr>
            </w:pPr>
          </w:p>
        </w:tc>
        <w:tc>
          <w:tcPr>
            <w:tcW w:w="785" w:type="pct"/>
            <w:vAlign w:val="center"/>
          </w:tcPr>
          <w:p w14:paraId="205DF46F">
            <w:pPr>
              <w:adjustRightInd w:val="0"/>
              <w:snapToGrid w:val="0"/>
              <w:jc w:val="center"/>
              <w:rPr>
                <w:rFonts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rPr>
              <w:t>过硫酸氢钾</w:t>
            </w:r>
          </w:p>
        </w:tc>
        <w:tc>
          <w:tcPr>
            <w:tcW w:w="736" w:type="pct"/>
            <w:vAlign w:val="center"/>
          </w:tcPr>
          <w:p w14:paraId="2ED30181">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80</w:t>
            </w:r>
          </w:p>
        </w:tc>
        <w:tc>
          <w:tcPr>
            <w:tcW w:w="584" w:type="pct"/>
            <w:vMerge w:val="continue"/>
            <w:vAlign w:val="center"/>
          </w:tcPr>
          <w:p w14:paraId="54E6734B">
            <w:pPr>
              <w:adjustRightInd w:val="0"/>
              <w:snapToGrid w:val="0"/>
              <w:jc w:val="center"/>
              <w:rPr>
                <w:rFonts w:ascii="Times New Roman" w:hAnsi="Times New Roman" w:cs="Times New Roman"/>
                <w:snapToGrid w:val="0"/>
                <w:kern w:val="0"/>
                <w:sz w:val="21"/>
                <w:highlight w:val="none"/>
                <w:lang w:val="zh-CN"/>
              </w:rPr>
            </w:pPr>
          </w:p>
        </w:tc>
        <w:tc>
          <w:tcPr>
            <w:tcW w:w="1959" w:type="pct"/>
            <w:vMerge w:val="continue"/>
            <w:vAlign w:val="center"/>
          </w:tcPr>
          <w:p w14:paraId="1E313B3C">
            <w:pPr>
              <w:adjustRightInd w:val="0"/>
              <w:snapToGrid w:val="0"/>
              <w:jc w:val="center"/>
              <w:rPr>
                <w:rFonts w:ascii="Times New Roman" w:hAnsi="Times New Roman" w:cs="Times New Roman"/>
                <w:snapToGrid w:val="0"/>
                <w:kern w:val="0"/>
                <w:sz w:val="21"/>
                <w:highlight w:val="none"/>
              </w:rPr>
            </w:pPr>
          </w:p>
        </w:tc>
      </w:tr>
    </w:tbl>
    <w:p w14:paraId="7C68D834">
      <w:pPr>
        <w:pStyle w:val="7"/>
        <w:bidi w:val="0"/>
        <w:rPr>
          <w:rFonts w:hint="default"/>
          <w:highlight w:val="none"/>
        </w:rPr>
      </w:pPr>
      <w:r>
        <w:rPr>
          <w:rFonts w:hint="default"/>
          <w:highlight w:val="none"/>
        </w:rPr>
        <w:t>3.</w:t>
      </w:r>
      <w:r>
        <w:rPr>
          <w:rFonts w:hint="eastAsia"/>
          <w:highlight w:val="none"/>
          <w:lang w:val="en-US" w:eastAsia="zh-CN"/>
        </w:rPr>
        <w:t>1</w:t>
      </w:r>
      <w:r>
        <w:rPr>
          <w:rFonts w:hint="default"/>
          <w:highlight w:val="none"/>
        </w:rPr>
        <w:t>.6现有项目工艺流程及产排污</w:t>
      </w:r>
    </w:p>
    <w:p w14:paraId="211B1A8B">
      <w:pPr>
        <w:numPr>
          <w:ilvl w:val="0"/>
          <w:numId w:val="5"/>
        </w:num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工艺流程</w:t>
      </w:r>
    </w:p>
    <w:p w14:paraId="50C3A90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采用全进全出工厂化养猪饲养工艺进行养殖，猪群的配种怀孕、分娩、保育将使用工程流水线，生产周期以周为节拍进行全进全出的转栏饲养。养殖工艺共分为三个阶段：配种妊娠阶段、产仔哺乳阶段、断奶仔猪培育阶段，各阶段的主要工作如下：</w:t>
      </w:r>
    </w:p>
    <w:p w14:paraId="56F7EE8B">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①</w:t>
      </w:r>
      <w:r>
        <w:rPr>
          <w:rFonts w:hint="default" w:ascii="Times New Roman" w:hAnsi="Times New Roman" w:eastAsia="宋体" w:cs="Times New Roman"/>
          <w:snapToGrid w:val="0"/>
          <w:color w:val="auto"/>
          <w:highlight w:val="none"/>
        </w:rPr>
        <w:t>配种妊娠阶段</w:t>
      </w:r>
    </w:p>
    <w:p w14:paraId="0343C07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在此阶段母猪要</w:t>
      </w:r>
      <w:r>
        <w:rPr>
          <w:rFonts w:hint="eastAsia" w:ascii="Times New Roman" w:hAnsi="Times New Roman" w:cs="Times New Roman"/>
          <w:snapToGrid w:val="0"/>
          <w:color w:val="auto"/>
          <w:highlight w:val="none"/>
          <w:lang w:val="en-US" w:eastAsia="zh-CN"/>
        </w:rPr>
        <w:t>在配种舍</w:t>
      </w:r>
      <w:r>
        <w:rPr>
          <w:rFonts w:hint="default" w:ascii="Times New Roman" w:hAnsi="Times New Roman" w:eastAsia="宋体" w:cs="Times New Roman"/>
          <w:snapToGrid w:val="0"/>
          <w:color w:val="auto"/>
          <w:highlight w:val="none"/>
        </w:rPr>
        <w:t>完成配种并度过妊娠期。单栏饲养待配母猪，配种期约需4周。空怀母猪在一周左右时间完成配种，没有配准的猪转入下批继续参加配种。妊娠期14周，母猪产前提前一周进入</w:t>
      </w:r>
      <w:r>
        <w:rPr>
          <w:rFonts w:hint="default" w:ascii="Times New Roman" w:hAnsi="Times New Roman" w:eastAsia="宋体" w:cs="Times New Roman"/>
          <w:snapToGrid w:val="0"/>
          <w:color w:val="auto"/>
          <w:highlight w:val="none"/>
          <w:lang w:val="en-US"/>
        </w:rPr>
        <w:t>分娩舍</w:t>
      </w:r>
      <w:r>
        <w:rPr>
          <w:rFonts w:hint="default" w:ascii="Times New Roman" w:hAnsi="Times New Roman" w:eastAsia="宋体" w:cs="Times New Roman"/>
          <w:snapToGrid w:val="0"/>
          <w:color w:val="auto"/>
          <w:highlight w:val="none"/>
        </w:rPr>
        <w:t>。</w:t>
      </w:r>
    </w:p>
    <w:p w14:paraId="2B5D03C7">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②</w:t>
      </w:r>
      <w:r>
        <w:rPr>
          <w:rFonts w:hint="default" w:ascii="Times New Roman" w:hAnsi="Times New Roman" w:eastAsia="宋体" w:cs="Times New Roman"/>
          <w:snapToGrid w:val="0"/>
          <w:color w:val="auto"/>
          <w:highlight w:val="none"/>
        </w:rPr>
        <w:t>产仔哺乳阶段</w:t>
      </w:r>
    </w:p>
    <w:p w14:paraId="2C8DA1E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同一周配种的母猪，要按预产期最早的母猪，提前一周同批进入</w:t>
      </w:r>
      <w:r>
        <w:rPr>
          <w:rFonts w:hint="default" w:ascii="Times New Roman" w:hAnsi="Times New Roman" w:eastAsia="宋体" w:cs="Times New Roman"/>
          <w:snapToGrid w:val="0"/>
          <w:color w:val="auto"/>
          <w:highlight w:val="none"/>
          <w:lang w:val="en-US"/>
        </w:rPr>
        <w:t>分娩舍</w:t>
      </w:r>
      <w:r>
        <w:rPr>
          <w:rFonts w:hint="default" w:ascii="Times New Roman" w:hAnsi="Times New Roman" w:eastAsia="宋体" w:cs="Times New Roman"/>
          <w:snapToGrid w:val="0"/>
          <w:color w:val="auto"/>
          <w:highlight w:val="none"/>
        </w:rPr>
        <w:t>，在此阶段要完成分娩和对仔猪的哺育，约5周，断奶后仔猪转入下一阶段饲养，母猪回到</w:t>
      </w:r>
      <w:r>
        <w:rPr>
          <w:rFonts w:hint="eastAsia" w:ascii="Times New Roman" w:hAnsi="Times New Roman" w:cs="Times New Roman"/>
          <w:snapToGrid w:val="0"/>
          <w:color w:val="auto"/>
          <w:highlight w:val="none"/>
          <w:lang w:eastAsia="zh-CN"/>
        </w:rPr>
        <w:t>后备舍</w:t>
      </w:r>
      <w:r>
        <w:rPr>
          <w:rFonts w:hint="default" w:ascii="Times New Roman" w:hAnsi="Times New Roman" w:eastAsia="宋体" w:cs="Times New Roman"/>
          <w:snapToGrid w:val="0"/>
          <w:color w:val="auto"/>
          <w:highlight w:val="none"/>
        </w:rPr>
        <w:t>参加下一个繁殖周期的配种。</w:t>
      </w:r>
    </w:p>
    <w:p w14:paraId="31B389CD">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val="en-US" w:eastAsia="zh-CN"/>
        </w:rPr>
        <w:t>③</w:t>
      </w:r>
      <w:r>
        <w:rPr>
          <w:rFonts w:hint="default" w:ascii="Times New Roman" w:hAnsi="Times New Roman" w:eastAsia="宋体" w:cs="Times New Roman"/>
          <w:color w:val="auto"/>
          <w:highlight w:val="none"/>
        </w:rPr>
        <w:t>断奶仔猪培育阶段</w:t>
      </w:r>
    </w:p>
    <w:p w14:paraId="30D42E63">
      <w:pPr>
        <w:pStyle w:val="94"/>
        <w:ind w:firstLine="480"/>
        <w:rPr>
          <w:rFonts w:hint="eastAsia" w:ascii="Times New Roman" w:hAnsi="Times New Roman" w:cs="Times New Roman"/>
          <w:color w:val="auto"/>
          <w:highlight w:val="none"/>
          <w:lang w:eastAsia="zh-CN"/>
        </w:rPr>
      </w:pPr>
      <w:r>
        <w:rPr>
          <w:rFonts w:hint="default" w:ascii="Times New Roman" w:hAnsi="Times New Roman" w:eastAsia="宋体" w:cs="Times New Roman"/>
          <w:color w:val="auto"/>
          <w:highlight w:val="none"/>
        </w:rPr>
        <w:t>仔猪断奶后，同批转入</w:t>
      </w:r>
      <w:r>
        <w:rPr>
          <w:rFonts w:hint="eastAsia" w:ascii="Times New Roman" w:hAnsi="Times New Roman" w:cs="Times New Roman"/>
          <w:color w:val="auto"/>
          <w:highlight w:val="none"/>
          <w:lang w:val="en-US" w:eastAsia="zh-CN"/>
        </w:rPr>
        <w:t>保育</w:t>
      </w:r>
      <w:r>
        <w:rPr>
          <w:rFonts w:hint="default" w:ascii="Times New Roman" w:hAnsi="Times New Roman" w:eastAsia="宋体" w:cs="Times New Roman"/>
          <w:color w:val="auto"/>
          <w:highlight w:val="none"/>
        </w:rPr>
        <w:t>舍，在</w:t>
      </w:r>
      <w:r>
        <w:rPr>
          <w:rFonts w:hint="eastAsia" w:ascii="Times New Roman" w:hAnsi="Times New Roman" w:cs="Times New Roman"/>
          <w:color w:val="auto"/>
          <w:highlight w:val="none"/>
          <w:lang w:eastAsia="zh-CN"/>
        </w:rPr>
        <w:t>保育舍</w:t>
      </w:r>
      <w:r>
        <w:rPr>
          <w:rFonts w:hint="default" w:ascii="Times New Roman" w:hAnsi="Times New Roman" w:eastAsia="宋体" w:cs="Times New Roman"/>
          <w:color w:val="auto"/>
          <w:highlight w:val="none"/>
        </w:rPr>
        <w:t>饲养</w:t>
      </w:r>
      <w:r>
        <w:rPr>
          <w:rFonts w:hint="eastAsia"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rPr>
        <w:t>周左右，这时幼猪已对外界环境条件有了相当的适应能力，仔猪作为</w:t>
      </w:r>
      <w:r>
        <w:rPr>
          <w:rFonts w:hint="eastAsia" w:ascii="Times New Roman" w:hAnsi="Times New Roman" w:cs="Times New Roman"/>
          <w:color w:val="auto"/>
          <w:highlight w:val="none"/>
          <w:lang w:val="en-US" w:eastAsia="zh-CN"/>
        </w:rPr>
        <w:t>商品</w:t>
      </w:r>
      <w:r>
        <w:rPr>
          <w:rFonts w:hint="default" w:ascii="Times New Roman" w:hAnsi="Times New Roman" w:eastAsia="宋体" w:cs="Times New Roman"/>
          <w:color w:val="auto"/>
          <w:highlight w:val="none"/>
        </w:rPr>
        <w:t>猪外售</w:t>
      </w:r>
      <w:r>
        <w:rPr>
          <w:rFonts w:hint="eastAsia" w:ascii="Times New Roman" w:hAnsi="Times New Roman" w:cs="Times New Roman"/>
          <w:color w:val="auto"/>
          <w:highlight w:val="none"/>
          <w:lang w:eastAsia="zh-CN"/>
        </w:rPr>
        <w:t>。</w:t>
      </w:r>
    </w:p>
    <w:p w14:paraId="2A0BC4B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为了保持良好的环境，减少疾病发生，减轻清洁工作量，猪舍配有使用方便的</w:t>
      </w:r>
      <w:r>
        <w:rPr>
          <w:rFonts w:hint="eastAsia" w:ascii="Times New Roman" w:hAnsi="Times New Roman" w:cs="Times New Roman"/>
          <w:snapToGrid w:val="0"/>
          <w:color w:val="auto"/>
          <w:highlight w:val="none"/>
          <w:lang w:eastAsia="zh-CN"/>
        </w:rPr>
        <w:t>尿泡粪—干清粪</w:t>
      </w:r>
      <w:r>
        <w:rPr>
          <w:rFonts w:hint="default" w:ascii="Times New Roman" w:hAnsi="Times New Roman" w:eastAsia="宋体" w:cs="Times New Roman"/>
          <w:snapToGrid w:val="0"/>
          <w:color w:val="auto"/>
          <w:highlight w:val="none"/>
        </w:rPr>
        <w:t>系统，因而产生的</w:t>
      </w:r>
      <w:r>
        <w:rPr>
          <w:rFonts w:hint="eastAsia" w:ascii="Times New Roman" w:hAnsi="Times New Roman" w:cs="Times New Roman"/>
          <w:snapToGrid w:val="0"/>
          <w:color w:val="auto"/>
          <w:highlight w:val="none"/>
          <w:lang w:val="en-US" w:eastAsia="zh-CN"/>
        </w:rPr>
        <w:t>干粪量</w:t>
      </w:r>
      <w:r>
        <w:rPr>
          <w:rFonts w:hint="default" w:ascii="Times New Roman" w:hAnsi="Times New Roman" w:eastAsia="宋体" w:cs="Times New Roman"/>
          <w:snapToGrid w:val="0"/>
          <w:color w:val="auto"/>
          <w:highlight w:val="none"/>
        </w:rPr>
        <w:t>将减少。</w:t>
      </w:r>
      <w:r>
        <w:rPr>
          <w:rFonts w:hint="eastAsia" w:ascii="Times New Roman" w:hAnsi="Times New Roman" w:cs="Times New Roman"/>
          <w:snapToGrid w:val="0"/>
          <w:color w:val="auto"/>
          <w:highlight w:val="none"/>
          <w:lang w:eastAsia="zh-CN"/>
        </w:rPr>
        <w:t>尿泡粪—干清粪</w:t>
      </w:r>
      <w:r>
        <w:rPr>
          <w:rFonts w:hint="default" w:ascii="Times New Roman" w:hAnsi="Times New Roman" w:eastAsia="宋体" w:cs="Times New Roman"/>
          <w:snapToGrid w:val="0"/>
          <w:color w:val="auto"/>
          <w:highlight w:val="none"/>
        </w:rPr>
        <w:t>技术已成为畜牧场废弃物管理的重要措施之一。项目生产过程及产污环节示意图3-</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-1。</w:t>
      </w:r>
    </w:p>
    <w:p w14:paraId="2963C4D5">
      <w:pPr>
        <w:bidi w:val="0"/>
        <w:rPr>
          <w:rFonts w:hint="eastAsia" w:eastAsia="宋体"/>
          <w:highlight w:val="none"/>
          <w:lang w:eastAsia="zh-CN"/>
        </w:rPr>
      </w:pPr>
      <w:r>
        <w:rPr>
          <w:rFonts w:hint="eastAsia" w:eastAsia="宋体"/>
          <w:highlight w:val="none"/>
          <w:lang w:eastAsia="zh-CN"/>
        </w:rPr>
        <w:drawing>
          <wp:inline distT="0" distB="0" distL="114300" distR="114300">
            <wp:extent cx="5572125" cy="2182495"/>
            <wp:effectExtent l="0" t="0" r="0" b="0"/>
            <wp:docPr id="186" name="ECB019B1-382A-4266-B25C-5B523AA43C14-1" descr="C:/Users/Administrator/AppData/Local/Temp/wps.CscIdk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ECB019B1-382A-4266-B25C-5B523AA43C14-1" descr="C:/Users/Administrator/AppData/Local/Temp/wps.CscIdkwps"/>
                    <pic:cNvPicPr>
                      <a:picLocks noChangeAspect="1"/>
                    </pic:cNvPicPr>
                  </pic:nvPicPr>
                  <pic:blipFill>
                    <a:blip r:embed="rId50"/>
                    <a:stretch>
                      <a:fillRect/>
                    </a:stretch>
                  </pic:blipFill>
                  <pic:spPr>
                    <a:xfrm>
                      <a:off x="0" y="0"/>
                      <a:ext cx="5572125" cy="2182495"/>
                    </a:xfrm>
                    <a:prstGeom prst="rect">
                      <a:avLst/>
                    </a:prstGeom>
                  </pic:spPr>
                </pic:pic>
              </a:graphicData>
            </a:graphic>
          </wp:inline>
        </w:drawing>
      </w:r>
    </w:p>
    <w:p w14:paraId="46B18A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项目生产过程及产污环节示意图</w:t>
      </w:r>
    </w:p>
    <w:p w14:paraId="30DD7708">
      <w:pPr>
        <w:pStyle w:val="94"/>
        <w:numPr>
          <w:ilvl w:val="0"/>
          <w:numId w:val="5"/>
        </w:numPr>
        <w:ind w:left="0" w:leftChars="0" w:firstLine="480" w:firstLineChars="20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产排污节点分析</w:t>
      </w:r>
    </w:p>
    <w:p w14:paraId="0473C2C9">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现有项目生猪饲养、</w:t>
      </w:r>
      <w:r>
        <w:rPr>
          <w:rFonts w:hint="eastAsia" w:ascii="Times New Roman" w:hAnsi="Times New Roman" w:cs="Times New Roman"/>
          <w:snapToGrid w:val="0"/>
          <w:color w:val="auto"/>
          <w:kern w:val="0"/>
          <w:sz w:val="24"/>
          <w:szCs w:val="24"/>
          <w:highlight w:val="none"/>
          <w:lang w:val="en-US" w:eastAsia="zh-CN" w:bidi="ar-SA"/>
        </w:rPr>
        <w:t>黑膜厌氧池、干粪堆积场</w:t>
      </w:r>
      <w:r>
        <w:rPr>
          <w:rFonts w:hint="default" w:ascii="Times New Roman" w:hAnsi="Times New Roman" w:eastAsia="宋体" w:cs="Times New Roman"/>
          <w:snapToGrid w:val="0"/>
          <w:color w:val="auto"/>
          <w:kern w:val="0"/>
          <w:sz w:val="24"/>
          <w:szCs w:val="24"/>
          <w:highlight w:val="none"/>
          <w:lang w:val="en-US" w:eastAsia="zh-CN" w:bidi="ar-SA"/>
        </w:rPr>
        <w:t>、职工生活等过程中会产生废气、废水、噪声及固体废物</w:t>
      </w:r>
      <w:r>
        <w:rPr>
          <w:rFonts w:hint="eastAsia" w:ascii="Times New Roman" w:hAnsi="Times New Roman" w:cs="Times New Roman"/>
          <w:snapToGrid w:val="0"/>
          <w:color w:val="auto"/>
          <w:kern w:val="0"/>
          <w:sz w:val="24"/>
          <w:szCs w:val="24"/>
          <w:highlight w:val="none"/>
          <w:lang w:val="en-US" w:eastAsia="zh-CN" w:bidi="ar-SA"/>
        </w:rPr>
        <w:t>。</w:t>
      </w:r>
    </w:p>
    <w:p w14:paraId="1B2B9E9E">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①废气：主要有猪舍恶臭、</w:t>
      </w:r>
      <w:r>
        <w:rPr>
          <w:rFonts w:hint="eastAsia" w:ascii="Times New Roman" w:hAnsi="Times New Roman" w:cs="Times New Roman"/>
          <w:snapToGrid w:val="0"/>
          <w:color w:val="auto"/>
          <w:kern w:val="0"/>
          <w:sz w:val="24"/>
          <w:szCs w:val="24"/>
          <w:highlight w:val="none"/>
          <w:lang w:val="en-US" w:eastAsia="zh-CN" w:bidi="ar-SA"/>
        </w:rPr>
        <w:t>黑膜厌氧池恶臭、干粪堆积场</w:t>
      </w:r>
      <w:r>
        <w:rPr>
          <w:rFonts w:hint="default" w:ascii="Times New Roman" w:hAnsi="Times New Roman" w:eastAsia="宋体" w:cs="Times New Roman"/>
          <w:snapToGrid w:val="0"/>
          <w:color w:val="auto"/>
          <w:kern w:val="0"/>
          <w:sz w:val="24"/>
          <w:szCs w:val="24"/>
          <w:highlight w:val="none"/>
          <w:lang w:val="en-US" w:eastAsia="zh-CN" w:bidi="ar-SA"/>
        </w:rPr>
        <w:t>恶臭。</w:t>
      </w:r>
    </w:p>
    <w:p w14:paraId="45352D8D">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②废水：主要包括养殖废水（猪尿液、猪舍冲洗废水）、生活污水</w:t>
      </w:r>
      <w:r>
        <w:rPr>
          <w:rFonts w:hint="eastAsia" w:ascii="Times New Roman" w:hAnsi="Times New Roman" w:cs="Times New Roman"/>
          <w:snapToGrid w:val="0"/>
          <w:color w:val="auto"/>
          <w:kern w:val="0"/>
          <w:sz w:val="24"/>
          <w:szCs w:val="24"/>
          <w:highlight w:val="none"/>
          <w:lang w:val="en-US" w:eastAsia="zh-CN" w:bidi="ar-SA"/>
        </w:rPr>
        <w:t>、洗消车间废水、固液分离废水</w:t>
      </w:r>
      <w:r>
        <w:rPr>
          <w:rFonts w:hint="default" w:ascii="Times New Roman" w:hAnsi="Times New Roman" w:eastAsia="宋体" w:cs="Times New Roman"/>
          <w:snapToGrid w:val="0"/>
          <w:color w:val="auto"/>
          <w:kern w:val="0"/>
          <w:sz w:val="24"/>
          <w:szCs w:val="24"/>
          <w:highlight w:val="none"/>
          <w:lang w:val="en-US" w:eastAsia="zh-CN" w:bidi="ar-SA"/>
        </w:rPr>
        <w:t>。</w:t>
      </w:r>
    </w:p>
    <w:p w14:paraId="106CAA0A">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③噪声：猪舍噪声、设备噪声。</w:t>
      </w:r>
    </w:p>
    <w:p w14:paraId="38A0CC74">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④固体废物：主要包括生活垃圾、</w:t>
      </w:r>
      <w:r>
        <w:rPr>
          <w:rFonts w:hint="eastAsia" w:ascii="Times New Roman" w:hAnsi="Times New Roman" w:cs="Times New Roman"/>
          <w:snapToGrid w:val="0"/>
          <w:color w:val="auto"/>
          <w:kern w:val="0"/>
          <w:sz w:val="24"/>
          <w:szCs w:val="24"/>
          <w:highlight w:val="none"/>
          <w:lang w:val="en-US" w:eastAsia="zh-CN" w:bidi="ar-SA"/>
        </w:rPr>
        <w:t>动物医疗废物、</w:t>
      </w:r>
      <w:r>
        <w:rPr>
          <w:rFonts w:hint="default" w:ascii="Times New Roman" w:hAnsi="Times New Roman" w:eastAsia="宋体" w:cs="Times New Roman"/>
          <w:snapToGrid w:val="0"/>
          <w:color w:val="auto"/>
          <w:kern w:val="0"/>
          <w:sz w:val="24"/>
          <w:szCs w:val="24"/>
          <w:highlight w:val="none"/>
          <w:lang w:val="en-US" w:eastAsia="zh-CN" w:bidi="ar-SA"/>
        </w:rPr>
        <w:t>病死猪</w:t>
      </w:r>
      <w:r>
        <w:rPr>
          <w:rFonts w:hint="eastAsia" w:ascii="Times New Roman" w:hAnsi="Times New Roman" w:cs="Times New Roman"/>
          <w:snapToGrid w:val="0"/>
          <w:color w:val="auto"/>
          <w:kern w:val="0"/>
          <w:sz w:val="24"/>
          <w:szCs w:val="24"/>
          <w:highlight w:val="none"/>
          <w:lang w:val="en-US" w:eastAsia="zh-CN" w:bidi="ar-SA"/>
        </w:rPr>
        <w:t>、胎盘、干</w:t>
      </w:r>
      <w:r>
        <w:rPr>
          <w:rFonts w:hint="default" w:ascii="Times New Roman" w:hAnsi="Times New Roman" w:eastAsia="宋体" w:cs="Times New Roman"/>
          <w:snapToGrid w:val="0"/>
          <w:color w:val="auto"/>
          <w:kern w:val="0"/>
          <w:sz w:val="24"/>
          <w:szCs w:val="24"/>
          <w:highlight w:val="none"/>
          <w:lang w:val="en-US" w:eastAsia="zh-CN" w:bidi="ar-SA"/>
        </w:rPr>
        <w:t>粪</w:t>
      </w:r>
      <w:r>
        <w:rPr>
          <w:rFonts w:hint="eastAsia" w:ascii="Times New Roman" w:hAnsi="Times New Roman" w:cs="Times New Roman"/>
          <w:snapToGrid w:val="0"/>
          <w:color w:val="auto"/>
          <w:kern w:val="0"/>
          <w:sz w:val="24"/>
          <w:szCs w:val="24"/>
          <w:highlight w:val="none"/>
          <w:lang w:val="en-US" w:eastAsia="zh-CN" w:bidi="ar-SA"/>
        </w:rPr>
        <w:t>、沼渣、废除臭剂桶</w:t>
      </w:r>
      <w:r>
        <w:rPr>
          <w:rFonts w:hint="default" w:ascii="Times New Roman" w:hAnsi="Times New Roman" w:eastAsia="宋体" w:cs="Times New Roman"/>
          <w:snapToGrid w:val="0"/>
          <w:color w:val="auto"/>
          <w:kern w:val="0"/>
          <w:sz w:val="24"/>
          <w:szCs w:val="24"/>
          <w:highlight w:val="none"/>
          <w:lang w:val="en-US" w:eastAsia="zh-CN" w:bidi="ar-SA"/>
        </w:rPr>
        <w:t>。</w:t>
      </w:r>
    </w:p>
    <w:p w14:paraId="26A70349">
      <w:pPr>
        <w:pStyle w:val="7"/>
        <w:bidi w:val="0"/>
        <w:rPr>
          <w:rFonts w:hint="eastAsia"/>
          <w:highlight w:val="none"/>
          <w:lang w:eastAsia="zh-CN"/>
        </w:rPr>
      </w:pPr>
      <w:r>
        <w:rPr>
          <w:rFonts w:hint="default"/>
          <w:highlight w:val="none"/>
        </w:rPr>
        <w:t>3.</w:t>
      </w:r>
      <w:r>
        <w:rPr>
          <w:rFonts w:hint="eastAsia"/>
          <w:highlight w:val="none"/>
          <w:lang w:val="en-US" w:eastAsia="zh-CN"/>
        </w:rPr>
        <w:t>1</w:t>
      </w:r>
      <w:r>
        <w:rPr>
          <w:rFonts w:hint="default"/>
          <w:highlight w:val="none"/>
        </w:rPr>
        <w:t>.</w:t>
      </w:r>
      <w:r>
        <w:rPr>
          <w:rFonts w:hint="eastAsia"/>
          <w:highlight w:val="none"/>
          <w:lang w:val="en-US" w:eastAsia="zh-CN"/>
        </w:rPr>
        <w:t>7现有工程污染物防治措施及达标分析</w:t>
      </w:r>
    </w:p>
    <w:p w14:paraId="6E004556">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color w:val="auto"/>
          <w:sz w:val="24"/>
          <w:highlight w:val="none"/>
          <w:lang w:val="en-US" w:eastAsia="zh-CN"/>
        </w:rPr>
        <w:t>根据现场调查</w:t>
      </w:r>
      <w:r>
        <w:rPr>
          <w:rFonts w:hint="default" w:ascii="Times New Roman" w:hAnsi="Times New Roman" w:eastAsia="宋体" w:cs="Times New Roman"/>
          <w:color w:val="auto"/>
          <w:sz w:val="24"/>
          <w:highlight w:val="none"/>
        </w:rPr>
        <w:t>企业目前养殖规模为</w:t>
      </w:r>
      <w:r>
        <w:rPr>
          <w:rFonts w:hint="eastAsia" w:ascii="Times New Roman" w:hAnsi="Times New Roman" w:cs="Times New Roman"/>
          <w:snapToGrid w:val="0"/>
          <w:color w:val="auto"/>
          <w:highlight w:val="none"/>
          <w:lang w:val="en-US" w:eastAsia="zh-CN"/>
        </w:rPr>
        <w:t>年存栏生猪2400头，年出栏生猪4500头。</w:t>
      </w:r>
      <w:r>
        <w:rPr>
          <w:rFonts w:hint="default" w:ascii="Times New Roman" w:hAnsi="Times New Roman" w:eastAsia="宋体" w:cs="Times New Roman"/>
          <w:color w:val="auto"/>
          <w:sz w:val="24"/>
          <w:highlight w:val="none"/>
        </w:rPr>
        <w:t>已按照《</w:t>
      </w:r>
      <w:r>
        <w:rPr>
          <w:rFonts w:hint="default" w:ascii="Times New Roman" w:hAnsi="Times New Roman" w:eastAsia="宋体" w:cs="Times New Roman"/>
          <w:bCs/>
          <w:color w:val="auto"/>
          <w:sz w:val="24"/>
          <w:highlight w:val="none"/>
        </w:rPr>
        <w:t>建设项目环境影响评价分类管理名录</w:t>
      </w:r>
      <w:r>
        <w:rPr>
          <w:rFonts w:hint="default" w:ascii="Times New Roman" w:hAnsi="Times New Roman" w:eastAsia="宋体" w:cs="Times New Roman"/>
          <w:color w:val="auto"/>
          <w:sz w:val="24"/>
          <w:highlight w:val="none"/>
        </w:rPr>
        <w:t>》中要求填报环境影响登记表，并</w:t>
      </w:r>
      <w:r>
        <w:rPr>
          <w:rFonts w:hint="eastAsia" w:ascii="Times New Roman" w:hAnsi="Times New Roman" w:cs="Times New Roman"/>
          <w:snapToGrid w:val="0"/>
          <w:color w:val="auto"/>
          <w:highlight w:val="none"/>
          <w:lang w:val="en-US" w:eastAsia="zh-CN"/>
        </w:rPr>
        <w:t>于2024年10月完成登记表备案，备案文号为：202423038200000029。因环境影响登记表填报内容简单，对废气、废水、固废污染物未进行定量分析，仅明确环保措施。现有工程污染物产排及达标情况主要通过同行业和企业实际运行情况确定。现有工程在运行期间，无有上访等问题。</w:t>
      </w:r>
    </w:p>
    <w:p w14:paraId="084EA448">
      <w:pPr>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snapToGrid w:val="0"/>
          <w:color w:val="auto"/>
          <w:highlight w:val="none"/>
          <w:lang w:val="en-US" w:eastAsia="zh-CN"/>
        </w:rPr>
        <w:t>根据现场调查，</w:t>
      </w:r>
      <w:r>
        <w:rPr>
          <w:rFonts w:hint="default" w:ascii="Times New Roman" w:hAnsi="Times New Roman" w:eastAsia="宋体" w:cs="Times New Roman"/>
          <w:color w:val="auto"/>
          <w:sz w:val="24"/>
          <w:highlight w:val="none"/>
          <w:lang w:val="en-US" w:eastAsia="zh-CN"/>
        </w:rPr>
        <w:t>现有项目污染物达标分析按照本次实际的污染源监测数据进行分析评价。</w:t>
      </w:r>
    </w:p>
    <w:p w14:paraId="5782A064">
      <w:pPr>
        <w:pStyle w:val="2"/>
        <w:keepNext w:val="0"/>
        <w:keepLines w:val="0"/>
        <w:pageBreakBefore w:val="0"/>
        <w:kinsoku/>
        <w:wordWrap/>
        <w:overflowPunct/>
        <w:topLinePunct w:val="0"/>
        <w:bidi w:val="0"/>
        <w:snapToGrid/>
        <w:spacing w:line="360" w:lineRule="auto"/>
        <w:ind w:firstLine="482"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一、废气污染防治措施</w:t>
      </w:r>
    </w:p>
    <w:p w14:paraId="01B24B7C">
      <w:pPr>
        <w:widowControl w:val="0"/>
        <w:spacing w:line="360" w:lineRule="auto"/>
        <w:ind w:firstLine="480" w:firstLineChars="200"/>
        <w:jc w:val="both"/>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lang w:eastAsia="zh-CN"/>
        </w:rPr>
        <w:t>现有工程</w:t>
      </w:r>
      <w:r>
        <w:rPr>
          <w:rFonts w:hint="default" w:ascii="Times New Roman" w:hAnsi="Times New Roman" w:eastAsia="宋体" w:cs="Times New Roman"/>
          <w:color w:val="auto"/>
          <w:kern w:val="2"/>
          <w:sz w:val="24"/>
          <w:highlight w:val="none"/>
        </w:rPr>
        <w:t>大气污染物主要为生猪养殖过程猪舍产生的恶臭、废水处理区产生的恶臭、</w:t>
      </w:r>
      <w:r>
        <w:rPr>
          <w:rFonts w:hint="default" w:ascii="Times New Roman" w:hAnsi="Times New Roman" w:eastAsia="宋体" w:cs="Times New Roman"/>
          <w:color w:val="auto"/>
          <w:kern w:val="2"/>
          <w:sz w:val="24"/>
          <w:highlight w:val="none"/>
          <w:lang w:eastAsia="zh-CN"/>
        </w:rPr>
        <w:t>粪污贮存区</w:t>
      </w:r>
      <w:r>
        <w:rPr>
          <w:rFonts w:hint="default" w:ascii="Times New Roman" w:hAnsi="Times New Roman" w:eastAsia="宋体" w:cs="Times New Roman"/>
          <w:color w:val="auto"/>
          <w:kern w:val="2"/>
          <w:sz w:val="24"/>
          <w:highlight w:val="none"/>
        </w:rPr>
        <w:t>产生的恶臭。</w:t>
      </w:r>
    </w:p>
    <w:p w14:paraId="78325331">
      <w:pPr>
        <w:widowControl w:val="0"/>
        <w:spacing w:line="360" w:lineRule="auto"/>
        <w:ind w:firstLine="482" w:firstLineChars="200"/>
        <w:jc w:val="both"/>
        <w:rPr>
          <w:rFonts w:hint="default" w:ascii="Times New Roman" w:hAnsi="Times New Roman" w:eastAsia="宋体" w:cs="Times New Roman"/>
          <w:b/>
          <w:color w:val="auto"/>
          <w:kern w:val="2"/>
          <w:sz w:val="24"/>
          <w:highlight w:val="none"/>
        </w:rPr>
      </w:pPr>
      <w:r>
        <w:rPr>
          <w:rFonts w:hint="default" w:ascii="Times New Roman" w:hAnsi="Times New Roman" w:eastAsia="宋体" w:cs="Times New Roman"/>
          <w:b/>
          <w:color w:val="auto"/>
          <w:kern w:val="2"/>
          <w:sz w:val="24"/>
          <w:highlight w:val="none"/>
        </w:rPr>
        <w:t>1、猪舍恶臭</w:t>
      </w:r>
    </w:p>
    <w:p w14:paraId="7B46073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vertAlign w:val="baseline"/>
          <w:lang w:val="en-US" w:eastAsia="zh-CN"/>
        </w:rPr>
      </w:pPr>
      <w:r>
        <w:rPr>
          <w:rFonts w:hint="default" w:ascii="Times New Roman" w:hAnsi="Times New Roman" w:eastAsia="宋体" w:cs="Times New Roman"/>
          <w:color w:val="auto"/>
          <w:kern w:val="2"/>
          <w:sz w:val="24"/>
          <w:highlight w:val="none"/>
          <w:lang w:eastAsia="zh-CN"/>
        </w:rPr>
        <w:t>现有工程</w:t>
      </w:r>
      <w:r>
        <w:rPr>
          <w:rFonts w:hint="default" w:ascii="Times New Roman" w:hAnsi="Times New Roman" w:eastAsia="宋体" w:cs="Times New Roman"/>
          <w:color w:val="auto"/>
          <w:kern w:val="2"/>
          <w:sz w:val="24"/>
          <w:highlight w:val="none"/>
        </w:rPr>
        <w:t>设计建设规模为</w:t>
      </w:r>
      <w:r>
        <w:rPr>
          <w:rFonts w:hint="default" w:ascii="Times New Roman" w:hAnsi="Times New Roman" w:eastAsia="宋体" w:cs="Times New Roman"/>
          <w:color w:val="auto"/>
          <w:kern w:val="2"/>
          <w:sz w:val="24"/>
          <w:highlight w:val="none"/>
          <w:lang w:val="en-US" w:eastAsia="zh-CN"/>
        </w:rPr>
        <w:t>年存栏生猪2400头，年出栏生猪4500头</w:t>
      </w:r>
      <w:r>
        <w:rPr>
          <w:rFonts w:hint="default" w:ascii="Times New Roman" w:hAnsi="Times New Roman" w:eastAsia="宋体" w:cs="Times New Roman"/>
          <w:color w:val="auto"/>
          <w:kern w:val="2"/>
          <w:sz w:val="24"/>
          <w:highlight w:val="none"/>
        </w:rPr>
        <w:t>。通过类比同类企业，参考相关文件资料，生猪育肥过程中NH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产生源强为0.20g/头·d，H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S产生源强为0.012g/头·d。</w:t>
      </w:r>
      <w:r>
        <w:rPr>
          <w:rFonts w:hint="default" w:ascii="Times New Roman" w:hAnsi="Times New Roman" w:eastAsia="宋体" w:cs="Times New Roman"/>
          <w:color w:val="auto"/>
          <w:kern w:val="2"/>
          <w:sz w:val="24"/>
          <w:highlight w:val="none"/>
          <w:lang w:val="en-US" w:eastAsia="zh-CN"/>
        </w:rPr>
        <w:t>则</w:t>
      </w:r>
      <w:r>
        <w:rPr>
          <w:rFonts w:hint="default" w:ascii="Times New Roman" w:hAnsi="Times New Roman" w:eastAsia="宋体" w:cs="Times New Roman"/>
          <w:color w:val="auto"/>
          <w:kern w:val="2"/>
          <w:sz w:val="24"/>
          <w:highlight w:val="none"/>
        </w:rPr>
        <w:t>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vertAlign w:val="baseline"/>
          <w:lang w:val="en-US" w:eastAsia="zh-CN"/>
        </w:rPr>
        <w:t>产生量为</w:t>
      </w:r>
      <w:r>
        <w:rPr>
          <w:rFonts w:hint="eastAsia" w:ascii="Times New Roman" w:hAnsi="Times New Roman" w:cs="Times New Roman"/>
          <w:color w:val="auto"/>
          <w:kern w:val="2"/>
          <w:sz w:val="24"/>
          <w:highlight w:val="none"/>
          <w:vertAlign w:val="baseline"/>
          <w:lang w:val="en-US" w:eastAsia="zh-CN"/>
        </w:rPr>
        <w:t>0.1752</w:t>
      </w:r>
      <w:r>
        <w:rPr>
          <w:rFonts w:hint="default" w:ascii="Times New Roman" w:hAnsi="Times New Roman" w:eastAsia="宋体" w:cs="Times New Roman"/>
          <w:color w:val="auto"/>
          <w:kern w:val="2"/>
          <w:sz w:val="24"/>
          <w:highlight w:val="none"/>
          <w:vertAlign w:val="baseline"/>
          <w:lang w:val="en-US" w:eastAsia="zh-CN"/>
        </w:rPr>
        <w:t>t/a，</w:t>
      </w:r>
      <w:r>
        <w:rPr>
          <w:rFonts w:hint="default" w:ascii="Times New Roman" w:hAnsi="Times New Roman" w:eastAsia="宋体" w:cs="Times New Roman"/>
          <w:color w:val="auto"/>
          <w:kern w:val="2"/>
          <w:sz w:val="24"/>
          <w:highlight w:val="none"/>
        </w:rPr>
        <w:t>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S产生</w:t>
      </w:r>
      <w:r>
        <w:rPr>
          <w:rFonts w:hint="default" w:ascii="Times New Roman" w:hAnsi="Times New Roman" w:eastAsia="宋体" w:cs="Times New Roman"/>
          <w:color w:val="auto"/>
          <w:kern w:val="2"/>
          <w:sz w:val="24"/>
          <w:highlight w:val="none"/>
          <w:vertAlign w:val="baseline"/>
          <w:lang w:val="en-US" w:eastAsia="zh-CN"/>
        </w:rPr>
        <w:t>量为</w:t>
      </w:r>
      <w:r>
        <w:rPr>
          <w:rFonts w:hint="eastAsia" w:ascii="Times New Roman" w:hAnsi="Times New Roman" w:cs="Times New Roman"/>
          <w:color w:val="auto"/>
          <w:kern w:val="2"/>
          <w:sz w:val="24"/>
          <w:highlight w:val="none"/>
          <w:vertAlign w:val="baseline"/>
          <w:lang w:val="en-US" w:eastAsia="zh-CN"/>
        </w:rPr>
        <w:t>0.0105</w:t>
      </w:r>
      <w:r>
        <w:rPr>
          <w:rFonts w:hint="default" w:ascii="Times New Roman" w:hAnsi="Times New Roman" w:eastAsia="宋体" w:cs="Times New Roman"/>
          <w:color w:val="auto"/>
          <w:kern w:val="2"/>
          <w:sz w:val="24"/>
          <w:highlight w:val="none"/>
          <w:vertAlign w:val="baseline"/>
          <w:lang w:val="en-US" w:eastAsia="zh-CN"/>
        </w:rPr>
        <w:t>t/a。</w:t>
      </w:r>
      <w:r>
        <w:rPr>
          <w:rFonts w:hint="default" w:ascii="Times New Roman" w:hAnsi="Times New Roman" w:eastAsia="宋体" w:cs="Times New Roman"/>
          <w:color w:val="auto"/>
          <w:kern w:val="2"/>
          <w:sz w:val="24"/>
          <w:highlight w:val="none"/>
        </w:rPr>
        <w:t>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产生速率为</w:t>
      </w:r>
      <w:r>
        <w:rPr>
          <w:rFonts w:hint="eastAsia" w:ascii="Times New Roman" w:hAnsi="Times New Roman" w:cs="Times New Roman"/>
          <w:color w:val="auto"/>
          <w:kern w:val="2"/>
          <w:sz w:val="24"/>
          <w:highlight w:val="none"/>
          <w:lang w:val="en-US" w:eastAsia="zh-CN"/>
        </w:rPr>
        <w:t>0.02</w:t>
      </w:r>
      <w:r>
        <w:rPr>
          <w:rFonts w:hint="default" w:ascii="Times New Roman" w:hAnsi="Times New Roman" w:eastAsia="宋体" w:cs="Times New Roman"/>
          <w:color w:val="auto"/>
          <w:kern w:val="2"/>
          <w:sz w:val="24"/>
          <w:highlight w:val="none"/>
        </w:rPr>
        <w:t>kg/h，H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S产生速率为</w:t>
      </w:r>
      <w:r>
        <w:rPr>
          <w:rFonts w:hint="eastAsia" w:ascii="Times New Roman" w:hAnsi="Times New Roman" w:cs="Times New Roman"/>
          <w:color w:val="auto"/>
          <w:kern w:val="2"/>
          <w:sz w:val="24"/>
          <w:highlight w:val="none"/>
          <w:lang w:val="en-US" w:eastAsia="zh-CN"/>
        </w:rPr>
        <w:t>0.0012</w:t>
      </w:r>
      <w:r>
        <w:rPr>
          <w:rFonts w:hint="default" w:ascii="Times New Roman" w:hAnsi="Times New Roman" w:eastAsia="宋体" w:cs="Times New Roman"/>
          <w:color w:val="auto"/>
          <w:kern w:val="2"/>
          <w:sz w:val="24"/>
          <w:highlight w:val="none"/>
        </w:rPr>
        <w:t>kg/h</w:t>
      </w:r>
      <w:r>
        <w:rPr>
          <w:rFonts w:hint="default" w:ascii="Times New Roman" w:hAnsi="Times New Roman" w:eastAsia="宋体" w:cs="Times New Roman"/>
          <w:color w:val="auto"/>
          <w:kern w:val="2"/>
          <w:sz w:val="24"/>
          <w:highlight w:val="none"/>
          <w:lang w:eastAsia="zh-CN"/>
        </w:rPr>
        <w:t>。</w:t>
      </w:r>
    </w:p>
    <w:p w14:paraId="722EC71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eastAsia="zh-CN"/>
        </w:rPr>
      </w:pPr>
      <w:r>
        <w:rPr>
          <w:rFonts w:hint="default" w:ascii="Times New Roman" w:hAnsi="Times New Roman" w:eastAsia="宋体" w:cs="Times New Roman"/>
          <w:color w:val="auto"/>
          <w:kern w:val="2"/>
          <w:sz w:val="24"/>
          <w:highlight w:val="none"/>
        </w:rPr>
        <w:t>通过在源头控制养殖区恶臭气体产生采取日粮中添加EM菌，NH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的去除率为72.5%，H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S的去除率为81.5%在</w:t>
      </w:r>
      <w:r>
        <w:rPr>
          <w:rFonts w:hint="default" w:ascii="Times New Roman" w:hAnsi="Times New Roman" w:eastAsia="宋体" w:cs="Times New Roman"/>
          <w:color w:val="auto"/>
          <w:kern w:val="2"/>
          <w:sz w:val="24"/>
          <w:highlight w:val="none"/>
          <w:lang w:val="en-US" w:eastAsia="zh-CN"/>
        </w:rPr>
        <w:t>猪</w:t>
      </w:r>
      <w:r>
        <w:rPr>
          <w:rFonts w:hint="default" w:ascii="Times New Roman" w:hAnsi="Times New Roman" w:eastAsia="宋体" w:cs="Times New Roman"/>
          <w:color w:val="auto"/>
          <w:kern w:val="2"/>
          <w:sz w:val="24"/>
          <w:highlight w:val="none"/>
        </w:rPr>
        <w:t>舍喷洒</w:t>
      </w:r>
      <w:r>
        <w:rPr>
          <w:rFonts w:hint="default" w:ascii="Times New Roman" w:hAnsi="Times New Roman" w:eastAsia="宋体" w:cs="Times New Roman"/>
          <w:color w:val="auto"/>
          <w:kern w:val="2"/>
          <w:sz w:val="24"/>
          <w:highlight w:val="none"/>
          <w:lang w:eastAsia="zh-CN"/>
        </w:rPr>
        <w:t>生物</w:t>
      </w:r>
      <w:r>
        <w:rPr>
          <w:rFonts w:hint="default" w:ascii="Times New Roman" w:hAnsi="Times New Roman" w:eastAsia="宋体" w:cs="Times New Roman"/>
          <w:color w:val="auto"/>
          <w:kern w:val="2"/>
          <w:sz w:val="24"/>
          <w:highlight w:val="none"/>
        </w:rPr>
        <w:t>除臭剂，NH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的去除率为</w:t>
      </w:r>
      <w:r>
        <w:rPr>
          <w:rFonts w:hint="default" w:ascii="Times New Roman" w:hAnsi="Times New Roman" w:eastAsia="宋体" w:cs="Times New Roman"/>
          <w:color w:val="auto"/>
          <w:kern w:val="2"/>
          <w:sz w:val="24"/>
          <w:highlight w:val="none"/>
          <w:lang w:val="en-US" w:eastAsia="zh-CN"/>
        </w:rPr>
        <w:t>92.6</w:t>
      </w:r>
      <w:r>
        <w:rPr>
          <w:rFonts w:hint="default" w:ascii="Times New Roman" w:hAnsi="Times New Roman" w:eastAsia="宋体" w:cs="Times New Roman"/>
          <w:color w:val="auto"/>
          <w:kern w:val="2"/>
          <w:sz w:val="24"/>
          <w:highlight w:val="none"/>
        </w:rPr>
        <w:t>%，H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S的去除率为</w:t>
      </w:r>
      <w:r>
        <w:rPr>
          <w:rFonts w:hint="default" w:ascii="Times New Roman" w:hAnsi="Times New Roman" w:eastAsia="宋体" w:cs="Times New Roman"/>
          <w:color w:val="auto"/>
          <w:kern w:val="2"/>
          <w:sz w:val="24"/>
          <w:highlight w:val="none"/>
          <w:lang w:val="en-US" w:eastAsia="zh-CN"/>
        </w:rPr>
        <w:t>89</w:t>
      </w:r>
      <w:r>
        <w:rPr>
          <w:rFonts w:hint="default" w:ascii="Times New Roman" w:hAnsi="Times New Roman" w:eastAsia="宋体" w:cs="Times New Roman"/>
          <w:color w:val="auto"/>
          <w:kern w:val="2"/>
          <w:sz w:val="24"/>
          <w:highlight w:val="none"/>
        </w:rPr>
        <w:t>%，</w:t>
      </w:r>
      <w:r>
        <w:rPr>
          <w:rFonts w:hint="default" w:ascii="Times New Roman" w:hAnsi="Times New Roman" w:eastAsia="宋体" w:cs="Times New Roman"/>
          <w:color w:val="auto"/>
          <w:kern w:val="2"/>
          <w:sz w:val="24"/>
          <w:highlight w:val="none"/>
          <w:lang w:val="en-US" w:eastAsia="zh-CN"/>
        </w:rPr>
        <w:t>则</w:t>
      </w:r>
      <w:r>
        <w:rPr>
          <w:rFonts w:hint="default" w:ascii="Times New Roman" w:hAnsi="Times New Roman" w:eastAsia="宋体" w:cs="Times New Roman"/>
          <w:color w:val="auto"/>
          <w:kern w:val="2"/>
          <w:sz w:val="24"/>
          <w:highlight w:val="none"/>
        </w:rPr>
        <w:t>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产生速率为</w:t>
      </w:r>
      <w:r>
        <w:rPr>
          <w:rFonts w:hint="eastAsia" w:ascii="Times New Roman" w:hAnsi="Times New Roman" w:cs="Times New Roman"/>
          <w:color w:val="auto"/>
          <w:kern w:val="2"/>
          <w:sz w:val="24"/>
          <w:highlight w:val="none"/>
          <w:lang w:val="en-US" w:eastAsia="zh-CN"/>
        </w:rPr>
        <w:t>0.000407</w:t>
      </w:r>
      <w:r>
        <w:rPr>
          <w:rFonts w:hint="default" w:ascii="Times New Roman" w:hAnsi="Times New Roman" w:eastAsia="宋体" w:cs="Times New Roman"/>
          <w:color w:val="auto"/>
          <w:kern w:val="2"/>
          <w:sz w:val="24"/>
          <w:highlight w:val="none"/>
        </w:rPr>
        <w:t>kg/h，H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S产生速率为</w:t>
      </w:r>
      <w:r>
        <w:rPr>
          <w:rFonts w:hint="eastAsia" w:ascii="Times New Roman" w:hAnsi="Times New Roman" w:cs="Times New Roman"/>
          <w:color w:val="auto"/>
          <w:kern w:val="2"/>
          <w:sz w:val="24"/>
          <w:highlight w:val="none"/>
          <w:lang w:val="en-US" w:eastAsia="zh-CN"/>
        </w:rPr>
        <w:t>0.0000244</w:t>
      </w:r>
      <w:r>
        <w:rPr>
          <w:rFonts w:hint="default" w:ascii="Times New Roman" w:hAnsi="Times New Roman" w:eastAsia="宋体" w:cs="Times New Roman"/>
          <w:color w:val="auto"/>
          <w:kern w:val="2"/>
          <w:sz w:val="24"/>
          <w:highlight w:val="none"/>
        </w:rPr>
        <w:t>kg/h</w:t>
      </w:r>
      <w:r>
        <w:rPr>
          <w:rFonts w:hint="default" w:ascii="Times New Roman" w:hAnsi="Times New Roman" w:eastAsia="宋体" w:cs="Times New Roman"/>
          <w:color w:val="auto"/>
          <w:kern w:val="2"/>
          <w:sz w:val="24"/>
          <w:highlight w:val="none"/>
          <w:lang w:eastAsia="zh-CN"/>
        </w:rPr>
        <w:t>。</w:t>
      </w:r>
    </w:p>
    <w:p w14:paraId="7EAA1C2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rPr>
        <w:t>企业在营运过程中通过采用</w:t>
      </w:r>
      <w:r>
        <w:rPr>
          <w:rFonts w:hint="eastAsia" w:ascii="Times New Roman" w:hAnsi="Times New Roman" w:cs="Times New Roman"/>
          <w:color w:val="auto"/>
          <w:kern w:val="2"/>
          <w:sz w:val="24"/>
          <w:highlight w:val="none"/>
          <w:lang w:val="en-US" w:eastAsia="zh-CN"/>
        </w:rPr>
        <w:t>尿泡粪—</w:t>
      </w:r>
      <w:r>
        <w:rPr>
          <w:rFonts w:hint="default" w:ascii="Times New Roman" w:hAnsi="Times New Roman" w:eastAsia="宋体" w:cs="Times New Roman"/>
          <w:color w:val="auto"/>
          <w:kern w:val="2"/>
          <w:sz w:val="24"/>
          <w:highlight w:val="none"/>
        </w:rPr>
        <w:t>干清粪工艺，并增加清粪频次，减少猪粪停留时间，保持猪舍的温度和湿度达到适度水平，在猪舍内加强通风并合理科学优化猪饲料，使用环境友好型生物除臭剂等措施，从源头上降低NH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和H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S的排放量。根据同行业实际运行数据，猪舍采取上述措施后，</w:t>
      </w:r>
      <w:r>
        <w:rPr>
          <w:rFonts w:hint="default" w:ascii="Times New Roman" w:hAnsi="Times New Roman" w:eastAsia="宋体" w:cs="Times New Roman"/>
          <w:color w:val="auto"/>
          <w:kern w:val="2"/>
          <w:sz w:val="24"/>
          <w:highlight w:val="none"/>
          <w:lang w:eastAsia="zh-CN"/>
        </w:rPr>
        <w:t>现有工程</w:t>
      </w:r>
      <w:r>
        <w:rPr>
          <w:rFonts w:hint="default" w:ascii="Times New Roman" w:hAnsi="Times New Roman" w:eastAsia="宋体" w:cs="Times New Roman"/>
          <w:color w:val="auto"/>
          <w:kern w:val="2"/>
          <w:sz w:val="24"/>
          <w:highlight w:val="none"/>
        </w:rPr>
        <w:t>猪舍内恶臭污染物产排情况见表</w:t>
      </w:r>
      <w:r>
        <w:rPr>
          <w:rFonts w:hint="default" w:ascii="Times New Roman" w:hAnsi="Times New Roman" w:eastAsia="宋体" w:cs="Times New Roman"/>
          <w:color w:val="auto"/>
          <w:kern w:val="2"/>
          <w:sz w:val="24"/>
          <w:highlight w:val="none"/>
          <w:lang w:eastAsia="zh-CN"/>
        </w:rPr>
        <w:t>3.</w:t>
      </w:r>
      <w:r>
        <w:rPr>
          <w:rFonts w:hint="eastAsia" w:ascii="Times New Roman" w:hAnsi="Times New Roman" w:cs="Times New Roman"/>
          <w:color w:val="auto"/>
          <w:kern w:val="2"/>
          <w:sz w:val="24"/>
          <w:highlight w:val="none"/>
          <w:lang w:val="en-US" w:eastAsia="zh-CN"/>
        </w:rPr>
        <w:t>1</w:t>
      </w:r>
      <w:r>
        <w:rPr>
          <w:rFonts w:hint="default" w:ascii="Times New Roman" w:hAnsi="Times New Roman" w:eastAsia="宋体" w:cs="Times New Roman"/>
          <w:color w:val="auto"/>
          <w:kern w:val="2"/>
          <w:sz w:val="24"/>
          <w:highlight w:val="none"/>
          <w:lang w:eastAsia="zh-CN"/>
        </w:rPr>
        <w:t>-</w:t>
      </w:r>
      <w:r>
        <w:rPr>
          <w:rFonts w:hint="eastAsia" w:ascii="Times New Roman" w:hAnsi="Times New Roman" w:cs="Times New Roman"/>
          <w:color w:val="auto"/>
          <w:kern w:val="2"/>
          <w:sz w:val="24"/>
          <w:highlight w:val="none"/>
          <w:lang w:val="en-US" w:eastAsia="zh-CN"/>
        </w:rPr>
        <w:t>4</w:t>
      </w:r>
      <w:r>
        <w:rPr>
          <w:rFonts w:hint="default" w:ascii="Times New Roman" w:hAnsi="Times New Roman" w:eastAsia="宋体" w:cs="Times New Roman"/>
          <w:color w:val="auto"/>
          <w:kern w:val="2"/>
          <w:sz w:val="24"/>
          <w:highlight w:val="none"/>
        </w:rPr>
        <w:t>。</w:t>
      </w:r>
    </w:p>
    <w:p w14:paraId="6F009BA7">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color w:val="auto"/>
          <w:kern w:val="2"/>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 xml:space="preserve">  现有工程猪舍恶臭气体产排情况</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17"/>
        <w:gridCol w:w="882"/>
        <w:gridCol w:w="880"/>
        <w:gridCol w:w="794"/>
        <w:gridCol w:w="3101"/>
        <w:gridCol w:w="1110"/>
        <w:gridCol w:w="1038"/>
      </w:tblGrid>
      <w:tr w14:paraId="0494B6C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1" w:type="pct"/>
            <w:vMerge w:val="restart"/>
            <w:tcBorders>
              <w:right w:val="single" w:color="auto" w:sz="2" w:space="0"/>
            </w:tcBorders>
            <w:noWrap w:val="0"/>
            <w:vAlign w:val="center"/>
          </w:tcPr>
          <w:p w14:paraId="2F33EEC1">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恶臭单元</w:t>
            </w:r>
          </w:p>
        </w:tc>
        <w:tc>
          <w:tcPr>
            <w:tcW w:w="538" w:type="pct"/>
            <w:vMerge w:val="restart"/>
            <w:tcBorders>
              <w:left w:val="single" w:color="auto" w:sz="2" w:space="0"/>
            </w:tcBorders>
            <w:noWrap w:val="0"/>
            <w:vAlign w:val="center"/>
          </w:tcPr>
          <w:p w14:paraId="009FB3F5">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污染物</w:t>
            </w:r>
          </w:p>
        </w:tc>
        <w:tc>
          <w:tcPr>
            <w:tcW w:w="997" w:type="pct"/>
            <w:gridSpan w:val="2"/>
            <w:tcBorders>
              <w:right w:val="single" w:color="auto" w:sz="4" w:space="0"/>
            </w:tcBorders>
            <w:noWrap w:val="0"/>
            <w:vAlign w:val="center"/>
          </w:tcPr>
          <w:p w14:paraId="58F29890">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产生情况</w:t>
            </w:r>
          </w:p>
        </w:tc>
        <w:tc>
          <w:tcPr>
            <w:tcW w:w="1840" w:type="pct"/>
            <w:vMerge w:val="restart"/>
            <w:tcBorders>
              <w:left w:val="single" w:color="auto" w:sz="4" w:space="0"/>
            </w:tcBorders>
            <w:noWrap w:val="0"/>
            <w:vAlign w:val="center"/>
          </w:tcPr>
          <w:p w14:paraId="7813D6D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治理措施</w:t>
            </w:r>
          </w:p>
        </w:tc>
        <w:tc>
          <w:tcPr>
            <w:tcW w:w="1184" w:type="pct"/>
            <w:gridSpan w:val="2"/>
            <w:tcBorders>
              <w:left w:val="single" w:color="auto" w:sz="4" w:space="0"/>
            </w:tcBorders>
            <w:noWrap w:val="0"/>
            <w:vAlign w:val="center"/>
          </w:tcPr>
          <w:p w14:paraId="0149B4B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排放情况</w:t>
            </w:r>
          </w:p>
        </w:tc>
      </w:tr>
      <w:tr w14:paraId="40841CA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1" w:type="pct"/>
            <w:vMerge w:val="continue"/>
            <w:tcBorders>
              <w:right w:val="single" w:color="auto" w:sz="2" w:space="0"/>
            </w:tcBorders>
            <w:noWrap w:val="0"/>
            <w:vAlign w:val="center"/>
          </w:tcPr>
          <w:p w14:paraId="4B35279D">
            <w:pPr>
              <w:widowControl w:val="0"/>
              <w:jc w:val="center"/>
              <w:rPr>
                <w:rFonts w:hint="default" w:ascii="Times New Roman" w:hAnsi="Times New Roman" w:eastAsia="宋体" w:cs="Times New Roman"/>
                <w:color w:val="auto"/>
                <w:kern w:val="2"/>
                <w:sz w:val="21"/>
                <w:szCs w:val="21"/>
                <w:highlight w:val="none"/>
              </w:rPr>
            </w:pPr>
          </w:p>
        </w:tc>
        <w:tc>
          <w:tcPr>
            <w:tcW w:w="538" w:type="pct"/>
            <w:vMerge w:val="continue"/>
            <w:tcBorders>
              <w:left w:val="single" w:color="auto" w:sz="2" w:space="0"/>
            </w:tcBorders>
            <w:noWrap w:val="0"/>
            <w:vAlign w:val="center"/>
          </w:tcPr>
          <w:p w14:paraId="40F66BF6">
            <w:pPr>
              <w:widowControl w:val="0"/>
              <w:jc w:val="center"/>
              <w:rPr>
                <w:rFonts w:hint="default" w:ascii="Times New Roman" w:hAnsi="Times New Roman" w:eastAsia="宋体" w:cs="Times New Roman"/>
                <w:color w:val="auto"/>
                <w:kern w:val="2"/>
                <w:sz w:val="21"/>
                <w:szCs w:val="21"/>
                <w:highlight w:val="none"/>
              </w:rPr>
            </w:pPr>
          </w:p>
        </w:tc>
        <w:tc>
          <w:tcPr>
            <w:tcW w:w="537" w:type="pct"/>
            <w:tcBorders>
              <w:right w:val="single" w:color="auto" w:sz="4" w:space="0"/>
            </w:tcBorders>
            <w:noWrap w:val="0"/>
            <w:vAlign w:val="center"/>
          </w:tcPr>
          <w:p w14:paraId="49DA3C7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kg/h</w:t>
            </w:r>
          </w:p>
        </w:tc>
        <w:tc>
          <w:tcPr>
            <w:tcW w:w="460" w:type="pct"/>
            <w:tcBorders>
              <w:right w:val="single" w:color="auto" w:sz="4" w:space="0"/>
            </w:tcBorders>
            <w:noWrap w:val="0"/>
            <w:vAlign w:val="center"/>
          </w:tcPr>
          <w:p w14:paraId="4F8EE97C">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t/a</w:t>
            </w:r>
          </w:p>
        </w:tc>
        <w:tc>
          <w:tcPr>
            <w:tcW w:w="1840" w:type="pct"/>
            <w:vMerge w:val="continue"/>
            <w:tcBorders>
              <w:left w:val="single" w:color="auto" w:sz="4" w:space="0"/>
              <w:bottom w:val="single" w:color="auto" w:sz="4" w:space="0"/>
            </w:tcBorders>
            <w:noWrap w:val="0"/>
            <w:vAlign w:val="center"/>
          </w:tcPr>
          <w:p w14:paraId="313712B5">
            <w:pPr>
              <w:widowControl w:val="0"/>
              <w:jc w:val="center"/>
              <w:rPr>
                <w:rFonts w:hint="default" w:ascii="Times New Roman" w:hAnsi="Times New Roman" w:eastAsia="宋体" w:cs="Times New Roman"/>
                <w:color w:val="auto"/>
                <w:kern w:val="2"/>
                <w:sz w:val="21"/>
                <w:szCs w:val="21"/>
                <w:highlight w:val="none"/>
              </w:rPr>
            </w:pPr>
          </w:p>
        </w:tc>
        <w:tc>
          <w:tcPr>
            <w:tcW w:w="555" w:type="pct"/>
            <w:tcBorders>
              <w:left w:val="single" w:color="auto" w:sz="4" w:space="0"/>
              <w:bottom w:val="single" w:color="auto" w:sz="4" w:space="0"/>
            </w:tcBorders>
            <w:noWrap w:val="0"/>
            <w:vAlign w:val="center"/>
          </w:tcPr>
          <w:p w14:paraId="7DCEA516">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kg/h</w:t>
            </w:r>
          </w:p>
        </w:tc>
        <w:tc>
          <w:tcPr>
            <w:tcW w:w="629" w:type="pct"/>
            <w:tcBorders>
              <w:left w:val="single" w:color="auto" w:sz="4" w:space="0"/>
            </w:tcBorders>
            <w:noWrap w:val="0"/>
            <w:vAlign w:val="center"/>
          </w:tcPr>
          <w:p w14:paraId="45EB9045">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t/a</w:t>
            </w:r>
          </w:p>
        </w:tc>
      </w:tr>
      <w:tr w14:paraId="2A23077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0" w:hRule="atLeast"/>
          <w:jc w:val="center"/>
        </w:trPr>
        <w:tc>
          <w:tcPr>
            <w:tcW w:w="441" w:type="pct"/>
            <w:vMerge w:val="restart"/>
            <w:tcBorders>
              <w:right w:val="single" w:color="auto" w:sz="2" w:space="0"/>
            </w:tcBorders>
            <w:noWrap w:val="0"/>
            <w:vAlign w:val="center"/>
          </w:tcPr>
          <w:p w14:paraId="37A90B96">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猪舍</w:t>
            </w:r>
          </w:p>
        </w:tc>
        <w:tc>
          <w:tcPr>
            <w:tcW w:w="538" w:type="pct"/>
            <w:tcBorders>
              <w:left w:val="single" w:color="auto" w:sz="2" w:space="0"/>
            </w:tcBorders>
            <w:noWrap w:val="0"/>
            <w:vAlign w:val="center"/>
          </w:tcPr>
          <w:p w14:paraId="1A95BA4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NH</w:t>
            </w:r>
            <w:r>
              <w:rPr>
                <w:rFonts w:hint="default" w:ascii="Times New Roman" w:hAnsi="Times New Roman" w:eastAsia="宋体" w:cs="Times New Roman"/>
                <w:color w:val="auto"/>
                <w:kern w:val="2"/>
                <w:sz w:val="21"/>
                <w:szCs w:val="21"/>
                <w:highlight w:val="none"/>
                <w:vertAlign w:val="subscript"/>
              </w:rPr>
              <w:t>3</w:t>
            </w:r>
          </w:p>
        </w:tc>
        <w:tc>
          <w:tcPr>
            <w:tcW w:w="537" w:type="pct"/>
            <w:tcBorders>
              <w:right w:val="single" w:color="auto" w:sz="4" w:space="0"/>
            </w:tcBorders>
            <w:noWrap w:val="0"/>
            <w:vAlign w:val="center"/>
          </w:tcPr>
          <w:p w14:paraId="0A40DF66">
            <w:pPr>
              <w:widowControl w:val="0"/>
              <w:jc w:val="center"/>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0.02</w:t>
            </w:r>
          </w:p>
        </w:tc>
        <w:tc>
          <w:tcPr>
            <w:tcW w:w="460" w:type="pct"/>
            <w:tcBorders>
              <w:right w:val="single" w:color="auto" w:sz="4" w:space="0"/>
            </w:tcBorders>
            <w:noWrap w:val="0"/>
            <w:vAlign w:val="center"/>
          </w:tcPr>
          <w:p w14:paraId="3A648081">
            <w:pPr>
              <w:widowControl w:val="0"/>
              <w:jc w:val="center"/>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0.1752</w:t>
            </w:r>
          </w:p>
        </w:tc>
        <w:tc>
          <w:tcPr>
            <w:tcW w:w="1840" w:type="pct"/>
            <w:vMerge w:val="restart"/>
            <w:tcBorders>
              <w:left w:val="single" w:color="auto" w:sz="4" w:space="0"/>
            </w:tcBorders>
            <w:noWrap w:val="0"/>
            <w:vAlign w:val="center"/>
          </w:tcPr>
          <w:p w14:paraId="07796696">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2"/>
                <w:sz w:val="21"/>
                <w:szCs w:val="24"/>
                <w:highlight w:val="none"/>
              </w:rPr>
              <w:t>日粮中添加EM菌，NH</w:t>
            </w:r>
            <w:r>
              <w:rPr>
                <w:rFonts w:hint="default" w:ascii="Times New Roman" w:hAnsi="Times New Roman" w:eastAsia="宋体" w:cs="Times New Roman"/>
                <w:snapToGrid w:val="0"/>
                <w:color w:val="auto"/>
                <w:kern w:val="2"/>
                <w:sz w:val="21"/>
                <w:szCs w:val="24"/>
                <w:highlight w:val="none"/>
                <w:vertAlign w:val="subscript"/>
              </w:rPr>
              <w:t>3</w:t>
            </w:r>
            <w:r>
              <w:rPr>
                <w:rFonts w:hint="default" w:ascii="Times New Roman" w:hAnsi="Times New Roman" w:eastAsia="宋体" w:cs="Times New Roman"/>
                <w:snapToGrid w:val="0"/>
                <w:color w:val="auto"/>
                <w:kern w:val="2"/>
                <w:sz w:val="21"/>
                <w:szCs w:val="24"/>
                <w:highlight w:val="none"/>
              </w:rPr>
              <w:t>的去除率为72.5%，H</w:t>
            </w:r>
            <w:r>
              <w:rPr>
                <w:rFonts w:hint="default" w:ascii="Times New Roman" w:hAnsi="Times New Roman" w:eastAsia="宋体" w:cs="Times New Roman"/>
                <w:snapToGrid w:val="0"/>
                <w:color w:val="auto"/>
                <w:kern w:val="2"/>
                <w:sz w:val="21"/>
                <w:szCs w:val="24"/>
                <w:highlight w:val="none"/>
                <w:vertAlign w:val="subscript"/>
              </w:rPr>
              <w:t>2</w:t>
            </w:r>
            <w:r>
              <w:rPr>
                <w:rFonts w:hint="default" w:ascii="Times New Roman" w:hAnsi="Times New Roman" w:eastAsia="宋体" w:cs="Times New Roman"/>
                <w:snapToGrid w:val="0"/>
                <w:color w:val="auto"/>
                <w:kern w:val="2"/>
                <w:sz w:val="21"/>
                <w:szCs w:val="24"/>
                <w:highlight w:val="none"/>
              </w:rPr>
              <w:t>S的去除率为81.5%在</w:t>
            </w:r>
            <w:r>
              <w:rPr>
                <w:rFonts w:hint="default" w:ascii="Times New Roman" w:hAnsi="Times New Roman" w:eastAsia="宋体" w:cs="Times New Roman"/>
                <w:snapToGrid w:val="0"/>
                <w:color w:val="auto"/>
                <w:kern w:val="2"/>
                <w:sz w:val="21"/>
                <w:szCs w:val="24"/>
                <w:highlight w:val="none"/>
                <w:lang w:val="en-US" w:eastAsia="zh-CN"/>
              </w:rPr>
              <w:t>猪</w:t>
            </w:r>
            <w:r>
              <w:rPr>
                <w:rFonts w:hint="default" w:ascii="Times New Roman" w:hAnsi="Times New Roman" w:eastAsia="宋体" w:cs="Times New Roman"/>
                <w:snapToGrid w:val="0"/>
                <w:color w:val="auto"/>
                <w:kern w:val="2"/>
                <w:sz w:val="21"/>
                <w:szCs w:val="24"/>
                <w:highlight w:val="none"/>
              </w:rPr>
              <w:t>舍喷洒</w:t>
            </w:r>
            <w:r>
              <w:rPr>
                <w:rFonts w:hint="default" w:ascii="Times New Roman" w:hAnsi="Times New Roman" w:eastAsia="宋体" w:cs="Times New Roman"/>
                <w:snapToGrid w:val="0"/>
                <w:color w:val="auto"/>
                <w:kern w:val="2"/>
                <w:sz w:val="21"/>
                <w:szCs w:val="24"/>
                <w:highlight w:val="none"/>
                <w:lang w:eastAsia="zh-CN"/>
              </w:rPr>
              <w:t>生物</w:t>
            </w:r>
            <w:r>
              <w:rPr>
                <w:rFonts w:hint="default" w:ascii="Times New Roman" w:hAnsi="Times New Roman" w:eastAsia="宋体" w:cs="Times New Roman"/>
                <w:snapToGrid w:val="0"/>
                <w:color w:val="auto"/>
                <w:kern w:val="2"/>
                <w:sz w:val="21"/>
                <w:szCs w:val="24"/>
                <w:highlight w:val="none"/>
              </w:rPr>
              <w:t>除臭剂，NH</w:t>
            </w:r>
            <w:r>
              <w:rPr>
                <w:rFonts w:hint="default" w:ascii="Times New Roman" w:hAnsi="Times New Roman" w:eastAsia="宋体" w:cs="Times New Roman"/>
                <w:snapToGrid w:val="0"/>
                <w:color w:val="auto"/>
                <w:kern w:val="2"/>
                <w:sz w:val="21"/>
                <w:szCs w:val="24"/>
                <w:highlight w:val="none"/>
                <w:vertAlign w:val="subscript"/>
              </w:rPr>
              <w:t>3</w:t>
            </w:r>
            <w:r>
              <w:rPr>
                <w:rFonts w:hint="default" w:ascii="Times New Roman" w:hAnsi="Times New Roman" w:eastAsia="宋体" w:cs="Times New Roman"/>
                <w:snapToGrid w:val="0"/>
                <w:color w:val="auto"/>
                <w:kern w:val="2"/>
                <w:sz w:val="21"/>
                <w:szCs w:val="24"/>
                <w:highlight w:val="none"/>
              </w:rPr>
              <w:t>的去除率为</w:t>
            </w:r>
            <w:r>
              <w:rPr>
                <w:rFonts w:hint="default" w:ascii="Times New Roman" w:hAnsi="Times New Roman" w:eastAsia="宋体" w:cs="Times New Roman"/>
                <w:snapToGrid w:val="0"/>
                <w:color w:val="auto"/>
                <w:kern w:val="2"/>
                <w:sz w:val="21"/>
                <w:szCs w:val="24"/>
                <w:highlight w:val="none"/>
                <w:lang w:val="en-US" w:eastAsia="zh-CN"/>
              </w:rPr>
              <w:t>92.6</w:t>
            </w:r>
            <w:r>
              <w:rPr>
                <w:rFonts w:hint="default" w:ascii="Times New Roman" w:hAnsi="Times New Roman" w:eastAsia="宋体" w:cs="Times New Roman"/>
                <w:snapToGrid w:val="0"/>
                <w:color w:val="auto"/>
                <w:kern w:val="2"/>
                <w:sz w:val="21"/>
                <w:szCs w:val="24"/>
                <w:highlight w:val="none"/>
              </w:rPr>
              <w:t>%，H</w:t>
            </w:r>
            <w:r>
              <w:rPr>
                <w:rFonts w:hint="default" w:ascii="Times New Roman" w:hAnsi="Times New Roman" w:eastAsia="宋体" w:cs="Times New Roman"/>
                <w:snapToGrid w:val="0"/>
                <w:color w:val="auto"/>
                <w:kern w:val="2"/>
                <w:sz w:val="21"/>
                <w:szCs w:val="24"/>
                <w:highlight w:val="none"/>
                <w:vertAlign w:val="subscript"/>
              </w:rPr>
              <w:t>2</w:t>
            </w:r>
            <w:r>
              <w:rPr>
                <w:rFonts w:hint="default" w:ascii="Times New Roman" w:hAnsi="Times New Roman" w:eastAsia="宋体" w:cs="Times New Roman"/>
                <w:snapToGrid w:val="0"/>
                <w:color w:val="auto"/>
                <w:kern w:val="2"/>
                <w:sz w:val="21"/>
                <w:szCs w:val="24"/>
                <w:highlight w:val="none"/>
              </w:rPr>
              <w:t>S的去除率为</w:t>
            </w:r>
            <w:r>
              <w:rPr>
                <w:rFonts w:hint="default" w:ascii="Times New Roman" w:hAnsi="Times New Roman" w:eastAsia="宋体" w:cs="Times New Roman"/>
                <w:snapToGrid w:val="0"/>
                <w:color w:val="auto"/>
                <w:kern w:val="2"/>
                <w:sz w:val="21"/>
                <w:szCs w:val="24"/>
                <w:highlight w:val="none"/>
                <w:lang w:val="en-US" w:eastAsia="zh-CN"/>
              </w:rPr>
              <w:t>89</w:t>
            </w:r>
            <w:r>
              <w:rPr>
                <w:rFonts w:hint="default" w:ascii="Times New Roman" w:hAnsi="Times New Roman" w:eastAsia="宋体" w:cs="Times New Roman"/>
                <w:snapToGrid w:val="0"/>
                <w:color w:val="auto"/>
                <w:kern w:val="2"/>
                <w:sz w:val="21"/>
                <w:szCs w:val="24"/>
                <w:highlight w:val="none"/>
              </w:rPr>
              <w:t xml:space="preserve">% </w:t>
            </w:r>
          </w:p>
        </w:tc>
        <w:tc>
          <w:tcPr>
            <w:tcW w:w="997" w:type="dxa"/>
            <w:tcBorders>
              <w:left w:val="single" w:color="auto" w:sz="4" w:space="0"/>
            </w:tcBorders>
            <w:noWrap w:val="0"/>
            <w:vAlign w:val="center"/>
          </w:tcPr>
          <w:p w14:paraId="10F5105C">
            <w:pPr>
              <w:widowControl w:val="0"/>
              <w:jc w:val="center"/>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0.000407</w:t>
            </w:r>
          </w:p>
        </w:tc>
        <w:tc>
          <w:tcPr>
            <w:tcW w:w="1131" w:type="dxa"/>
            <w:tcBorders>
              <w:left w:val="single" w:color="auto" w:sz="4" w:space="0"/>
            </w:tcBorders>
            <w:noWrap w:val="0"/>
            <w:vAlign w:val="center"/>
          </w:tcPr>
          <w:p w14:paraId="4759A420">
            <w:pPr>
              <w:widowControl w:val="0"/>
              <w:jc w:val="center"/>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0.00223</w:t>
            </w:r>
          </w:p>
        </w:tc>
      </w:tr>
      <w:tr w14:paraId="5087EC6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1" w:type="pct"/>
            <w:vMerge w:val="continue"/>
            <w:tcBorders>
              <w:right w:val="single" w:color="auto" w:sz="2" w:space="0"/>
            </w:tcBorders>
            <w:noWrap w:val="0"/>
            <w:vAlign w:val="center"/>
          </w:tcPr>
          <w:p w14:paraId="0FF403D6">
            <w:pPr>
              <w:widowControl w:val="0"/>
              <w:jc w:val="center"/>
              <w:rPr>
                <w:rFonts w:hint="default" w:ascii="Times New Roman" w:hAnsi="Times New Roman" w:eastAsia="宋体" w:cs="Times New Roman"/>
                <w:color w:val="auto"/>
                <w:kern w:val="2"/>
                <w:sz w:val="21"/>
                <w:szCs w:val="21"/>
                <w:highlight w:val="none"/>
              </w:rPr>
            </w:pPr>
          </w:p>
        </w:tc>
        <w:tc>
          <w:tcPr>
            <w:tcW w:w="538" w:type="pct"/>
            <w:tcBorders>
              <w:left w:val="single" w:color="auto" w:sz="2" w:space="0"/>
            </w:tcBorders>
            <w:noWrap w:val="0"/>
            <w:vAlign w:val="center"/>
          </w:tcPr>
          <w:p w14:paraId="3059CD4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w:t>
            </w:r>
            <w:r>
              <w:rPr>
                <w:rFonts w:hint="default" w:ascii="Times New Roman" w:hAnsi="Times New Roman" w:eastAsia="宋体" w:cs="Times New Roman"/>
                <w:color w:val="auto"/>
                <w:kern w:val="2"/>
                <w:sz w:val="21"/>
                <w:szCs w:val="21"/>
                <w:highlight w:val="none"/>
                <w:vertAlign w:val="subscript"/>
              </w:rPr>
              <w:t>2</w:t>
            </w:r>
            <w:r>
              <w:rPr>
                <w:rFonts w:hint="default" w:ascii="Times New Roman" w:hAnsi="Times New Roman" w:eastAsia="宋体" w:cs="Times New Roman"/>
                <w:color w:val="auto"/>
                <w:kern w:val="2"/>
                <w:sz w:val="21"/>
                <w:szCs w:val="21"/>
                <w:highlight w:val="none"/>
              </w:rPr>
              <w:t>S</w:t>
            </w:r>
          </w:p>
        </w:tc>
        <w:tc>
          <w:tcPr>
            <w:tcW w:w="537" w:type="pct"/>
            <w:tcBorders>
              <w:right w:val="single" w:color="auto" w:sz="4" w:space="0"/>
            </w:tcBorders>
            <w:noWrap w:val="0"/>
            <w:vAlign w:val="center"/>
          </w:tcPr>
          <w:p w14:paraId="401F4E04">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0.0012</w:t>
            </w:r>
          </w:p>
        </w:tc>
        <w:tc>
          <w:tcPr>
            <w:tcW w:w="460" w:type="pct"/>
            <w:tcBorders>
              <w:right w:val="single" w:color="auto" w:sz="4" w:space="0"/>
            </w:tcBorders>
            <w:noWrap w:val="0"/>
            <w:vAlign w:val="center"/>
          </w:tcPr>
          <w:p w14:paraId="1C4EB64A">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0.0105</w:t>
            </w:r>
          </w:p>
        </w:tc>
        <w:tc>
          <w:tcPr>
            <w:tcW w:w="1840" w:type="pct"/>
            <w:vMerge w:val="continue"/>
            <w:tcBorders>
              <w:left w:val="single" w:color="auto" w:sz="4" w:space="0"/>
            </w:tcBorders>
            <w:noWrap w:val="0"/>
            <w:vAlign w:val="center"/>
          </w:tcPr>
          <w:p w14:paraId="1099AC2F">
            <w:pPr>
              <w:widowControl w:val="0"/>
              <w:jc w:val="center"/>
              <w:rPr>
                <w:rFonts w:hint="default" w:ascii="Times New Roman" w:hAnsi="Times New Roman" w:eastAsia="宋体" w:cs="Times New Roman"/>
                <w:color w:val="auto"/>
                <w:kern w:val="2"/>
                <w:sz w:val="21"/>
                <w:szCs w:val="21"/>
                <w:highlight w:val="none"/>
              </w:rPr>
            </w:pPr>
          </w:p>
        </w:tc>
        <w:tc>
          <w:tcPr>
            <w:tcW w:w="997" w:type="dxa"/>
            <w:tcBorders>
              <w:left w:val="single" w:color="auto" w:sz="4" w:space="0"/>
            </w:tcBorders>
            <w:noWrap w:val="0"/>
            <w:vAlign w:val="center"/>
          </w:tcPr>
          <w:p w14:paraId="3D310049">
            <w:pPr>
              <w:widowControl w:val="0"/>
              <w:jc w:val="center"/>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0.0000244</w:t>
            </w:r>
          </w:p>
        </w:tc>
        <w:tc>
          <w:tcPr>
            <w:tcW w:w="1131" w:type="dxa"/>
            <w:tcBorders>
              <w:left w:val="single" w:color="auto" w:sz="4" w:space="0"/>
            </w:tcBorders>
            <w:noWrap w:val="0"/>
            <w:vAlign w:val="center"/>
          </w:tcPr>
          <w:p w14:paraId="6D01CC81">
            <w:pPr>
              <w:widowControl w:val="0"/>
              <w:jc w:val="center"/>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0.00011</w:t>
            </w:r>
          </w:p>
        </w:tc>
      </w:tr>
    </w:tbl>
    <w:p w14:paraId="40833EDE">
      <w:pPr>
        <w:widowControl w:val="0"/>
        <w:spacing w:line="520" w:lineRule="exact"/>
        <w:ind w:firstLine="482" w:firstLineChars="200"/>
        <w:jc w:val="both"/>
        <w:rPr>
          <w:rFonts w:hint="default" w:ascii="Times New Roman" w:hAnsi="Times New Roman" w:eastAsia="宋体" w:cs="Times New Roman"/>
          <w:b/>
          <w:color w:val="auto"/>
          <w:kern w:val="2"/>
          <w:sz w:val="24"/>
          <w:highlight w:val="none"/>
        </w:rPr>
      </w:pPr>
      <w:r>
        <w:rPr>
          <w:rFonts w:hint="default" w:ascii="Times New Roman" w:hAnsi="Times New Roman" w:eastAsia="宋体" w:cs="Times New Roman"/>
          <w:b/>
          <w:color w:val="auto"/>
          <w:kern w:val="2"/>
          <w:sz w:val="24"/>
          <w:highlight w:val="none"/>
        </w:rPr>
        <w:t>2</w:t>
      </w:r>
      <w:r>
        <w:rPr>
          <w:rFonts w:hint="default" w:ascii="Times New Roman" w:hAnsi="Times New Roman" w:eastAsia="宋体" w:cs="Times New Roman"/>
          <w:b/>
          <w:color w:val="auto"/>
          <w:kern w:val="2"/>
          <w:sz w:val="24"/>
          <w:highlight w:val="none"/>
          <w:lang w:eastAsia="zh-CN"/>
        </w:rPr>
        <w:t>、</w:t>
      </w:r>
      <w:r>
        <w:rPr>
          <w:rFonts w:hint="default" w:ascii="Times New Roman" w:hAnsi="Times New Roman" w:eastAsia="宋体" w:cs="Times New Roman"/>
          <w:b/>
          <w:bCs/>
          <w:color w:val="auto"/>
          <w:kern w:val="2"/>
          <w:sz w:val="24"/>
          <w:highlight w:val="none"/>
        </w:rPr>
        <w:t>粪污治理区恶臭</w:t>
      </w:r>
    </w:p>
    <w:p w14:paraId="478A4936">
      <w:pPr>
        <w:widowControl w:val="0"/>
        <w:spacing w:line="520" w:lineRule="exact"/>
        <w:ind w:firstLine="48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w:t>
      </w:r>
      <w:r>
        <w:rPr>
          <w:rFonts w:hint="eastAsia" w:ascii="Times New Roman" w:hAnsi="Times New Roman" w:cs="Times New Roman"/>
          <w:color w:val="auto"/>
          <w:kern w:val="2"/>
          <w:sz w:val="24"/>
          <w:szCs w:val="24"/>
          <w:highlight w:val="none"/>
          <w:lang w:val="en-US" w:eastAsia="zh-CN" w:bidi="ar-SA"/>
        </w:rPr>
        <w:t>集粪池</w:t>
      </w:r>
      <w:r>
        <w:rPr>
          <w:rFonts w:hint="default" w:ascii="Times New Roman" w:hAnsi="Times New Roman" w:eastAsia="宋体" w:cs="Times New Roman"/>
          <w:color w:val="auto"/>
          <w:kern w:val="2"/>
          <w:sz w:val="24"/>
          <w:szCs w:val="24"/>
          <w:highlight w:val="none"/>
          <w:lang w:val="en-US" w:eastAsia="zh-CN" w:bidi="ar-SA"/>
        </w:rPr>
        <w:t>、黑膜</w:t>
      </w:r>
      <w:r>
        <w:rPr>
          <w:rFonts w:hint="eastAsia" w:ascii="Times New Roman" w:hAnsi="Times New Roman" w:eastAsia="宋体" w:cs="Times New Roman"/>
          <w:color w:val="auto"/>
          <w:kern w:val="2"/>
          <w:sz w:val="24"/>
          <w:szCs w:val="24"/>
          <w:highlight w:val="none"/>
          <w:lang w:val="en-US" w:eastAsia="zh-CN" w:bidi="ar-SA"/>
        </w:rPr>
        <w:t>厌氧</w:t>
      </w:r>
      <w:r>
        <w:rPr>
          <w:rFonts w:hint="default" w:ascii="Times New Roman" w:hAnsi="Times New Roman" w:eastAsia="宋体" w:cs="Times New Roman"/>
          <w:color w:val="auto"/>
          <w:kern w:val="2"/>
          <w:sz w:val="24"/>
          <w:szCs w:val="24"/>
          <w:highlight w:val="none"/>
          <w:lang w:val="en-US" w:eastAsia="zh-CN" w:bidi="ar-SA"/>
        </w:rPr>
        <w:t>池</w:t>
      </w:r>
      <w:r>
        <w:rPr>
          <w:rFonts w:hint="eastAsia" w:ascii="Times New Roman" w:hAnsi="Times New Roman" w:eastAsia="宋体" w:cs="Times New Roman"/>
          <w:color w:val="auto"/>
          <w:kern w:val="2"/>
          <w:sz w:val="24"/>
          <w:szCs w:val="24"/>
          <w:highlight w:val="none"/>
          <w:lang w:val="en-US" w:eastAsia="zh-CN" w:bidi="ar-SA"/>
        </w:rPr>
        <w:t>、干粪堆积场</w:t>
      </w:r>
      <w:r>
        <w:rPr>
          <w:rFonts w:hint="default" w:ascii="Times New Roman" w:hAnsi="Times New Roman" w:eastAsia="宋体" w:cs="Times New Roman"/>
          <w:color w:val="auto"/>
          <w:kern w:val="2"/>
          <w:sz w:val="24"/>
          <w:szCs w:val="24"/>
          <w:highlight w:val="none"/>
          <w:lang w:val="en-US" w:eastAsia="zh-CN" w:bidi="ar-SA"/>
        </w:rPr>
        <w:t>恶臭</w:t>
      </w:r>
    </w:p>
    <w:p w14:paraId="7F45B8B9">
      <w:pPr>
        <w:widowControl w:val="0"/>
        <w:spacing w:line="520" w:lineRule="exact"/>
        <w:ind w:firstLine="48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现有工程</w:t>
      </w:r>
      <w:r>
        <w:rPr>
          <w:rFonts w:hint="eastAsia" w:ascii="Times New Roman" w:hAnsi="Times New Roman" w:cs="Times New Roman"/>
          <w:color w:val="auto"/>
          <w:kern w:val="2"/>
          <w:sz w:val="24"/>
          <w:szCs w:val="24"/>
          <w:highlight w:val="none"/>
          <w:lang w:val="en-US" w:eastAsia="zh-CN" w:bidi="ar-SA"/>
        </w:rPr>
        <w:t>集粪池</w:t>
      </w:r>
      <w:r>
        <w:rPr>
          <w:rFonts w:hint="default" w:ascii="Times New Roman" w:hAnsi="Times New Roman" w:eastAsia="宋体" w:cs="Times New Roman"/>
          <w:color w:val="auto"/>
          <w:kern w:val="2"/>
          <w:sz w:val="24"/>
          <w:szCs w:val="24"/>
          <w:highlight w:val="none"/>
          <w:lang w:val="en-US" w:eastAsia="zh-CN" w:bidi="ar-SA"/>
        </w:rPr>
        <w:t>为地下建筑，均为全封闭结构；黑膜厌氧池为密闭囊式结构，全封闭。贮存过程中可能产生少量恶臭，但恶臭浓度较小，在定期喷洒除臭剂的情况下，恶臭对周围环境影响较小。</w:t>
      </w:r>
    </w:p>
    <w:p w14:paraId="531BD805">
      <w:pPr>
        <w:widowControl w:val="0"/>
        <w:spacing w:line="520" w:lineRule="exact"/>
        <w:ind w:firstLine="48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因此</w:t>
      </w:r>
      <w:r>
        <w:rPr>
          <w:rFonts w:hint="eastAsia" w:ascii="Times New Roman" w:hAnsi="Times New Roman" w:cs="Times New Roman"/>
          <w:color w:val="auto"/>
          <w:kern w:val="2"/>
          <w:sz w:val="24"/>
          <w:szCs w:val="24"/>
          <w:highlight w:val="none"/>
          <w:lang w:val="en-US" w:eastAsia="zh-CN" w:bidi="ar-SA"/>
        </w:rPr>
        <w:t>集粪池</w:t>
      </w:r>
      <w:r>
        <w:rPr>
          <w:rFonts w:hint="default" w:ascii="Times New Roman" w:hAnsi="Times New Roman" w:eastAsia="宋体" w:cs="Times New Roman"/>
          <w:color w:val="auto"/>
          <w:kern w:val="2"/>
          <w:sz w:val="24"/>
          <w:szCs w:val="24"/>
          <w:highlight w:val="none"/>
          <w:lang w:val="en-US" w:eastAsia="zh-CN" w:bidi="ar-SA"/>
        </w:rPr>
        <w:t>、黑膜厌氧池仅有少量的恶臭气体排入大气，故该部分恶臭不进行核算。</w:t>
      </w:r>
    </w:p>
    <w:p w14:paraId="6C734B44">
      <w:pPr>
        <w:widowControl w:val="0"/>
        <w:spacing w:line="520" w:lineRule="exact"/>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（2）粪污贮存区</w:t>
      </w:r>
    </w:p>
    <w:p w14:paraId="744E6210">
      <w:pPr>
        <w:widowControl w:val="0"/>
        <w:spacing w:line="520" w:lineRule="exact"/>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猪粪在存放过程中会有恶臭污染物产生，恶臭污染物排放量按照粪便排泄物铵态氮量估算。</w:t>
      </w:r>
    </w:p>
    <w:p w14:paraId="56CEFF42">
      <w:pPr>
        <w:widowControl w:val="0"/>
        <w:spacing w:line="520" w:lineRule="exact"/>
        <w:ind w:firstLine="482"/>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根据《畜禽养殖业污染治理工程技术规范》（HJ497-2009）中附录A，养猪场猪只粪便排泄量为2.0kg/头·d，现有工程生猪存栏量为2400头/a，猪粪产生量为</w:t>
      </w:r>
      <w:r>
        <w:rPr>
          <w:rFonts w:hint="eastAsia" w:ascii="Times New Roman" w:hAnsi="Times New Roman" w:eastAsia="宋体" w:cs="Times New Roman"/>
          <w:color w:val="auto"/>
          <w:kern w:val="2"/>
          <w:sz w:val="24"/>
          <w:szCs w:val="24"/>
          <w:highlight w:val="none"/>
          <w:vertAlign w:val="baseline"/>
          <w:lang w:val="en-US" w:eastAsia="zh-CN" w:bidi="ar-SA"/>
        </w:rPr>
        <w:t>1752</w:t>
      </w:r>
      <w:r>
        <w:rPr>
          <w:rFonts w:hint="default" w:ascii="Times New Roman" w:hAnsi="Times New Roman" w:eastAsia="宋体" w:cs="Times New Roman"/>
          <w:color w:val="auto"/>
          <w:kern w:val="2"/>
          <w:sz w:val="24"/>
          <w:szCs w:val="24"/>
          <w:highlight w:val="none"/>
          <w:lang w:val="en-US" w:eastAsia="zh-CN" w:bidi="ar-SA"/>
        </w:rPr>
        <w:t>t/a。类比黑龙江牧原农牧有限公司龙江三场以及查阅建设单位提供的相关资料，确定本项目粪污贮存区NH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的产生速率为0.068kg/t－原料、H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S的产生速率为0.003kg/t－原料，则干粪堆积场NH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产生量为</w:t>
      </w:r>
      <w:r>
        <w:rPr>
          <w:rFonts w:hint="eastAsia" w:ascii="Times New Roman" w:hAnsi="Times New Roman" w:eastAsia="宋体" w:cs="Times New Roman"/>
          <w:color w:val="auto"/>
          <w:kern w:val="2"/>
          <w:sz w:val="24"/>
          <w:szCs w:val="24"/>
          <w:highlight w:val="none"/>
          <w:lang w:val="en-US" w:eastAsia="zh-CN" w:bidi="ar-SA"/>
        </w:rPr>
        <w:t>0.119</w:t>
      </w:r>
      <w:r>
        <w:rPr>
          <w:rFonts w:hint="default"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0.0136</w:t>
      </w:r>
      <w:r>
        <w:rPr>
          <w:rFonts w:hint="default" w:ascii="Times New Roman" w:hAnsi="Times New Roman" w:eastAsia="宋体" w:cs="Times New Roman"/>
          <w:color w:val="auto"/>
          <w:kern w:val="2"/>
          <w:sz w:val="24"/>
          <w:szCs w:val="24"/>
          <w:highlight w:val="none"/>
          <w:lang w:val="en-US" w:eastAsia="zh-CN" w:bidi="ar-SA"/>
        </w:rPr>
        <w:t>kg/h），H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S产生量为</w:t>
      </w:r>
      <w:r>
        <w:rPr>
          <w:rFonts w:hint="eastAsia" w:ascii="Times New Roman" w:hAnsi="Times New Roman" w:eastAsia="宋体" w:cs="Times New Roman"/>
          <w:color w:val="auto"/>
          <w:kern w:val="2"/>
          <w:sz w:val="24"/>
          <w:szCs w:val="24"/>
          <w:highlight w:val="none"/>
          <w:lang w:val="en-US" w:eastAsia="zh-CN" w:bidi="ar-SA"/>
        </w:rPr>
        <w:t>0.0053</w:t>
      </w:r>
      <w:r>
        <w:rPr>
          <w:rFonts w:hint="default"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0.00061</w:t>
      </w:r>
      <w:r>
        <w:rPr>
          <w:rFonts w:hint="default" w:ascii="Times New Roman" w:hAnsi="Times New Roman" w:eastAsia="宋体" w:cs="Times New Roman"/>
          <w:color w:val="auto"/>
          <w:kern w:val="2"/>
          <w:sz w:val="24"/>
          <w:szCs w:val="24"/>
          <w:highlight w:val="none"/>
          <w:lang w:val="en-US" w:eastAsia="zh-CN" w:bidi="ar-SA"/>
        </w:rPr>
        <w:t>kg/h）。企业在营运过程中通过对粪污贮存区定期喷洒除臭剂，周边加强绿化等措施降低恶臭污染物源强</w:t>
      </w:r>
      <w:r>
        <w:rPr>
          <w:rFonts w:hint="default" w:ascii="Times New Roman" w:hAnsi="Times New Roman" w:eastAsia="宋体" w:cs="Times New Roman"/>
          <w:snapToGrid w:val="0"/>
          <w:color w:val="auto"/>
          <w:kern w:val="2"/>
          <w:sz w:val="24"/>
          <w:szCs w:val="24"/>
          <w:highlight w:val="none"/>
          <w:lang w:val="en-US" w:eastAsia="zh-CN" w:bidi="ar-SA"/>
        </w:rPr>
        <w:t>，NH</w:t>
      </w:r>
      <w:r>
        <w:rPr>
          <w:rFonts w:hint="default" w:ascii="Times New Roman" w:hAnsi="Times New Roman" w:eastAsia="宋体" w:cs="Times New Roman"/>
          <w:snapToGrid w:val="0"/>
          <w:color w:val="auto"/>
          <w:kern w:val="2"/>
          <w:sz w:val="24"/>
          <w:szCs w:val="24"/>
          <w:highlight w:val="none"/>
          <w:vertAlign w:val="subscript"/>
          <w:lang w:val="en-US" w:eastAsia="zh-CN" w:bidi="ar-SA"/>
        </w:rPr>
        <w:t>3</w:t>
      </w:r>
      <w:r>
        <w:rPr>
          <w:rFonts w:hint="default" w:ascii="Times New Roman" w:hAnsi="Times New Roman" w:eastAsia="宋体" w:cs="Times New Roman"/>
          <w:snapToGrid w:val="0"/>
          <w:color w:val="auto"/>
          <w:kern w:val="2"/>
          <w:sz w:val="24"/>
          <w:szCs w:val="24"/>
          <w:highlight w:val="none"/>
          <w:lang w:val="en-US" w:eastAsia="zh-CN" w:bidi="ar-SA"/>
        </w:rPr>
        <w:t>的去除率为92.6%，H</w:t>
      </w:r>
      <w:r>
        <w:rPr>
          <w:rFonts w:hint="default" w:ascii="Times New Roman" w:hAnsi="Times New Roman" w:eastAsia="宋体" w:cs="Times New Roman"/>
          <w:snapToGrid w:val="0"/>
          <w:color w:val="auto"/>
          <w:kern w:val="2"/>
          <w:sz w:val="24"/>
          <w:szCs w:val="24"/>
          <w:highlight w:val="none"/>
          <w:vertAlign w:val="subscript"/>
          <w:lang w:val="en-US" w:eastAsia="zh-CN" w:bidi="ar-SA"/>
        </w:rPr>
        <w:t>2</w:t>
      </w:r>
      <w:r>
        <w:rPr>
          <w:rFonts w:hint="default" w:ascii="Times New Roman" w:hAnsi="Times New Roman" w:eastAsia="宋体" w:cs="Times New Roman"/>
          <w:snapToGrid w:val="0"/>
          <w:color w:val="auto"/>
          <w:kern w:val="2"/>
          <w:sz w:val="24"/>
          <w:szCs w:val="24"/>
          <w:highlight w:val="none"/>
          <w:lang w:val="en-US" w:eastAsia="zh-CN" w:bidi="ar-SA"/>
        </w:rPr>
        <w:t>S的去除率为89%</w:t>
      </w:r>
      <w:r>
        <w:rPr>
          <w:rFonts w:hint="default" w:ascii="Times New Roman" w:hAnsi="Times New Roman" w:eastAsia="宋体" w:cs="Times New Roman"/>
          <w:color w:val="auto"/>
          <w:kern w:val="2"/>
          <w:sz w:val="24"/>
          <w:szCs w:val="24"/>
          <w:highlight w:val="none"/>
          <w:lang w:val="en-US" w:eastAsia="zh-CN" w:bidi="ar-SA"/>
        </w:rPr>
        <w:t>，减小对周围环境空气的影响。</w:t>
      </w:r>
    </w:p>
    <w:p w14:paraId="6C5F411F">
      <w:pPr>
        <w:widowControl w:val="0"/>
        <w:spacing w:line="520" w:lineRule="exact"/>
        <w:ind w:firstLine="48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由以上分析可知，现有工程营运过程中粪污贮存区恶臭污染物产排情况见表3.</w:t>
      </w:r>
      <w:r>
        <w:rPr>
          <w:rFonts w:hint="eastAsia" w:ascii="Times New Roman" w:hAnsi="Times New Roman"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w:t>
      </w:r>
    </w:p>
    <w:p w14:paraId="673F7921">
      <w:pPr>
        <w:widowControl w:val="0"/>
        <w:spacing w:line="520" w:lineRule="exact"/>
        <w:jc w:val="center"/>
        <w:rPr>
          <w:rFonts w:hint="default" w:ascii="Times New Roman" w:hAnsi="Times New Roman" w:eastAsia="宋体" w:cs="Times New Roman"/>
          <w:color w:val="auto"/>
          <w:kern w:val="2"/>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w:t>
      </w:r>
      <w:r>
        <w:rPr>
          <w:rFonts w:hint="default" w:ascii="Times New Roman" w:hAnsi="Times New Roman" w:eastAsia="黑体" w:cs="Times New Roman"/>
          <w:b w:val="0"/>
          <w:bCs/>
          <w:smallCaps w:val="0"/>
          <w:snapToGrid/>
          <w:kern w:val="2"/>
          <w:sz w:val="21"/>
          <w:szCs w:val="24"/>
          <w:highlight w:val="none"/>
          <w:lang w:val="en-US" w:eastAsia="zh-CN" w:bidi="ar-SA"/>
        </w:rPr>
        <w:t>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zh-CN" w:eastAsia="zh-CN" w:bidi="ar-SA"/>
        </w:rPr>
        <w:t xml:space="preserve">  现有工程粪污贮存区恶臭污染物产排情况</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79"/>
        <w:gridCol w:w="916"/>
        <w:gridCol w:w="1047"/>
        <w:gridCol w:w="1047"/>
        <w:gridCol w:w="2351"/>
        <w:gridCol w:w="1141"/>
        <w:gridCol w:w="1141"/>
      </w:tblGrid>
      <w:tr w14:paraId="5DEC3C6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16" w:type="pct"/>
            <w:vMerge w:val="restart"/>
            <w:tcBorders>
              <w:right w:val="single" w:color="auto" w:sz="2" w:space="0"/>
            </w:tcBorders>
            <w:noWrap w:val="0"/>
            <w:vAlign w:val="center"/>
          </w:tcPr>
          <w:p w14:paraId="3677821E">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恶臭单元</w:t>
            </w:r>
          </w:p>
        </w:tc>
        <w:tc>
          <w:tcPr>
            <w:tcW w:w="537" w:type="pct"/>
            <w:vMerge w:val="restart"/>
            <w:tcBorders>
              <w:left w:val="single" w:color="auto" w:sz="2" w:space="0"/>
            </w:tcBorders>
            <w:noWrap w:val="0"/>
            <w:vAlign w:val="center"/>
          </w:tcPr>
          <w:p w14:paraId="79D2895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污染物</w:t>
            </w:r>
          </w:p>
        </w:tc>
        <w:tc>
          <w:tcPr>
            <w:tcW w:w="1228" w:type="pct"/>
            <w:gridSpan w:val="2"/>
            <w:tcBorders>
              <w:right w:val="single" w:color="auto" w:sz="4" w:space="0"/>
            </w:tcBorders>
            <w:noWrap w:val="0"/>
            <w:vAlign w:val="center"/>
          </w:tcPr>
          <w:p w14:paraId="0A4D3D21">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产生情况</w:t>
            </w:r>
          </w:p>
        </w:tc>
        <w:tc>
          <w:tcPr>
            <w:tcW w:w="1379" w:type="pct"/>
            <w:vMerge w:val="restart"/>
            <w:tcBorders>
              <w:left w:val="single" w:color="auto" w:sz="4" w:space="0"/>
            </w:tcBorders>
            <w:noWrap w:val="0"/>
            <w:vAlign w:val="center"/>
          </w:tcPr>
          <w:p w14:paraId="1978BD3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治理措施</w:t>
            </w:r>
          </w:p>
        </w:tc>
        <w:tc>
          <w:tcPr>
            <w:tcW w:w="1338" w:type="pct"/>
            <w:gridSpan w:val="2"/>
            <w:tcBorders>
              <w:left w:val="single" w:color="auto" w:sz="4" w:space="0"/>
            </w:tcBorders>
            <w:noWrap w:val="0"/>
            <w:vAlign w:val="center"/>
          </w:tcPr>
          <w:p w14:paraId="6DE9F6CB">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排放情况</w:t>
            </w:r>
          </w:p>
        </w:tc>
      </w:tr>
      <w:tr w14:paraId="2B944C3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16" w:type="pct"/>
            <w:vMerge w:val="continue"/>
            <w:tcBorders>
              <w:right w:val="single" w:color="auto" w:sz="2" w:space="0"/>
            </w:tcBorders>
            <w:noWrap w:val="0"/>
            <w:vAlign w:val="center"/>
          </w:tcPr>
          <w:p w14:paraId="775BBBBB">
            <w:pPr>
              <w:widowControl w:val="0"/>
              <w:jc w:val="center"/>
              <w:rPr>
                <w:rFonts w:hint="default" w:ascii="Times New Roman" w:hAnsi="Times New Roman" w:eastAsia="宋体" w:cs="Times New Roman"/>
                <w:color w:val="auto"/>
                <w:kern w:val="2"/>
                <w:sz w:val="21"/>
                <w:szCs w:val="21"/>
                <w:highlight w:val="none"/>
              </w:rPr>
            </w:pPr>
          </w:p>
        </w:tc>
        <w:tc>
          <w:tcPr>
            <w:tcW w:w="537" w:type="pct"/>
            <w:vMerge w:val="continue"/>
            <w:tcBorders>
              <w:left w:val="single" w:color="auto" w:sz="2" w:space="0"/>
            </w:tcBorders>
            <w:noWrap w:val="0"/>
            <w:vAlign w:val="center"/>
          </w:tcPr>
          <w:p w14:paraId="08CF6BFA">
            <w:pPr>
              <w:widowControl w:val="0"/>
              <w:jc w:val="center"/>
              <w:rPr>
                <w:rFonts w:hint="default" w:ascii="Times New Roman" w:hAnsi="Times New Roman" w:eastAsia="宋体" w:cs="Times New Roman"/>
                <w:color w:val="auto"/>
                <w:kern w:val="2"/>
                <w:sz w:val="21"/>
                <w:szCs w:val="21"/>
                <w:highlight w:val="none"/>
              </w:rPr>
            </w:pPr>
          </w:p>
        </w:tc>
        <w:tc>
          <w:tcPr>
            <w:tcW w:w="614" w:type="pct"/>
            <w:tcBorders>
              <w:right w:val="single" w:color="auto" w:sz="4" w:space="0"/>
            </w:tcBorders>
            <w:noWrap w:val="0"/>
            <w:vAlign w:val="center"/>
          </w:tcPr>
          <w:p w14:paraId="7127042D">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kg/h</w:t>
            </w:r>
          </w:p>
        </w:tc>
        <w:tc>
          <w:tcPr>
            <w:tcW w:w="614" w:type="pct"/>
            <w:tcBorders>
              <w:right w:val="single" w:color="auto" w:sz="4" w:space="0"/>
            </w:tcBorders>
            <w:noWrap w:val="0"/>
            <w:vAlign w:val="center"/>
          </w:tcPr>
          <w:p w14:paraId="20B55AD5">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t/a</w:t>
            </w:r>
          </w:p>
        </w:tc>
        <w:tc>
          <w:tcPr>
            <w:tcW w:w="1379" w:type="pct"/>
            <w:vMerge w:val="continue"/>
            <w:tcBorders>
              <w:left w:val="single" w:color="auto" w:sz="4" w:space="0"/>
              <w:bottom w:val="single" w:color="auto" w:sz="4" w:space="0"/>
            </w:tcBorders>
            <w:noWrap w:val="0"/>
            <w:vAlign w:val="center"/>
          </w:tcPr>
          <w:p w14:paraId="4685B793">
            <w:pPr>
              <w:widowControl w:val="0"/>
              <w:jc w:val="center"/>
              <w:rPr>
                <w:rFonts w:hint="default" w:ascii="Times New Roman" w:hAnsi="Times New Roman" w:eastAsia="宋体" w:cs="Times New Roman"/>
                <w:color w:val="auto"/>
                <w:kern w:val="2"/>
                <w:sz w:val="21"/>
                <w:szCs w:val="21"/>
                <w:highlight w:val="none"/>
              </w:rPr>
            </w:pPr>
          </w:p>
        </w:tc>
        <w:tc>
          <w:tcPr>
            <w:tcW w:w="669" w:type="pct"/>
            <w:tcBorders>
              <w:left w:val="single" w:color="auto" w:sz="4" w:space="0"/>
              <w:bottom w:val="single" w:color="auto" w:sz="4" w:space="0"/>
            </w:tcBorders>
            <w:noWrap w:val="0"/>
            <w:vAlign w:val="center"/>
          </w:tcPr>
          <w:p w14:paraId="6A9231D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kg/h</w:t>
            </w:r>
          </w:p>
        </w:tc>
        <w:tc>
          <w:tcPr>
            <w:tcW w:w="669" w:type="pct"/>
            <w:tcBorders>
              <w:left w:val="single" w:color="auto" w:sz="4" w:space="0"/>
            </w:tcBorders>
            <w:noWrap w:val="0"/>
            <w:vAlign w:val="center"/>
          </w:tcPr>
          <w:p w14:paraId="2B252985">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t/a</w:t>
            </w:r>
          </w:p>
        </w:tc>
      </w:tr>
      <w:tr w14:paraId="2F1CDF3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51" w:hRule="atLeast"/>
          <w:jc w:val="center"/>
        </w:trPr>
        <w:tc>
          <w:tcPr>
            <w:tcW w:w="516" w:type="pct"/>
            <w:vMerge w:val="restart"/>
            <w:tcBorders>
              <w:right w:val="single" w:color="auto" w:sz="2" w:space="0"/>
            </w:tcBorders>
            <w:noWrap w:val="0"/>
            <w:vAlign w:val="center"/>
          </w:tcPr>
          <w:p w14:paraId="6526F51E">
            <w:pPr>
              <w:widowControl w:val="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粪污贮存区</w:t>
            </w:r>
          </w:p>
        </w:tc>
        <w:tc>
          <w:tcPr>
            <w:tcW w:w="537" w:type="pct"/>
            <w:tcBorders>
              <w:left w:val="single" w:color="auto" w:sz="2" w:space="0"/>
            </w:tcBorders>
            <w:noWrap w:val="0"/>
            <w:vAlign w:val="center"/>
          </w:tcPr>
          <w:p w14:paraId="2D358198">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NH</w:t>
            </w:r>
            <w:r>
              <w:rPr>
                <w:rFonts w:hint="default" w:ascii="Times New Roman" w:hAnsi="Times New Roman" w:eastAsia="宋体" w:cs="Times New Roman"/>
                <w:color w:val="auto"/>
                <w:kern w:val="2"/>
                <w:sz w:val="21"/>
                <w:szCs w:val="21"/>
                <w:highlight w:val="none"/>
                <w:vertAlign w:val="subscript"/>
              </w:rPr>
              <w:t>3</w:t>
            </w:r>
          </w:p>
        </w:tc>
        <w:tc>
          <w:tcPr>
            <w:tcW w:w="614" w:type="pct"/>
            <w:tcBorders>
              <w:right w:val="single" w:color="auto" w:sz="4" w:space="0"/>
            </w:tcBorders>
            <w:noWrap w:val="0"/>
            <w:vAlign w:val="center"/>
          </w:tcPr>
          <w:p w14:paraId="2677EED6">
            <w:pPr>
              <w:widowControl w:val="0"/>
              <w:jc w:val="center"/>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lang w:val="en-US" w:eastAsia="zh-CN"/>
              </w:rPr>
              <w:t>0.0136</w:t>
            </w:r>
          </w:p>
        </w:tc>
        <w:tc>
          <w:tcPr>
            <w:tcW w:w="614" w:type="pct"/>
            <w:tcBorders>
              <w:right w:val="single" w:color="auto" w:sz="4" w:space="0"/>
            </w:tcBorders>
            <w:noWrap w:val="0"/>
            <w:vAlign w:val="center"/>
          </w:tcPr>
          <w:p w14:paraId="421B0A9C">
            <w:pPr>
              <w:widowControl w:val="0"/>
              <w:jc w:val="center"/>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lang w:val="en-US" w:eastAsia="zh-CN"/>
              </w:rPr>
              <w:t>0.119</w:t>
            </w:r>
          </w:p>
        </w:tc>
        <w:tc>
          <w:tcPr>
            <w:tcW w:w="1379" w:type="pct"/>
            <w:vMerge w:val="restart"/>
            <w:tcBorders>
              <w:left w:val="single" w:color="auto" w:sz="4" w:space="0"/>
            </w:tcBorders>
            <w:noWrap w:val="0"/>
            <w:vAlign w:val="center"/>
          </w:tcPr>
          <w:p w14:paraId="3E5C4F7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highlight w:val="none"/>
              </w:rPr>
              <w:t>定期喷洒除臭剂，周边绿化，</w:t>
            </w:r>
            <w:r>
              <w:rPr>
                <w:rFonts w:hint="default" w:ascii="Times New Roman" w:hAnsi="Times New Roman" w:eastAsia="宋体" w:cs="Times New Roman"/>
                <w:snapToGrid w:val="0"/>
                <w:color w:val="auto"/>
                <w:kern w:val="2"/>
                <w:sz w:val="21"/>
                <w:szCs w:val="24"/>
                <w:highlight w:val="none"/>
              </w:rPr>
              <w:t>喷洒</w:t>
            </w:r>
            <w:r>
              <w:rPr>
                <w:rFonts w:hint="default" w:ascii="Times New Roman" w:hAnsi="Times New Roman" w:eastAsia="宋体" w:cs="Times New Roman"/>
                <w:snapToGrid w:val="0"/>
                <w:color w:val="auto"/>
                <w:kern w:val="2"/>
                <w:sz w:val="21"/>
                <w:szCs w:val="24"/>
                <w:highlight w:val="none"/>
                <w:lang w:eastAsia="zh-CN"/>
              </w:rPr>
              <w:t>生物</w:t>
            </w:r>
            <w:r>
              <w:rPr>
                <w:rFonts w:hint="default" w:ascii="Times New Roman" w:hAnsi="Times New Roman" w:eastAsia="宋体" w:cs="Times New Roman"/>
                <w:snapToGrid w:val="0"/>
                <w:color w:val="auto"/>
                <w:kern w:val="2"/>
                <w:sz w:val="21"/>
                <w:szCs w:val="24"/>
                <w:highlight w:val="none"/>
              </w:rPr>
              <w:t>除臭剂，NH</w:t>
            </w:r>
            <w:r>
              <w:rPr>
                <w:rFonts w:hint="default" w:ascii="Times New Roman" w:hAnsi="Times New Roman" w:eastAsia="宋体" w:cs="Times New Roman"/>
                <w:snapToGrid w:val="0"/>
                <w:color w:val="auto"/>
                <w:kern w:val="2"/>
                <w:sz w:val="21"/>
                <w:szCs w:val="24"/>
                <w:highlight w:val="none"/>
                <w:vertAlign w:val="subscript"/>
              </w:rPr>
              <w:t>3</w:t>
            </w:r>
            <w:r>
              <w:rPr>
                <w:rFonts w:hint="default" w:ascii="Times New Roman" w:hAnsi="Times New Roman" w:eastAsia="宋体" w:cs="Times New Roman"/>
                <w:snapToGrid w:val="0"/>
                <w:color w:val="auto"/>
                <w:kern w:val="2"/>
                <w:sz w:val="21"/>
                <w:szCs w:val="24"/>
                <w:highlight w:val="none"/>
              </w:rPr>
              <w:t>的去除率为</w:t>
            </w:r>
            <w:r>
              <w:rPr>
                <w:rFonts w:hint="default" w:ascii="Times New Roman" w:hAnsi="Times New Roman" w:eastAsia="宋体" w:cs="Times New Roman"/>
                <w:snapToGrid w:val="0"/>
                <w:color w:val="auto"/>
                <w:kern w:val="2"/>
                <w:sz w:val="21"/>
                <w:szCs w:val="24"/>
                <w:highlight w:val="none"/>
                <w:lang w:val="en-US" w:eastAsia="zh-CN"/>
              </w:rPr>
              <w:t>92.6</w:t>
            </w:r>
            <w:r>
              <w:rPr>
                <w:rFonts w:hint="default" w:ascii="Times New Roman" w:hAnsi="Times New Roman" w:eastAsia="宋体" w:cs="Times New Roman"/>
                <w:snapToGrid w:val="0"/>
                <w:color w:val="auto"/>
                <w:kern w:val="2"/>
                <w:sz w:val="21"/>
                <w:szCs w:val="24"/>
                <w:highlight w:val="none"/>
              </w:rPr>
              <w:t>%，H</w:t>
            </w:r>
            <w:r>
              <w:rPr>
                <w:rFonts w:hint="default" w:ascii="Times New Roman" w:hAnsi="Times New Roman" w:eastAsia="宋体" w:cs="Times New Roman"/>
                <w:snapToGrid w:val="0"/>
                <w:color w:val="auto"/>
                <w:kern w:val="2"/>
                <w:sz w:val="21"/>
                <w:szCs w:val="24"/>
                <w:highlight w:val="none"/>
                <w:vertAlign w:val="subscript"/>
              </w:rPr>
              <w:t>2</w:t>
            </w:r>
            <w:r>
              <w:rPr>
                <w:rFonts w:hint="default" w:ascii="Times New Roman" w:hAnsi="Times New Roman" w:eastAsia="宋体" w:cs="Times New Roman"/>
                <w:snapToGrid w:val="0"/>
                <w:color w:val="auto"/>
                <w:kern w:val="2"/>
                <w:sz w:val="21"/>
                <w:szCs w:val="24"/>
                <w:highlight w:val="none"/>
              </w:rPr>
              <w:t>S的去除率为</w:t>
            </w:r>
            <w:r>
              <w:rPr>
                <w:rFonts w:hint="default" w:ascii="Times New Roman" w:hAnsi="Times New Roman" w:eastAsia="宋体" w:cs="Times New Roman"/>
                <w:snapToGrid w:val="0"/>
                <w:color w:val="auto"/>
                <w:kern w:val="2"/>
                <w:sz w:val="21"/>
                <w:szCs w:val="24"/>
                <w:highlight w:val="none"/>
                <w:lang w:val="en-US" w:eastAsia="zh-CN"/>
              </w:rPr>
              <w:t>89</w:t>
            </w:r>
            <w:r>
              <w:rPr>
                <w:rFonts w:hint="default" w:ascii="Times New Roman" w:hAnsi="Times New Roman" w:eastAsia="宋体" w:cs="Times New Roman"/>
                <w:snapToGrid w:val="0"/>
                <w:color w:val="auto"/>
                <w:kern w:val="2"/>
                <w:sz w:val="21"/>
                <w:szCs w:val="24"/>
                <w:highlight w:val="none"/>
              </w:rPr>
              <w:t>%</w:t>
            </w:r>
          </w:p>
        </w:tc>
        <w:tc>
          <w:tcPr>
            <w:tcW w:w="1203" w:type="dxa"/>
            <w:tcBorders>
              <w:left w:val="single" w:color="auto" w:sz="4" w:space="0"/>
            </w:tcBorders>
            <w:noWrap w:val="0"/>
            <w:vAlign w:val="center"/>
          </w:tcPr>
          <w:p w14:paraId="43FBA470">
            <w:pPr>
              <w:keepNext w:val="0"/>
              <w:keepLines w:val="0"/>
              <w:widowControl/>
              <w:suppressLineNumbers w:val="0"/>
              <w:jc w:val="center"/>
              <w:textAlignment w:val="center"/>
              <w:rPr>
                <w:rFonts w:hint="default" w:ascii="Times New Roman" w:hAnsi="Times New Roman" w:eastAsia="宋体" w:cs="Times New Roman"/>
                <w:color w:val="auto"/>
                <w:kern w:val="2"/>
                <w:sz w:val="21"/>
                <w:highlight w:val="none"/>
                <w:lang w:val="en-US" w:eastAsia="zh-CN"/>
              </w:rPr>
            </w:pPr>
            <w:r>
              <w:rPr>
                <w:rFonts w:hint="eastAsia" w:ascii="Times New Roman" w:hAnsi="Times New Roman" w:cs="Times New Roman"/>
                <w:color w:val="auto"/>
                <w:kern w:val="2"/>
                <w:sz w:val="21"/>
                <w:highlight w:val="none"/>
                <w:lang w:val="en-US" w:eastAsia="zh-CN"/>
              </w:rPr>
              <w:t>0.001</w:t>
            </w:r>
          </w:p>
        </w:tc>
        <w:tc>
          <w:tcPr>
            <w:tcW w:w="1203" w:type="dxa"/>
            <w:tcBorders>
              <w:left w:val="single" w:color="auto" w:sz="4" w:space="0"/>
            </w:tcBorders>
            <w:noWrap w:val="0"/>
            <w:vAlign w:val="center"/>
          </w:tcPr>
          <w:p w14:paraId="675FD34C">
            <w:pPr>
              <w:keepNext w:val="0"/>
              <w:keepLines w:val="0"/>
              <w:widowControl/>
              <w:suppressLineNumbers w:val="0"/>
              <w:jc w:val="center"/>
              <w:textAlignment w:val="center"/>
              <w:rPr>
                <w:rFonts w:hint="default" w:ascii="Times New Roman" w:hAnsi="Times New Roman" w:eastAsia="宋体" w:cs="Times New Roman"/>
                <w:color w:val="auto"/>
                <w:kern w:val="2"/>
                <w:sz w:val="21"/>
                <w:highlight w:val="none"/>
                <w:lang w:val="en-US" w:eastAsia="zh-CN"/>
              </w:rPr>
            </w:pPr>
            <w:r>
              <w:rPr>
                <w:rFonts w:hint="eastAsia" w:ascii="Times New Roman" w:hAnsi="Times New Roman" w:cs="Times New Roman"/>
                <w:color w:val="auto"/>
                <w:kern w:val="2"/>
                <w:sz w:val="21"/>
                <w:highlight w:val="none"/>
                <w:lang w:val="en-US" w:eastAsia="zh-CN"/>
              </w:rPr>
              <w:t>0.00876</w:t>
            </w:r>
          </w:p>
        </w:tc>
      </w:tr>
      <w:tr w14:paraId="2F9150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16" w:type="pct"/>
            <w:vMerge w:val="continue"/>
            <w:tcBorders>
              <w:right w:val="single" w:color="auto" w:sz="2" w:space="0"/>
            </w:tcBorders>
            <w:noWrap w:val="0"/>
            <w:vAlign w:val="center"/>
          </w:tcPr>
          <w:p w14:paraId="455A0306">
            <w:pPr>
              <w:widowControl w:val="0"/>
              <w:jc w:val="center"/>
              <w:rPr>
                <w:rFonts w:hint="default" w:ascii="Times New Roman" w:hAnsi="Times New Roman" w:eastAsia="宋体" w:cs="Times New Roman"/>
                <w:color w:val="auto"/>
                <w:kern w:val="2"/>
                <w:sz w:val="21"/>
                <w:szCs w:val="21"/>
                <w:highlight w:val="none"/>
              </w:rPr>
            </w:pPr>
          </w:p>
        </w:tc>
        <w:tc>
          <w:tcPr>
            <w:tcW w:w="537" w:type="pct"/>
            <w:tcBorders>
              <w:left w:val="single" w:color="auto" w:sz="2" w:space="0"/>
            </w:tcBorders>
            <w:noWrap w:val="0"/>
            <w:vAlign w:val="center"/>
          </w:tcPr>
          <w:p w14:paraId="696DE48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w:t>
            </w:r>
            <w:r>
              <w:rPr>
                <w:rFonts w:hint="default" w:ascii="Times New Roman" w:hAnsi="Times New Roman" w:eastAsia="宋体" w:cs="Times New Roman"/>
                <w:color w:val="auto"/>
                <w:kern w:val="2"/>
                <w:sz w:val="21"/>
                <w:szCs w:val="21"/>
                <w:highlight w:val="none"/>
                <w:vertAlign w:val="subscript"/>
              </w:rPr>
              <w:t>2</w:t>
            </w:r>
            <w:r>
              <w:rPr>
                <w:rFonts w:hint="default" w:ascii="Times New Roman" w:hAnsi="Times New Roman" w:eastAsia="宋体" w:cs="Times New Roman"/>
                <w:color w:val="auto"/>
                <w:kern w:val="2"/>
                <w:sz w:val="21"/>
                <w:szCs w:val="21"/>
                <w:highlight w:val="none"/>
              </w:rPr>
              <w:t>S</w:t>
            </w:r>
          </w:p>
        </w:tc>
        <w:tc>
          <w:tcPr>
            <w:tcW w:w="614" w:type="pct"/>
            <w:tcBorders>
              <w:right w:val="single" w:color="auto" w:sz="4" w:space="0"/>
            </w:tcBorders>
            <w:noWrap w:val="0"/>
            <w:vAlign w:val="center"/>
          </w:tcPr>
          <w:p w14:paraId="65FAB7A8">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0.00061</w:t>
            </w:r>
          </w:p>
        </w:tc>
        <w:tc>
          <w:tcPr>
            <w:tcW w:w="614" w:type="pct"/>
            <w:tcBorders>
              <w:right w:val="single" w:color="auto" w:sz="4" w:space="0"/>
            </w:tcBorders>
            <w:noWrap w:val="0"/>
            <w:vAlign w:val="center"/>
          </w:tcPr>
          <w:p w14:paraId="77D3075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0.0053</w:t>
            </w:r>
          </w:p>
        </w:tc>
        <w:tc>
          <w:tcPr>
            <w:tcW w:w="1379" w:type="pct"/>
            <w:vMerge w:val="continue"/>
            <w:tcBorders>
              <w:left w:val="single" w:color="auto" w:sz="4" w:space="0"/>
            </w:tcBorders>
            <w:noWrap w:val="0"/>
            <w:vAlign w:val="center"/>
          </w:tcPr>
          <w:p w14:paraId="7A348CF1">
            <w:pPr>
              <w:widowControl w:val="0"/>
              <w:jc w:val="center"/>
              <w:rPr>
                <w:rFonts w:hint="default" w:ascii="Times New Roman" w:hAnsi="Times New Roman" w:eastAsia="宋体" w:cs="Times New Roman"/>
                <w:color w:val="auto"/>
                <w:kern w:val="2"/>
                <w:sz w:val="21"/>
                <w:szCs w:val="21"/>
                <w:highlight w:val="none"/>
              </w:rPr>
            </w:pPr>
          </w:p>
        </w:tc>
        <w:tc>
          <w:tcPr>
            <w:tcW w:w="1203" w:type="dxa"/>
            <w:tcBorders>
              <w:left w:val="single" w:color="auto" w:sz="4" w:space="0"/>
            </w:tcBorders>
            <w:noWrap w:val="0"/>
            <w:vAlign w:val="center"/>
          </w:tcPr>
          <w:p w14:paraId="3E2640E7">
            <w:pPr>
              <w:keepNext w:val="0"/>
              <w:keepLines w:val="0"/>
              <w:widowControl/>
              <w:suppressLineNumbers w:val="0"/>
              <w:jc w:val="center"/>
              <w:textAlignment w:val="center"/>
              <w:rPr>
                <w:rFonts w:hint="default" w:ascii="Times New Roman" w:hAnsi="Times New Roman" w:eastAsia="宋体" w:cs="Times New Roman"/>
                <w:color w:val="auto"/>
                <w:kern w:val="2"/>
                <w:sz w:val="21"/>
                <w:highlight w:val="none"/>
                <w:lang w:val="en-US" w:eastAsia="zh-CN"/>
              </w:rPr>
            </w:pPr>
            <w:r>
              <w:rPr>
                <w:rFonts w:hint="eastAsia" w:ascii="Times New Roman" w:hAnsi="Times New Roman" w:cs="Times New Roman"/>
                <w:color w:val="auto"/>
                <w:kern w:val="2"/>
                <w:sz w:val="21"/>
                <w:highlight w:val="none"/>
                <w:lang w:val="en-US" w:eastAsia="zh-CN"/>
              </w:rPr>
              <w:t>0.0000671</w:t>
            </w:r>
          </w:p>
        </w:tc>
        <w:tc>
          <w:tcPr>
            <w:tcW w:w="1203" w:type="dxa"/>
            <w:tcBorders>
              <w:left w:val="single" w:color="auto" w:sz="4" w:space="0"/>
            </w:tcBorders>
            <w:noWrap w:val="0"/>
            <w:vAlign w:val="center"/>
          </w:tcPr>
          <w:p w14:paraId="0F69C473">
            <w:pPr>
              <w:keepNext w:val="0"/>
              <w:keepLines w:val="0"/>
              <w:widowControl/>
              <w:suppressLineNumbers w:val="0"/>
              <w:jc w:val="center"/>
              <w:textAlignment w:val="center"/>
              <w:rPr>
                <w:rFonts w:hint="default" w:ascii="Times New Roman" w:hAnsi="Times New Roman" w:eastAsia="宋体" w:cs="Times New Roman"/>
                <w:color w:val="auto"/>
                <w:kern w:val="2"/>
                <w:sz w:val="21"/>
                <w:highlight w:val="none"/>
                <w:lang w:val="en-US" w:eastAsia="zh-CN"/>
              </w:rPr>
            </w:pPr>
            <w:r>
              <w:rPr>
                <w:rFonts w:hint="eastAsia" w:ascii="Times New Roman" w:hAnsi="Times New Roman" w:cs="Times New Roman"/>
                <w:color w:val="auto"/>
                <w:kern w:val="2"/>
                <w:sz w:val="21"/>
                <w:highlight w:val="none"/>
                <w:lang w:val="en-US" w:eastAsia="zh-CN"/>
              </w:rPr>
              <w:t>0.000588</w:t>
            </w:r>
          </w:p>
        </w:tc>
      </w:tr>
    </w:tbl>
    <w:p w14:paraId="6169F4BB">
      <w:pPr>
        <w:widowControl w:val="0"/>
        <w:spacing w:line="520" w:lineRule="exact"/>
        <w:ind w:firstLine="482" w:firstLineChars="200"/>
        <w:jc w:val="both"/>
        <w:rPr>
          <w:rFonts w:hint="default" w:ascii="Times New Roman" w:hAnsi="Times New Roman" w:eastAsia="宋体" w:cs="Times New Roman"/>
          <w:b/>
          <w:color w:val="auto"/>
          <w:kern w:val="2"/>
          <w:sz w:val="24"/>
          <w:highlight w:val="none"/>
        </w:rPr>
      </w:pPr>
      <w:r>
        <w:rPr>
          <w:rFonts w:hint="eastAsia" w:ascii="Times New Roman" w:hAnsi="Times New Roman" w:cs="Times New Roman"/>
          <w:b/>
          <w:color w:val="auto"/>
          <w:kern w:val="2"/>
          <w:sz w:val="24"/>
          <w:highlight w:val="none"/>
          <w:lang w:val="en-US" w:eastAsia="zh-CN"/>
        </w:rPr>
        <w:t>3</w:t>
      </w:r>
      <w:r>
        <w:rPr>
          <w:rFonts w:hint="default" w:ascii="Times New Roman" w:hAnsi="Times New Roman" w:eastAsia="宋体" w:cs="Times New Roman"/>
          <w:b/>
          <w:color w:val="auto"/>
          <w:kern w:val="2"/>
          <w:sz w:val="24"/>
          <w:highlight w:val="none"/>
        </w:rPr>
        <w:t>、</w:t>
      </w:r>
      <w:r>
        <w:rPr>
          <w:rFonts w:hint="default" w:ascii="Times New Roman" w:hAnsi="Times New Roman" w:eastAsia="宋体" w:cs="Times New Roman"/>
          <w:b/>
          <w:color w:val="auto"/>
          <w:kern w:val="2"/>
          <w:sz w:val="24"/>
          <w:highlight w:val="none"/>
          <w:lang w:eastAsia="zh-CN"/>
        </w:rPr>
        <w:t>现有工程</w:t>
      </w:r>
      <w:r>
        <w:rPr>
          <w:rFonts w:hint="default" w:ascii="Times New Roman" w:hAnsi="Times New Roman" w:eastAsia="宋体" w:cs="Times New Roman"/>
          <w:b/>
          <w:color w:val="auto"/>
          <w:kern w:val="2"/>
          <w:sz w:val="24"/>
          <w:highlight w:val="none"/>
        </w:rPr>
        <w:t>污染物产排情况</w:t>
      </w:r>
    </w:p>
    <w:p w14:paraId="12C6326D">
      <w:pPr>
        <w:pStyle w:val="2"/>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2"/>
          <w:sz w:val="24"/>
          <w:highlight w:val="none"/>
          <w:lang w:eastAsia="zh-CN"/>
        </w:rPr>
        <w:t>现有工程</w:t>
      </w:r>
      <w:r>
        <w:rPr>
          <w:rFonts w:hint="default" w:ascii="Times New Roman" w:hAnsi="Times New Roman" w:eastAsia="宋体" w:cs="Times New Roman"/>
          <w:color w:val="auto"/>
          <w:kern w:val="2"/>
          <w:sz w:val="24"/>
          <w:highlight w:val="none"/>
        </w:rPr>
        <w:t>废气污染物主要为NH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w:t>
      </w:r>
      <w:r>
        <w:rPr>
          <w:rFonts w:hint="eastAsia" w:ascii="Times New Roman" w:cs="Times New Roman"/>
          <w:color w:val="auto"/>
          <w:kern w:val="2"/>
          <w:sz w:val="24"/>
          <w:highlight w:val="none"/>
          <w:lang w:val="en-US" w:eastAsia="zh-CN"/>
        </w:rPr>
        <w:t>根据</w:t>
      </w:r>
      <w:r>
        <w:rPr>
          <w:rFonts w:hint="default" w:ascii="Times New Roman" w:hAnsi="Times New Roman" w:eastAsia="宋体" w:cs="Times New Roman"/>
          <w:color w:val="auto"/>
          <w:kern w:val="0"/>
          <w:sz w:val="24"/>
          <w:szCs w:val="24"/>
          <w:highlight w:val="none"/>
          <w:lang w:val="en-US" w:eastAsia="zh-CN" w:bidi="ar-SA"/>
        </w:rPr>
        <w:t>本项目</w:t>
      </w:r>
      <w:r>
        <w:rPr>
          <w:rFonts w:hint="eastAsia" w:ascii="Times New Roman" w:hAnsi="Times New Roman" w:eastAsia="宋体" w:cs="Times New Roman"/>
          <w:color w:val="auto"/>
          <w:kern w:val="0"/>
          <w:sz w:val="24"/>
          <w:szCs w:val="24"/>
          <w:highlight w:val="none"/>
          <w:lang w:val="en-US" w:eastAsia="zh-CN" w:bidi="ar-SA"/>
        </w:rPr>
        <w:t>废气现状实际监测结果</w:t>
      </w:r>
      <w:r>
        <w:rPr>
          <w:rFonts w:hint="default" w:ascii="Times New Roman" w:hAnsi="Times New Roman" w:eastAsia="宋体" w:cs="Times New Roman"/>
          <w:color w:val="auto"/>
          <w:kern w:val="0"/>
          <w:sz w:val="24"/>
          <w:szCs w:val="24"/>
          <w:highlight w:val="none"/>
          <w:lang w:val="en-US" w:eastAsia="zh-CN" w:bidi="ar-SA"/>
        </w:rPr>
        <w:t>委托黑龙江克巽检测技术有限公司于2025年7月19日~2025年7月25日为期7天监测有效数据，根据</w:t>
      </w:r>
      <w:r>
        <w:rPr>
          <w:rFonts w:hint="eastAsia" w:ascii="Times New Roman" w:hAnsi="Times New Roman" w:eastAsia="宋体" w:cs="Times New Roman"/>
          <w:color w:val="auto"/>
          <w:kern w:val="0"/>
          <w:sz w:val="24"/>
          <w:szCs w:val="24"/>
          <w:highlight w:val="none"/>
          <w:lang w:val="en-US" w:eastAsia="zh-CN" w:bidi="ar-SA"/>
        </w:rPr>
        <w:t>实际监测结果可知</w:t>
      </w:r>
      <w:r>
        <w:rPr>
          <w:rFonts w:hint="default" w:ascii="Times New Roman" w:hAnsi="Times New Roman" w:eastAsia="宋体" w:cs="Times New Roman"/>
          <w:color w:val="auto"/>
          <w:kern w:val="0"/>
          <w:sz w:val="24"/>
          <w:szCs w:val="24"/>
          <w:highlight w:val="none"/>
          <w:lang w:val="en-US" w:eastAsia="zh-CN" w:bidi="ar-SA"/>
        </w:rPr>
        <w:t>，1#厂区内监测点</w:t>
      </w:r>
      <w:r>
        <w:rPr>
          <w:rFonts w:hint="eastAsia" w:ascii="Times New Roman" w:hAnsi="Times New Roman" w:eastAsia="宋体" w:cs="Times New Roman"/>
          <w:color w:val="auto"/>
          <w:kern w:val="0"/>
          <w:sz w:val="24"/>
          <w:szCs w:val="24"/>
          <w:highlight w:val="none"/>
          <w:lang w:val="en-US" w:eastAsia="zh-CN" w:bidi="ar-SA"/>
        </w:rPr>
        <w:t>颗粒物的排放浓度为0.189~0.226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，氨的排放浓度为0.02~0.06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，硫化氢的排放浓度为0.002~0.007</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，臭气浓度排放值为</w:t>
      </w:r>
      <w:r>
        <w:rPr>
          <w:rFonts w:hint="eastAsia" w:ascii="Times New Roman" w:cs="Times New Roman"/>
          <w:color w:val="auto"/>
          <w:sz w:val="24"/>
          <w:szCs w:val="24"/>
          <w:highlight w:val="none"/>
          <w:vertAlign w:val="baseline"/>
          <w:lang w:val="en-US" w:eastAsia="zh-CN"/>
        </w:rPr>
        <w:t>11-15</w:t>
      </w:r>
      <w:r>
        <w:rPr>
          <w:rFonts w:hint="eastAsia" w:ascii="Times New Roman" w:hAnsi="Times New Roman" w:eastAsia="宋体" w:cs="Times New Roman"/>
          <w:color w:val="auto"/>
          <w:sz w:val="24"/>
          <w:szCs w:val="24"/>
          <w:highlight w:val="none"/>
          <w:vertAlign w:val="baseline"/>
          <w:lang w:val="en-US" w:eastAsia="zh-CN"/>
        </w:rPr>
        <w:t>（无量纲）。1#厂区内监测点颗粒物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6B0BE61E">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根据实际监测结果可知，2#厂区下风向监测点</w:t>
      </w:r>
      <w:r>
        <w:rPr>
          <w:rFonts w:hint="eastAsia" w:ascii="Times New Roman" w:hAnsi="Times New Roman" w:eastAsia="宋体" w:cs="Times New Roman"/>
          <w:color w:val="auto"/>
          <w:kern w:val="0"/>
          <w:sz w:val="24"/>
          <w:szCs w:val="24"/>
          <w:highlight w:val="none"/>
          <w:lang w:val="en-US" w:eastAsia="zh-CN" w:bidi="ar-SA"/>
        </w:rPr>
        <w:t>颗粒物的排放浓度为0.198~0.24</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，氨、硫化氢的排放浓度未检出，均在检出限线以下。臭气浓度排放值为&lt;10（无量纲）。2#厂区下风向监测点颗粒物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2CE2DCF3">
      <w:pPr>
        <w:spacing w:line="360" w:lineRule="auto"/>
        <w:ind w:firstLine="480" w:firstLineChars="200"/>
        <w:jc w:val="both"/>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0"/>
          <w:sz w:val="24"/>
          <w:szCs w:val="24"/>
          <w:highlight w:val="none"/>
          <w:lang w:val="en-US" w:eastAsia="zh-CN" w:bidi="ar-SA"/>
        </w:rPr>
        <w:t>说明现有工程营运后过程恶臭污染物排放量较小，对区域环境空气影响不大</w:t>
      </w:r>
      <w:r>
        <w:rPr>
          <w:rFonts w:hint="default" w:ascii="Times New Roman" w:hAnsi="Times New Roman" w:eastAsia="宋体" w:cs="Times New Roman"/>
          <w:color w:val="auto"/>
          <w:kern w:val="2"/>
          <w:sz w:val="24"/>
          <w:highlight w:val="none"/>
        </w:rPr>
        <w:t>。</w:t>
      </w:r>
    </w:p>
    <w:p w14:paraId="3CF3D63C">
      <w:pPr>
        <w:widowControl w:val="0"/>
        <w:spacing w:line="520" w:lineRule="exact"/>
        <w:ind w:firstLine="480" w:firstLineChars="200"/>
        <w:jc w:val="both"/>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lang w:eastAsia="zh-CN"/>
        </w:rPr>
        <w:t>现有工程</w:t>
      </w:r>
      <w:r>
        <w:rPr>
          <w:rFonts w:hint="default" w:ascii="Times New Roman" w:hAnsi="Times New Roman" w:eastAsia="宋体" w:cs="Times New Roman"/>
          <w:color w:val="auto"/>
          <w:kern w:val="2"/>
          <w:sz w:val="24"/>
          <w:highlight w:val="none"/>
        </w:rPr>
        <w:t>废气污染物产排情况见表</w:t>
      </w:r>
      <w:r>
        <w:rPr>
          <w:rFonts w:hint="default" w:ascii="Times New Roman" w:hAnsi="Times New Roman" w:eastAsia="宋体" w:cs="Times New Roman"/>
          <w:color w:val="auto"/>
          <w:kern w:val="2"/>
          <w:sz w:val="24"/>
          <w:highlight w:val="none"/>
          <w:lang w:val="en-US" w:eastAsia="zh-CN"/>
        </w:rPr>
        <w:t>3.</w:t>
      </w:r>
      <w:r>
        <w:rPr>
          <w:rFonts w:hint="eastAsia" w:ascii="Times New Roman" w:hAnsi="Times New Roman" w:cs="Times New Roman"/>
          <w:color w:val="auto"/>
          <w:kern w:val="2"/>
          <w:sz w:val="24"/>
          <w:highlight w:val="none"/>
          <w:lang w:val="en-US" w:eastAsia="zh-CN"/>
        </w:rPr>
        <w:t>1</w:t>
      </w:r>
      <w:r>
        <w:rPr>
          <w:rFonts w:hint="default" w:ascii="Times New Roman" w:hAnsi="Times New Roman" w:eastAsia="宋体" w:cs="Times New Roman"/>
          <w:color w:val="auto"/>
          <w:kern w:val="2"/>
          <w:sz w:val="24"/>
          <w:highlight w:val="none"/>
          <w:lang w:eastAsia="zh-CN"/>
        </w:rPr>
        <w:t>-</w:t>
      </w:r>
      <w:r>
        <w:rPr>
          <w:rFonts w:hint="eastAsia" w:ascii="Times New Roman" w:hAnsi="Times New Roman" w:cs="Times New Roman"/>
          <w:color w:val="auto"/>
          <w:kern w:val="2"/>
          <w:sz w:val="24"/>
          <w:highlight w:val="none"/>
          <w:lang w:val="en-US" w:eastAsia="zh-CN"/>
        </w:rPr>
        <w:t>6</w:t>
      </w:r>
      <w:r>
        <w:rPr>
          <w:rFonts w:hint="default" w:ascii="Times New Roman" w:hAnsi="Times New Roman" w:eastAsia="宋体" w:cs="Times New Roman"/>
          <w:color w:val="auto"/>
          <w:kern w:val="2"/>
          <w:sz w:val="24"/>
          <w:highlight w:val="none"/>
        </w:rPr>
        <w:t>。</w:t>
      </w:r>
    </w:p>
    <w:p w14:paraId="046481D3">
      <w:pPr>
        <w:widowControl w:val="0"/>
        <w:spacing w:line="520" w:lineRule="exact"/>
        <w:ind w:firstLine="420" w:firstLineChars="200"/>
        <w:jc w:val="center"/>
        <w:rPr>
          <w:rFonts w:hint="default" w:ascii="Times New Roman" w:hAnsi="Times New Roman" w:eastAsia="宋体" w:cs="Times New Roman"/>
          <w:b/>
          <w:bCs/>
          <w:color w:val="auto"/>
          <w:kern w:val="2"/>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w:t>
      </w:r>
      <w:r>
        <w:rPr>
          <w:rFonts w:hint="default" w:ascii="Times New Roman" w:hAnsi="Times New Roman" w:eastAsia="黑体" w:cs="Times New Roman"/>
          <w:b w:val="0"/>
          <w:bCs/>
          <w:smallCaps w:val="0"/>
          <w:snapToGrid/>
          <w:kern w:val="2"/>
          <w:sz w:val="21"/>
          <w:szCs w:val="24"/>
          <w:highlight w:val="none"/>
          <w:lang w:val="en-US" w:eastAsia="zh-CN" w:bidi="ar-SA"/>
        </w:rPr>
        <w:t>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6</w:t>
      </w:r>
      <w:r>
        <w:rPr>
          <w:rFonts w:hint="default" w:ascii="Times New Roman" w:hAnsi="Times New Roman" w:eastAsia="黑体" w:cs="Times New Roman"/>
          <w:b w:val="0"/>
          <w:bCs/>
          <w:smallCaps w:val="0"/>
          <w:snapToGrid/>
          <w:kern w:val="2"/>
          <w:sz w:val="21"/>
          <w:szCs w:val="24"/>
          <w:highlight w:val="none"/>
          <w:lang w:val="zh-CN" w:eastAsia="zh-CN" w:bidi="ar-SA"/>
        </w:rPr>
        <w:t xml:space="preserve">  现有工程废气污染物排放情况汇总</w:t>
      </w:r>
    </w:p>
    <w:tbl>
      <w:tblPr>
        <w:tblStyle w:val="4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28"/>
        <w:gridCol w:w="626"/>
        <w:gridCol w:w="730"/>
        <w:gridCol w:w="1108"/>
        <w:gridCol w:w="939"/>
        <w:gridCol w:w="1747"/>
        <w:gridCol w:w="1109"/>
        <w:gridCol w:w="1004"/>
      </w:tblGrid>
      <w:tr w14:paraId="1C1C9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vMerge w:val="restart"/>
            <w:noWrap w:val="0"/>
            <w:vAlign w:val="center"/>
          </w:tcPr>
          <w:p w14:paraId="6F88D6C3">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序号</w:t>
            </w:r>
          </w:p>
        </w:tc>
        <w:tc>
          <w:tcPr>
            <w:tcW w:w="491" w:type="pct"/>
            <w:vMerge w:val="restart"/>
            <w:noWrap w:val="0"/>
            <w:vAlign w:val="center"/>
          </w:tcPr>
          <w:p w14:paraId="6667C695">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污染源</w:t>
            </w:r>
          </w:p>
        </w:tc>
        <w:tc>
          <w:tcPr>
            <w:tcW w:w="805" w:type="pct"/>
            <w:gridSpan w:val="2"/>
            <w:vMerge w:val="restart"/>
            <w:noWrap w:val="0"/>
            <w:vAlign w:val="center"/>
          </w:tcPr>
          <w:p w14:paraId="0F82781F">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污染物</w:t>
            </w:r>
          </w:p>
        </w:tc>
        <w:tc>
          <w:tcPr>
            <w:tcW w:w="1211" w:type="pct"/>
            <w:gridSpan w:val="2"/>
            <w:noWrap w:val="0"/>
            <w:vAlign w:val="center"/>
          </w:tcPr>
          <w:p w14:paraId="6B622A20">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产生情况</w:t>
            </w:r>
          </w:p>
        </w:tc>
        <w:tc>
          <w:tcPr>
            <w:tcW w:w="1030" w:type="pct"/>
            <w:vMerge w:val="restart"/>
            <w:noWrap w:val="0"/>
            <w:vAlign w:val="center"/>
          </w:tcPr>
          <w:p w14:paraId="4F00DB0D">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0"/>
                <w:szCs w:val="21"/>
                <w:highlight w:val="none"/>
                <w:lang w:val="en-US" w:eastAsia="zh-CN" w:bidi="ar-SA"/>
              </w:rPr>
            </w:pPr>
            <w:r>
              <w:rPr>
                <w:rFonts w:hint="default" w:ascii="Times New Roman" w:hAnsi="Times New Roman" w:eastAsia="宋体" w:cs="Times New Roman"/>
                <w:snapToGrid w:val="0"/>
                <w:color w:val="auto"/>
                <w:kern w:val="0"/>
                <w:sz w:val="20"/>
                <w:szCs w:val="24"/>
                <w:highlight w:val="none"/>
                <w:lang w:val="en-US" w:eastAsia="zh-CN" w:bidi="ar-SA"/>
              </w:rPr>
              <w:t>治理措施</w:t>
            </w:r>
          </w:p>
        </w:tc>
        <w:tc>
          <w:tcPr>
            <w:tcW w:w="1211" w:type="pct"/>
            <w:gridSpan w:val="2"/>
            <w:noWrap w:val="0"/>
            <w:vAlign w:val="center"/>
          </w:tcPr>
          <w:p w14:paraId="2B1DF970">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排放情况</w:t>
            </w:r>
          </w:p>
        </w:tc>
      </w:tr>
      <w:tr w14:paraId="7E8276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vMerge w:val="continue"/>
            <w:noWrap w:val="0"/>
            <w:vAlign w:val="center"/>
          </w:tcPr>
          <w:p w14:paraId="03DA9324">
            <w:pPr>
              <w:widowControl w:val="0"/>
              <w:jc w:val="center"/>
              <w:rPr>
                <w:rFonts w:hint="default" w:ascii="Times New Roman" w:hAnsi="Times New Roman" w:eastAsia="宋体" w:cs="Times New Roman"/>
                <w:snapToGrid w:val="0"/>
                <w:color w:val="auto"/>
                <w:kern w:val="2"/>
                <w:sz w:val="21"/>
                <w:szCs w:val="21"/>
                <w:highlight w:val="none"/>
              </w:rPr>
            </w:pPr>
          </w:p>
        </w:tc>
        <w:tc>
          <w:tcPr>
            <w:tcW w:w="491" w:type="pct"/>
            <w:vMerge w:val="continue"/>
            <w:noWrap w:val="0"/>
            <w:vAlign w:val="center"/>
          </w:tcPr>
          <w:p w14:paraId="1C69A16B">
            <w:pPr>
              <w:widowControl w:val="0"/>
              <w:jc w:val="center"/>
              <w:rPr>
                <w:rFonts w:hint="default" w:ascii="Times New Roman" w:hAnsi="Times New Roman" w:eastAsia="宋体" w:cs="Times New Roman"/>
                <w:snapToGrid w:val="0"/>
                <w:color w:val="auto"/>
                <w:kern w:val="2"/>
                <w:sz w:val="21"/>
                <w:szCs w:val="21"/>
                <w:highlight w:val="none"/>
              </w:rPr>
            </w:pPr>
          </w:p>
        </w:tc>
        <w:tc>
          <w:tcPr>
            <w:tcW w:w="805" w:type="pct"/>
            <w:gridSpan w:val="2"/>
            <w:vMerge w:val="continue"/>
            <w:noWrap w:val="0"/>
            <w:vAlign w:val="center"/>
          </w:tcPr>
          <w:p w14:paraId="3EEBB739">
            <w:pPr>
              <w:widowControl w:val="0"/>
              <w:jc w:val="center"/>
              <w:rPr>
                <w:rFonts w:hint="default" w:ascii="Times New Roman" w:hAnsi="Times New Roman" w:eastAsia="宋体" w:cs="Times New Roman"/>
                <w:snapToGrid w:val="0"/>
                <w:color w:val="auto"/>
                <w:kern w:val="2"/>
                <w:sz w:val="21"/>
                <w:szCs w:val="21"/>
                <w:highlight w:val="none"/>
              </w:rPr>
            </w:pPr>
          </w:p>
        </w:tc>
        <w:tc>
          <w:tcPr>
            <w:tcW w:w="655" w:type="pct"/>
            <w:noWrap w:val="0"/>
            <w:vAlign w:val="center"/>
          </w:tcPr>
          <w:p w14:paraId="22722101">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color w:val="auto"/>
                <w:kern w:val="2"/>
                <w:sz w:val="21"/>
                <w:szCs w:val="21"/>
                <w:highlight w:val="none"/>
              </w:rPr>
              <w:t>kg/h</w:t>
            </w:r>
          </w:p>
        </w:tc>
        <w:tc>
          <w:tcPr>
            <w:tcW w:w="555" w:type="pct"/>
            <w:noWrap w:val="0"/>
            <w:vAlign w:val="center"/>
          </w:tcPr>
          <w:p w14:paraId="5FA698D6">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color w:val="auto"/>
                <w:kern w:val="2"/>
                <w:sz w:val="21"/>
                <w:szCs w:val="21"/>
                <w:highlight w:val="none"/>
              </w:rPr>
              <w:t>t/a</w:t>
            </w:r>
          </w:p>
        </w:tc>
        <w:tc>
          <w:tcPr>
            <w:tcW w:w="1030" w:type="pct"/>
            <w:vMerge w:val="continue"/>
            <w:noWrap w:val="0"/>
            <w:vAlign w:val="center"/>
          </w:tcPr>
          <w:p w14:paraId="6DD7AB42">
            <w:pPr>
              <w:widowControl w:val="0"/>
              <w:jc w:val="center"/>
              <w:rPr>
                <w:rFonts w:hint="default" w:ascii="Times New Roman" w:hAnsi="Times New Roman" w:eastAsia="宋体" w:cs="Times New Roman"/>
                <w:snapToGrid w:val="0"/>
                <w:color w:val="auto"/>
                <w:kern w:val="2"/>
                <w:sz w:val="21"/>
                <w:szCs w:val="21"/>
                <w:highlight w:val="none"/>
              </w:rPr>
            </w:pPr>
          </w:p>
        </w:tc>
        <w:tc>
          <w:tcPr>
            <w:tcW w:w="655" w:type="pct"/>
            <w:noWrap w:val="0"/>
            <w:vAlign w:val="center"/>
          </w:tcPr>
          <w:p w14:paraId="54994EF0">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color w:val="auto"/>
                <w:kern w:val="2"/>
                <w:sz w:val="21"/>
                <w:szCs w:val="21"/>
                <w:highlight w:val="none"/>
              </w:rPr>
              <w:t>kg/h</w:t>
            </w:r>
          </w:p>
        </w:tc>
        <w:tc>
          <w:tcPr>
            <w:tcW w:w="555" w:type="pct"/>
            <w:noWrap w:val="0"/>
            <w:vAlign w:val="center"/>
          </w:tcPr>
          <w:p w14:paraId="7532E3CA">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color w:val="auto"/>
                <w:kern w:val="2"/>
                <w:sz w:val="21"/>
                <w:szCs w:val="21"/>
                <w:highlight w:val="none"/>
              </w:rPr>
              <w:t>t/a</w:t>
            </w:r>
          </w:p>
        </w:tc>
      </w:tr>
      <w:tr w14:paraId="7ED4A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5" w:hRule="atLeast"/>
        </w:trPr>
        <w:tc>
          <w:tcPr>
            <w:tcW w:w="250" w:type="pct"/>
            <w:vMerge w:val="restart"/>
            <w:noWrap w:val="0"/>
            <w:vAlign w:val="center"/>
          </w:tcPr>
          <w:p w14:paraId="2B66272A">
            <w:pPr>
              <w:widowControl w:val="0"/>
              <w:jc w:val="center"/>
              <w:rPr>
                <w:rFonts w:hint="default" w:ascii="Times New Roman" w:hAnsi="Times New Roman" w:eastAsia="宋体" w:cs="Times New Roman"/>
                <w:snapToGrid w:val="0"/>
                <w:color w:val="auto"/>
                <w:kern w:val="2"/>
                <w:sz w:val="21"/>
                <w:szCs w:val="21"/>
                <w:highlight w:val="none"/>
              </w:rPr>
            </w:pPr>
            <w:r>
              <w:rPr>
                <w:rFonts w:hint="default" w:ascii="Times New Roman" w:hAnsi="Times New Roman" w:eastAsia="宋体" w:cs="Times New Roman"/>
                <w:snapToGrid w:val="0"/>
                <w:color w:val="auto"/>
                <w:kern w:val="2"/>
                <w:sz w:val="21"/>
                <w:szCs w:val="21"/>
                <w:highlight w:val="none"/>
              </w:rPr>
              <w:t>1</w:t>
            </w:r>
          </w:p>
        </w:tc>
        <w:tc>
          <w:tcPr>
            <w:tcW w:w="491" w:type="pct"/>
            <w:vMerge w:val="restart"/>
            <w:noWrap w:val="0"/>
            <w:vAlign w:val="center"/>
          </w:tcPr>
          <w:p w14:paraId="6F17BF1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猪舍</w:t>
            </w:r>
          </w:p>
        </w:tc>
        <w:tc>
          <w:tcPr>
            <w:tcW w:w="372" w:type="pct"/>
            <w:vMerge w:val="restart"/>
            <w:noWrap w:val="0"/>
            <w:vAlign w:val="center"/>
          </w:tcPr>
          <w:p w14:paraId="038B519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无组织</w:t>
            </w:r>
          </w:p>
        </w:tc>
        <w:tc>
          <w:tcPr>
            <w:tcW w:w="432" w:type="pct"/>
            <w:noWrap w:val="0"/>
            <w:vAlign w:val="center"/>
          </w:tcPr>
          <w:p w14:paraId="07F81F5E">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NH</w:t>
            </w:r>
            <w:r>
              <w:rPr>
                <w:rFonts w:hint="default" w:ascii="Times New Roman" w:hAnsi="Times New Roman" w:eastAsia="宋体" w:cs="Times New Roman"/>
                <w:color w:val="auto"/>
                <w:kern w:val="2"/>
                <w:sz w:val="21"/>
                <w:szCs w:val="21"/>
                <w:highlight w:val="none"/>
                <w:vertAlign w:val="subscript"/>
              </w:rPr>
              <w:t>3</w:t>
            </w:r>
          </w:p>
        </w:tc>
        <w:tc>
          <w:tcPr>
            <w:tcW w:w="1117" w:type="dxa"/>
            <w:noWrap w:val="0"/>
            <w:vAlign w:val="center"/>
          </w:tcPr>
          <w:p w14:paraId="52DF6441">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highlight w:val="none"/>
                <w:lang w:val="en-US" w:eastAsia="zh-CN"/>
              </w:rPr>
              <w:t>0.02</w:t>
            </w:r>
          </w:p>
        </w:tc>
        <w:tc>
          <w:tcPr>
            <w:tcW w:w="946" w:type="dxa"/>
            <w:noWrap w:val="0"/>
            <w:vAlign w:val="center"/>
          </w:tcPr>
          <w:p w14:paraId="33BD4505">
            <w:pPr>
              <w:widowControl w:val="0"/>
              <w:jc w:val="center"/>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lang w:val="en-US" w:eastAsia="zh-CN"/>
              </w:rPr>
              <w:t>0.1752</w:t>
            </w:r>
          </w:p>
        </w:tc>
        <w:tc>
          <w:tcPr>
            <w:tcW w:w="1030" w:type="pct"/>
            <w:vMerge w:val="restart"/>
            <w:noWrap w:val="0"/>
            <w:vAlign w:val="center"/>
          </w:tcPr>
          <w:p w14:paraId="1754BCA2">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0"/>
                <w:szCs w:val="21"/>
                <w:highlight w:val="none"/>
                <w:lang w:val="en-US" w:eastAsia="zh-CN" w:bidi="ar-SA"/>
              </w:rPr>
            </w:pPr>
            <w:r>
              <w:rPr>
                <w:rFonts w:hint="default" w:ascii="Times New Roman" w:hAnsi="Times New Roman" w:eastAsia="宋体" w:cs="Times New Roman"/>
                <w:snapToGrid w:val="0"/>
                <w:color w:val="auto"/>
                <w:kern w:val="0"/>
                <w:sz w:val="20"/>
                <w:szCs w:val="24"/>
                <w:highlight w:val="none"/>
                <w:lang w:val="en-US" w:eastAsia="zh-CN" w:bidi="ar-SA"/>
              </w:rPr>
              <w:t>日粮中添加EM菌，NH</w:t>
            </w:r>
            <w:r>
              <w:rPr>
                <w:rFonts w:hint="default" w:ascii="Times New Roman" w:hAnsi="Times New Roman" w:eastAsia="宋体" w:cs="Times New Roman"/>
                <w:snapToGrid w:val="0"/>
                <w:color w:val="auto"/>
                <w:kern w:val="0"/>
                <w:sz w:val="20"/>
                <w:szCs w:val="24"/>
                <w:highlight w:val="none"/>
                <w:vertAlign w:val="subscript"/>
                <w:lang w:val="en-US" w:eastAsia="zh-CN" w:bidi="ar-SA"/>
              </w:rPr>
              <w:t>3</w:t>
            </w:r>
            <w:r>
              <w:rPr>
                <w:rFonts w:hint="default" w:ascii="Times New Roman" w:hAnsi="Times New Roman" w:eastAsia="宋体" w:cs="Times New Roman"/>
                <w:snapToGrid w:val="0"/>
                <w:color w:val="auto"/>
                <w:kern w:val="0"/>
                <w:sz w:val="20"/>
                <w:szCs w:val="24"/>
                <w:highlight w:val="none"/>
                <w:lang w:val="en-US" w:eastAsia="zh-CN" w:bidi="ar-SA"/>
              </w:rPr>
              <w:t>的去除率为72.5%，H</w:t>
            </w:r>
            <w:r>
              <w:rPr>
                <w:rFonts w:hint="default" w:ascii="Times New Roman" w:hAnsi="Times New Roman" w:eastAsia="宋体" w:cs="Times New Roman"/>
                <w:snapToGrid w:val="0"/>
                <w:color w:val="auto"/>
                <w:kern w:val="0"/>
                <w:sz w:val="20"/>
                <w:szCs w:val="24"/>
                <w:highlight w:val="none"/>
                <w:vertAlign w:val="subscript"/>
                <w:lang w:val="en-US" w:eastAsia="zh-CN" w:bidi="ar-SA"/>
              </w:rPr>
              <w:t>2</w:t>
            </w:r>
            <w:r>
              <w:rPr>
                <w:rFonts w:hint="default" w:ascii="Times New Roman" w:hAnsi="Times New Roman" w:eastAsia="宋体" w:cs="Times New Roman"/>
                <w:snapToGrid w:val="0"/>
                <w:color w:val="auto"/>
                <w:kern w:val="0"/>
                <w:sz w:val="20"/>
                <w:szCs w:val="24"/>
                <w:highlight w:val="none"/>
                <w:lang w:val="en-US" w:eastAsia="zh-CN" w:bidi="ar-SA"/>
              </w:rPr>
              <w:t>S的去除率为81.5%在猪舍喷洒生物除臭剂，NH</w:t>
            </w:r>
            <w:r>
              <w:rPr>
                <w:rFonts w:hint="default" w:ascii="Times New Roman" w:hAnsi="Times New Roman" w:eastAsia="宋体" w:cs="Times New Roman"/>
                <w:snapToGrid w:val="0"/>
                <w:color w:val="auto"/>
                <w:kern w:val="0"/>
                <w:sz w:val="20"/>
                <w:szCs w:val="24"/>
                <w:highlight w:val="none"/>
                <w:vertAlign w:val="subscript"/>
                <w:lang w:val="en-US" w:eastAsia="zh-CN" w:bidi="ar-SA"/>
              </w:rPr>
              <w:t>3</w:t>
            </w:r>
            <w:r>
              <w:rPr>
                <w:rFonts w:hint="default" w:ascii="Times New Roman" w:hAnsi="Times New Roman" w:eastAsia="宋体" w:cs="Times New Roman"/>
                <w:snapToGrid w:val="0"/>
                <w:color w:val="auto"/>
                <w:kern w:val="0"/>
                <w:sz w:val="20"/>
                <w:szCs w:val="24"/>
                <w:highlight w:val="none"/>
                <w:lang w:val="en-US" w:eastAsia="zh-CN" w:bidi="ar-SA"/>
              </w:rPr>
              <w:t>的去除率为92.6%，H</w:t>
            </w:r>
            <w:r>
              <w:rPr>
                <w:rFonts w:hint="default" w:ascii="Times New Roman" w:hAnsi="Times New Roman" w:eastAsia="宋体" w:cs="Times New Roman"/>
                <w:snapToGrid w:val="0"/>
                <w:color w:val="auto"/>
                <w:kern w:val="0"/>
                <w:sz w:val="20"/>
                <w:szCs w:val="24"/>
                <w:highlight w:val="none"/>
                <w:vertAlign w:val="subscript"/>
                <w:lang w:val="en-US" w:eastAsia="zh-CN" w:bidi="ar-SA"/>
              </w:rPr>
              <w:t>2</w:t>
            </w:r>
            <w:r>
              <w:rPr>
                <w:rFonts w:hint="default" w:ascii="Times New Roman" w:hAnsi="Times New Roman" w:eastAsia="宋体" w:cs="Times New Roman"/>
                <w:snapToGrid w:val="0"/>
                <w:color w:val="auto"/>
                <w:kern w:val="0"/>
                <w:sz w:val="20"/>
                <w:szCs w:val="24"/>
                <w:highlight w:val="none"/>
                <w:lang w:val="en-US" w:eastAsia="zh-CN" w:bidi="ar-SA"/>
              </w:rPr>
              <w:t>S的去除率为89%</w:t>
            </w:r>
          </w:p>
        </w:tc>
        <w:tc>
          <w:tcPr>
            <w:tcW w:w="1117" w:type="dxa"/>
            <w:noWrap w:val="0"/>
            <w:vAlign w:val="center"/>
          </w:tcPr>
          <w:p w14:paraId="0CF533EB">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highlight w:val="none"/>
                <w:lang w:val="en-US" w:eastAsia="zh-CN"/>
              </w:rPr>
              <w:t>0.000407</w:t>
            </w:r>
          </w:p>
        </w:tc>
        <w:tc>
          <w:tcPr>
            <w:tcW w:w="946" w:type="dxa"/>
            <w:noWrap w:val="0"/>
            <w:vAlign w:val="center"/>
          </w:tcPr>
          <w:p w14:paraId="124C816D">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highlight w:val="none"/>
                <w:lang w:val="en-US" w:eastAsia="zh-CN"/>
              </w:rPr>
              <w:t>0.00223</w:t>
            </w:r>
          </w:p>
        </w:tc>
      </w:tr>
      <w:tr w14:paraId="7F4479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vMerge w:val="continue"/>
            <w:noWrap w:val="0"/>
            <w:vAlign w:val="center"/>
          </w:tcPr>
          <w:p w14:paraId="59787F14">
            <w:pPr>
              <w:widowControl w:val="0"/>
              <w:jc w:val="center"/>
              <w:rPr>
                <w:rFonts w:hint="default" w:ascii="Times New Roman" w:hAnsi="Times New Roman" w:eastAsia="宋体" w:cs="Times New Roman"/>
                <w:snapToGrid w:val="0"/>
                <w:color w:val="auto"/>
                <w:kern w:val="2"/>
                <w:sz w:val="21"/>
                <w:szCs w:val="21"/>
                <w:highlight w:val="none"/>
              </w:rPr>
            </w:pPr>
          </w:p>
        </w:tc>
        <w:tc>
          <w:tcPr>
            <w:tcW w:w="491" w:type="pct"/>
            <w:vMerge w:val="continue"/>
            <w:noWrap w:val="0"/>
            <w:vAlign w:val="center"/>
          </w:tcPr>
          <w:p w14:paraId="730C33F1">
            <w:pPr>
              <w:widowControl w:val="0"/>
              <w:jc w:val="center"/>
              <w:rPr>
                <w:rFonts w:hint="default" w:ascii="Times New Roman" w:hAnsi="Times New Roman" w:eastAsia="宋体" w:cs="Times New Roman"/>
                <w:color w:val="auto"/>
                <w:kern w:val="2"/>
                <w:sz w:val="21"/>
                <w:szCs w:val="21"/>
                <w:highlight w:val="none"/>
              </w:rPr>
            </w:pPr>
          </w:p>
        </w:tc>
        <w:tc>
          <w:tcPr>
            <w:tcW w:w="372" w:type="pct"/>
            <w:vMerge w:val="continue"/>
            <w:noWrap w:val="0"/>
            <w:vAlign w:val="center"/>
          </w:tcPr>
          <w:p w14:paraId="3E0FAE9F">
            <w:pPr>
              <w:widowControl w:val="0"/>
              <w:jc w:val="center"/>
              <w:rPr>
                <w:rFonts w:hint="default" w:ascii="Times New Roman" w:hAnsi="Times New Roman" w:eastAsia="宋体" w:cs="Times New Roman"/>
                <w:color w:val="auto"/>
                <w:kern w:val="2"/>
                <w:sz w:val="21"/>
                <w:szCs w:val="21"/>
                <w:highlight w:val="none"/>
              </w:rPr>
            </w:pPr>
          </w:p>
        </w:tc>
        <w:tc>
          <w:tcPr>
            <w:tcW w:w="432" w:type="pct"/>
            <w:noWrap w:val="0"/>
            <w:vAlign w:val="center"/>
          </w:tcPr>
          <w:p w14:paraId="1E99433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w:t>
            </w:r>
            <w:r>
              <w:rPr>
                <w:rFonts w:hint="default" w:ascii="Times New Roman" w:hAnsi="Times New Roman" w:eastAsia="宋体" w:cs="Times New Roman"/>
                <w:color w:val="auto"/>
                <w:kern w:val="2"/>
                <w:sz w:val="21"/>
                <w:szCs w:val="21"/>
                <w:highlight w:val="none"/>
                <w:vertAlign w:val="subscript"/>
              </w:rPr>
              <w:t>2</w:t>
            </w:r>
            <w:r>
              <w:rPr>
                <w:rFonts w:hint="default" w:ascii="Times New Roman" w:hAnsi="Times New Roman" w:eastAsia="宋体" w:cs="Times New Roman"/>
                <w:color w:val="auto"/>
                <w:kern w:val="2"/>
                <w:sz w:val="21"/>
                <w:szCs w:val="21"/>
                <w:highlight w:val="none"/>
              </w:rPr>
              <w:t>S</w:t>
            </w:r>
          </w:p>
        </w:tc>
        <w:tc>
          <w:tcPr>
            <w:tcW w:w="1117" w:type="dxa"/>
            <w:noWrap w:val="0"/>
            <w:vAlign w:val="center"/>
          </w:tcPr>
          <w:p w14:paraId="429EEB4C">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0.0012</w:t>
            </w:r>
          </w:p>
        </w:tc>
        <w:tc>
          <w:tcPr>
            <w:tcW w:w="946" w:type="dxa"/>
            <w:noWrap w:val="0"/>
            <w:vAlign w:val="center"/>
          </w:tcPr>
          <w:p w14:paraId="0E954C22">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0.0105</w:t>
            </w:r>
          </w:p>
        </w:tc>
        <w:tc>
          <w:tcPr>
            <w:tcW w:w="1030" w:type="pct"/>
            <w:vMerge w:val="continue"/>
            <w:noWrap w:val="0"/>
            <w:vAlign w:val="center"/>
          </w:tcPr>
          <w:p w14:paraId="2C2549B2">
            <w:pPr>
              <w:widowControl w:val="0"/>
              <w:jc w:val="center"/>
              <w:rPr>
                <w:rFonts w:hint="default" w:ascii="Times New Roman" w:hAnsi="Times New Roman" w:eastAsia="宋体" w:cs="Times New Roman"/>
                <w:color w:val="auto"/>
                <w:kern w:val="2"/>
                <w:sz w:val="21"/>
                <w:szCs w:val="21"/>
                <w:highlight w:val="none"/>
              </w:rPr>
            </w:pPr>
          </w:p>
        </w:tc>
        <w:tc>
          <w:tcPr>
            <w:tcW w:w="1117" w:type="dxa"/>
            <w:noWrap w:val="0"/>
            <w:vAlign w:val="center"/>
          </w:tcPr>
          <w:p w14:paraId="761E4150">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highlight w:val="none"/>
                <w:lang w:val="en-US" w:eastAsia="zh-CN"/>
              </w:rPr>
              <w:t>0.0000244</w:t>
            </w:r>
          </w:p>
        </w:tc>
        <w:tc>
          <w:tcPr>
            <w:tcW w:w="946" w:type="dxa"/>
            <w:noWrap w:val="0"/>
            <w:vAlign w:val="center"/>
          </w:tcPr>
          <w:p w14:paraId="3AAFB5AA">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highlight w:val="none"/>
                <w:lang w:val="en-US" w:eastAsia="zh-CN"/>
              </w:rPr>
              <w:t>0.00011</w:t>
            </w:r>
          </w:p>
        </w:tc>
      </w:tr>
      <w:tr w14:paraId="6C7439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250" w:type="pct"/>
            <w:vMerge w:val="restart"/>
            <w:noWrap w:val="0"/>
            <w:vAlign w:val="center"/>
          </w:tcPr>
          <w:p w14:paraId="16A87580">
            <w:pPr>
              <w:widowControl w:val="0"/>
              <w:jc w:val="center"/>
              <w:rPr>
                <w:rFonts w:hint="eastAsia" w:ascii="Times New Roman" w:hAnsi="Times New Roman" w:eastAsia="宋体" w:cs="Times New Roman"/>
                <w:snapToGrid w:val="0"/>
                <w:color w:val="auto"/>
                <w:kern w:val="2"/>
                <w:sz w:val="21"/>
                <w:szCs w:val="21"/>
                <w:highlight w:val="none"/>
                <w:lang w:eastAsia="zh-CN"/>
              </w:rPr>
            </w:pPr>
            <w:r>
              <w:rPr>
                <w:rFonts w:hint="eastAsia" w:ascii="Times New Roman" w:hAnsi="Times New Roman" w:cs="Times New Roman"/>
                <w:snapToGrid w:val="0"/>
                <w:color w:val="auto"/>
                <w:kern w:val="2"/>
                <w:sz w:val="21"/>
                <w:szCs w:val="21"/>
                <w:highlight w:val="none"/>
                <w:lang w:val="en-US" w:eastAsia="zh-CN"/>
              </w:rPr>
              <w:t>2</w:t>
            </w:r>
          </w:p>
        </w:tc>
        <w:tc>
          <w:tcPr>
            <w:tcW w:w="491" w:type="pct"/>
            <w:vMerge w:val="restart"/>
            <w:noWrap w:val="0"/>
            <w:vAlign w:val="center"/>
          </w:tcPr>
          <w:p w14:paraId="5C221906">
            <w:pPr>
              <w:widowControl w:val="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粪污贮存区</w:t>
            </w:r>
          </w:p>
        </w:tc>
        <w:tc>
          <w:tcPr>
            <w:tcW w:w="372" w:type="pct"/>
            <w:vMerge w:val="restart"/>
            <w:noWrap w:val="0"/>
            <w:vAlign w:val="center"/>
          </w:tcPr>
          <w:p w14:paraId="4528D1E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无组织</w:t>
            </w:r>
          </w:p>
        </w:tc>
        <w:tc>
          <w:tcPr>
            <w:tcW w:w="432" w:type="pct"/>
            <w:noWrap w:val="0"/>
            <w:vAlign w:val="center"/>
          </w:tcPr>
          <w:p w14:paraId="62E9EEF5">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NH</w:t>
            </w:r>
            <w:r>
              <w:rPr>
                <w:rFonts w:hint="default" w:ascii="Times New Roman" w:hAnsi="Times New Roman" w:eastAsia="宋体" w:cs="Times New Roman"/>
                <w:color w:val="auto"/>
                <w:kern w:val="2"/>
                <w:sz w:val="21"/>
                <w:szCs w:val="21"/>
                <w:highlight w:val="none"/>
                <w:vertAlign w:val="subscript"/>
              </w:rPr>
              <w:t>3</w:t>
            </w:r>
          </w:p>
        </w:tc>
        <w:tc>
          <w:tcPr>
            <w:tcW w:w="1117" w:type="dxa"/>
            <w:noWrap w:val="0"/>
            <w:vAlign w:val="center"/>
          </w:tcPr>
          <w:p w14:paraId="368F6F58">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highlight w:val="none"/>
                <w:lang w:val="en-US" w:eastAsia="zh-CN"/>
              </w:rPr>
              <w:t>0.0136</w:t>
            </w:r>
          </w:p>
        </w:tc>
        <w:tc>
          <w:tcPr>
            <w:tcW w:w="946" w:type="dxa"/>
            <w:noWrap w:val="0"/>
            <w:vAlign w:val="center"/>
          </w:tcPr>
          <w:p w14:paraId="2591AFF8">
            <w:pPr>
              <w:widowControl w:val="0"/>
              <w:jc w:val="center"/>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lang w:val="en-US" w:eastAsia="zh-CN"/>
              </w:rPr>
              <w:t>0.119</w:t>
            </w:r>
          </w:p>
        </w:tc>
        <w:tc>
          <w:tcPr>
            <w:tcW w:w="1030" w:type="pct"/>
            <w:vMerge w:val="restart"/>
            <w:noWrap w:val="0"/>
            <w:vAlign w:val="center"/>
          </w:tcPr>
          <w:p w14:paraId="4D7D6766">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2"/>
                <w:sz w:val="21"/>
                <w:szCs w:val="24"/>
                <w:highlight w:val="none"/>
              </w:rPr>
              <w:t>喷洒</w:t>
            </w:r>
            <w:r>
              <w:rPr>
                <w:rFonts w:hint="default" w:ascii="Times New Roman" w:hAnsi="Times New Roman" w:eastAsia="宋体" w:cs="Times New Roman"/>
                <w:snapToGrid w:val="0"/>
                <w:color w:val="auto"/>
                <w:kern w:val="2"/>
                <w:sz w:val="21"/>
                <w:szCs w:val="24"/>
                <w:highlight w:val="none"/>
                <w:lang w:eastAsia="zh-CN"/>
              </w:rPr>
              <w:t>生物</w:t>
            </w:r>
            <w:r>
              <w:rPr>
                <w:rFonts w:hint="default" w:ascii="Times New Roman" w:hAnsi="Times New Roman" w:eastAsia="宋体" w:cs="Times New Roman"/>
                <w:snapToGrid w:val="0"/>
                <w:color w:val="auto"/>
                <w:kern w:val="2"/>
                <w:sz w:val="21"/>
                <w:szCs w:val="24"/>
                <w:highlight w:val="none"/>
              </w:rPr>
              <w:t>除臭剂，NH</w:t>
            </w:r>
            <w:r>
              <w:rPr>
                <w:rFonts w:hint="default" w:ascii="Times New Roman" w:hAnsi="Times New Roman" w:eastAsia="宋体" w:cs="Times New Roman"/>
                <w:snapToGrid w:val="0"/>
                <w:color w:val="auto"/>
                <w:kern w:val="2"/>
                <w:sz w:val="21"/>
                <w:szCs w:val="24"/>
                <w:highlight w:val="none"/>
                <w:vertAlign w:val="subscript"/>
              </w:rPr>
              <w:t>3</w:t>
            </w:r>
            <w:r>
              <w:rPr>
                <w:rFonts w:hint="default" w:ascii="Times New Roman" w:hAnsi="Times New Roman" w:eastAsia="宋体" w:cs="Times New Roman"/>
                <w:snapToGrid w:val="0"/>
                <w:color w:val="auto"/>
                <w:kern w:val="2"/>
                <w:sz w:val="21"/>
                <w:szCs w:val="24"/>
                <w:highlight w:val="none"/>
              </w:rPr>
              <w:t>的去除率为</w:t>
            </w:r>
            <w:r>
              <w:rPr>
                <w:rFonts w:hint="default" w:ascii="Times New Roman" w:hAnsi="Times New Roman" w:eastAsia="宋体" w:cs="Times New Roman"/>
                <w:snapToGrid w:val="0"/>
                <w:color w:val="auto"/>
                <w:kern w:val="2"/>
                <w:sz w:val="21"/>
                <w:szCs w:val="24"/>
                <w:highlight w:val="none"/>
                <w:lang w:val="en-US" w:eastAsia="zh-CN"/>
              </w:rPr>
              <w:t>92.6</w:t>
            </w:r>
            <w:r>
              <w:rPr>
                <w:rFonts w:hint="default" w:ascii="Times New Roman" w:hAnsi="Times New Roman" w:eastAsia="宋体" w:cs="Times New Roman"/>
                <w:snapToGrid w:val="0"/>
                <w:color w:val="auto"/>
                <w:kern w:val="2"/>
                <w:sz w:val="21"/>
                <w:szCs w:val="24"/>
                <w:highlight w:val="none"/>
              </w:rPr>
              <w:t>%，H</w:t>
            </w:r>
            <w:r>
              <w:rPr>
                <w:rFonts w:hint="default" w:ascii="Times New Roman" w:hAnsi="Times New Roman" w:eastAsia="宋体" w:cs="Times New Roman"/>
                <w:snapToGrid w:val="0"/>
                <w:color w:val="auto"/>
                <w:kern w:val="2"/>
                <w:sz w:val="21"/>
                <w:szCs w:val="24"/>
                <w:highlight w:val="none"/>
                <w:vertAlign w:val="subscript"/>
              </w:rPr>
              <w:t>2</w:t>
            </w:r>
            <w:r>
              <w:rPr>
                <w:rFonts w:hint="default" w:ascii="Times New Roman" w:hAnsi="Times New Roman" w:eastAsia="宋体" w:cs="Times New Roman"/>
                <w:snapToGrid w:val="0"/>
                <w:color w:val="auto"/>
                <w:kern w:val="2"/>
                <w:sz w:val="21"/>
                <w:szCs w:val="24"/>
                <w:highlight w:val="none"/>
              </w:rPr>
              <w:t>S的去除率为</w:t>
            </w:r>
            <w:r>
              <w:rPr>
                <w:rFonts w:hint="default" w:ascii="Times New Roman" w:hAnsi="Times New Roman" w:eastAsia="宋体" w:cs="Times New Roman"/>
                <w:snapToGrid w:val="0"/>
                <w:color w:val="auto"/>
                <w:kern w:val="2"/>
                <w:sz w:val="21"/>
                <w:szCs w:val="24"/>
                <w:highlight w:val="none"/>
                <w:lang w:val="en-US" w:eastAsia="zh-CN"/>
              </w:rPr>
              <w:t>89</w:t>
            </w:r>
            <w:r>
              <w:rPr>
                <w:rFonts w:hint="default" w:ascii="Times New Roman" w:hAnsi="Times New Roman" w:eastAsia="宋体" w:cs="Times New Roman"/>
                <w:snapToGrid w:val="0"/>
                <w:color w:val="auto"/>
                <w:kern w:val="2"/>
                <w:sz w:val="21"/>
                <w:szCs w:val="24"/>
                <w:highlight w:val="none"/>
              </w:rPr>
              <w:t>%</w:t>
            </w:r>
          </w:p>
        </w:tc>
        <w:tc>
          <w:tcPr>
            <w:tcW w:w="1117" w:type="dxa"/>
            <w:noWrap w:val="0"/>
            <w:vAlign w:val="center"/>
          </w:tcPr>
          <w:p w14:paraId="22F21C3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highlight w:val="none"/>
                <w:lang w:val="en-US" w:eastAsia="zh-CN"/>
              </w:rPr>
              <w:t>0.001</w:t>
            </w:r>
          </w:p>
        </w:tc>
        <w:tc>
          <w:tcPr>
            <w:tcW w:w="946" w:type="dxa"/>
            <w:noWrap w:val="0"/>
            <w:vAlign w:val="center"/>
          </w:tcPr>
          <w:p w14:paraId="127F57E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highlight w:val="none"/>
                <w:lang w:val="en-US" w:eastAsia="zh-CN"/>
              </w:rPr>
              <w:t>0.00876</w:t>
            </w:r>
          </w:p>
        </w:tc>
      </w:tr>
      <w:tr w14:paraId="7A8BFA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vMerge w:val="continue"/>
            <w:noWrap w:val="0"/>
            <w:vAlign w:val="center"/>
          </w:tcPr>
          <w:p w14:paraId="159AA088">
            <w:pPr>
              <w:widowControl w:val="0"/>
              <w:jc w:val="center"/>
              <w:rPr>
                <w:rFonts w:hint="default" w:ascii="Times New Roman" w:hAnsi="Times New Roman" w:eastAsia="宋体" w:cs="Times New Roman"/>
                <w:snapToGrid w:val="0"/>
                <w:color w:val="auto"/>
                <w:kern w:val="2"/>
                <w:sz w:val="21"/>
                <w:szCs w:val="21"/>
                <w:highlight w:val="none"/>
              </w:rPr>
            </w:pPr>
          </w:p>
        </w:tc>
        <w:tc>
          <w:tcPr>
            <w:tcW w:w="491" w:type="pct"/>
            <w:vMerge w:val="continue"/>
            <w:noWrap w:val="0"/>
            <w:vAlign w:val="center"/>
          </w:tcPr>
          <w:p w14:paraId="6D8E95CB">
            <w:pPr>
              <w:widowControl w:val="0"/>
              <w:jc w:val="center"/>
              <w:rPr>
                <w:rFonts w:hint="default" w:ascii="Times New Roman" w:hAnsi="Times New Roman" w:eastAsia="宋体" w:cs="Times New Roman"/>
                <w:color w:val="auto"/>
                <w:kern w:val="2"/>
                <w:sz w:val="21"/>
                <w:szCs w:val="21"/>
                <w:highlight w:val="none"/>
              </w:rPr>
            </w:pPr>
          </w:p>
        </w:tc>
        <w:tc>
          <w:tcPr>
            <w:tcW w:w="372" w:type="pct"/>
            <w:vMerge w:val="continue"/>
            <w:noWrap w:val="0"/>
            <w:vAlign w:val="center"/>
          </w:tcPr>
          <w:p w14:paraId="7D160A89">
            <w:pPr>
              <w:widowControl w:val="0"/>
              <w:jc w:val="center"/>
              <w:rPr>
                <w:rFonts w:hint="default" w:ascii="Times New Roman" w:hAnsi="Times New Roman" w:eastAsia="宋体" w:cs="Times New Roman"/>
                <w:color w:val="auto"/>
                <w:kern w:val="2"/>
                <w:sz w:val="21"/>
                <w:szCs w:val="21"/>
                <w:highlight w:val="none"/>
              </w:rPr>
            </w:pPr>
          </w:p>
        </w:tc>
        <w:tc>
          <w:tcPr>
            <w:tcW w:w="432" w:type="pct"/>
            <w:noWrap w:val="0"/>
            <w:vAlign w:val="center"/>
          </w:tcPr>
          <w:p w14:paraId="1F655B98">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H</w:t>
            </w:r>
            <w:r>
              <w:rPr>
                <w:rFonts w:hint="default" w:ascii="Times New Roman" w:hAnsi="Times New Roman" w:eastAsia="宋体" w:cs="Times New Roman"/>
                <w:color w:val="auto"/>
                <w:kern w:val="2"/>
                <w:sz w:val="21"/>
                <w:szCs w:val="21"/>
                <w:highlight w:val="none"/>
                <w:vertAlign w:val="subscript"/>
              </w:rPr>
              <w:t>2</w:t>
            </w:r>
            <w:r>
              <w:rPr>
                <w:rFonts w:hint="default" w:ascii="Times New Roman" w:hAnsi="Times New Roman" w:eastAsia="宋体" w:cs="Times New Roman"/>
                <w:color w:val="auto"/>
                <w:kern w:val="2"/>
                <w:sz w:val="21"/>
                <w:szCs w:val="21"/>
                <w:highlight w:val="none"/>
              </w:rPr>
              <w:t>S</w:t>
            </w:r>
          </w:p>
        </w:tc>
        <w:tc>
          <w:tcPr>
            <w:tcW w:w="1117" w:type="dxa"/>
            <w:noWrap w:val="0"/>
            <w:vAlign w:val="center"/>
          </w:tcPr>
          <w:p w14:paraId="6860AE2D">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0.00061</w:t>
            </w:r>
          </w:p>
        </w:tc>
        <w:tc>
          <w:tcPr>
            <w:tcW w:w="946" w:type="dxa"/>
            <w:noWrap w:val="0"/>
            <w:vAlign w:val="center"/>
          </w:tcPr>
          <w:p w14:paraId="602D4A8E">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0.0053</w:t>
            </w:r>
          </w:p>
        </w:tc>
        <w:tc>
          <w:tcPr>
            <w:tcW w:w="1030" w:type="pct"/>
            <w:vMerge w:val="continue"/>
            <w:noWrap w:val="0"/>
            <w:vAlign w:val="center"/>
          </w:tcPr>
          <w:p w14:paraId="7524CB8C">
            <w:pPr>
              <w:widowControl w:val="0"/>
              <w:jc w:val="center"/>
              <w:rPr>
                <w:rFonts w:hint="default" w:ascii="Times New Roman" w:hAnsi="Times New Roman" w:eastAsia="宋体" w:cs="Times New Roman"/>
                <w:color w:val="auto"/>
                <w:kern w:val="2"/>
                <w:sz w:val="21"/>
                <w:szCs w:val="21"/>
                <w:highlight w:val="none"/>
              </w:rPr>
            </w:pPr>
          </w:p>
        </w:tc>
        <w:tc>
          <w:tcPr>
            <w:tcW w:w="1117" w:type="dxa"/>
            <w:noWrap w:val="0"/>
            <w:vAlign w:val="center"/>
          </w:tcPr>
          <w:p w14:paraId="3C9A1CA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highlight w:val="none"/>
                <w:lang w:val="en-US" w:eastAsia="zh-CN"/>
              </w:rPr>
              <w:t>0.0000671</w:t>
            </w:r>
          </w:p>
        </w:tc>
        <w:tc>
          <w:tcPr>
            <w:tcW w:w="946" w:type="dxa"/>
            <w:noWrap w:val="0"/>
            <w:vAlign w:val="center"/>
          </w:tcPr>
          <w:p w14:paraId="12DA27B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highlight w:val="none"/>
                <w:lang w:val="en-US" w:eastAsia="zh-CN"/>
              </w:rPr>
              <w:t>0.000588</w:t>
            </w:r>
          </w:p>
        </w:tc>
      </w:tr>
    </w:tbl>
    <w:p w14:paraId="2E367945">
      <w:pPr>
        <w:pStyle w:val="2"/>
        <w:keepNext w:val="0"/>
        <w:keepLines w:val="0"/>
        <w:pageBreakBefore w:val="0"/>
        <w:kinsoku/>
        <w:wordWrap/>
        <w:overflowPunct/>
        <w:topLinePunct w:val="0"/>
        <w:bidi w:val="0"/>
        <w:snapToGrid/>
        <w:spacing w:line="360" w:lineRule="auto"/>
        <w:ind w:firstLine="482"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cs="Times New Roman"/>
          <w:b/>
          <w:bCs/>
          <w:color w:val="auto"/>
          <w:kern w:val="0"/>
          <w:sz w:val="24"/>
          <w:szCs w:val="24"/>
          <w:highlight w:val="none"/>
          <w:lang w:val="en-US" w:eastAsia="zh-CN" w:bidi="ar-SA"/>
        </w:rPr>
        <w:t>二</w:t>
      </w:r>
      <w:r>
        <w:rPr>
          <w:rFonts w:hint="eastAsia" w:ascii="Times New Roman" w:hAnsi="Times New Roman" w:eastAsia="宋体" w:cs="Times New Roman"/>
          <w:b/>
          <w:bCs/>
          <w:color w:val="auto"/>
          <w:kern w:val="0"/>
          <w:sz w:val="24"/>
          <w:szCs w:val="24"/>
          <w:highlight w:val="none"/>
          <w:lang w:val="en-US" w:eastAsia="zh-CN" w:bidi="ar-SA"/>
        </w:rPr>
        <w:t>、废</w:t>
      </w:r>
      <w:r>
        <w:rPr>
          <w:rFonts w:hint="eastAsia" w:ascii="Times New Roman" w:cs="Times New Roman"/>
          <w:b/>
          <w:bCs/>
          <w:color w:val="auto"/>
          <w:kern w:val="0"/>
          <w:sz w:val="24"/>
          <w:szCs w:val="24"/>
          <w:highlight w:val="none"/>
          <w:lang w:val="en-US" w:eastAsia="zh-CN" w:bidi="ar-SA"/>
        </w:rPr>
        <w:t>水</w:t>
      </w:r>
      <w:r>
        <w:rPr>
          <w:rFonts w:hint="eastAsia" w:ascii="Times New Roman" w:hAnsi="Times New Roman" w:eastAsia="宋体" w:cs="Times New Roman"/>
          <w:b/>
          <w:bCs/>
          <w:color w:val="auto"/>
          <w:kern w:val="0"/>
          <w:sz w:val="24"/>
          <w:szCs w:val="24"/>
          <w:highlight w:val="none"/>
          <w:lang w:val="en-US" w:eastAsia="zh-CN" w:bidi="ar-SA"/>
        </w:rPr>
        <w:t>污染防治措施</w:t>
      </w:r>
    </w:p>
    <w:p w14:paraId="0C34FBA4">
      <w:pPr>
        <w:keepNext w:val="0"/>
        <w:keepLines w:val="0"/>
        <w:pageBreakBefore w:val="0"/>
        <w:kinsoku/>
        <w:wordWrap/>
        <w:overflowPunct/>
        <w:topLinePunct w:val="0"/>
        <w:bidi w:val="0"/>
        <w:snapToGrid/>
        <w:spacing w:line="360" w:lineRule="auto"/>
        <w:ind w:firstLine="480" w:firstLineChars="200"/>
        <w:jc w:val="both"/>
        <w:textAlignment w:val="auto"/>
        <w:rPr>
          <w:rFonts w:hint="default" w:ascii="Times New Roman" w:hAnsi="Times New Roman" w:cs="Times New Roman"/>
          <w:snapToGrid w:val="0"/>
          <w:color w:val="auto"/>
          <w:highlight w:val="none"/>
        </w:rPr>
      </w:pPr>
      <w:r>
        <w:rPr>
          <w:rFonts w:hint="default" w:ascii="Times New Roman" w:hAnsi="Times New Roman" w:eastAsia="宋体" w:cs="Times New Roman"/>
          <w:color w:val="auto"/>
          <w:kern w:val="0"/>
          <w:sz w:val="24"/>
          <w:szCs w:val="24"/>
          <w:highlight w:val="none"/>
          <w:lang w:val="en-US" w:eastAsia="zh-CN" w:bidi="ar-SA"/>
        </w:rPr>
        <w:t>现有工程营运过程中废水主要为养殖废水和职工生活污水，其中</w:t>
      </w:r>
      <w:r>
        <w:rPr>
          <w:rFonts w:hint="default" w:ascii="Times New Roman" w:hAnsi="Times New Roman" w:cs="Times New Roman"/>
          <w:snapToGrid w:val="0"/>
          <w:color w:val="auto"/>
          <w:highlight w:val="none"/>
        </w:rPr>
        <w:t>养殖场废水主要包括猪尿、猪舍冲洗废水、</w:t>
      </w:r>
      <w:r>
        <w:rPr>
          <w:rFonts w:hint="eastAsia" w:ascii="Times New Roman" w:hAnsi="Times New Roman" w:cs="Times New Roman"/>
          <w:snapToGrid w:val="0"/>
          <w:color w:val="auto"/>
          <w:highlight w:val="none"/>
          <w:lang w:val="en-US" w:eastAsia="zh-CN"/>
        </w:rPr>
        <w:t>洗消车间废水</w:t>
      </w:r>
      <w:r>
        <w:rPr>
          <w:rFonts w:hint="default" w:ascii="Times New Roman" w:hAnsi="Times New Roman" w:cs="Times New Roman"/>
          <w:snapToGrid w:val="0"/>
          <w:color w:val="auto"/>
          <w:highlight w:val="none"/>
        </w:rPr>
        <w:t>。项目排水采用雨污分流制，雨水经雨水收集管网收集后由场区路旁排水沟排出场外。</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eastAsia" w:ascii="Times New Roman" w:hAnsi="Times New Roman" w:cs="Times New Roman"/>
          <w:color w:val="auto"/>
          <w:highlight w:val="none"/>
          <w:lang w:val="en-US" w:eastAsia="zh-CN"/>
        </w:rPr>
        <w:t>。</w:t>
      </w:r>
    </w:p>
    <w:p w14:paraId="63F5E1B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（1）猪尿</w:t>
      </w:r>
    </w:p>
    <w:p w14:paraId="3327AA7D">
      <w:pPr>
        <w:pStyle w:val="94"/>
        <w:ind w:firstLine="480"/>
        <w:rPr>
          <w:rFonts w:hint="default" w:ascii="Times New Roman" w:hAnsi="Times New Roman" w:cs="Times New Roman"/>
          <w:snapToGrid w:val="0"/>
          <w:color w:val="auto"/>
          <w:highlight w:val="none"/>
          <w:lang w:eastAsia="zh-CN"/>
        </w:rPr>
      </w:pPr>
      <w:r>
        <w:rPr>
          <w:rFonts w:hint="default" w:ascii="Times New Roman" w:hAnsi="Times New Roman" w:cs="Times New Roman"/>
          <w:snapToGrid w:val="0"/>
          <w:color w:val="auto"/>
          <w:highlight w:val="none"/>
          <w:lang w:eastAsia="zh-CN"/>
        </w:rPr>
        <w:t>根据《畜禽养殖业污染治理工程技术规范》的资料性附录 A“畜禽养殖废水水质和粪污产生量”，</w:t>
      </w:r>
      <w:r>
        <w:rPr>
          <w:rFonts w:hint="default" w:ascii="Times New Roman" w:hAnsi="Times New Roman" w:cs="Times New Roman"/>
          <w:snapToGrid w:val="0"/>
          <w:color w:val="auto"/>
          <w:highlight w:val="none"/>
          <w:lang w:val="en-US" w:eastAsia="zh-CN"/>
        </w:rPr>
        <w:t>猪尿</w:t>
      </w:r>
      <w:r>
        <w:rPr>
          <w:rFonts w:hint="default" w:ascii="Times New Roman" w:hAnsi="Times New Roman" w:cs="Times New Roman"/>
          <w:snapToGrid w:val="0"/>
          <w:color w:val="auto"/>
          <w:highlight w:val="none"/>
          <w:lang w:eastAsia="zh-CN"/>
        </w:rPr>
        <w:t>量为</w:t>
      </w:r>
      <w:r>
        <w:rPr>
          <w:rFonts w:hint="default" w:ascii="Times New Roman" w:hAnsi="Times New Roman" w:cs="Times New Roman"/>
          <w:snapToGrid w:val="0"/>
          <w:color w:val="auto"/>
          <w:highlight w:val="none"/>
          <w:lang w:val="en-US" w:eastAsia="zh-CN"/>
        </w:rPr>
        <w:t>656.7</w:t>
      </w:r>
      <w:r>
        <w:rPr>
          <w:rFonts w:hint="default" w:ascii="Times New Roman" w:hAnsi="Times New Roman" w:cs="Times New Roman"/>
          <w:snapToGrid w:val="0"/>
          <w:color w:val="auto"/>
          <w:highlight w:val="none"/>
          <w:lang w:eastAsia="zh-CN"/>
        </w:rPr>
        <w:t>L/头▪a，本项目</w:t>
      </w:r>
      <w:r>
        <w:rPr>
          <w:rFonts w:hint="default" w:ascii="Times New Roman" w:hAnsi="Times New Roman" w:cs="Times New Roman"/>
          <w:snapToGrid w:val="0"/>
          <w:color w:val="auto"/>
          <w:highlight w:val="none"/>
          <w:lang w:val="en-US" w:eastAsia="zh-CN"/>
        </w:rPr>
        <w:t>现有工程</w:t>
      </w:r>
      <w:r>
        <w:rPr>
          <w:rFonts w:hint="default" w:ascii="Times New Roman" w:hAnsi="Times New Roman" w:cs="Times New Roman"/>
          <w:snapToGrid w:val="0"/>
          <w:color w:val="auto"/>
          <w:highlight w:val="none"/>
          <w:lang w:eastAsia="zh-CN"/>
        </w:rPr>
        <w:t>存栏量</w:t>
      </w:r>
      <w:r>
        <w:rPr>
          <w:rFonts w:hint="eastAsia" w:ascii="Times New Roman" w:hAnsi="Times New Roman" w:cs="Times New Roman"/>
          <w:snapToGrid w:val="0"/>
          <w:color w:val="auto"/>
          <w:highlight w:val="none"/>
          <w:lang w:val="en-US" w:eastAsia="zh-CN"/>
        </w:rPr>
        <w:t>2400</w:t>
      </w:r>
      <w:r>
        <w:rPr>
          <w:rFonts w:hint="default" w:ascii="Times New Roman" w:hAnsi="Times New Roman" w:cs="Times New Roman"/>
          <w:snapToGrid w:val="0"/>
          <w:color w:val="auto"/>
          <w:highlight w:val="none"/>
          <w:lang w:eastAsia="zh-CN"/>
        </w:rPr>
        <w:t>头，产尿量总计</w:t>
      </w:r>
      <w:r>
        <w:rPr>
          <w:rFonts w:hint="eastAsia" w:ascii="Times New Roman" w:hAnsi="Times New Roman" w:cs="Times New Roman"/>
          <w:snapToGrid w:val="0"/>
          <w:color w:val="auto"/>
          <w:highlight w:val="none"/>
          <w:lang w:val="en-US" w:eastAsia="zh-CN"/>
        </w:rPr>
        <w:t>4.8111</w:t>
      </w:r>
      <w:r>
        <w:rPr>
          <w:rFonts w:hint="default"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1756.08</w:t>
      </w:r>
      <w:r>
        <w:rPr>
          <w:rFonts w:hint="default" w:ascii="Times New Roman" w:hAnsi="Times New Roman" w:cs="Times New Roman"/>
          <w:snapToGrid w:val="0"/>
          <w:color w:val="auto"/>
          <w:highlight w:val="none"/>
          <w:lang w:eastAsia="zh-CN"/>
        </w:rPr>
        <w:t>t/a</w:t>
      </w:r>
      <w:r>
        <w:rPr>
          <w:rFonts w:hint="default" w:ascii="Times New Roman" w:hAnsi="Times New Roman" w:cs="Times New Roman"/>
          <w:snapToGrid w:val="0"/>
          <w:color w:val="auto"/>
          <w:highlight w:val="none"/>
          <w:lang w:val="en-US" w:eastAsia="zh-CN"/>
        </w:rPr>
        <w:t>。</w:t>
      </w:r>
    </w:p>
    <w:p w14:paraId="3C6BB8DF">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（2）猪舍冲洗废水</w:t>
      </w:r>
    </w:p>
    <w:p w14:paraId="6EADDFB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根据企业的实际运行经验，项目采用</w:t>
      </w:r>
      <w:r>
        <w:rPr>
          <w:rFonts w:hint="eastAsia" w:ascii="Times New Roman" w:hAnsi="Times New Roman" w:cs="Times New Roman"/>
          <w:snapToGrid w:val="0"/>
          <w:color w:val="auto"/>
          <w:highlight w:val="none"/>
          <w:lang w:val="en-US" w:eastAsia="zh-CN"/>
        </w:rPr>
        <w:t>尿泡粪—干清粪</w:t>
      </w:r>
      <w:r>
        <w:rPr>
          <w:rFonts w:hint="default" w:ascii="Times New Roman" w:hAnsi="Times New Roman" w:eastAsia="宋体" w:cs="Times New Roman"/>
          <w:snapToGrid w:val="0"/>
          <w:color w:val="auto"/>
          <w:highlight w:val="none"/>
          <w:lang w:val="en-US" w:eastAsia="zh-CN"/>
        </w:rPr>
        <w:t>工艺，粪尿全部从全漏缝地板进入地下储粪池，猪粪和尿液混合收集，粪便在</w:t>
      </w:r>
      <w:r>
        <w:rPr>
          <w:rFonts w:hint="eastAsia" w:ascii="Times New Roman" w:hAnsi="Times New Roman" w:cs="Times New Roman"/>
          <w:snapToGrid w:val="0"/>
          <w:color w:val="auto"/>
          <w:highlight w:val="none"/>
          <w:lang w:val="en-US" w:eastAsia="zh-CN"/>
        </w:rPr>
        <w:t>集粪池</w:t>
      </w:r>
      <w:r>
        <w:rPr>
          <w:rFonts w:hint="default" w:ascii="Times New Roman" w:hAnsi="Times New Roman" w:eastAsia="宋体" w:cs="Times New Roman"/>
          <w:snapToGrid w:val="0"/>
          <w:color w:val="auto"/>
          <w:highlight w:val="none"/>
          <w:lang w:val="en-US" w:eastAsia="zh-CN"/>
        </w:rPr>
        <w:t>中被尿液浸泡稀释成粪液，储存</w:t>
      </w:r>
      <w:r>
        <w:rPr>
          <w:rFonts w:hint="eastAsia" w:ascii="Times New Roman" w:hAnsi="Times New Roman" w:cs="Times New Roman"/>
          <w:snapToGrid w:val="0"/>
          <w:color w:val="auto"/>
          <w:highlight w:val="none"/>
          <w:lang w:val="en-US" w:eastAsia="zh-CN"/>
        </w:rPr>
        <w:t>30天</w:t>
      </w:r>
      <w:r>
        <w:rPr>
          <w:rFonts w:hint="default" w:ascii="Times New Roman" w:hAnsi="Times New Roman" w:eastAsia="宋体" w:cs="Times New Roman"/>
          <w:snapToGrid w:val="0"/>
          <w:color w:val="auto"/>
          <w:highlight w:val="none"/>
          <w:lang w:val="en-US" w:eastAsia="zh-CN"/>
        </w:rPr>
        <w:t>后打开排污塞子，将池中粪水排出，可最大程度的节约水资源。同时饲养过程中猪舍内不冲水，只进行清扫，从源头减少了污水的产生，</w:t>
      </w:r>
      <w:r>
        <w:rPr>
          <w:rFonts w:hint="eastAsia" w:ascii="Times New Roman" w:hAnsi="Times New Roman" w:eastAsia="宋体" w:cs="Times New Roman"/>
          <w:snapToGrid w:val="0"/>
          <w:color w:val="auto"/>
          <w:highlight w:val="none"/>
          <w:lang w:val="en-US" w:eastAsia="zh-CN"/>
        </w:rPr>
        <w:t>商品仔猪每个月售卖一批，售卖</w:t>
      </w:r>
      <w:r>
        <w:rPr>
          <w:rFonts w:hint="default" w:ascii="Times New Roman" w:hAnsi="Times New Roman" w:eastAsia="宋体" w:cs="Times New Roman"/>
          <w:snapToGrid w:val="0"/>
          <w:color w:val="auto"/>
          <w:highlight w:val="none"/>
          <w:lang w:val="en-US" w:eastAsia="zh-CN"/>
        </w:rPr>
        <w:t>后进行冲洗与消毒，即猪舍每年冲洗</w:t>
      </w:r>
      <w:r>
        <w:rPr>
          <w:rFonts w:hint="eastAsia" w:ascii="Times New Roman" w:hAnsi="Times New Roman" w:eastAsia="宋体" w:cs="Times New Roman"/>
          <w:snapToGrid w:val="0"/>
          <w:color w:val="auto"/>
          <w:highlight w:val="none"/>
          <w:lang w:val="en-US" w:eastAsia="zh-CN"/>
        </w:rPr>
        <w:t>十二</w:t>
      </w:r>
      <w:r>
        <w:rPr>
          <w:rFonts w:hint="default" w:ascii="Times New Roman" w:hAnsi="Times New Roman" w:eastAsia="宋体" w:cs="Times New Roman"/>
          <w:snapToGrid w:val="0"/>
          <w:color w:val="auto"/>
          <w:highlight w:val="none"/>
          <w:lang w:val="en-US" w:eastAsia="zh-CN"/>
        </w:rPr>
        <w:t>次，现有工程猪舍总面积约</w:t>
      </w:r>
      <w:r>
        <w:rPr>
          <w:rFonts w:hint="eastAsia" w:ascii="Times New Roman" w:hAnsi="Times New Roman" w:cs="Times New Roman"/>
          <w:snapToGrid w:val="0"/>
          <w:color w:val="auto"/>
          <w:highlight w:val="none"/>
          <w:lang w:val="en-US" w:eastAsia="zh-CN"/>
        </w:rPr>
        <w:t>3500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，一次冲洗水按20L/(m</w:t>
      </w:r>
      <w:r>
        <w:rPr>
          <w:rFonts w:hint="default" w:ascii="Times New Roman" w:hAnsi="Times New Roman" w:eastAsia="宋体" w:cs="Times New Roman"/>
          <w:snapToGrid w:val="0"/>
          <w:color w:val="auto"/>
          <w:highlight w:val="none"/>
          <w:vertAlign w:val="superscript"/>
          <w:lang w:val="en-US" w:eastAsia="zh-CN"/>
        </w:rPr>
        <w:t>2</w:t>
      </w:r>
      <w:r>
        <w:rPr>
          <w:rFonts w:hint="eastAsia" w:ascii="宋体" w:hAnsi="宋体" w:eastAsia="宋体" w:cs="宋体"/>
          <w:snapToGrid w:val="0"/>
          <w:color w:val="auto"/>
          <w:highlight w:val="none"/>
          <w:vertAlign w:val="baseline"/>
          <w:lang w:val="en-US" w:eastAsia="zh-CN"/>
        </w:rPr>
        <w:t>·</w:t>
      </w:r>
      <w:r>
        <w:rPr>
          <w:rFonts w:hint="default" w:ascii="Times New Roman" w:hAnsi="Times New Roman" w:eastAsia="宋体" w:cs="Times New Roman"/>
          <w:snapToGrid w:val="0"/>
          <w:color w:val="auto"/>
          <w:highlight w:val="none"/>
          <w:lang w:val="en-US" w:eastAsia="zh-CN"/>
        </w:rPr>
        <w:t>次)计，则猪舍年冲洗水用水量为</w:t>
      </w:r>
      <w:r>
        <w:rPr>
          <w:rFonts w:hint="eastAsia" w:ascii="Times New Roman" w:hAnsi="Times New Roman" w:cs="Times New Roman"/>
          <w:snapToGrid w:val="0"/>
          <w:color w:val="auto"/>
          <w:highlight w:val="none"/>
          <w:lang w:val="en-US" w:eastAsia="zh-CN"/>
        </w:rPr>
        <w:t>70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/次，</w:t>
      </w:r>
      <w:r>
        <w:rPr>
          <w:rFonts w:hint="eastAsia" w:ascii="Times New Roman" w:hAnsi="Times New Roman" w:cs="Times New Roman"/>
          <w:snapToGrid w:val="0"/>
          <w:color w:val="auto"/>
          <w:highlight w:val="none"/>
          <w:vertAlign w:val="baseline"/>
          <w:lang w:val="en-US" w:eastAsia="zh-CN"/>
        </w:rPr>
        <w:t>840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r>
        <w:rPr>
          <w:rFonts w:hint="eastAsia" w:ascii="Times New Roman" w:hAnsi="Times New Roman" w:cs="Times New Roman"/>
          <w:snapToGrid w:val="0"/>
          <w:color w:val="auto"/>
          <w:highlight w:val="none"/>
          <w:vertAlign w:val="baseline"/>
          <w:lang w:val="en-US" w:eastAsia="zh-CN"/>
        </w:rPr>
        <w:t>2.301</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p>
    <w:p w14:paraId="7AA38C2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本项目排水量按用水量的90%计</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则项目运行后，猪舍冲洗废水年排放量为</w:t>
      </w:r>
      <w:r>
        <w:rPr>
          <w:rFonts w:hint="eastAsia" w:ascii="Times New Roman" w:hAnsi="Times New Roman" w:cs="Times New Roman"/>
          <w:color w:val="auto"/>
          <w:highlight w:val="none"/>
          <w:lang w:val="en-US" w:eastAsia="zh-CN"/>
        </w:rPr>
        <w:t>756</w:t>
      </w:r>
      <w:r>
        <w:rPr>
          <w:rFonts w:hint="default" w:ascii="Times New Roman" w:hAnsi="Times New Roman" w:eastAsia="宋体" w:cs="Times New Roman"/>
          <w:color w:val="auto"/>
          <w:highlight w:val="none"/>
        </w:rPr>
        <w:t>t/a。详见表3</w:t>
      </w: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7</w:t>
      </w:r>
      <w:r>
        <w:rPr>
          <w:rFonts w:hint="default" w:ascii="Times New Roman" w:hAnsi="Times New Roman" w:eastAsia="宋体" w:cs="Times New Roman"/>
          <w:color w:val="auto"/>
          <w:highlight w:val="none"/>
        </w:rPr>
        <w:t>。</w:t>
      </w:r>
    </w:p>
    <w:p w14:paraId="0D34719F">
      <w:pPr>
        <w:widowControl w:val="0"/>
        <w:spacing w:line="520" w:lineRule="exact"/>
        <w:ind w:firstLine="420" w:firstLineChars="20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7  </w:t>
      </w:r>
      <w:r>
        <w:rPr>
          <w:rFonts w:hint="default" w:ascii="Times New Roman" w:hAnsi="Times New Roman" w:eastAsia="黑体" w:cs="Times New Roman"/>
          <w:b w:val="0"/>
          <w:bCs/>
          <w:smallCaps w:val="0"/>
          <w:snapToGrid/>
          <w:kern w:val="2"/>
          <w:sz w:val="21"/>
          <w:szCs w:val="24"/>
          <w:highlight w:val="none"/>
          <w:lang w:val="zh-CN" w:eastAsia="zh-CN" w:bidi="ar-SA"/>
        </w:rPr>
        <w:t>冲洗废水排放情况一览表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40"/>
        <w:gridCol w:w="4482"/>
      </w:tblGrid>
      <w:tr w14:paraId="5670B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2370" w:type="pct"/>
            <w:vAlign w:val="center"/>
          </w:tcPr>
          <w:p w14:paraId="0948521A">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日排水量（t/d）</w:t>
            </w:r>
          </w:p>
        </w:tc>
        <w:tc>
          <w:tcPr>
            <w:tcW w:w="2629" w:type="pct"/>
            <w:vAlign w:val="center"/>
          </w:tcPr>
          <w:p w14:paraId="442451D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年排水量（t/a）</w:t>
            </w:r>
          </w:p>
        </w:tc>
      </w:tr>
      <w:tr w14:paraId="0BE93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trPr>
        <w:tc>
          <w:tcPr>
            <w:tcW w:w="2370" w:type="pct"/>
            <w:vAlign w:val="center"/>
          </w:tcPr>
          <w:p w14:paraId="0200CA74">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2.071</w:t>
            </w:r>
          </w:p>
        </w:tc>
        <w:tc>
          <w:tcPr>
            <w:tcW w:w="2629" w:type="pct"/>
            <w:vAlign w:val="center"/>
          </w:tcPr>
          <w:p w14:paraId="786869E0">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756</w:t>
            </w:r>
          </w:p>
        </w:tc>
      </w:tr>
    </w:tbl>
    <w:p w14:paraId="20270222">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eastAsia="zh-CN"/>
        </w:rPr>
        <w:t>固液分离废水</w:t>
      </w:r>
    </w:p>
    <w:p w14:paraId="298725F5">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eastAsia="zh-CN"/>
        </w:rPr>
        <w:t>项目采取</w:t>
      </w:r>
      <w:r>
        <w:rPr>
          <w:rFonts w:hint="eastAsia" w:ascii="Times New Roman" w:hAnsi="Times New Roman" w:cs="Times New Roman"/>
          <w:snapToGrid w:val="0"/>
          <w:color w:val="auto"/>
          <w:highlight w:val="none"/>
          <w:lang w:eastAsia="zh-CN"/>
        </w:rPr>
        <w:t>尿泡粪—干清粪</w:t>
      </w:r>
      <w:r>
        <w:rPr>
          <w:rFonts w:hint="default" w:ascii="Times New Roman" w:hAnsi="Times New Roman" w:cs="Times New Roman"/>
          <w:snapToGrid w:val="0"/>
          <w:color w:val="auto"/>
          <w:highlight w:val="none"/>
          <w:lang w:eastAsia="zh-CN"/>
        </w:rPr>
        <w:t>方式进行清粪，</w:t>
      </w:r>
      <w:r>
        <w:rPr>
          <w:rFonts w:hint="eastAsia" w:ascii="Times New Roman" w:hAnsi="Times New Roman" w:cs="Times New Roman"/>
          <w:snapToGrid w:val="0"/>
          <w:color w:val="auto"/>
          <w:highlight w:val="none"/>
          <w:lang w:eastAsia="zh-CN"/>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根据《畜禽养殖业污染治理工程技术规范》的资料性附录 A“畜禽养殖废水水质和粪污产生量”</w:t>
      </w:r>
      <w:r>
        <w:rPr>
          <w:rFonts w:hint="eastAsia" w:ascii="Times New Roman" w:hAnsi="Times New Roman" w:cs="Times New Roman"/>
          <w:snapToGrid w:val="0"/>
          <w:color w:val="auto"/>
          <w:highlight w:val="none"/>
          <w:lang w:val="en-US" w:eastAsia="zh-CN"/>
        </w:rPr>
        <w:t>猪粪</w:t>
      </w:r>
      <w:r>
        <w:rPr>
          <w:rFonts w:hint="eastAsia"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398kg</w:t>
      </w:r>
      <w:r>
        <w:rPr>
          <w:rFonts w:hint="eastAsia" w:ascii="Times New Roman" w:hAnsi="Times New Roman" w:cs="Times New Roman"/>
          <w:snapToGrid w:val="0"/>
          <w:color w:val="auto"/>
          <w:highlight w:val="none"/>
          <w:lang w:eastAsia="zh-CN"/>
        </w:rPr>
        <w:t>/头▪a，</w:t>
      </w:r>
      <w:r>
        <w:rPr>
          <w:rFonts w:hint="eastAsia" w:ascii="Times New Roman" w:hAnsi="Times New Roman" w:cs="Times New Roman"/>
          <w:snapToGrid w:val="0"/>
          <w:color w:val="auto"/>
          <w:highlight w:val="none"/>
          <w:lang w:val="en-US" w:eastAsia="zh-CN"/>
        </w:rPr>
        <w:t>现有工程</w:t>
      </w:r>
      <w:r>
        <w:rPr>
          <w:rFonts w:hint="eastAsia" w:ascii="Times New Roman" w:hAnsi="Times New Roman" w:cs="Times New Roman"/>
          <w:snapToGrid w:val="0"/>
          <w:color w:val="auto"/>
          <w:highlight w:val="none"/>
          <w:lang w:eastAsia="zh-CN"/>
        </w:rPr>
        <w:t>常年存栏量</w:t>
      </w:r>
      <w:r>
        <w:rPr>
          <w:rFonts w:hint="eastAsia" w:ascii="Times New Roman" w:hAnsi="Times New Roman" w:cs="Times New Roman"/>
          <w:snapToGrid w:val="0"/>
          <w:color w:val="auto"/>
          <w:highlight w:val="none"/>
          <w:lang w:val="en-US" w:eastAsia="zh-CN"/>
        </w:rPr>
        <w:t>2400</w:t>
      </w:r>
      <w:r>
        <w:rPr>
          <w:rFonts w:hint="eastAsia" w:ascii="Times New Roman" w:hAnsi="Times New Roman" w:cs="Times New Roman"/>
          <w:snapToGrid w:val="0"/>
          <w:color w:val="auto"/>
          <w:highlight w:val="none"/>
          <w:lang w:eastAsia="zh-CN"/>
        </w:rPr>
        <w:t>头，产</w:t>
      </w:r>
      <w:r>
        <w:rPr>
          <w:rFonts w:hint="eastAsia" w:ascii="Times New Roman" w:hAnsi="Times New Roman" w:cs="Times New Roman"/>
          <w:snapToGrid w:val="0"/>
          <w:color w:val="auto"/>
          <w:highlight w:val="none"/>
          <w:lang w:val="en-US" w:eastAsia="zh-CN"/>
        </w:rPr>
        <w:t>粪</w:t>
      </w:r>
      <w:r>
        <w:rPr>
          <w:rFonts w:hint="eastAsia" w:ascii="Times New Roman" w:hAnsi="Times New Roman" w:cs="Times New Roman"/>
          <w:snapToGrid w:val="0"/>
          <w:color w:val="auto"/>
          <w:highlight w:val="none"/>
          <w:lang w:eastAsia="zh-CN"/>
        </w:rPr>
        <w:t>量总计</w:t>
      </w:r>
      <w:r>
        <w:rPr>
          <w:rFonts w:hint="eastAsia" w:ascii="Times New Roman" w:hAnsi="Times New Roman" w:cs="Times New Roman"/>
          <w:snapToGrid w:val="0"/>
          <w:color w:val="auto"/>
          <w:highlight w:val="none"/>
          <w:lang w:val="en-US" w:eastAsia="zh-CN"/>
        </w:rPr>
        <w:t>2.617</w:t>
      </w:r>
      <w:r>
        <w:rPr>
          <w:rFonts w:hint="eastAsia"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955.2</w:t>
      </w:r>
      <w:r>
        <w:rPr>
          <w:rFonts w:hint="eastAsia" w:ascii="Times New Roman" w:hAnsi="Times New Roman" w:cs="Times New Roman"/>
          <w:snapToGrid w:val="0"/>
          <w:color w:val="auto"/>
          <w:highlight w:val="none"/>
          <w:lang w:eastAsia="zh-CN"/>
        </w:rPr>
        <w:t>t/a</w:t>
      </w:r>
      <w:r>
        <w:rPr>
          <w:rFonts w:hint="eastAsia" w:ascii="Times New Roman" w:hAnsi="Times New Roman" w:cs="Times New Roman"/>
          <w:snapToGrid w:val="0"/>
          <w:color w:val="auto"/>
          <w:highlight w:val="none"/>
          <w:lang w:val="en-US" w:eastAsia="zh-CN"/>
        </w:rPr>
        <w:t>。</w:t>
      </w:r>
    </w:p>
    <w:p w14:paraId="0FC112FF">
      <w:pPr>
        <w:pStyle w:val="94"/>
        <w:ind w:firstLine="480"/>
        <w:rPr>
          <w:rFonts w:hint="default" w:ascii="Times New Roman" w:hAnsi="Times New Roman"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则</w:t>
      </w:r>
      <w:r>
        <w:rPr>
          <w:rFonts w:hint="default" w:ascii="Times New Roman" w:hAnsi="Times New Roman" w:cs="Times New Roman"/>
          <w:snapToGrid w:val="0"/>
          <w:color w:val="auto"/>
          <w:highlight w:val="none"/>
          <w:lang w:eastAsia="zh-CN"/>
        </w:rPr>
        <w:t>固液分离产生的废水量为</w:t>
      </w:r>
      <w:r>
        <w:rPr>
          <w:rFonts w:hint="eastAsia" w:ascii="Times New Roman" w:hAnsi="Times New Roman" w:cs="Times New Roman"/>
          <w:snapToGrid w:val="0"/>
          <w:color w:val="auto"/>
          <w:highlight w:val="none"/>
          <w:lang w:val="en-US" w:eastAsia="zh-CN"/>
        </w:rPr>
        <w:t>2.094</w:t>
      </w:r>
      <w:r>
        <w:rPr>
          <w:rFonts w:hint="default"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764.16</w:t>
      </w:r>
      <w:r>
        <w:rPr>
          <w:rFonts w:hint="default" w:ascii="Times New Roman" w:hAnsi="Times New Roman" w:cs="Times New Roman"/>
          <w:snapToGrid w:val="0"/>
          <w:color w:val="auto"/>
          <w:highlight w:val="none"/>
          <w:lang w:eastAsia="zh-CN"/>
        </w:rPr>
        <w:t>t/a。</w:t>
      </w:r>
    </w:p>
    <w:p w14:paraId="262C7DE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职工</w:t>
      </w:r>
      <w:r>
        <w:rPr>
          <w:rFonts w:hint="default" w:ascii="Times New Roman" w:hAnsi="Times New Roman" w:eastAsia="宋体" w:cs="Times New Roman"/>
          <w:snapToGrid w:val="0"/>
          <w:color w:val="auto"/>
          <w:highlight w:val="none"/>
        </w:rPr>
        <w:t>生活污水</w:t>
      </w:r>
    </w:p>
    <w:p w14:paraId="04F4778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kern w:val="0"/>
          <w:sz w:val="24"/>
          <w:szCs w:val="24"/>
          <w:highlight w:val="none"/>
          <w:lang w:val="en-US" w:eastAsia="zh-CN" w:bidi="ar-SA"/>
        </w:rPr>
        <w:t>现有工程</w:t>
      </w:r>
      <w:r>
        <w:rPr>
          <w:rFonts w:hint="default" w:ascii="Times New Roman" w:hAnsi="Times New Roman" w:eastAsia="宋体" w:cs="Times New Roman"/>
          <w:snapToGrid w:val="0"/>
          <w:color w:val="auto"/>
          <w:highlight w:val="none"/>
        </w:rPr>
        <w:t>有职工</w:t>
      </w:r>
      <w:r>
        <w:rPr>
          <w:rFonts w:hint="eastAsia" w:ascii="Times New Roman" w:hAnsi="Times New Roman"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lang w:eastAsia="zh-CN"/>
        </w:rPr>
        <w:t>人</w:t>
      </w:r>
      <w:r>
        <w:rPr>
          <w:rFonts w:hint="default" w:ascii="Times New Roman" w:hAnsi="Times New Roman" w:eastAsia="宋体" w:cs="Times New Roman"/>
          <w:snapToGrid w:val="0"/>
          <w:color w:val="auto"/>
          <w:highlight w:val="none"/>
        </w:rPr>
        <w:t>，生活用水量为</w:t>
      </w:r>
      <w:r>
        <w:rPr>
          <w:rFonts w:hint="eastAsia" w:ascii="Times New Roman" w:hAnsi="Times New Roman" w:cs="Times New Roman"/>
          <w:snapToGrid w:val="0"/>
          <w:color w:val="auto"/>
          <w:highlight w:val="none"/>
          <w:lang w:val="en-US" w:eastAsia="zh-CN"/>
        </w:rPr>
        <w:t>0.64</w:t>
      </w:r>
      <w:r>
        <w:rPr>
          <w:rFonts w:hint="default" w:ascii="Times New Roman" w:hAnsi="Times New Roman" w:eastAsia="宋体" w:cs="Times New Roman"/>
          <w:snapToGrid w:val="0"/>
          <w:color w:val="auto"/>
          <w:highlight w:val="none"/>
        </w:rPr>
        <w:t>t/d，即</w:t>
      </w:r>
      <w:r>
        <w:rPr>
          <w:rFonts w:hint="eastAsia" w:ascii="Times New Roman" w:hAnsi="Times New Roman" w:cs="Times New Roman"/>
          <w:snapToGrid w:val="0"/>
          <w:color w:val="auto"/>
          <w:highlight w:val="none"/>
          <w:lang w:val="en-US" w:eastAsia="zh-CN"/>
        </w:rPr>
        <w:t>233.6</w:t>
      </w:r>
      <w:r>
        <w:rPr>
          <w:rFonts w:hint="default" w:ascii="Times New Roman" w:hAnsi="Times New Roman" w:eastAsia="宋体" w:cs="Times New Roman"/>
          <w:snapToGrid w:val="0"/>
          <w:color w:val="auto"/>
          <w:highlight w:val="none"/>
        </w:rPr>
        <w:t>t/a；排水量按用水量的80%计，则生活污水量为</w:t>
      </w:r>
      <w:r>
        <w:rPr>
          <w:rFonts w:hint="eastAsia" w:ascii="Times New Roman" w:hAnsi="Times New Roman" w:cs="Times New Roman"/>
          <w:snapToGrid w:val="0"/>
          <w:color w:val="auto"/>
          <w:highlight w:val="none"/>
          <w:lang w:val="en-US" w:eastAsia="zh-CN"/>
        </w:rPr>
        <w:t>0.512</w:t>
      </w:r>
      <w:r>
        <w:rPr>
          <w:rFonts w:hint="default" w:ascii="Times New Roman" w:hAnsi="Times New Roman" w:eastAsia="宋体" w:cs="Times New Roman"/>
          <w:snapToGrid w:val="0"/>
          <w:color w:val="auto"/>
          <w:highlight w:val="none"/>
        </w:rPr>
        <w:t>t/d，即</w:t>
      </w:r>
      <w:r>
        <w:rPr>
          <w:rFonts w:hint="eastAsia" w:ascii="Times New Roman" w:hAnsi="Times New Roman" w:cs="Times New Roman"/>
          <w:snapToGrid w:val="0"/>
          <w:color w:val="auto"/>
          <w:highlight w:val="none"/>
          <w:lang w:val="en-US" w:eastAsia="zh-CN"/>
        </w:rPr>
        <w:t>186.88</w:t>
      </w:r>
      <w:r>
        <w:rPr>
          <w:rFonts w:hint="default" w:ascii="Times New Roman" w:hAnsi="Times New Roman" w:eastAsia="宋体" w:cs="Times New Roman"/>
          <w:snapToGrid w:val="0"/>
          <w:color w:val="auto"/>
          <w:highlight w:val="none"/>
        </w:rPr>
        <w:t>t/a。</w:t>
      </w:r>
    </w:p>
    <w:p w14:paraId="141D2692">
      <w:pPr>
        <w:pStyle w:val="94"/>
        <w:numPr>
          <w:ilvl w:val="0"/>
          <w:numId w:val="0"/>
        </w:numPr>
        <w:ind w:firstLine="480" w:firstLineChars="20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kern w:val="0"/>
          <w:sz w:val="24"/>
          <w:szCs w:val="24"/>
          <w:highlight w:val="none"/>
          <w:lang w:val="en-US" w:eastAsia="zh-CN" w:bidi="ar-SA"/>
        </w:rPr>
        <w:t>（5）</w:t>
      </w:r>
      <w:r>
        <w:rPr>
          <w:rFonts w:hint="default" w:ascii="Times New Roman" w:hAnsi="Times New Roman" w:eastAsia="宋体" w:cs="Times New Roman"/>
          <w:snapToGrid w:val="0"/>
          <w:color w:val="auto"/>
          <w:highlight w:val="none"/>
          <w:lang w:val="en-US" w:eastAsia="zh-CN"/>
        </w:rPr>
        <w:t>洗消车间废水</w:t>
      </w:r>
    </w:p>
    <w:p w14:paraId="571E6F8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现有工程洗消车间的面积为</w:t>
      </w:r>
      <w:r>
        <w:rPr>
          <w:rFonts w:hint="eastAsia" w:ascii="Times New Roman" w:hAnsi="Times New Roman" w:cs="Times New Roman"/>
          <w:snapToGrid w:val="0"/>
          <w:color w:val="auto"/>
          <w:highlight w:val="none"/>
          <w:lang w:val="en-US" w:eastAsia="zh-CN"/>
        </w:rPr>
        <w:t>90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，冲洗用水量为0.2L/m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/d，则年用水量为</w:t>
      </w:r>
      <w:r>
        <w:rPr>
          <w:rFonts w:hint="eastAsia" w:ascii="Times New Roman" w:hAnsi="Times New Roman" w:cs="Times New Roman"/>
          <w:snapToGrid w:val="0"/>
          <w:color w:val="auto"/>
          <w:highlight w:val="none"/>
          <w:lang w:val="en-US" w:eastAsia="zh-CN"/>
        </w:rPr>
        <w:t>6.57</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r>
        <w:rPr>
          <w:rFonts w:hint="eastAsia" w:ascii="Times New Roman" w:hAnsi="Times New Roman" w:cs="Times New Roman"/>
          <w:snapToGrid w:val="0"/>
          <w:color w:val="auto"/>
          <w:highlight w:val="none"/>
          <w:vertAlign w:val="baseline"/>
          <w:lang w:val="en-US" w:eastAsia="zh-CN"/>
        </w:rPr>
        <w:t>0.018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r>
        <w:rPr>
          <w:rFonts w:hint="eastAsia" w:ascii="Times New Roman" w:hAnsi="Times New Roman" w:eastAsia="宋体" w:cs="Times New Roman"/>
          <w:snapToGrid w:val="0"/>
          <w:color w:val="auto"/>
          <w:highlight w:val="none"/>
          <w:lang w:val="en-US" w:eastAsia="zh-CN"/>
        </w:rPr>
        <w:t>排污系数按0.85计，则洗消车间废水量为</w:t>
      </w:r>
      <w:r>
        <w:rPr>
          <w:rFonts w:hint="eastAsia" w:ascii="Times New Roman" w:hAnsi="Times New Roman" w:cs="Times New Roman"/>
          <w:snapToGrid w:val="0"/>
          <w:color w:val="auto"/>
          <w:highlight w:val="none"/>
          <w:lang w:val="en-US" w:eastAsia="zh-CN"/>
        </w:rPr>
        <w:t>0.0153</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eastAsia" w:ascii="Times New Roman" w:hAnsi="Times New Roman" w:cs="Times New Roman"/>
          <w:snapToGrid w:val="0"/>
          <w:color w:val="auto"/>
          <w:highlight w:val="none"/>
          <w:vertAlign w:val="baseline"/>
          <w:lang w:val="en-US" w:eastAsia="zh-CN"/>
        </w:rPr>
        <w:t>5.5845</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p>
    <w:p w14:paraId="332D1BA0">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综上，项目运行后，全年总排水量为</w:t>
      </w:r>
      <w:r>
        <w:rPr>
          <w:rFonts w:hint="eastAsia" w:ascii="Times New Roman" w:hAnsi="Times New Roman" w:cs="Times New Roman"/>
          <w:snapToGrid w:val="0"/>
          <w:color w:val="auto"/>
          <w:highlight w:val="none"/>
          <w:lang w:val="en-US" w:eastAsia="zh-CN"/>
        </w:rPr>
        <w:t>9.5034t/d，3468.7</w:t>
      </w:r>
      <w:r>
        <w:rPr>
          <w:rFonts w:hint="default" w:ascii="Times New Roman" w:hAnsi="Times New Roman" w:eastAsia="宋体" w:cs="Times New Roman"/>
          <w:snapToGrid w:val="0"/>
          <w:color w:val="auto"/>
          <w:highlight w:val="none"/>
        </w:rPr>
        <w:t>t/a，项目排水情况见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表。项目水平衡图见图3</w:t>
      </w:r>
      <w:r>
        <w:rPr>
          <w:rFonts w:hint="eastAsia"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w:t>
      </w:r>
    </w:p>
    <w:p w14:paraId="3244E418">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8  现有工程</w:t>
      </w:r>
      <w:r>
        <w:rPr>
          <w:rFonts w:hint="default" w:ascii="Times New Roman" w:hAnsi="Times New Roman" w:eastAsia="黑体" w:cs="Times New Roman"/>
          <w:b w:val="0"/>
          <w:bCs/>
          <w:smallCaps w:val="0"/>
          <w:snapToGrid/>
          <w:kern w:val="2"/>
          <w:sz w:val="21"/>
          <w:szCs w:val="24"/>
          <w:highlight w:val="none"/>
          <w:lang w:val="zh-CN" w:eastAsia="zh-CN" w:bidi="ar-SA"/>
        </w:rPr>
        <w:t>项目排水情况一览表</w:t>
      </w:r>
    </w:p>
    <w:tbl>
      <w:tblPr>
        <w:tblStyle w:val="39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232"/>
        <w:gridCol w:w="1232"/>
        <w:gridCol w:w="1232"/>
        <w:gridCol w:w="1232"/>
        <w:gridCol w:w="1232"/>
        <w:gridCol w:w="1011"/>
      </w:tblGrid>
      <w:tr w14:paraId="4098A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77A10417">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项目</w:t>
            </w:r>
          </w:p>
        </w:tc>
        <w:tc>
          <w:tcPr>
            <w:tcW w:w="723" w:type="pct"/>
            <w:tcBorders>
              <w:tl2br w:val="nil"/>
              <w:tr2bl w:val="nil"/>
            </w:tcBorders>
            <w:noWrap w:val="0"/>
            <w:vAlign w:val="center"/>
          </w:tcPr>
          <w:p w14:paraId="66CBECD2">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猪尿</w:t>
            </w:r>
          </w:p>
        </w:tc>
        <w:tc>
          <w:tcPr>
            <w:tcW w:w="723" w:type="pct"/>
            <w:tcBorders>
              <w:tl2br w:val="nil"/>
              <w:tr2bl w:val="nil"/>
            </w:tcBorders>
            <w:noWrap w:val="0"/>
            <w:vAlign w:val="center"/>
          </w:tcPr>
          <w:p w14:paraId="0852DE08">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冲洗废水</w:t>
            </w:r>
          </w:p>
        </w:tc>
        <w:tc>
          <w:tcPr>
            <w:tcW w:w="723" w:type="pct"/>
            <w:tcBorders>
              <w:tl2br w:val="nil"/>
              <w:tr2bl w:val="nil"/>
            </w:tcBorders>
            <w:noWrap w:val="0"/>
            <w:vAlign w:val="center"/>
          </w:tcPr>
          <w:p w14:paraId="1A515B56">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职工</w:t>
            </w:r>
            <w:r>
              <w:rPr>
                <w:rFonts w:hint="default" w:ascii="Times New Roman" w:hAnsi="Times New Roman" w:cs="Times New Roman"/>
                <w:snapToGrid w:val="0"/>
                <w:color w:val="auto"/>
                <w:sz w:val="21"/>
                <w:szCs w:val="21"/>
                <w:highlight w:val="none"/>
              </w:rPr>
              <w:t>生活污水</w:t>
            </w:r>
          </w:p>
        </w:tc>
        <w:tc>
          <w:tcPr>
            <w:tcW w:w="723" w:type="pct"/>
            <w:tcBorders>
              <w:tl2br w:val="nil"/>
              <w:tr2bl w:val="nil"/>
            </w:tcBorders>
            <w:noWrap w:val="0"/>
            <w:vAlign w:val="center"/>
          </w:tcPr>
          <w:p w14:paraId="4B66F6D4">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固液分离废水</w:t>
            </w:r>
          </w:p>
        </w:tc>
        <w:tc>
          <w:tcPr>
            <w:tcW w:w="723" w:type="pct"/>
            <w:tcBorders>
              <w:tl2br w:val="nil"/>
              <w:tr2bl w:val="nil"/>
            </w:tcBorders>
            <w:noWrap w:val="0"/>
            <w:vAlign w:val="center"/>
          </w:tcPr>
          <w:p w14:paraId="555E650B">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洗消车间废水</w:t>
            </w:r>
          </w:p>
        </w:tc>
        <w:tc>
          <w:tcPr>
            <w:tcW w:w="593" w:type="pct"/>
            <w:tcBorders>
              <w:tl2br w:val="nil"/>
              <w:tr2bl w:val="nil"/>
            </w:tcBorders>
            <w:noWrap w:val="0"/>
            <w:vAlign w:val="center"/>
          </w:tcPr>
          <w:p w14:paraId="7A67B425">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小计</w:t>
            </w:r>
          </w:p>
        </w:tc>
      </w:tr>
      <w:tr w14:paraId="05B16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64F3D42A">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日排水量（t/d）</w:t>
            </w:r>
          </w:p>
        </w:tc>
        <w:tc>
          <w:tcPr>
            <w:tcW w:w="723" w:type="pct"/>
            <w:tcBorders>
              <w:tl2br w:val="nil"/>
              <w:tr2bl w:val="nil"/>
            </w:tcBorders>
            <w:noWrap w:val="0"/>
            <w:vAlign w:val="center"/>
          </w:tcPr>
          <w:p w14:paraId="1A6A1D83">
            <w:pPr>
              <w:adjustRightInd w:val="0"/>
              <w:snapToGrid w:val="0"/>
              <w:jc w:val="center"/>
              <w:rPr>
                <w:rFonts w:hint="default" w:ascii="Times New Roman" w:hAnsi="Times New Roman" w:cs="Times New Roman"/>
                <w:snapToGrid w:val="0"/>
                <w:color w:val="auto"/>
                <w:sz w:val="21"/>
                <w:szCs w:val="21"/>
                <w:highlight w:val="none"/>
                <w:lang w:val="en-US"/>
              </w:rPr>
            </w:pPr>
            <w:r>
              <w:rPr>
                <w:rFonts w:hint="default" w:ascii="Times New Roman" w:hAnsi="Times New Roman" w:cs="Times New Roman"/>
                <w:snapToGrid w:val="0"/>
                <w:color w:val="auto"/>
                <w:sz w:val="21"/>
                <w:szCs w:val="21"/>
                <w:highlight w:val="none"/>
                <w:lang w:val="en-US" w:eastAsia="zh-CN"/>
              </w:rPr>
              <w:t>4.8111</w:t>
            </w:r>
          </w:p>
        </w:tc>
        <w:tc>
          <w:tcPr>
            <w:tcW w:w="723" w:type="pct"/>
            <w:tcBorders>
              <w:tl2br w:val="nil"/>
              <w:tr2bl w:val="nil"/>
            </w:tcBorders>
            <w:noWrap w:val="0"/>
            <w:vAlign w:val="center"/>
          </w:tcPr>
          <w:p w14:paraId="5F5724F5">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2.071</w:t>
            </w:r>
          </w:p>
        </w:tc>
        <w:tc>
          <w:tcPr>
            <w:tcW w:w="723" w:type="pct"/>
            <w:tcBorders>
              <w:tl2br w:val="nil"/>
              <w:tr2bl w:val="nil"/>
            </w:tcBorders>
            <w:noWrap w:val="0"/>
            <w:vAlign w:val="center"/>
          </w:tcPr>
          <w:p w14:paraId="11C432E5">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0.512</w:t>
            </w:r>
          </w:p>
        </w:tc>
        <w:tc>
          <w:tcPr>
            <w:tcW w:w="723" w:type="pct"/>
            <w:tcBorders>
              <w:tl2br w:val="nil"/>
              <w:tr2bl w:val="nil"/>
            </w:tcBorders>
            <w:noWrap w:val="0"/>
            <w:vAlign w:val="center"/>
          </w:tcPr>
          <w:p w14:paraId="675E8882">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2.094</w:t>
            </w:r>
          </w:p>
        </w:tc>
        <w:tc>
          <w:tcPr>
            <w:tcW w:w="723" w:type="pct"/>
            <w:tcBorders>
              <w:tl2br w:val="nil"/>
              <w:tr2bl w:val="nil"/>
            </w:tcBorders>
            <w:noWrap w:val="0"/>
            <w:vAlign w:val="center"/>
          </w:tcPr>
          <w:p w14:paraId="165BA5D2">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0.0153</w:t>
            </w:r>
          </w:p>
        </w:tc>
        <w:tc>
          <w:tcPr>
            <w:tcW w:w="593" w:type="pct"/>
            <w:tcBorders>
              <w:tl2br w:val="nil"/>
              <w:tr2bl w:val="nil"/>
            </w:tcBorders>
            <w:shd w:val="clear" w:color="auto" w:fill="auto"/>
            <w:noWrap w:val="0"/>
            <w:vAlign w:val="center"/>
          </w:tcPr>
          <w:p w14:paraId="34226739">
            <w:pPr>
              <w:pStyle w:val="152"/>
              <w:adjustRightInd w:val="0"/>
              <w:snapToGrid w:val="0"/>
              <w:rPr>
                <w:rFonts w:hint="default" w:ascii="宋体" w:hAnsi="宋体" w:eastAsia="宋体" w:cs="宋体"/>
                <w:i w:val="0"/>
                <w:iCs w:val="0"/>
                <w:snapToGrid w:val="0"/>
                <w:color w:val="000000"/>
                <w:kern w:val="0"/>
                <w:sz w:val="22"/>
                <w:szCs w:val="22"/>
                <w:highlight w:val="none"/>
                <w:u w:val="none"/>
                <w:lang w:val="en-US" w:eastAsia="zh-CN" w:bidi="ar-SA"/>
              </w:rPr>
            </w:pPr>
            <w:r>
              <w:rPr>
                <w:rFonts w:hint="eastAsia" w:ascii="Times New Roman" w:hAnsi="Times New Roman" w:cs="Times New Roman"/>
                <w:snapToGrid w:val="0"/>
                <w:color w:val="auto"/>
                <w:sz w:val="21"/>
                <w:szCs w:val="21"/>
                <w:highlight w:val="none"/>
                <w:lang w:val="en-US" w:eastAsia="zh-CN"/>
              </w:rPr>
              <w:t>9.5034</w:t>
            </w:r>
          </w:p>
        </w:tc>
      </w:tr>
    </w:tbl>
    <w:p w14:paraId="0CD050A9">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napToGrid w:val="0"/>
          <w:color w:val="auto"/>
          <w:highlight w:val="none"/>
          <w:lang w:val="en-US" w:eastAsia="zh-CN"/>
        </w:rPr>
      </w:pPr>
      <w:r>
        <w:rPr>
          <w:rFonts w:hint="eastAsia" w:ascii="Times New Roman" w:hAnsi="Times New Roman" w:cs="Times New Roman"/>
          <w:b/>
          <w:bCs/>
          <w:snapToGrid w:val="0"/>
          <w:color w:val="auto"/>
          <w:highlight w:val="none"/>
          <w:lang w:val="en-US" w:eastAsia="zh-CN"/>
        </w:rPr>
        <w:t>三</w:t>
      </w:r>
      <w:r>
        <w:rPr>
          <w:rFonts w:hint="default" w:ascii="Times New Roman" w:hAnsi="Times New Roman" w:eastAsia="宋体" w:cs="Times New Roman"/>
          <w:b/>
          <w:bCs/>
          <w:snapToGrid w:val="0"/>
          <w:color w:val="auto"/>
          <w:highlight w:val="none"/>
          <w:lang w:val="en-US" w:eastAsia="zh-CN"/>
        </w:rPr>
        <w:t>、</w:t>
      </w:r>
      <w:r>
        <w:rPr>
          <w:rFonts w:hint="eastAsia" w:ascii="Times New Roman" w:hAnsi="Times New Roman" w:cs="Times New Roman"/>
          <w:b/>
          <w:bCs/>
          <w:snapToGrid w:val="0"/>
          <w:color w:val="auto"/>
          <w:highlight w:val="none"/>
          <w:lang w:val="en-US" w:eastAsia="zh-CN"/>
        </w:rPr>
        <w:t>噪声</w:t>
      </w:r>
      <w:r>
        <w:rPr>
          <w:rFonts w:hint="default" w:ascii="Times New Roman" w:hAnsi="Times New Roman" w:eastAsia="宋体" w:cs="Times New Roman"/>
          <w:b/>
          <w:bCs/>
          <w:snapToGrid w:val="0"/>
          <w:color w:val="auto"/>
          <w:highlight w:val="none"/>
          <w:lang w:val="en-US" w:eastAsia="zh-CN"/>
        </w:rPr>
        <w:t>污染防治措施</w:t>
      </w:r>
    </w:p>
    <w:p w14:paraId="11E2B5ED">
      <w:pPr>
        <w:pStyle w:val="94"/>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本项目噪声源主要为水泵、风机、猪叫等，噪声源强为</w:t>
      </w:r>
      <w:r>
        <w:rPr>
          <w:rFonts w:hint="default" w:ascii="Times New Roman" w:hAnsi="Times New Roman" w:cs="Times New Roman"/>
          <w:snapToGrid w:val="0"/>
          <w:color w:val="auto"/>
          <w:highlight w:val="none"/>
        </w:rPr>
        <w:t>8</w:t>
      </w:r>
      <w:r>
        <w:rPr>
          <w:rFonts w:hint="default" w:ascii="Times New Roman" w:hAnsi="Times New Roman" w:cs="Times New Roman"/>
          <w:snapToGrid w:val="0"/>
          <w:color w:val="auto"/>
          <w:highlight w:val="none"/>
          <w:lang w:val="en-US" w:eastAsia="zh-CN"/>
        </w:rPr>
        <w:t>0</w:t>
      </w:r>
      <w:r>
        <w:rPr>
          <w:rFonts w:hint="eastAsia" w:ascii="Times New Roman" w:hAnsi="Times New Roman" w:cs="Times New Roman"/>
          <w:snapToGrid w:val="0"/>
          <w:color w:val="auto"/>
          <w:highlight w:val="none"/>
          <w:lang w:val="en-US" w:eastAsia="zh-CN"/>
        </w:rPr>
        <w:t>~85</w:t>
      </w:r>
      <w:r>
        <w:rPr>
          <w:rFonts w:hint="default" w:ascii="Times New Roman" w:hAnsi="Times New Roman" w:eastAsia="宋体" w:cs="Times New Roman"/>
          <w:snapToGrid w:val="0"/>
          <w:color w:val="auto"/>
          <w:highlight w:val="none"/>
        </w:rPr>
        <w:t>dB（A），针对噪声源产生情况，项目采取以下防噪降噪措施：</w:t>
      </w:r>
    </w:p>
    <w:p w14:paraId="0D461541">
      <w:pPr>
        <w:pStyle w:val="94"/>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（1）在噪声设备放置的生产车间的建设上，应安装隔声窗、加装吸声材料，避免露天布置；</w:t>
      </w:r>
    </w:p>
    <w:p w14:paraId="53CBE33F">
      <w:pPr>
        <w:pStyle w:val="94"/>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（2）场区平面布置优化、合理布局，将高噪声设备尽量布置在远离场界处。</w:t>
      </w:r>
    </w:p>
    <w:p w14:paraId="5A524A6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本项目委托黑龙江克巽检测技术有限公司于2025年7月23日～7月24日进行噪声监测，连续两天。根据实际监测结果可知，厂界东、西、南、北侧厂界外昼间噪声为</w:t>
      </w:r>
      <w:r>
        <w:rPr>
          <w:rFonts w:hint="eastAsia" w:ascii="Times New Roman" w:hAnsi="Times New Roman" w:cs="Times New Roman"/>
          <w:snapToGrid w:val="0"/>
          <w:color w:val="auto"/>
          <w:kern w:val="0"/>
          <w:sz w:val="24"/>
          <w:szCs w:val="24"/>
          <w:highlight w:val="none"/>
          <w:lang w:val="en-US" w:eastAsia="zh-CN" w:bidi="ar-SA"/>
        </w:rPr>
        <w:t>51</w:t>
      </w:r>
      <w:r>
        <w:rPr>
          <w:rFonts w:hint="default" w:ascii="Times New Roman" w:hAnsi="Times New Roman" w:eastAsia="宋体" w:cs="Times New Roman"/>
          <w:snapToGrid w:val="0"/>
          <w:color w:val="auto"/>
          <w:kern w:val="0"/>
          <w:sz w:val="24"/>
          <w:szCs w:val="24"/>
          <w:highlight w:val="none"/>
          <w:lang w:val="en-US" w:eastAsia="zh-CN" w:bidi="ar-SA"/>
        </w:rPr>
        <w:t>~</w:t>
      </w:r>
      <w:r>
        <w:rPr>
          <w:rFonts w:hint="eastAsia" w:ascii="Times New Roman" w:hAnsi="Times New Roman" w:cs="Times New Roman"/>
          <w:snapToGrid w:val="0"/>
          <w:color w:val="auto"/>
          <w:kern w:val="0"/>
          <w:sz w:val="24"/>
          <w:szCs w:val="24"/>
          <w:highlight w:val="none"/>
          <w:lang w:val="en-US" w:eastAsia="zh-CN" w:bidi="ar-SA"/>
        </w:rPr>
        <w:t>54</w:t>
      </w:r>
      <w:r>
        <w:rPr>
          <w:rFonts w:hint="default" w:ascii="Times New Roman" w:hAnsi="Times New Roman" w:eastAsia="宋体" w:cs="Times New Roman"/>
          <w:snapToGrid w:val="0"/>
          <w:color w:val="auto"/>
          <w:kern w:val="0"/>
          <w:sz w:val="24"/>
          <w:szCs w:val="24"/>
          <w:highlight w:val="none"/>
          <w:lang w:val="en-US" w:eastAsia="zh-CN" w:bidi="ar-SA"/>
        </w:rPr>
        <w:t>dB（A），夜间噪声为</w:t>
      </w:r>
      <w:r>
        <w:rPr>
          <w:rFonts w:hint="eastAsia" w:ascii="Times New Roman" w:hAnsi="Times New Roman" w:cs="Times New Roman"/>
          <w:snapToGrid w:val="0"/>
          <w:color w:val="auto"/>
          <w:kern w:val="0"/>
          <w:sz w:val="24"/>
          <w:szCs w:val="24"/>
          <w:highlight w:val="none"/>
          <w:lang w:val="en-US" w:eastAsia="zh-CN" w:bidi="ar-SA"/>
        </w:rPr>
        <w:t>42</w:t>
      </w:r>
      <w:r>
        <w:rPr>
          <w:rFonts w:hint="default" w:ascii="Times New Roman" w:hAnsi="Times New Roman" w:eastAsia="宋体" w:cs="Times New Roman"/>
          <w:snapToGrid w:val="0"/>
          <w:color w:val="auto"/>
          <w:kern w:val="0"/>
          <w:sz w:val="24"/>
          <w:szCs w:val="24"/>
          <w:highlight w:val="none"/>
          <w:lang w:val="en-US" w:eastAsia="zh-CN" w:bidi="ar-SA"/>
        </w:rPr>
        <w:t>~4</w:t>
      </w:r>
      <w:r>
        <w:rPr>
          <w:rFonts w:hint="eastAsia" w:ascii="Times New Roman" w:hAnsi="Times New Roman" w:cs="Times New Roman"/>
          <w:snapToGrid w:val="0"/>
          <w:color w:val="auto"/>
          <w:kern w:val="0"/>
          <w:sz w:val="24"/>
          <w:szCs w:val="24"/>
          <w:highlight w:val="none"/>
          <w:lang w:val="en-US" w:eastAsia="zh-CN" w:bidi="ar-SA"/>
        </w:rPr>
        <w:t>4</w:t>
      </w:r>
      <w:r>
        <w:rPr>
          <w:rFonts w:hint="default" w:ascii="Times New Roman" w:hAnsi="Times New Roman" w:eastAsia="宋体" w:cs="Times New Roman"/>
          <w:snapToGrid w:val="0"/>
          <w:color w:val="auto"/>
          <w:kern w:val="0"/>
          <w:sz w:val="24"/>
          <w:szCs w:val="24"/>
          <w:highlight w:val="none"/>
          <w:lang w:val="en-US" w:eastAsia="zh-CN" w:bidi="ar-SA"/>
        </w:rPr>
        <w:t>dB（A），噪声满足《工业企业厂界环境噪声排放标准》（GB12348-2008）</w:t>
      </w:r>
      <w:r>
        <w:rPr>
          <w:rFonts w:hint="eastAsia" w:ascii="Times New Roman" w:hAnsi="Times New Roman" w:cs="Times New Roman"/>
          <w:snapToGrid w:val="0"/>
          <w:color w:val="auto"/>
          <w:kern w:val="0"/>
          <w:sz w:val="24"/>
          <w:szCs w:val="24"/>
          <w:highlight w:val="none"/>
          <w:lang w:val="en-US" w:eastAsia="zh-CN" w:bidi="ar-SA"/>
        </w:rPr>
        <w:t>1类</w:t>
      </w:r>
      <w:r>
        <w:rPr>
          <w:rFonts w:hint="default" w:ascii="Times New Roman" w:hAnsi="Times New Roman" w:eastAsia="宋体" w:cs="Times New Roman"/>
          <w:snapToGrid w:val="0"/>
          <w:color w:val="auto"/>
          <w:kern w:val="0"/>
          <w:sz w:val="24"/>
          <w:szCs w:val="24"/>
          <w:highlight w:val="none"/>
          <w:lang w:val="en-US" w:eastAsia="zh-CN" w:bidi="ar-SA"/>
        </w:rPr>
        <w:t>（昼间≤</w:t>
      </w:r>
      <w:r>
        <w:rPr>
          <w:rFonts w:hint="eastAsia" w:ascii="Times New Roman" w:hAnsi="Times New Roman" w:cs="Times New Roman"/>
          <w:snapToGrid w:val="0"/>
          <w:color w:val="auto"/>
          <w:kern w:val="0"/>
          <w:sz w:val="24"/>
          <w:szCs w:val="24"/>
          <w:highlight w:val="none"/>
          <w:lang w:val="en-US" w:eastAsia="zh-CN" w:bidi="ar-SA"/>
        </w:rPr>
        <w:t>55</w:t>
      </w:r>
      <w:r>
        <w:rPr>
          <w:rFonts w:hint="default" w:ascii="Times New Roman" w:hAnsi="Times New Roman" w:eastAsia="宋体" w:cs="Times New Roman"/>
          <w:snapToGrid w:val="0"/>
          <w:color w:val="auto"/>
          <w:kern w:val="0"/>
          <w:sz w:val="24"/>
          <w:szCs w:val="24"/>
          <w:highlight w:val="none"/>
          <w:lang w:val="en-US" w:eastAsia="zh-CN" w:bidi="ar-SA"/>
        </w:rPr>
        <w:t>dB(A)，夜间≤</w:t>
      </w:r>
      <w:r>
        <w:rPr>
          <w:rFonts w:hint="eastAsia" w:ascii="Times New Roman" w:hAnsi="Times New Roman" w:cs="Times New Roman"/>
          <w:snapToGrid w:val="0"/>
          <w:color w:val="auto"/>
          <w:kern w:val="0"/>
          <w:sz w:val="24"/>
          <w:szCs w:val="24"/>
          <w:highlight w:val="none"/>
          <w:lang w:val="en-US" w:eastAsia="zh-CN" w:bidi="ar-SA"/>
        </w:rPr>
        <w:t>45</w:t>
      </w:r>
      <w:r>
        <w:rPr>
          <w:rFonts w:hint="default" w:ascii="Times New Roman" w:hAnsi="Times New Roman" w:eastAsia="宋体" w:cs="Times New Roman"/>
          <w:snapToGrid w:val="0"/>
          <w:color w:val="auto"/>
          <w:kern w:val="0"/>
          <w:sz w:val="24"/>
          <w:szCs w:val="24"/>
          <w:highlight w:val="none"/>
          <w:lang w:val="en-US" w:eastAsia="zh-CN" w:bidi="ar-SA"/>
        </w:rPr>
        <w:t>dB(A)）标准。</w:t>
      </w:r>
    </w:p>
    <w:p w14:paraId="68850EDC">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napToGrid w:val="0"/>
          <w:color w:val="auto"/>
          <w:kern w:val="0"/>
          <w:sz w:val="24"/>
          <w:szCs w:val="24"/>
          <w:highlight w:val="none"/>
          <w:lang w:val="en-US" w:eastAsia="zh-CN" w:bidi="ar-SA"/>
        </w:rPr>
      </w:pPr>
      <w:r>
        <w:rPr>
          <w:rFonts w:hint="default" w:ascii="Times New Roman" w:hAnsi="Times New Roman" w:eastAsia="宋体" w:cs="Times New Roman"/>
          <w:b/>
          <w:bCs/>
          <w:snapToGrid w:val="0"/>
          <w:color w:val="auto"/>
          <w:kern w:val="0"/>
          <w:sz w:val="24"/>
          <w:szCs w:val="24"/>
          <w:highlight w:val="none"/>
          <w:lang w:val="en-US" w:eastAsia="zh-CN" w:bidi="ar-SA"/>
        </w:rPr>
        <w:t>四、固废污染防治措施</w:t>
      </w:r>
    </w:p>
    <w:p w14:paraId="608934F4">
      <w:pPr>
        <w:spacing w:line="360" w:lineRule="auto"/>
        <w:ind w:firstLine="480" w:firstLineChars="200"/>
        <w:jc w:val="both"/>
        <w:rPr>
          <w:rFonts w:hint="eastAsia"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（1）猪粪</w:t>
      </w:r>
    </w:p>
    <w:p w14:paraId="4DE23ACA">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eastAsia="zh-CN"/>
        </w:rPr>
        <w:t>项目采取</w:t>
      </w:r>
      <w:r>
        <w:rPr>
          <w:rFonts w:hint="eastAsia" w:ascii="Times New Roman" w:hAnsi="Times New Roman" w:cs="Times New Roman"/>
          <w:snapToGrid w:val="0"/>
          <w:color w:val="auto"/>
          <w:highlight w:val="none"/>
          <w:lang w:eastAsia="zh-CN"/>
        </w:rPr>
        <w:t>尿泡粪—干清粪</w:t>
      </w:r>
      <w:r>
        <w:rPr>
          <w:rFonts w:hint="default" w:ascii="Times New Roman" w:hAnsi="Times New Roman" w:cs="Times New Roman"/>
          <w:snapToGrid w:val="0"/>
          <w:color w:val="auto"/>
          <w:highlight w:val="none"/>
          <w:lang w:eastAsia="zh-CN"/>
        </w:rPr>
        <w:t>方式进行清粪，</w:t>
      </w:r>
      <w:r>
        <w:rPr>
          <w:rFonts w:hint="eastAsia" w:ascii="Times New Roman" w:hAnsi="Times New Roman" w:cs="Times New Roman"/>
          <w:snapToGrid w:val="0"/>
          <w:color w:val="auto"/>
          <w:highlight w:val="none"/>
          <w:lang w:eastAsia="zh-CN"/>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根据《畜禽养殖业污染治理工程技术规范》的资料性附录 A“畜禽养殖废水水质和粪污产生量”</w:t>
      </w:r>
      <w:r>
        <w:rPr>
          <w:rFonts w:hint="eastAsia" w:ascii="Times New Roman" w:hAnsi="Times New Roman" w:cs="Times New Roman"/>
          <w:snapToGrid w:val="0"/>
          <w:color w:val="auto"/>
          <w:highlight w:val="none"/>
          <w:lang w:val="en-US" w:eastAsia="zh-CN"/>
        </w:rPr>
        <w:t>猪粪</w:t>
      </w:r>
      <w:r>
        <w:rPr>
          <w:rFonts w:hint="eastAsia"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398kg</w:t>
      </w:r>
      <w:r>
        <w:rPr>
          <w:rFonts w:hint="eastAsia" w:ascii="Times New Roman" w:hAnsi="Times New Roman" w:cs="Times New Roman"/>
          <w:snapToGrid w:val="0"/>
          <w:color w:val="auto"/>
          <w:highlight w:val="none"/>
          <w:lang w:eastAsia="zh-CN"/>
        </w:rPr>
        <w:t>/头▪a，</w:t>
      </w:r>
      <w:r>
        <w:rPr>
          <w:rFonts w:hint="eastAsia" w:ascii="Times New Roman" w:hAnsi="Times New Roman" w:cs="Times New Roman"/>
          <w:snapToGrid w:val="0"/>
          <w:color w:val="auto"/>
          <w:highlight w:val="none"/>
          <w:lang w:val="en-US" w:eastAsia="zh-CN"/>
        </w:rPr>
        <w:t>现有工程</w:t>
      </w:r>
      <w:r>
        <w:rPr>
          <w:rFonts w:hint="eastAsia" w:ascii="Times New Roman" w:hAnsi="Times New Roman" w:cs="Times New Roman"/>
          <w:snapToGrid w:val="0"/>
          <w:color w:val="auto"/>
          <w:highlight w:val="none"/>
          <w:lang w:eastAsia="zh-CN"/>
        </w:rPr>
        <w:t>常年存栏量</w:t>
      </w:r>
      <w:r>
        <w:rPr>
          <w:rFonts w:hint="eastAsia" w:ascii="Times New Roman" w:hAnsi="Times New Roman" w:cs="Times New Roman"/>
          <w:snapToGrid w:val="0"/>
          <w:color w:val="auto"/>
          <w:highlight w:val="none"/>
          <w:lang w:val="en-US" w:eastAsia="zh-CN"/>
        </w:rPr>
        <w:t>2400</w:t>
      </w:r>
      <w:r>
        <w:rPr>
          <w:rFonts w:hint="eastAsia" w:ascii="Times New Roman" w:hAnsi="Times New Roman" w:cs="Times New Roman"/>
          <w:snapToGrid w:val="0"/>
          <w:color w:val="auto"/>
          <w:highlight w:val="none"/>
          <w:lang w:eastAsia="zh-CN"/>
        </w:rPr>
        <w:t>头，产</w:t>
      </w:r>
      <w:r>
        <w:rPr>
          <w:rFonts w:hint="eastAsia" w:ascii="Times New Roman" w:hAnsi="Times New Roman" w:cs="Times New Roman"/>
          <w:snapToGrid w:val="0"/>
          <w:color w:val="auto"/>
          <w:highlight w:val="none"/>
          <w:lang w:val="en-US" w:eastAsia="zh-CN"/>
        </w:rPr>
        <w:t>粪</w:t>
      </w:r>
      <w:r>
        <w:rPr>
          <w:rFonts w:hint="eastAsia" w:ascii="Times New Roman" w:hAnsi="Times New Roman" w:cs="Times New Roman"/>
          <w:snapToGrid w:val="0"/>
          <w:color w:val="auto"/>
          <w:highlight w:val="none"/>
          <w:lang w:eastAsia="zh-CN"/>
        </w:rPr>
        <w:t>量总计</w:t>
      </w:r>
      <w:r>
        <w:rPr>
          <w:rFonts w:hint="eastAsia" w:ascii="Times New Roman" w:hAnsi="Times New Roman" w:cs="Times New Roman"/>
          <w:snapToGrid w:val="0"/>
          <w:color w:val="auto"/>
          <w:highlight w:val="none"/>
          <w:lang w:val="en-US" w:eastAsia="zh-CN"/>
        </w:rPr>
        <w:t>2.617</w:t>
      </w:r>
      <w:r>
        <w:rPr>
          <w:rFonts w:hint="eastAsia"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955.2</w:t>
      </w:r>
      <w:r>
        <w:rPr>
          <w:rFonts w:hint="eastAsia" w:ascii="Times New Roman" w:hAnsi="Times New Roman" w:cs="Times New Roman"/>
          <w:snapToGrid w:val="0"/>
          <w:color w:val="auto"/>
          <w:highlight w:val="none"/>
          <w:lang w:eastAsia="zh-CN"/>
        </w:rPr>
        <w:t>t/a</w:t>
      </w:r>
      <w:r>
        <w:rPr>
          <w:rFonts w:hint="eastAsia" w:ascii="Times New Roman" w:hAnsi="Times New Roman" w:cs="Times New Roman"/>
          <w:snapToGrid w:val="0"/>
          <w:color w:val="auto"/>
          <w:highlight w:val="none"/>
          <w:lang w:val="en-US" w:eastAsia="zh-CN"/>
        </w:rPr>
        <w:t>。</w:t>
      </w:r>
    </w:p>
    <w:p w14:paraId="4DB4A7E7">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则干粪</w:t>
      </w:r>
      <w:r>
        <w:rPr>
          <w:rFonts w:hint="default" w:ascii="Times New Roman" w:hAnsi="Times New Roman" w:eastAsia="宋体" w:cs="Times New Roman"/>
          <w:snapToGrid w:val="0"/>
          <w:color w:val="auto"/>
          <w:kern w:val="0"/>
          <w:sz w:val="24"/>
          <w:szCs w:val="24"/>
          <w:highlight w:val="none"/>
          <w:lang w:val="en-US" w:eastAsia="zh-CN" w:bidi="ar-SA"/>
        </w:rPr>
        <w:t>产生量为</w:t>
      </w:r>
      <w:r>
        <w:rPr>
          <w:rFonts w:hint="eastAsia" w:ascii="Times New Roman" w:hAnsi="Times New Roman" w:cs="Times New Roman"/>
          <w:snapToGrid w:val="0"/>
          <w:color w:val="auto"/>
          <w:kern w:val="0"/>
          <w:sz w:val="24"/>
          <w:szCs w:val="24"/>
          <w:highlight w:val="none"/>
          <w:lang w:val="en-US" w:eastAsia="zh-CN" w:bidi="ar-SA"/>
        </w:rPr>
        <w:t>0.5234</w:t>
      </w:r>
      <w:r>
        <w:rPr>
          <w:rFonts w:hint="eastAsia" w:ascii="Times New Roman" w:hAnsi="Times New Roman" w:eastAsia="宋体" w:cs="Times New Roman"/>
          <w:snapToGrid w:val="0"/>
          <w:color w:val="auto"/>
          <w:kern w:val="0"/>
          <w:sz w:val="24"/>
          <w:szCs w:val="24"/>
          <w:highlight w:val="none"/>
          <w:lang w:val="en-US" w:eastAsia="zh-CN" w:bidi="ar-SA"/>
        </w:rPr>
        <w:t>t/d、</w:t>
      </w:r>
      <w:r>
        <w:rPr>
          <w:rFonts w:hint="eastAsia" w:ascii="Times New Roman" w:hAnsi="Times New Roman" w:cs="Times New Roman"/>
          <w:snapToGrid w:val="0"/>
          <w:color w:val="auto"/>
          <w:kern w:val="0"/>
          <w:sz w:val="24"/>
          <w:szCs w:val="24"/>
          <w:highlight w:val="none"/>
          <w:lang w:val="en-US" w:eastAsia="zh-CN" w:bidi="ar-SA"/>
        </w:rPr>
        <w:t>191.04</w:t>
      </w:r>
      <w:r>
        <w:rPr>
          <w:rFonts w:hint="eastAsia" w:ascii="Times New Roman" w:hAnsi="Times New Roman" w:eastAsia="宋体" w:cs="Times New Roman"/>
          <w:snapToGrid w:val="0"/>
          <w:color w:val="auto"/>
          <w:kern w:val="0"/>
          <w:sz w:val="24"/>
          <w:szCs w:val="24"/>
          <w:highlight w:val="none"/>
          <w:lang w:val="en-US" w:eastAsia="zh-CN" w:bidi="ar-SA"/>
        </w:rPr>
        <w:t>t/a</w:t>
      </w:r>
      <w:r>
        <w:rPr>
          <w:rFonts w:hint="default" w:ascii="Times New Roman" w:hAnsi="Times New Roman" w:eastAsia="宋体" w:cs="Times New Roman"/>
          <w:snapToGrid w:val="0"/>
          <w:color w:val="auto"/>
          <w:kern w:val="0"/>
          <w:sz w:val="24"/>
          <w:szCs w:val="24"/>
          <w:highlight w:val="none"/>
          <w:lang w:val="en-US" w:eastAsia="zh-CN" w:bidi="ar-SA"/>
        </w:rPr>
        <w:t>。可作为肥料施用于项目周边区域的农田。</w:t>
      </w:r>
    </w:p>
    <w:p w14:paraId="35AAE8D0">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（2）生活垃圾</w:t>
      </w:r>
    </w:p>
    <w:p w14:paraId="5927E1B3">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现有</w:t>
      </w:r>
      <w:r>
        <w:rPr>
          <w:rFonts w:hint="default" w:ascii="Times New Roman" w:hAnsi="Times New Roman" w:eastAsia="宋体" w:cs="Times New Roman"/>
          <w:snapToGrid w:val="0"/>
          <w:color w:val="auto"/>
          <w:kern w:val="0"/>
          <w:sz w:val="24"/>
          <w:szCs w:val="24"/>
          <w:highlight w:val="none"/>
          <w:lang w:val="en-US" w:eastAsia="zh-CN" w:bidi="ar-SA"/>
        </w:rPr>
        <w:t>项目员工共</w:t>
      </w:r>
      <w:r>
        <w:rPr>
          <w:rFonts w:hint="eastAsia" w:ascii="Times New Roman" w:hAnsi="Times New Roman" w:cs="Times New Roman"/>
          <w:snapToGrid w:val="0"/>
          <w:color w:val="auto"/>
          <w:kern w:val="0"/>
          <w:sz w:val="24"/>
          <w:szCs w:val="24"/>
          <w:highlight w:val="none"/>
          <w:lang w:val="en-US" w:eastAsia="zh-CN" w:bidi="ar-SA"/>
        </w:rPr>
        <w:t>8</w:t>
      </w:r>
      <w:r>
        <w:rPr>
          <w:rFonts w:hint="default" w:ascii="Times New Roman" w:hAnsi="Times New Roman" w:eastAsia="宋体" w:cs="Times New Roman"/>
          <w:snapToGrid w:val="0"/>
          <w:color w:val="auto"/>
          <w:kern w:val="0"/>
          <w:sz w:val="24"/>
          <w:szCs w:val="24"/>
          <w:highlight w:val="none"/>
          <w:lang w:val="en-US" w:eastAsia="zh-CN" w:bidi="ar-SA"/>
        </w:rPr>
        <w:t>人，按每人每天产生生活垃圾0.5kg计，则生活垃圾产生量为</w:t>
      </w:r>
      <w:r>
        <w:rPr>
          <w:rFonts w:hint="eastAsia" w:ascii="Times New Roman" w:hAnsi="Times New Roman" w:cs="Times New Roman"/>
          <w:snapToGrid w:val="0"/>
          <w:color w:val="auto"/>
          <w:kern w:val="0"/>
          <w:sz w:val="24"/>
          <w:szCs w:val="24"/>
          <w:highlight w:val="none"/>
          <w:lang w:val="en-US" w:eastAsia="zh-CN" w:bidi="ar-SA"/>
        </w:rPr>
        <w:t>4</w:t>
      </w:r>
      <w:r>
        <w:rPr>
          <w:rFonts w:hint="default" w:ascii="Times New Roman" w:hAnsi="Times New Roman" w:eastAsia="宋体" w:cs="Times New Roman"/>
          <w:snapToGrid w:val="0"/>
          <w:color w:val="auto"/>
          <w:kern w:val="0"/>
          <w:sz w:val="24"/>
          <w:szCs w:val="24"/>
          <w:highlight w:val="none"/>
          <w:lang w:val="en-US" w:eastAsia="zh-CN" w:bidi="ar-SA"/>
        </w:rPr>
        <w:t>kg/d，即</w:t>
      </w:r>
      <w:r>
        <w:rPr>
          <w:rFonts w:hint="eastAsia" w:ascii="Times New Roman" w:hAnsi="Times New Roman" w:cs="Times New Roman"/>
          <w:snapToGrid w:val="0"/>
          <w:color w:val="auto"/>
          <w:kern w:val="0"/>
          <w:sz w:val="24"/>
          <w:szCs w:val="24"/>
          <w:highlight w:val="none"/>
          <w:lang w:val="en-US" w:eastAsia="zh-CN" w:bidi="ar-SA"/>
        </w:rPr>
        <w:t>1.46</w:t>
      </w:r>
      <w:r>
        <w:rPr>
          <w:rFonts w:hint="default" w:ascii="Times New Roman" w:hAnsi="Times New Roman" w:eastAsia="宋体" w:cs="Times New Roman"/>
          <w:snapToGrid w:val="0"/>
          <w:color w:val="auto"/>
          <w:kern w:val="0"/>
          <w:sz w:val="24"/>
          <w:szCs w:val="24"/>
          <w:highlight w:val="none"/>
          <w:lang w:val="en-US" w:eastAsia="zh-CN" w:bidi="ar-SA"/>
        </w:rPr>
        <w:t>t/a。在生活区内设置一处生活垃圾收集箱，生活垃圾由当地环卫部门统一收集处理，不外排。</w:t>
      </w:r>
    </w:p>
    <w:p w14:paraId="6B195FCC">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（3）病死猪尸体及胎盘</w:t>
      </w:r>
    </w:p>
    <w:p w14:paraId="4AFEA761">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①</w:t>
      </w:r>
      <w:r>
        <w:rPr>
          <w:rFonts w:hint="default" w:ascii="Times New Roman" w:hAnsi="Times New Roman" w:eastAsia="宋体" w:cs="Times New Roman"/>
          <w:snapToGrid w:val="0"/>
          <w:color w:val="auto"/>
          <w:kern w:val="0"/>
          <w:sz w:val="24"/>
          <w:szCs w:val="24"/>
          <w:highlight w:val="none"/>
          <w:lang w:val="en-US" w:eastAsia="zh-CN" w:bidi="ar-SA"/>
        </w:rPr>
        <w:t>病死猪</w:t>
      </w:r>
    </w:p>
    <w:p w14:paraId="12CC7B87">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根据《国家危险废物名录》（20</w:t>
      </w:r>
      <w:r>
        <w:rPr>
          <w:rFonts w:hint="eastAsia" w:ascii="Times New Roman" w:hAnsi="Times New Roman" w:cs="Times New Roman"/>
          <w:snapToGrid w:val="0"/>
          <w:color w:val="auto"/>
          <w:kern w:val="0"/>
          <w:sz w:val="24"/>
          <w:szCs w:val="24"/>
          <w:highlight w:val="none"/>
          <w:lang w:val="en-US" w:eastAsia="zh-CN" w:bidi="ar-SA"/>
        </w:rPr>
        <w:t>25年版</w:t>
      </w:r>
      <w:r>
        <w:rPr>
          <w:rFonts w:hint="default" w:ascii="Times New Roman" w:hAnsi="Times New Roman" w:eastAsia="宋体" w:cs="Times New Roman"/>
          <w:snapToGrid w:val="0"/>
          <w:color w:val="auto"/>
          <w:kern w:val="0"/>
          <w:sz w:val="24"/>
          <w:szCs w:val="24"/>
          <w:highlight w:val="none"/>
          <w:lang w:val="en-US" w:eastAsia="zh-CN" w:bidi="ar-SA"/>
        </w:rPr>
        <w:t>）病死猪不属于危废，由于项目采用科学化管理与养殖，病死猪产生量很小。死猪主要来源为初产小猪非正常死亡，根据目前规模化养殖场的管理水平，此类事件概率不高，出现病死猪的概率和数量较低。类比现有规模化养殖场生产情况，根据同类企业类比调查和有关资料统计，项目猪的正常死亡及普通疫病死亡率约为2‰，项目生猪出栏量</w:t>
      </w:r>
      <w:r>
        <w:rPr>
          <w:rFonts w:hint="eastAsia" w:ascii="Times New Roman" w:hAnsi="Times New Roman" w:cs="Times New Roman"/>
          <w:snapToGrid w:val="0"/>
          <w:color w:val="auto"/>
          <w:kern w:val="0"/>
          <w:sz w:val="24"/>
          <w:szCs w:val="24"/>
          <w:highlight w:val="none"/>
          <w:lang w:val="en-US" w:eastAsia="zh-CN" w:bidi="ar-SA"/>
        </w:rPr>
        <w:t>4500</w:t>
      </w:r>
      <w:r>
        <w:rPr>
          <w:rFonts w:hint="default" w:ascii="Times New Roman" w:hAnsi="Times New Roman" w:eastAsia="宋体" w:cs="Times New Roman"/>
          <w:snapToGrid w:val="0"/>
          <w:color w:val="auto"/>
          <w:kern w:val="0"/>
          <w:sz w:val="24"/>
          <w:szCs w:val="24"/>
          <w:highlight w:val="none"/>
          <w:lang w:val="en-US" w:eastAsia="zh-CN" w:bidi="ar-SA"/>
        </w:rPr>
        <w:t>头，则正常死亡及普通疫病的病死猪约</w:t>
      </w:r>
      <w:r>
        <w:rPr>
          <w:rFonts w:hint="eastAsia" w:ascii="Times New Roman" w:hAnsi="Times New Roman" w:cs="Times New Roman"/>
          <w:snapToGrid w:val="0"/>
          <w:color w:val="auto"/>
          <w:kern w:val="0"/>
          <w:sz w:val="24"/>
          <w:szCs w:val="24"/>
          <w:highlight w:val="none"/>
          <w:lang w:val="en-US" w:eastAsia="zh-CN" w:bidi="ar-SA"/>
        </w:rPr>
        <w:t>9</w:t>
      </w:r>
      <w:r>
        <w:rPr>
          <w:rFonts w:hint="default" w:ascii="Times New Roman" w:hAnsi="Times New Roman" w:eastAsia="宋体" w:cs="Times New Roman"/>
          <w:snapToGrid w:val="0"/>
          <w:color w:val="auto"/>
          <w:kern w:val="0"/>
          <w:sz w:val="24"/>
          <w:szCs w:val="24"/>
          <w:highlight w:val="none"/>
          <w:lang w:val="en-US" w:eastAsia="zh-CN" w:bidi="ar-SA"/>
        </w:rPr>
        <w:t>头，每头猪按0.1t计，约</w:t>
      </w:r>
      <w:r>
        <w:rPr>
          <w:rFonts w:hint="eastAsia" w:ascii="Times New Roman" w:hAnsi="Times New Roman" w:cs="Times New Roman"/>
          <w:snapToGrid w:val="0"/>
          <w:color w:val="auto"/>
          <w:kern w:val="0"/>
          <w:sz w:val="24"/>
          <w:szCs w:val="24"/>
          <w:highlight w:val="none"/>
          <w:lang w:val="en-US" w:eastAsia="zh-CN" w:bidi="ar-SA"/>
        </w:rPr>
        <w:t>0.9</w:t>
      </w:r>
      <w:r>
        <w:rPr>
          <w:rFonts w:hint="default" w:ascii="Times New Roman" w:hAnsi="Times New Roman" w:eastAsia="宋体" w:cs="Times New Roman"/>
          <w:snapToGrid w:val="0"/>
          <w:color w:val="auto"/>
          <w:kern w:val="0"/>
          <w:sz w:val="24"/>
          <w:szCs w:val="24"/>
          <w:highlight w:val="none"/>
          <w:lang w:val="en-US" w:eastAsia="zh-CN" w:bidi="ar-SA"/>
        </w:rPr>
        <w:t>t/a。在项目运行期间产生的病死猪只分正常死亡和意外死亡两种，对于不同死亡方式产生的猪只，应严格按照《黑龙江省动物防疫条例》采取不同的对策及时处理，严禁随意丢弃，严禁出售或作为饲料再利用。本项目</w:t>
      </w:r>
      <w:r>
        <w:rPr>
          <w:rFonts w:hint="default" w:ascii="Times New Roman" w:hAnsi="Times New Roman" w:eastAsia="宋体" w:cs="Times New Roman"/>
          <w:snapToGrid w:val="0"/>
          <w:color w:val="auto"/>
          <w:kern w:val="0"/>
          <w:sz w:val="24"/>
          <w:szCs w:val="21"/>
          <w:highlight w:val="none"/>
          <w:lang w:val="en-US" w:eastAsia="zh-CN" w:bidi="ar"/>
        </w:rPr>
        <w:t>病死猪</w:t>
      </w:r>
      <w:r>
        <w:rPr>
          <w:rFonts w:hint="eastAsia" w:ascii="Times New Roman" w:hAnsi="Times New Roman" w:eastAsia="宋体" w:cs="Times New Roman"/>
          <w:snapToGrid w:val="0"/>
          <w:color w:val="auto"/>
          <w:kern w:val="0"/>
          <w:sz w:val="24"/>
          <w:szCs w:val="21"/>
          <w:highlight w:val="none"/>
          <w:lang w:val="en-US" w:eastAsia="zh-CN" w:bidi="ar"/>
        </w:rPr>
        <w:t>冷冻（冰箱）保存后</w:t>
      </w:r>
      <w:r>
        <w:rPr>
          <w:rFonts w:hint="default" w:ascii="Times New Roman" w:hAnsi="Times New Roman" w:eastAsia="宋体" w:cs="Times New Roman"/>
          <w:snapToGrid w:val="0"/>
          <w:color w:val="auto"/>
          <w:kern w:val="0"/>
          <w:sz w:val="24"/>
          <w:szCs w:val="21"/>
          <w:highlight w:val="none"/>
          <w:lang w:val="en-US" w:eastAsia="zh-CN" w:bidi="ar"/>
        </w:rPr>
        <w:t>委托</w:t>
      </w:r>
      <w:r>
        <w:rPr>
          <w:rFonts w:hint="eastAsia" w:ascii="Times New Roman" w:hAnsi="Times New Roman" w:eastAsia="宋体" w:cs="Times New Roman"/>
          <w:snapToGrid w:val="0"/>
          <w:color w:val="auto"/>
          <w:kern w:val="0"/>
          <w:sz w:val="24"/>
          <w:szCs w:val="21"/>
          <w:highlight w:val="none"/>
          <w:lang w:val="en-US" w:eastAsia="zh-CN" w:bidi="ar"/>
        </w:rPr>
        <w:t>鸡西市鑫农源固废处理有限公司进行无害化集中处理</w:t>
      </w:r>
      <w:r>
        <w:rPr>
          <w:rFonts w:hint="default" w:ascii="Times New Roman" w:hAnsi="Times New Roman" w:eastAsia="宋体" w:cs="Times New Roman"/>
          <w:snapToGrid w:val="0"/>
          <w:color w:val="auto"/>
          <w:kern w:val="0"/>
          <w:sz w:val="24"/>
          <w:szCs w:val="21"/>
          <w:highlight w:val="none"/>
          <w:lang w:val="en-US" w:eastAsia="zh-CN" w:bidi="ar"/>
        </w:rPr>
        <w:t>（具体协议见附件）</w:t>
      </w:r>
    </w:p>
    <w:p w14:paraId="10CFCA4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②</w:t>
      </w:r>
      <w:r>
        <w:rPr>
          <w:rFonts w:hint="default" w:ascii="Times New Roman" w:hAnsi="Times New Roman" w:eastAsia="宋体" w:cs="Times New Roman"/>
          <w:color w:val="auto"/>
          <w:kern w:val="0"/>
          <w:sz w:val="24"/>
          <w:szCs w:val="24"/>
          <w:highlight w:val="none"/>
          <w:lang w:val="en-US" w:eastAsia="zh-CN" w:bidi="ar-SA"/>
        </w:rPr>
        <w:t>胎盘</w:t>
      </w:r>
    </w:p>
    <w:p w14:paraId="083A0EFC">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按每头基础母猪（</w:t>
      </w:r>
      <w:r>
        <w:rPr>
          <w:rFonts w:hint="eastAsia" w:ascii="Times New Roman" w:hAnsi="Times New Roman" w:cs="Times New Roman"/>
          <w:snapToGrid w:val="0"/>
          <w:color w:val="auto"/>
          <w:kern w:val="0"/>
          <w:sz w:val="24"/>
          <w:szCs w:val="24"/>
          <w:highlight w:val="none"/>
          <w:lang w:val="en-US" w:eastAsia="zh-CN" w:bidi="ar-SA"/>
        </w:rPr>
        <w:t>285</w:t>
      </w:r>
      <w:r>
        <w:rPr>
          <w:rFonts w:hint="default" w:ascii="Times New Roman" w:hAnsi="Times New Roman" w:eastAsia="宋体" w:cs="Times New Roman"/>
          <w:snapToGrid w:val="0"/>
          <w:color w:val="auto"/>
          <w:kern w:val="0"/>
          <w:sz w:val="24"/>
          <w:szCs w:val="24"/>
          <w:highlight w:val="none"/>
          <w:lang w:val="en-US" w:eastAsia="zh-CN" w:bidi="ar-SA"/>
        </w:rPr>
        <w:t>头）每年生产2.</w:t>
      </w:r>
      <w:r>
        <w:rPr>
          <w:rFonts w:hint="eastAsia" w:ascii="Times New Roman" w:hAnsi="Times New Roman" w:eastAsia="宋体" w:cs="Times New Roman"/>
          <w:snapToGrid w:val="0"/>
          <w:color w:val="auto"/>
          <w:kern w:val="0"/>
          <w:sz w:val="24"/>
          <w:szCs w:val="24"/>
          <w:highlight w:val="none"/>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胎计算，每胎胎盘重约2kg，则产生胎盘约</w:t>
      </w:r>
      <w:r>
        <w:rPr>
          <w:rFonts w:hint="eastAsia" w:ascii="Times New Roman" w:hAnsi="Times New Roman" w:cs="Times New Roman"/>
          <w:snapToGrid w:val="0"/>
          <w:color w:val="auto"/>
          <w:kern w:val="0"/>
          <w:sz w:val="24"/>
          <w:szCs w:val="24"/>
          <w:highlight w:val="none"/>
          <w:lang w:val="en-US" w:eastAsia="zh-CN" w:bidi="ar-SA"/>
        </w:rPr>
        <w:t>1.254</w:t>
      </w:r>
      <w:r>
        <w:rPr>
          <w:rFonts w:hint="eastAsia" w:ascii="Times New Roman" w:hAnsi="Times New Roman" w:eastAsia="宋体" w:cs="Times New Roman"/>
          <w:snapToGrid w:val="0"/>
          <w:color w:val="auto"/>
          <w:kern w:val="0"/>
          <w:sz w:val="24"/>
          <w:szCs w:val="24"/>
          <w:highlight w:val="none"/>
          <w:lang w:val="en-US" w:eastAsia="zh-CN" w:bidi="ar-SA"/>
        </w:rPr>
        <w:t>t/a</w:t>
      </w:r>
      <w:r>
        <w:rPr>
          <w:rFonts w:hint="default"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1"/>
          <w:highlight w:val="none"/>
          <w:lang w:val="en-US" w:eastAsia="zh-CN" w:bidi="ar"/>
        </w:rPr>
        <w:t>胎盘</w:t>
      </w:r>
      <w:r>
        <w:rPr>
          <w:rFonts w:hint="eastAsia" w:ascii="Times New Roman" w:hAnsi="Times New Roman" w:eastAsia="宋体" w:cs="Times New Roman"/>
          <w:snapToGrid w:val="0"/>
          <w:color w:val="auto"/>
          <w:kern w:val="0"/>
          <w:sz w:val="24"/>
          <w:szCs w:val="21"/>
          <w:highlight w:val="none"/>
          <w:lang w:val="en-US" w:eastAsia="zh-CN" w:bidi="ar"/>
        </w:rPr>
        <w:t>冷冻（冰箱）保存后</w:t>
      </w:r>
      <w:r>
        <w:rPr>
          <w:rFonts w:hint="default" w:ascii="Times New Roman" w:hAnsi="Times New Roman" w:eastAsia="宋体" w:cs="Times New Roman"/>
          <w:snapToGrid w:val="0"/>
          <w:color w:val="auto"/>
          <w:kern w:val="0"/>
          <w:sz w:val="24"/>
          <w:szCs w:val="21"/>
          <w:highlight w:val="none"/>
          <w:lang w:val="en-US" w:eastAsia="zh-CN" w:bidi="ar"/>
        </w:rPr>
        <w:t>委托</w:t>
      </w:r>
      <w:r>
        <w:rPr>
          <w:rFonts w:hint="eastAsia" w:ascii="Times New Roman" w:hAnsi="Times New Roman" w:eastAsia="宋体" w:cs="Times New Roman"/>
          <w:snapToGrid w:val="0"/>
          <w:color w:val="auto"/>
          <w:kern w:val="0"/>
          <w:sz w:val="24"/>
          <w:szCs w:val="21"/>
          <w:highlight w:val="none"/>
          <w:lang w:val="en-US" w:eastAsia="zh-CN" w:bidi="ar"/>
        </w:rPr>
        <w:t>鸡西市鑫农源固废处理有限公司进行无害化集中处理</w:t>
      </w:r>
      <w:r>
        <w:rPr>
          <w:rFonts w:hint="default" w:ascii="Times New Roman" w:hAnsi="Times New Roman" w:eastAsia="宋体" w:cs="Times New Roman"/>
          <w:snapToGrid w:val="0"/>
          <w:color w:val="auto"/>
          <w:kern w:val="0"/>
          <w:sz w:val="24"/>
          <w:szCs w:val="21"/>
          <w:highlight w:val="none"/>
          <w:lang w:val="en-US" w:eastAsia="zh-CN" w:bidi="ar"/>
        </w:rPr>
        <w:t>（具体协议见附件）</w:t>
      </w:r>
      <w:r>
        <w:rPr>
          <w:rFonts w:hint="default" w:ascii="Times New Roman" w:hAnsi="Times New Roman" w:eastAsia="宋体" w:cs="Times New Roman"/>
          <w:color w:val="auto"/>
          <w:kern w:val="0"/>
          <w:sz w:val="24"/>
          <w:szCs w:val="24"/>
          <w:highlight w:val="none"/>
          <w:lang w:val="en-US" w:eastAsia="zh-CN" w:bidi="ar-SA"/>
        </w:rPr>
        <w:t>。</w:t>
      </w:r>
    </w:p>
    <w:p w14:paraId="01ECD62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（4）</w:t>
      </w:r>
      <w:r>
        <w:rPr>
          <w:rFonts w:hint="eastAsia" w:ascii="Times New Roman" w:hAnsi="Times New Roman" w:cs="Times New Roman"/>
          <w:color w:val="auto"/>
          <w:kern w:val="0"/>
          <w:sz w:val="24"/>
          <w:szCs w:val="24"/>
          <w:highlight w:val="none"/>
          <w:lang w:val="en-US" w:eastAsia="zh-CN" w:bidi="ar-SA"/>
        </w:rPr>
        <w:t>动物医疗废物</w:t>
      </w:r>
    </w:p>
    <w:p w14:paraId="175F7C12">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现有工程在运营过程中，会对猪只进行定时接种疫苗，日常防疫化验以及对病伤猪进行救治，在此过程中会产生一定量的</w:t>
      </w:r>
      <w:r>
        <w:rPr>
          <w:rFonts w:hint="eastAsia" w:ascii="Times New Roman" w:hAnsi="Times New Roman" w:cs="Times New Roman"/>
          <w:color w:val="auto"/>
          <w:kern w:val="0"/>
          <w:sz w:val="24"/>
          <w:szCs w:val="24"/>
          <w:highlight w:val="none"/>
          <w:lang w:val="en-US" w:eastAsia="zh-CN" w:bidi="ar-SA"/>
        </w:rPr>
        <w:t>动物医疗废物</w:t>
      </w:r>
      <w:r>
        <w:rPr>
          <w:rFonts w:hint="default" w:ascii="Times New Roman" w:hAnsi="Times New Roman" w:eastAsia="宋体" w:cs="Times New Roman"/>
          <w:color w:val="auto"/>
          <w:kern w:val="0"/>
          <w:sz w:val="24"/>
          <w:szCs w:val="24"/>
          <w:highlight w:val="none"/>
          <w:lang w:val="en-US" w:eastAsia="zh-CN" w:bidi="ar-SA"/>
        </w:rPr>
        <w:t>，如针头、针管以及其他一些报废的医疗器具。根据企业实际运行情况，现有工程运营过程中</w:t>
      </w:r>
      <w:r>
        <w:rPr>
          <w:rFonts w:hint="eastAsia" w:ascii="Times New Roman" w:hAnsi="Times New Roman" w:cs="Times New Roman"/>
          <w:color w:val="auto"/>
          <w:kern w:val="0"/>
          <w:sz w:val="24"/>
          <w:szCs w:val="24"/>
          <w:highlight w:val="none"/>
          <w:lang w:val="en-US" w:eastAsia="zh-CN" w:bidi="ar-SA"/>
        </w:rPr>
        <w:t>动物医疗废物</w:t>
      </w:r>
      <w:r>
        <w:rPr>
          <w:rFonts w:hint="default" w:ascii="Times New Roman" w:hAnsi="Times New Roman" w:eastAsia="宋体" w:cs="Times New Roman"/>
          <w:color w:val="auto"/>
          <w:kern w:val="0"/>
          <w:sz w:val="24"/>
          <w:szCs w:val="24"/>
          <w:highlight w:val="none"/>
          <w:lang w:val="en-US" w:eastAsia="zh-CN" w:bidi="ar-SA"/>
        </w:rPr>
        <w:t>产生量约为0.1</w:t>
      </w:r>
      <w:r>
        <w:rPr>
          <w:rFonts w:hint="eastAsia" w:ascii="Times New Roman" w:hAnsi="Times New Roman" w:cs="Times New Roman"/>
          <w:color w:val="auto"/>
          <w:kern w:val="0"/>
          <w:sz w:val="24"/>
          <w:szCs w:val="24"/>
          <w:highlight w:val="none"/>
          <w:lang w:val="en-US" w:eastAsia="zh-CN" w:bidi="ar-SA"/>
        </w:rPr>
        <w:t>5</w:t>
      </w:r>
      <w:r>
        <w:rPr>
          <w:rFonts w:hint="default" w:ascii="Times New Roman" w:hAnsi="Times New Roman" w:eastAsia="宋体" w:cs="Times New Roman"/>
          <w:color w:val="auto"/>
          <w:kern w:val="0"/>
          <w:sz w:val="24"/>
          <w:szCs w:val="24"/>
          <w:highlight w:val="none"/>
          <w:lang w:val="en-US" w:eastAsia="zh-CN" w:bidi="ar-SA"/>
        </w:rPr>
        <w:t>t/a。根据《国家危险废物名录》（202</w:t>
      </w:r>
      <w:r>
        <w:rPr>
          <w:rFonts w:hint="eastAsia" w:ascii="Times New Roman" w:hAnsi="Times New Roman" w:cs="Times New Roman"/>
          <w:color w:val="auto"/>
          <w:kern w:val="0"/>
          <w:sz w:val="24"/>
          <w:szCs w:val="24"/>
          <w:highlight w:val="none"/>
          <w:lang w:val="en-US" w:eastAsia="zh-CN" w:bidi="ar-SA"/>
        </w:rPr>
        <w:t>5</w:t>
      </w:r>
      <w:r>
        <w:rPr>
          <w:rFonts w:hint="default" w:ascii="Times New Roman" w:hAnsi="Times New Roman" w:eastAsia="宋体" w:cs="Times New Roman"/>
          <w:color w:val="auto"/>
          <w:kern w:val="0"/>
          <w:sz w:val="24"/>
          <w:szCs w:val="24"/>
          <w:highlight w:val="none"/>
          <w:lang w:val="en-US" w:eastAsia="zh-CN" w:bidi="ar-SA"/>
        </w:rPr>
        <w:t>年版），动物防疫、救治过程中产生的</w:t>
      </w:r>
      <w:r>
        <w:rPr>
          <w:rFonts w:hint="eastAsia" w:ascii="Times New Roman" w:hAnsi="Times New Roman" w:cs="Times New Roman"/>
          <w:color w:val="auto"/>
          <w:kern w:val="0"/>
          <w:sz w:val="24"/>
          <w:szCs w:val="24"/>
          <w:highlight w:val="none"/>
          <w:lang w:val="en-US" w:eastAsia="zh-CN" w:bidi="ar-SA"/>
        </w:rPr>
        <w:t>动物医疗废物</w:t>
      </w:r>
      <w:r>
        <w:rPr>
          <w:rFonts w:hint="default" w:ascii="Times New Roman" w:hAnsi="Times New Roman" w:eastAsia="宋体" w:cs="Times New Roman"/>
          <w:color w:val="auto"/>
          <w:kern w:val="0"/>
          <w:sz w:val="24"/>
          <w:szCs w:val="24"/>
          <w:highlight w:val="none"/>
          <w:lang w:val="en-US" w:eastAsia="zh-CN" w:bidi="ar-SA"/>
        </w:rPr>
        <w:t>属于危险废物，废物类别为HW01（医疗废物），废物代码为841-001-01，为感染性废物，委托有资质的危险废物处置单位清运并进行安全处置。</w:t>
      </w:r>
    </w:p>
    <w:p w14:paraId="4DD8A33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（6）沼渣</w:t>
      </w:r>
    </w:p>
    <w:p w14:paraId="713F64B9">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w:t>
      </w:r>
      <w:r>
        <w:rPr>
          <w:rFonts w:hint="eastAsia" w:ascii="Times New Roman" w:hAnsi="Times New Roman" w:cs="Times New Roman"/>
          <w:color w:val="auto"/>
          <w:kern w:val="0"/>
          <w:sz w:val="24"/>
          <w:szCs w:val="24"/>
          <w:highlight w:val="none"/>
          <w:lang w:val="en-US" w:eastAsia="zh-CN" w:bidi="ar-SA"/>
        </w:rPr>
        <w:t>尿泡粪—干清粪</w:t>
      </w:r>
      <w:r>
        <w:rPr>
          <w:rFonts w:hint="default" w:ascii="Times New Roman" w:hAnsi="Times New Roman" w:eastAsia="宋体" w:cs="Times New Roman"/>
          <w:color w:val="auto"/>
          <w:kern w:val="0"/>
          <w:sz w:val="24"/>
          <w:szCs w:val="24"/>
          <w:highlight w:val="none"/>
          <w:lang w:val="en-US" w:eastAsia="zh-CN" w:bidi="ar-SA"/>
        </w:rPr>
        <w:t>后猪粪（</w:t>
      </w:r>
      <w:r>
        <w:rPr>
          <w:rFonts w:hint="eastAsia" w:ascii="Times New Roman" w:hAnsi="Times New Roman" w:cs="Times New Roman"/>
          <w:color w:val="auto"/>
          <w:kern w:val="0"/>
          <w:sz w:val="24"/>
          <w:szCs w:val="24"/>
          <w:highlight w:val="none"/>
          <w:lang w:val="en-US" w:eastAsia="zh-CN" w:bidi="ar-SA"/>
        </w:rPr>
        <w:t>955.2</w:t>
      </w:r>
      <w:r>
        <w:rPr>
          <w:rFonts w:hint="default" w:ascii="Times New Roman" w:hAnsi="Times New Roman" w:eastAsia="宋体" w:cs="Times New Roman"/>
          <w:color w:val="auto"/>
          <w:kern w:val="0"/>
          <w:sz w:val="24"/>
          <w:szCs w:val="24"/>
          <w:highlight w:val="none"/>
          <w:lang w:val="en-US" w:eastAsia="zh-CN" w:bidi="ar-SA"/>
        </w:rPr>
        <w:t>t/a）随尿液进入固液分离间，粪便和废水经固液分离后的干物质（</w:t>
      </w:r>
      <w:r>
        <w:rPr>
          <w:rFonts w:hint="eastAsia" w:ascii="Times New Roman" w:hAnsi="Times New Roman" w:cs="Times New Roman"/>
          <w:color w:val="auto"/>
          <w:kern w:val="0"/>
          <w:sz w:val="24"/>
          <w:szCs w:val="24"/>
          <w:highlight w:val="none"/>
          <w:lang w:val="en-US" w:eastAsia="zh-CN" w:bidi="ar-SA"/>
        </w:rPr>
        <w:t>191.04</w:t>
      </w:r>
      <w:r>
        <w:rPr>
          <w:rFonts w:hint="eastAsia" w:ascii="Times New Roman" w:hAnsi="Times New Roman" w:eastAsia="宋体" w:cs="Times New Roman"/>
          <w:color w:val="auto"/>
          <w:kern w:val="0"/>
          <w:sz w:val="24"/>
          <w:szCs w:val="24"/>
          <w:highlight w:val="none"/>
          <w:lang w:val="en-US" w:eastAsia="zh-CN" w:bidi="ar-SA"/>
        </w:rPr>
        <w:t>t/a</w:t>
      </w:r>
      <w:r>
        <w:rPr>
          <w:rFonts w:hint="default" w:ascii="Times New Roman" w:hAnsi="Times New Roman" w:eastAsia="宋体" w:cs="Times New Roman"/>
          <w:color w:val="auto"/>
          <w:kern w:val="0"/>
          <w:sz w:val="24"/>
          <w:szCs w:val="24"/>
          <w:highlight w:val="none"/>
          <w:lang w:val="en-US" w:eastAsia="zh-CN" w:bidi="ar-SA"/>
        </w:rPr>
        <w:t>）被分离出来变成</w:t>
      </w:r>
      <w:r>
        <w:rPr>
          <w:rFonts w:hint="eastAsia" w:ascii="Times New Roman" w:hAnsi="Times New Roman" w:eastAsia="宋体" w:cs="Times New Roman"/>
          <w:color w:val="auto"/>
          <w:kern w:val="0"/>
          <w:sz w:val="24"/>
          <w:szCs w:val="24"/>
          <w:highlight w:val="none"/>
          <w:lang w:val="en-US" w:eastAsia="zh-CN" w:bidi="ar-SA"/>
        </w:rPr>
        <w:t>干粪</w:t>
      </w:r>
      <w:r>
        <w:rPr>
          <w:rFonts w:hint="default" w:ascii="Times New Roman" w:hAnsi="Times New Roman" w:eastAsia="宋体" w:cs="Times New Roman"/>
          <w:color w:val="auto"/>
          <w:kern w:val="0"/>
          <w:sz w:val="24"/>
          <w:szCs w:val="24"/>
          <w:highlight w:val="none"/>
          <w:lang w:val="en-US" w:eastAsia="zh-CN" w:bidi="ar-SA"/>
        </w:rPr>
        <w:t>，剩余物质进入黑膜厌氧反应池进行厌氧反应，经过厌氧发酵后，60%的干物质被分解，40%的干物质生成沼渣。沼渣含水率为65%，则沼渣产生量约为</w:t>
      </w:r>
      <w:r>
        <w:rPr>
          <w:rFonts w:hint="eastAsia" w:ascii="Times New Roman" w:hAnsi="Times New Roman" w:cs="Times New Roman"/>
          <w:color w:val="auto"/>
          <w:kern w:val="0"/>
          <w:sz w:val="24"/>
          <w:szCs w:val="24"/>
          <w:highlight w:val="none"/>
          <w:lang w:val="en-US" w:eastAsia="zh-CN" w:bidi="ar-SA"/>
        </w:rPr>
        <w:t>0.293</w:t>
      </w:r>
      <w:r>
        <w:rPr>
          <w:rFonts w:hint="default" w:ascii="Times New Roman" w:hAnsi="Times New Roman" w:eastAsia="宋体" w:cs="Times New Roman"/>
          <w:color w:val="auto"/>
          <w:kern w:val="0"/>
          <w:sz w:val="24"/>
          <w:szCs w:val="24"/>
          <w:highlight w:val="none"/>
          <w:lang w:val="en-US" w:eastAsia="zh-CN" w:bidi="ar-SA"/>
        </w:rPr>
        <w:t>t/d（即</w:t>
      </w:r>
      <w:r>
        <w:rPr>
          <w:rFonts w:hint="eastAsia" w:ascii="Times New Roman" w:hAnsi="Times New Roman" w:cs="Times New Roman"/>
          <w:color w:val="auto"/>
          <w:kern w:val="0"/>
          <w:sz w:val="24"/>
          <w:szCs w:val="24"/>
          <w:highlight w:val="none"/>
          <w:lang w:val="en-US" w:eastAsia="zh-CN" w:bidi="ar-SA"/>
        </w:rPr>
        <w:t>106.98</w:t>
      </w:r>
      <w:r>
        <w:rPr>
          <w:rFonts w:hint="default" w:ascii="Times New Roman" w:hAnsi="Times New Roman" w:eastAsia="宋体" w:cs="Times New Roman"/>
          <w:color w:val="auto"/>
          <w:kern w:val="0"/>
          <w:sz w:val="24"/>
          <w:szCs w:val="24"/>
          <w:highlight w:val="none"/>
          <w:lang w:val="en-US" w:eastAsia="zh-CN" w:bidi="ar-SA"/>
        </w:rPr>
        <w:t>t/a）。产生的沼渣运至</w:t>
      </w:r>
      <w:r>
        <w:rPr>
          <w:rFonts w:hint="eastAsia" w:ascii="Times New Roman" w:hAnsi="Times New Roman" w:eastAsia="宋体" w:cs="Times New Roman"/>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发酵后还田</w:t>
      </w:r>
      <w:r>
        <w:rPr>
          <w:rFonts w:hint="default" w:ascii="Times New Roman" w:hAnsi="Times New Roman" w:eastAsia="宋体" w:cs="Times New Roman"/>
          <w:color w:val="auto"/>
          <w:kern w:val="0"/>
          <w:sz w:val="24"/>
          <w:szCs w:val="24"/>
          <w:highlight w:val="none"/>
          <w:lang w:val="en-US" w:eastAsia="zh-CN" w:bidi="ar-SA"/>
        </w:rPr>
        <w:t>。</w:t>
      </w:r>
    </w:p>
    <w:p w14:paraId="05C90EF2">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7</w:t>
      </w:r>
      <w:r>
        <w:rPr>
          <w:rFonts w:hint="default" w:ascii="Times New Roman" w:hAnsi="Times New Roman" w:eastAsia="宋体" w:cs="Times New Roman"/>
          <w:color w:val="auto"/>
          <w:kern w:val="0"/>
          <w:sz w:val="24"/>
          <w:szCs w:val="24"/>
          <w:highlight w:val="none"/>
          <w:lang w:val="en-US" w:eastAsia="zh-CN" w:bidi="ar-SA"/>
        </w:rPr>
        <w:t>）废除臭剂桶</w:t>
      </w:r>
    </w:p>
    <w:p w14:paraId="5B4B5037">
      <w:pPr>
        <w:spacing w:line="360" w:lineRule="auto"/>
        <w:ind w:firstLine="480" w:firstLineChars="200"/>
        <w:jc w:val="both"/>
        <w:rPr>
          <w:rFonts w:hint="default"/>
          <w:highlight w:val="none"/>
          <w:lang w:val="en-US" w:eastAsia="zh-CN"/>
        </w:rPr>
      </w:pPr>
      <w:r>
        <w:rPr>
          <w:rFonts w:hint="default" w:ascii="Times New Roman" w:hAnsi="Times New Roman" w:eastAsia="宋体" w:cs="Times New Roman"/>
          <w:color w:val="auto"/>
          <w:kern w:val="0"/>
          <w:sz w:val="24"/>
          <w:szCs w:val="24"/>
          <w:highlight w:val="none"/>
          <w:lang w:val="en-US" w:eastAsia="zh-CN" w:bidi="ar-SA"/>
        </w:rPr>
        <w:t>项目发酵过程中会产生恶臭气体，本项目采用喷洒除臭剂降低厂区恶臭气体的治理措施，因此会产生少量废除臭剂包装桶，属于一般固废，产生量约</w:t>
      </w:r>
      <w:r>
        <w:rPr>
          <w:rFonts w:hint="eastAsia" w:ascii="Times New Roman" w:hAnsi="Times New Roman" w:cs="Times New Roman"/>
          <w:color w:val="auto"/>
          <w:kern w:val="0"/>
          <w:sz w:val="24"/>
          <w:szCs w:val="24"/>
          <w:highlight w:val="none"/>
          <w:lang w:val="en-US" w:eastAsia="zh-CN" w:bidi="ar-SA"/>
        </w:rPr>
        <w:t>1</w:t>
      </w:r>
      <w:r>
        <w:rPr>
          <w:rFonts w:hint="default" w:ascii="Times New Roman" w:hAnsi="Times New Roman" w:eastAsia="宋体" w:cs="Times New Roman"/>
          <w:color w:val="auto"/>
          <w:kern w:val="0"/>
          <w:sz w:val="24"/>
          <w:szCs w:val="24"/>
          <w:highlight w:val="none"/>
          <w:lang w:val="en-US" w:eastAsia="zh-CN" w:bidi="ar-SA"/>
        </w:rPr>
        <w:t>t/a，集中收集后定期由厂家回收利用。</w:t>
      </w:r>
    </w:p>
    <w:p w14:paraId="774D9DDD">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9</w:t>
      </w:r>
      <w:r>
        <w:rPr>
          <w:rFonts w:hint="default" w:ascii="Times New Roman" w:hAnsi="Times New Roman" w:eastAsia="黑体" w:cs="Times New Roman"/>
          <w:b w:val="0"/>
          <w:bCs/>
          <w:smallCaps w:val="0"/>
          <w:snapToGrid/>
          <w:kern w:val="2"/>
          <w:sz w:val="21"/>
          <w:szCs w:val="24"/>
          <w:highlight w:val="none"/>
          <w:lang w:val="en-US" w:eastAsia="zh-CN" w:bidi="ar-SA"/>
        </w:rPr>
        <w:t xml:space="preserve">  固体废弃物源强</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891"/>
        <w:gridCol w:w="1540"/>
        <w:gridCol w:w="906"/>
        <w:gridCol w:w="1375"/>
        <w:gridCol w:w="1038"/>
        <w:gridCol w:w="1611"/>
      </w:tblGrid>
      <w:tr w14:paraId="7F27AA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81" w:type="pct"/>
            <w:vMerge w:val="restart"/>
            <w:vAlign w:val="center"/>
          </w:tcPr>
          <w:p w14:paraId="23F1A5A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工序</w:t>
            </w:r>
          </w:p>
        </w:tc>
        <w:tc>
          <w:tcPr>
            <w:tcW w:w="522" w:type="pct"/>
            <w:vMerge w:val="restart"/>
            <w:vAlign w:val="center"/>
          </w:tcPr>
          <w:p w14:paraId="5BB98F0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固体废物名称</w:t>
            </w:r>
          </w:p>
        </w:tc>
        <w:tc>
          <w:tcPr>
            <w:tcW w:w="903" w:type="pct"/>
            <w:vMerge w:val="restart"/>
            <w:vAlign w:val="center"/>
          </w:tcPr>
          <w:p w14:paraId="1B0695F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固废属性</w:t>
            </w:r>
          </w:p>
        </w:tc>
        <w:tc>
          <w:tcPr>
            <w:tcW w:w="531" w:type="pct"/>
            <w:vMerge w:val="restart"/>
            <w:vAlign w:val="center"/>
          </w:tcPr>
          <w:p w14:paraId="376249D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产生量</w:t>
            </w:r>
          </w:p>
          <w:p w14:paraId="5FD04D0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（t/a）</w:t>
            </w:r>
          </w:p>
        </w:tc>
        <w:tc>
          <w:tcPr>
            <w:tcW w:w="1415" w:type="pct"/>
            <w:gridSpan w:val="2"/>
            <w:vAlign w:val="center"/>
          </w:tcPr>
          <w:p w14:paraId="187CFAE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处置措施</w:t>
            </w:r>
          </w:p>
        </w:tc>
        <w:tc>
          <w:tcPr>
            <w:tcW w:w="945" w:type="pct"/>
            <w:vMerge w:val="restart"/>
            <w:vAlign w:val="center"/>
          </w:tcPr>
          <w:p w14:paraId="4B75860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最终去向</w:t>
            </w:r>
          </w:p>
        </w:tc>
      </w:tr>
      <w:tr w14:paraId="0EEF7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81" w:type="pct"/>
            <w:vMerge w:val="continue"/>
            <w:vAlign w:val="center"/>
          </w:tcPr>
          <w:p w14:paraId="5084ACF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22" w:type="pct"/>
            <w:vMerge w:val="continue"/>
            <w:vAlign w:val="center"/>
          </w:tcPr>
          <w:p w14:paraId="381B700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903" w:type="pct"/>
            <w:vMerge w:val="continue"/>
            <w:vAlign w:val="center"/>
          </w:tcPr>
          <w:p w14:paraId="517686B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31" w:type="pct"/>
            <w:vMerge w:val="continue"/>
            <w:vAlign w:val="center"/>
          </w:tcPr>
          <w:p w14:paraId="67F469E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806" w:type="pct"/>
            <w:vAlign w:val="center"/>
          </w:tcPr>
          <w:p w14:paraId="0B965E7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工艺</w:t>
            </w:r>
          </w:p>
        </w:tc>
        <w:tc>
          <w:tcPr>
            <w:tcW w:w="608" w:type="pct"/>
            <w:vAlign w:val="center"/>
          </w:tcPr>
          <w:p w14:paraId="3388DD2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处置量（t/a）</w:t>
            </w:r>
          </w:p>
        </w:tc>
        <w:tc>
          <w:tcPr>
            <w:tcW w:w="945" w:type="pct"/>
            <w:vMerge w:val="continue"/>
            <w:vAlign w:val="center"/>
          </w:tcPr>
          <w:p w14:paraId="09BF66D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6B2793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681" w:type="pct"/>
            <w:vAlign w:val="center"/>
          </w:tcPr>
          <w:p w14:paraId="338A136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1E799AE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猪粪</w:t>
            </w:r>
          </w:p>
        </w:tc>
        <w:tc>
          <w:tcPr>
            <w:tcW w:w="903" w:type="pct"/>
            <w:vAlign w:val="center"/>
          </w:tcPr>
          <w:p w14:paraId="585DD34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082365D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（类别代码030-001-S8</w:t>
            </w:r>
            <w:r>
              <w:rPr>
                <w:rFonts w:hint="eastAsia" w:ascii="Times New Roman" w:hAnsi="Times New Roman" w:eastAsia="宋体"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zh-CN" w:eastAsia="zh-CN" w:bidi="ar-SA"/>
              </w:rPr>
              <w:t>）</w:t>
            </w:r>
          </w:p>
        </w:tc>
        <w:tc>
          <w:tcPr>
            <w:tcW w:w="531" w:type="pct"/>
            <w:vAlign w:val="center"/>
          </w:tcPr>
          <w:p w14:paraId="5C82754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191.04</w:t>
            </w:r>
          </w:p>
        </w:tc>
        <w:tc>
          <w:tcPr>
            <w:tcW w:w="806" w:type="pct"/>
            <w:vAlign w:val="center"/>
          </w:tcPr>
          <w:p w14:paraId="6B82BDAB">
            <w:pPr>
              <w:spacing w:line="300" w:lineRule="exact"/>
              <w:jc w:val="center"/>
              <w:rPr>
                <w:rFonts w:hint="default" w:ascii="Times New Roman" w:hAnsi="Times New Roman" w:eastAsia="宋体" w:cs="Times New Roman"/>
                <w:b/>
                <w:bCs/>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zh-CN" w:eastAsia="zh-CN" w:bidi="ar-SA"/>
              </w:rPr>
              <w:t>干粪堆积场</w:t>
            </w:r>
            <w:r>
              <w:rPr>
                <w:rFonts w:hint="default" w:ascii="Times New Roman" w:hAnsi="Times New Roman" w:eastAsia="宋体" w:cs="Times New Roman"/>
                <w:color w:val="auto"/>
                <w:kern w:val="0"/>
                <w:sz w:val="21"/>
                <w:szCs w:val="21"/>
                <w:highlight w:val="none"/>
                <w:lang w:val="zh-CN" w:eastAsia="zh-CN" w:bidi="ar-SA"/>
              </w:rPr>
              <w:t>堆肥</w:t>
            </w:r>
          </w:p>
        </w:tc>
        <w:tc>
          <w:tcPr>
            <w:tcW w:w="608" w:type="pct"/>
            <w:vAlign w:val="center"/>
          </w:tcPr>
          <w:p w14:paraId="449EA00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191.04</w:t>
            </w:r>
          </w:p>
        </w:tc>
        <w:tc>
          <w:tcPr>
            <w:tcW w:w="945" w:type="pct"/>
            <w:vAlign w:val="center"/>
          </w:tcPr>
          <w:p w14:paraId="7C849D4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还田</w:t>
            </w:r>
          </w:p>
        </w:tc>
      </w:tr>
      <w:tr w14:paraId="11FEC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3F00CA5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1143A31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cs="Times New Roman"/>
                <w:color w:val="auto"/>
                <w:kern w:val="0"/>
                <w:sz w:val="21"/>
                <w:szCs w:val="21"/>
                <w:highlight w:val="none"/>
                <w:lang w:val="zh-CN" w:eastAsia="zh-CN" w:bidi="ar-SA"/>
              </w:rPr>
              <w:t>动物医疗废物</w:t>
            </w:r>
          </w:p>
        </w:tc>
        <w:tc>
          <w:tcPr>
            <w:tcW w:w="903" w:type="pct"/>
            <w:vAlign w:val="center"/>
          </w:tcPr>
          <w:p w14:paraId="5D25246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危险废物（HW01-841-001-01）</w:t>
            </w:r>
          </w:p>
        </w:tc>
        <w:tc>
          <w:tcPr>
            <w:tcW w:w="531" w:type="pct"/>
            <w:vAlign w:val="center"/>
          </w:tcPr>
          <w:p w14:paraId="7B256504">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0.15</w:t>
            </w:r>
          </w:p>
        </w:tc>
        <w:tc>
          <w:tcPr>
            <w:tcW w:w="806" w:type="pct"/>
            <w:vAlign w:val="center"/>
          </w:tcPr>
          <w:p w14:paraId="586C97B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委托有资质单位处理</w:t>
            </w:r>
          </w:p>
        </w:tc>
        <w:tc>
          <w:tcPr>
            <w:tcW w:w="608" w:type="pct"/>
            <w:vAlign w:val="center"/>
          </w:tcPr>
          <w:p w14:paraId="1B3422C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cs="Times New Roman"/>
                <w:color w:val="auto"/>
                <w:kern w:val="0"/>
                <w:sz w:val="21"/>
                <w:szCs w:val="21"/>
                <w:highlight w:val="none"/>
                <w:lang w:val="en-US" w:eastAsia="zh-CN" w:bidi="ar-SA"/>
              </w:rPr>
              <w:t>0.15</w:t>
            </w:r>
          </w:p>
        </w:tc>
        <w:tc>
          <w:tcPr>
            <w:tcW w:w="945" w:type="pct"/>
            <w:vAlign w:val="center"/>
          </w:tcPr>
          <w:p w14:paraId="1374F2C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有资质单位处理</w:t>
            </w:r>
          </w:p>
        </w:tc>
      </w:tr>
      <w:tr w14:paraId="4C6EB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5E5266D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7A6BA23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病死猪尸体</w:t>
            </w:r>
          </w:p>
        </w:tc>
        <w:tc>
          <w:tcPr>
            <w:tcW w:w="903" w:type="pct"/>
            <w:vAlign w:val="center"/>
          </w:tcPr>
          <w:p w14:paraId="7C1606F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一般固体</w:t>
            </w:r>
          </w:p>
          <w:p w14:paraId="664E26D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（类别代码030-00</w:t>
            </w:r>
            <w:r>
              <w:rPr>
                <w:rFonts w:hint="eastAsia" w:ascii="Times New Roman" w:hAnsi="Times New Roman" w:eastAsia="宋体"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zh-CN" w:eastAsia="zh-CN" w:bidi="ar-SA"/>
              </w:rPr>
              <w:t>-S8</w:t>
            </w:r>
            <w:r>
              <w:rPr>
                <w:rFonts w:hint="eastAsia" w:ascii="Times New Roman" w:hAnsi="Times New Roman" w:eastAsia="宋体"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zh-CN" w:eastAsia="zh-CN" w:bidi="ar-SA"/>
              </w:rPr>
              <w:t>）</w:t>
            </w:r>
          </w:p>
        </w:tc>
        <w:tc>
          <w:tcPr>
            <w:tcW w:w="531" w:type="pct"/>
            <w:vAlign w:val="center"/>
          </w:tcPr>
          <w:p w14:paraId="23A0E47C">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0.9</w:t>
            </w:r>
          </w:p>
        </w:tc>
        <w:tc>
          <w:tcPr>
            <w:tcW w:w="806" w:type="pct"/>
            <w:vMerge w:val="restart"/>
            <w:vAlign w:val="center"/>
          </w:tcPr>
          <w:p w14:paraId="4137D76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
              </w:rPr>
              <w:t>病死猪及胎盘</w:t>
            </w:r>
            <w:r>
              <w:rPr>
                <w:rFonts w:hint="eastAsia" w:ascii="Times New Roman" w:hAnsi="Times New Roman" w:eastAsia="宋体" w:cs="Times New Roman"/>
                <w:snapToGrid w:val="0"/>
                <w:color w:val="auto"/>
                <w:kern w:val="0"/>
                <w:sz w:val="21"/>
                <w:szCs w:val="21"/>
                <w:highlight w:val="none"/>
                <w:lang w:val="en-US" w:eastAsia="zh-CN" w:bidi="ar"/>
              </w:rPr>
              <w:t>冷冻（冰箱）保存后，</w:t>
            </w:r>
            <w:r>
              <w:rPr>
                <w:rFonts w:hint="default" w:ascii="Times New Roman" w:hAnsi="Times New Roman" w:eastAsia="宋体" w:cs="Times New Roman"/>
                <w:color w:val="auto"/>
                <w:kern w:val="0"/>
                <w:sz w:val="21"/>
                <w:szCs w:val="21"/>
                <w:highlight w:val="none"/>
                <w:lang w:val="zh-CN" w:eastAsia="zh-CN" w:bidi="ar-SA"/>
              </w:rPr>
              <w:t>运到收集点暂存，委托有资质单位处理</w:t>
            </w:r>
          </w:p>
        </w:tc>
        <w:tc>
          <w:tcPr>
            <w:tcW w:w="608" w:type="pct"/>
            <w:vAlign w:val="center"/>
          </w:tcPr>
          <w:p w14:paraId="20645AC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cs="Times New Roman"/>
                <w:color w:val="auto"/>
                <w:kern w:val="0"/>
                <w:sz w:val="21"/>
                <w:szCs w:val="21"/>
                <w:highlight w:val="none"/>
                <w:lang w:val="en-US" w:eastAsia="zh-CN" w:bidi="ar-SA"/>
              </w:rPr>
              <w:t>0.9</w:t>
            </w:r>
          </w:p>
        </w:tc>
        <w:tc>
          <w:tcPr>
            <w:tcW w:w="945" w:type="pct"/>
            <w:vMerge w:val="restart"/>
            <w:vAlign w:val="center"/>
          </w:tcPr>
          <w:p w14:paraId="08B4C3E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病死猪及胎盘委托</w:t>
            </w:r>
            <w:r>
              <w:rPr>
                <w:rFonts w:hint="eastAsia" w:ascii="Times New Roman" w:hAnsi="Times New Roman" w:eastAsia="宋体" w:cs="Times New Roman"/>
                <w:color w:val="auto"/>
                <w:kern w:val="0"/>
                <w:sz w:val="21"/>
                <w:szCs w:val="21"/>
                <w:highlight w:val="none"/>
                <w:lang w:val="zh-CN" w:eastAsia="zh-CN" w:bidi="ar-SA"/>
              </w:rPr>
              <w:t>鸡西市鑫农源固废处理有限公司进行无害化集中处理</w:t>
            </w:r>
            <w:r>
              <w:rPr>
                <w:rFonts w:hint="default" w:ascii="Times New Roman" w:hAnsi="Times New Roman" w:eastAsia="宋体" w:cs="Times New Roman"/>
                <w:color w:val="auto"/>
                <w:kern w:val="0"/>
                <w:sz w:val="21"/>
                <w:szCs w:val="21"/>
                <w:highlight w:val="none"/>
                <w:lang w:val="zh-CN" w:eastAsia="zh-CN" w:bidi="ar-SA"/>
              </w:rPr>
              <w:t>（具体协议见附件）</w:t>
            </w:r>
          </w:p>
        </w:tc>
      </w:tr>
      <w:tr w14:paraId="41B63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0147DC6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77DD6F0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胎盘</w:t>
            </w:r>
          </w:p>
        </w:tc>
        <w:tc>
          <w:tcPr>
            <w:tcW w:w="903" w:type="pct"/>
            <w:vAlign w:val="center"/>
          </w:tcPr>
          <w:p w14:paraId="74015D8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7F67BEE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（类别代码030-003-S82）</w:t>
            </w:r>
          </w:p>
        </w:tc>
        <w:tc>
          <w:tcPr>
            <w:tcW w:w="531" w:type="pct"/>
            <w:vAlign w:val="center"/>
          </w:tcPr>
          <w:p w14:paraId="6C8314C8">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1.254</w:t>
            </w:r>
          </w:p>
        </w:tc>
        <w:tc>
          <w:tcPr>
            <w:tcW w:w="806" w:type="pct"/>
            <w:vMerge w:val="continue"/>
            <w:vAlign w:val="center"/>
          </w:tcPr>
          <w:p w14:paraId="75523AC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08" w:type="pct"/>
            <w:vAlign w:val="center"/>
          </w:tcPr>
          <w:p w14:paraId="2CA9A086">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1.254</w:t>
            </w:r>
          </w:p>
        </w:tc>
        <w:tc>
          <w:tcPr>
            <w:tcW w:w="945" w:type="pct"/>
            <w:vMerge w:val="continue"/>
            <w:vAlign w:val="center"/>
          </w:tcPr>
          <w:p w14:paraId="1AD8CFE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63FFF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257D985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职工生活</w:t>
            </w:r>
          </w:p>
        </w:tc>
        <w:tc>
          <w:tcPr>
            <w:tcW w:w="522" w:type="pct"/>
            <w:vAlign w:val="center"/>
          </w:tcPr>
          <w:p w14:paraId="12C14EF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生活垃圾</w:t>
            </w:r>
          </w:p>
        </w:tc>
        <w:tc>
          <w:tcPr>
            <w:tcW w:w="903" w:type="pct"/>
            <w:vAlign w:val="center"/>
          </w:tcPr>
          <w:p w14:paraId="515E1CB0">
            <w:pPr>
              <w:spacing w:line="300" w:lineRule="exact"/>
              <w:jc w:val="center"/>
              <w:rPr>
                <w:rFonts w:hint="eastAsia"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31" w:type="pct"/>
            <w:vAlign w:val="center"/>
          </w:tcPr>
          <w:p w14:paraId="71B95A55">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1.46</w:t>
            </w:r>
          </w:p>
        </w:tc>
        <w:tc>
          <w:tcPr>
            <w:tcW w:w="806" w:type="pct"/>
            <w:vAlign w:val="center"/>
          </w:tcPr>
          <w:p w14:paraId="28896D1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由市政环卫部门统一处理</w:t>
            </w:r>
          </w:p>
        </w:tc>
        <w:tc>
          <w:tcPr>
            <w:tcW w:w="608" w:type="pct"/>
            <w:vAlign w:val="center"/>
          </w:tcPr>
          <w:p w14:paraId="108084A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1.46</w:t>
            </w:r>
          </w:p>
        </w:tc>
        <w:tc>
          <w:tcPr>
            <w:tcW w:w="945" w:type="pct"/>
            <w:vAlign w:val="center"/>
          </w:tcPr>
          <w:p w14:paraId="6370A54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垃圾填埋场</w:t>
            </w:r>
          </w:p>
        </w:tc>
      </w:tr>
      <w:tr w14:paraId="3E229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681" w:type="pct"/>
            <w:vAlign w:val="center"/>
          </w:tcPr>
          <w:p w14:paraId="1943E84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5E1969C3">
            <w:pPr>
              <w:spacing w:line="300" w:lineRule="exact"/>
              <w:jc w:val="center"/>
              <w:rPr>
                <w:rFonts w:hint="eastAsia"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en-US" w:eastAsia="zh-CN" w:bidi="ar-SA"/>
              </w:rPr>
              <w:t>沼渣</w:t>
            </w:r>
          </w:p>
        </w:tc>
        <w:tc>
          <w:tcPr>
            <w:tcW w:w="903" w:type="pct"/>
            <w:vAlign w:val="center"/>
          </w:tcPr>
          <w:p w14:paraId="3490147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64B7962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（类别代码030-003-S82）</w:t>
            </w:r>
          </w:p>
        </w:tc>
        <w:tc>
          <w:tcPr>
            <w:tcW w:w="531" w:type="pct"/>
            <w:vAlign w:val="center"/>
          </w:tcPr>
          <w:p w14:paraId="716C4A9D">
            <w:pPr>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color w:val="auto"/>
                <w:kern w:val="0"/>
                <w:sz w:val="21"/>
                <w:szCs w:val="21"/>
                <w:highlight w:val="none"/>
                <w:lang w:val="en-US" w:eastAsia="zh-CN" w:bidi="ar-SA"/>
              </w:rPr>
              <w:t>106.98</w:t>
            </w:r>
          </w:p>
        </w:tc>
        <w:tc>
          <w:tcPr>
            <w:tcW w:w="806" w:type="pct"/>
            <w:vAlign w:val="center"/>
          </w:tcPr>
          <w:p w14:paraId="75AC4DC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zh-CN" w:eastAsia="zh-CN" w:bidi="ar-SA"/>
              </w:rPr>
              <w:t>干粪堆积场</w:t>
            </w:r>
            <w:r>
              <w:rPr>
                <w:rFonts w:hint="default" w:ascii="Times New Roman" w:hAnsi="Times New Roman" w:eastAsia="宋体" w:cs="Times New Roman"/>
                <w:color w:val="auto"/>
                <w:kern w:val="0"/>
                <w:sz w:val="21"/>
                <w:szCs w:val="21"/>
                <w:highlight w:val="none"/>
                <w:lang w:val="zh-CN" w:eastAsia="zh-CN" w:bidi="ar-SA"/>
              </w:rPr>
              <w:t>堆肥</w:t>
            </w:r>
          </w:p>
        </w:tc>
        <w:tc>
          <w:tcPr>
            <w:tcW w:w="608" w:type="pct"/>
            <w:vAlign w:val="center"/>
          </w:tcPr>
          <w:p w14:paraId="2A936B6B">
            <w:pPr>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color w:val="auto"/>
                <w:kern w:val="0"/>
                <w:sz w:val="21"/>
                <w:szCs w:val="21"/>
                <w:highlight w:val="none"/>
                <w:lang w:val="en-US" w:eastAsia="zh-CN" w:bidi="ar-SA"/>
              </w:rPr>
              <w:t>106.98</w:t>
            </w:r>
          </w:p>
        </w:tc>
        <w:tc>
          <w:tcPr>
            <w:tcW w:w="945" w:type="pct"/>
            <w:vAlign w:val="center"/>
          </w:tcPr>
          <w:p w14:paraId="362E086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en-US" w:eastAsia="zh-CN" w:bidi="ar-SA"/>
              </w:rPr>
              <w:t>堆肥</w:t>
            </w:r>
            <w:r>
              <w:rPr>
                <w:rFonts w:hint="default" w:ascii="Times New Roman" w:hAnsi="Times New Roman" w:eastAsia="宋体" w:cs="Times New Roman"/>
                <w:color w:val="auto"/>
                <w:kern w:val="0"/>
                <w:sz w:val="21"/>
                <w:szCs w:val="21"/>
                <w:highlight w:val="none"/>
                <w:lang w:val="zh-CN" w:eastAsia="zh-CN" w:bidi="ar-SA"/>
              </w:rPr>
              <w:t>还田</w:t>
            </w:r>
          </w:p>
        </w:tc>
      </w:tr>
      <w:tr w14:paraId="246419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81" w:type="pct"/>
            <w:vAlign w:val="center"/>
          </w:tcPr>
          <w:p w14:paraId="4FF15EC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en-US" w:eastAsia="zh-CN" w:bidi="ar-SA"/>
              </w:rPr>
              <w:t>除臭</w:t>
            </w:r>
          </w:p>
        </w:tc>
        <w:tc>
          <w:tcPr>
            <w:tcW w:w="522" w:type="pct"/>
            <w:vAlign w:val="center"/>
          </w:tcPr>
          <w:p w14:paraId="7FACBC8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en-US" w:eastAsia="zh-CN" w:bidi="ar-SA"/>
              </w:rPr>
              <w:t>废除臭剂桶</w:t>
            </w:r>
          </w:p>
        </w:tc>
        <w:tc>
          <w:tcPr>
            <w:tcW w:w="903" w:type="pct"/>
            <w:vAlign w:val="center"/>
          </w:tcPr>
          <w:p w14:paraId="5A72F76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0EED7D7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en-US" w:eastAsia="zh-CN" w:bidi="ar-SA"/>
              </w:rPr>
              <w:t>类别代码900-099-S59</w:t>
            </w:r>
            <w:r>
              <w:rPr>
                <w:rFonts w:hint="default" w:ascii="Times New Roman" w:hAnsi="Times New Roman" w:eastAsia="宋体" w:cs="Times New Roman"/>
                <w:color w:val="auto"/>
                <w:kern w:val="0"/>
                <w:sz w:val="21"/>
                <w:szCs w:val="21"/>
                <w:highlight w:val="none"/>
                <w:lang w:val="zh-CN" w:eastAsia="zh-CN" w:bidi="ar-SA"/>
              </w:rPr>
              <w:t>）</w:t>
            </w:r>
          </w:p>
        </w:tc>
        <w:tc>
          <w:tcPr>
            <w:tcW w:w="531" w:type="pct"/>
            <w:vAlign w:val="center"/>
          </w:tcPr>
          <w:p w14:paraId="6842C458">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1</w:t>
            </w:r>
          </w:p>
        </w:tc>
        <w:tc>
          <w:tcPr>
            <w:tcW w:w="806" w:type="pct"/>
            <w:vAlign w:val="center"/>
          </w:tcPr>
          <w:p w14:paraId="26C0954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厂家回收</w:t>
            </w:r>
          </w:p>
        </w:tc>
        <w:tc>
          <w:tcPr>
            <w:tcW w:w="608" w:type="pct"/>
            <w:vAlign w:val="center"/>
          </w:tcPr>
          <w:p w14:paraId="396A391B">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1</w:t>
            </w:r>
          </w:p>
        </w:tc>
        <w:tc>
          <w:tcPr>
            <w:tcW w:w="945" w:type="pct"/>
            <w:vAlign w:val="center"/>
          </w:tcPr>
          <w:p w14:paraId="0358EA4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厂家回收</w:t>
            </w:r>
          </w:p>
        </w:tc>
      </w:tr>
    </w:tbl>
    <w:p w14:paraId="23782E63">
      <w:pPr>
        <w:pStyle w:val="7"/>
        <w:bidi w:val="0"/>
        <w:rPr>
          <w:rFonts w:ascii="宋体" w:hAnsi="宋体" w:eastAsia="宋体" w:cs="宋体"/>
          <w:sz w:val="24"/>
          <w:szCs w:val="24"/>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w:t>
      </w:r>
      <w:r>
        <w:rPr>
          <w:rFonts w:hint="eastAsia" w:ascii="Times New Roman" w:hAnsi="Times New Roman" w:eastAsia="宋体" w:cs="Times New Roman"/>
          <w:snapToGrid w:val="0"/>
          <w:color w:val="auto"/>
          <w:highlight w:val="none"/>
          <w:lang w:val="en-US" w:eastAsia="zh-CN"/>
        </w:rPr>
        <w:t>8</w:t>
      </w:r>
      <w:r>
        <w:rPr>
          <w:rFonts w:ascii="宋体" w:hAnsi="宋体" w:eastAsia="宋体" w:cs="宋体"/>
          <w:sz w:val="24"/>
          <w:szCs w:val="24"/>
          <w:highlight w:val="none"/>
        </w:rPr>
        <w:t>现有项目污染物排放汇总情况</w:t>
      </w:r>
    </w:p>
    <w:p w14:paraId="29664F8F">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现有项目污染物产生及排放情况如下表所示：</w:t>
      </w:r>
    </w:p>
    <w:p w14:paraId="0C34F1F2">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10  现有项目污染物产生及排放情况一览表</w:t>
      </w:r>
    </w:p>
    <w:tbl>
      <w:tblPr>
        <w:tblStyle w:val="39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5"/>
        <w:gridCol w:w="1921"/>
        <w:gridCol w:w="1832"/>
        <w:gridCol w:w="1882"/>
        <w:gridCol w:w="1899"/>
      </w:tblGrid>
      <w:tr w14:paraId="590FF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8" w:type="pct"/>
            <w:vAlign w:val="center"/>
          </w:tcPr>
          <w:p w14:paraId="049A1E00">
            <w:pPr>
              <w:adjustRightInd w:val="0"/>
              <w:snapToGrid w:val="0"/>
              <w:jc w:val="center"/>
              <w:rPr>
                <w:rFonts w:hint="eastAsia" w:ascii="Times New Roman" w:hAnsi="Times New Roman" w:eastAsia="宋体" w:cs="Times New Roman"/>
                <w:snapToGrid w:val="0"/>
                <w:kern w:val="0"/>
                <w:sz w:val="21"/>
                <w:szCs w:val="21"/>
                <w:highlight w:val="none"/>
                <w:lang w:val="zh-CN" w:eastAsia="zh-CN"/>
              </w:rPr>
            </w:pPr>
            <w:r>
              <w:rPr>
                <w:rFonts w:hint="eastAsia" w:ascii="Times New Roman" w:hAnsi="Times New Roman" w:cs="Times New Roman"/>
                <w:snapToGrid w:val="0"/>
                <w:kern w:val="0"/>
                <w:sz w:val="21"/>
                <w:szCs w:val="21"/>
                <w:highlight w:val="none"/>
                <w:lang w:val="en-US" w:eastAsia="zh-CN"/>
              </w:rPr>
              <w:t>类别</w:t>
            </w:r>
          </w:p>
        </w:tc>
        <w:tc>
          <w:tcPr>
            <w:tcW w:w="2202" w:type="pct"/>
            <w:gridSpan w:val="2"/>
            <w:vAlign w:val="center"/>
          </w:tcPr>
          <w:p w14:paraId="047728DC">
            <w:pPr>
              <w:adjustRightInd w:val="0"/>
              <w:snapToGrid w:val="0"/>
              <w:jc w:val="center"/>
              <w:rPr>
                <w:rFonts w:hint="eastAsia" w:ascii="Times New Roman" w:hAnsi="Times New Roman" w:eastAsia="宋体" w:cs="Times New Roman"/>
                <w:snapToGrid w:val="0"/>
                <w:kern w:val="0"/>
                <w:sz w:val="21"/>
                <w:szCs w:val="21"/>
                <w:highlight w:val="none"/>
                <w:lang w:val="zh-CN" w:eastAsia="zh-CN"/>
              </w:rPr>
            </w:pPr>
            <w:r>
              <w:rPr>
                <w:rFonts w:hint="eastAsia" w:ascii="Times New Roman" w:hAnsi="Times New Roman" w:cs="Times New Roman"/>
                <w:snapToGrid w:val="0"/>
                <w:kern w:val="0"/>
                <w:sz w:val="21"/>
                <w:szCs w:val="21"/>
                <w:highlight w:val="none"/>
                <w:lang w:val="en-US" w:eastAsia="zh-CN"/>
              </w:rPr>
              <w:t>污染物</w:t>
            </w:r>
          </w:p>
        </w:tc>
        <w:tc>
          <w:tcPr>
            <w:tcW w:w="1104" w:type="pct"/>
            <w:vAlign w:val="center"/>
          </w:tcPr>
          <w:p w14:paraId="34C878B3">
            <w:pPr>
              <w:adjustRightInd w:val="0"/>
              <w:snapToGrid w:val="0"/>
              <w:jc w:val="center"/>
              <w:rPr>
                <w:rFonts w:hint="eastAsia" w:ascii="Times New Roman" w:hAnsi="Times New Roman" w:eastAsia="宋体" w:cs="Times New Roman"/>
                <w:snapToGrid w:val="0"/>
                <w:kern w:val="0"/>
                <w:sz w:val="21"/>
                <w:szCs w:val="21"/>
                <w:highlight w:val="none"/>
                <w:lang w:eastAsia="zh-CN"/>
              </w:rPr>
            </w:pPr>
            <w:r>
              <w:rPr>
                <w:rFonts w:hint="eastAsia" w:ascii="Times New Roman" w:hAnsi="Times New Roman" w:cs="Times New Roman"/>
                <w:snapToGrid w:val="0"/>
                <w:kern w:val="0"/>
                <w:sz w:val="21"/>
                <w:szCs w:val="21"/>
                <w:highlight w:val="none"/>
                <w:lang w:val="en-US" w:eastAsia="zh-CN"/>
              </w:rPr>
              <w:t>产生量（t/a）</w:t>
            </w:r>
          </w:p>
        </w:tc>
        <w:tc>
          <w:tcPr>
            <w:tcW w:w="1114" w:type="pct"/>
            <w:vAlign w:val="center"/>
          </w:tcPr>
          <w:p w14:paraId="32DB20F6">
            <w:pPr>
              <w:adjustRightInd w:val="0"/>
              <w:snapToGrid w:val="0"/>
              <w:jc w:val="center"/>
              <w:rPr>
                <w:rFonts w:ascii="Times New Roman" w:hAnsi="Times New Roman" w:cs="Times New Roman"/>
                <w:snapToGrid w:val="0"/>
                <w:kern w:val="0"/>
                <w:sz w:val="21"/>
                <w:szCs w:val="21"/>
                <w:highlight w:val="none"/>
                <w:lang w:val="zh-CN"/>
              </w:rPr>
            </w:pPr>
            <w:r>
              <w:rPr>
                <w:rFonts w:hint="eastAsia" w:ascii="Times New Roman" w:hAnsi="Times New Roman" w:cs="Times New Roman"/>
                <w:snapToGrid w:val="0"/>
                <w:kern w:val="0"/>
                <w:sz w:val="21"/>
                <w:szCs w:val="21"/>
                <w:highlight w:val="none"/>
                <w:lang w:val="en-US" w:eastAsia="zh-CN"/>
              </w:rPr>
              <w:t>排放量（t/a）</w:t>
            </w:r>
          </w:p>
        </w:tc>
      </w:tr>
      <w:tr w14:paraId="50649D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578" w:type="pct"/>
            <w:vMerge w:val="restart"/>
            <w:vAlign w:val="center"/>
          </w:tcPr>
          <w:p w14:paraId="104AC619">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废气</w:t>
            </w:r>
          </w:p>
        </w:tc>
        <w:tc>
          <w:tcPr>
            <w:tcW w:w="1127" w:type="pct"/>
            <w:vMerge w:val="restart"/>
            <w:vAlign w:val="center"/>
          </w:tcPr>
          <w:p w14:paraId="10D758B4">
            <w:pPr>
              <w:pStyle w:val="152"/>
              <w:adjustRightInd w:val="0"/>
              <w:snapToGrid w:val="0"/>
              <w:jc w:val="center"/>
              <w:rPr>
                <w:rFonts w:ascii="Times New Roman" w:hAnsi="Times New Roman" w:cs="Times New Roman"/>
                <w:snapToGrid w:val="0"/>
                <w:kern w:val="0"/>
                <w:sz w:val="21"/>
                <w:szCs w:val="21"/>
                <w:highlight w:val="none"/>
                <w:lang w:val="zh-CN"/>
              </w:rPr>
            </w:pPr>
            <w:r>
              <w:rPr>
                <w:rFonts w:hint="eastAsia" w:ascii="Times New Roman" w:hAnsi="Times New Roman" w:cs="Times New Roman"/>
                <w:snapToGrid w:val="0"/>
                <w:color w:val="auto"/>
                <w:sz w:val="21"/>
                <w:szCs w:val="21"/>
                <w:highlight w:val="none"/>
                <w:lang w:val="en-US" w:eastAsia="zh-CN"/>
              </w:rPr>
              <w:t>猪舍</w:t>
            </w:r>
          </w:p>
        </w:tc>
        <w:tc>
          <w:tcPr>
            <w:tcW w:w="1075" w:type="pct"/>
            <w:vAlign w:val="center"/>
          </w:tcPr>
          <w:p w14:paraId="5BCA1631">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882" w:type="dxa"/>
            <w:tcBorders>
              <w:top w:val="single" w:color="auto" w:sz="6" w:space="0"/>
              <w:left w:val="single" w:color="auto" w:sz="6" w:space="0"/>
            </w:tcBorders>
            <w:vAlign w:val="center"/>
          </w:tcPr>
          <w:p w14:paraId="4B1FA5AA">
            <w:pPr>
              <w:widowControl w:val="0"/>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2"/>
                <w:sz w:val="21"/>
                <w:highlight w:val="none"/>
                <w:lang w:val="en-US" w:eastAsia="zh-CN"/>
              </w:rPr>
              <w:t>0.1752</w:t>
            </w:r>
          </w:p>
        </w:tc>
        <w:tc>
          <w:tcPr>
            <w:tcW w:w="1899" w:type="dxa"/>
            <w:tcBorders>
              <w:top w:val="single" w:color="auto" w:sz="6" w:space="0"/>
              <w:left w:val="single" w:color="auto" w:sz="6" w:space="0"/>
            </w:tcBorders>
            <w:vAlign w:val="center"/>
          </w:tcPr>
          <w:p w14:paraId="7C69F8E0">
            <w:pPr>
              <w:widowControl w:val="0"/>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2"/>
                <w:sz w:val="21"/>
                <w:highlight w:val="none"/>
                <w:lang w:val="en-US" w:eastAsia="zh-CN"/>
              </w:rPr>
              <w:t>0.00223</w:t>
            </w:r>
          </w:p>
        </w:tc>
      </w:tr>
      <w:tr w14:paraId="3C810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578" w:type="pct"/>
            <w:vMerge w:val="continue"/>
            <w:vAlign w:val="center"/>
          </w:tcPr>
          <w:p w14:paraId="735E7EAC">
            <w:pPr>
              <w:adjustRightInd w:val="0"/>
              <w:snapToGrid w:val="0"/>
              <w:jc w:val="center"/>
              <w:rPr>
                <w:rFonts w:ascii="Times New Roman" w:hAnsi="Times New Roman" w:cs="Times New Roman"/>
                <w:snapToGrid w:val="0"/>
                <w:kern w:val="0"/>
                <w:sz w:val="21"/>
                <w:szCs w:val="21"/>
                <w:highlight w:val="none"/>
                <w:lang w:val="zh-CN"/>
              </w:rPr>
            </w:pPr>
          </w:p>
        </w:tc>
        <w:tc>
          <w:tcPr>
            <w:tcW w:w="1127" w:type="pct"/>
            <w:vMerge w:val="continue"/>
            <w:vAlign w:val="center"/>
          </w:tcPr>
          <w:p w14:paraId="14646D57">
            <w:pPr>
              <w:adjustRightInd w:val="0"/>
              <w:snapToGrid w:val="0"/>
              <w:jc w:val="center"/>
              <w:rPr>
                <w:rFonts w:hint="eastAsia" w:ascii="Times New Roman" w:hAnsi="Times New Roman" w:cs="Times New Roman"/>
                <w:snapToGrid w:val="0"/>
                <w:kern w:val="0"/>
                <w:sz w:val="21"/>
                <w:szCs w:val="21"/>
                <w:highlight w:val="none"/>
              </w:rPr>
            </w:pPr>
          </w:p>
        </w:tc>
        <w:tc>
          <w:tcPr>
            <w:tcW w:w="1075" w:type="pct"/>
            <w:vAlign w:val="center"/>
          </w:tcPr>
          <w:p w14:paraId="105AFFAB">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882" w:type="dxa"/>
            <w:tcBorders>
              <w:top w:val="single" w:color="auto" w:sz="6" w:space="0"/>
              <w:left w:val="single" w:color="auto" w:sz="6" w:space="0"/>
            </w:tcBorders>
            <w:vAlign w:val="center"/>
          </w:tcPr>
          <w:p w14:paraId="2C075B4E">
            <w:pPr>
              <w:widowControl w:val="0"/>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2"/>
                <w:sz w:val="21"/>
                <w:szCs w:val="21"/>
                <w:highlight w:val="none"/>
                <w:lang w:val="en-US" w:eastAsia="zh-CN"/>
              </w:rPr>
              <w:t>0.0105</w:t>
            </w:r>
          </w:p>
        </w:tc>
        <w:tc>
          <w:tcPr>
            <w:tcW w:w="1899" w:type="dxa"/>
            <w:tcBorders>
              <w:top w:val="single" w:color="auto" w:sz="6" w:space="0"/>
              <w:left w:val="single" w:color="auto" w:sz="6" w:space="0"/>
            </w:tcBorders>
            <w:vAlign w:val="center"/>
          </w:tcPr>
          <w:p w14:paraId="23E6F7B0">
            <w:pPr>
              <w:widowControl w:val="0"/>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2"/>
                <w:sz w:val="21"/>
                <w:highlight w:val="none"/>
                <w:lang w:val="en-US" w:eastAsia="zh-CN"/>
              </w:rPr>
              <w:t>0.00011</w:t>
            </w:r>
          </w:p>
        </w:tc>
      </w:tr>
      <w:tr w14:paraId="1051AD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3858A017">
            <w:pPr>
              <w:adjustRightInd w:val="0"/>
              <w:snapToGrid w:val="0"/>
              <w:jc w:val="center"/>
              <w:rPr>
                <w:rFonts w:hint="default" w:ascii="Times New Roman" w:hAnsi="Times New Roman" w:cs="Times New Roman"/>
                <w:snapToGrid w:val="0"/>
                <w:kern w:val="0"/>
                <w:sz w:val="21"/>
                <w:szCs w:val="21"/>
                <w:highlight w:val="none"/>
                <w:lang w:val="en-US" w:eastAsia="zh-CN"/>
              </w:rPr>
            </w:pPr>
          </w:p>
        </w:tc>
        <w:tc>
          <w:tcPr>
            <w:tcW w:w="1127" w:type="pct"/>
            <w:vMerge w:val="restart"/>
            <w:vAlign w:val="center"/>
          </w:tcPr>
          <w:p w14:paraId="5226B3A5">
            <w:pPr>
              <w:pStyle w:val="152"/>
              <w:adjustRightInd w:val="0"/>
              <w:snapToGrid w:val="0"/>
              <w:spacing w:line="240" w:lineRule="auto"/>
              <w:jc w:val="center"/>
              <w:rPr>
                <w:rFonts w:ascii="Times New Roman" w:hAnsi="Times New Roman" w:cs="Times New Roman"/>
                <w:snapToGrid w:val="0"/>
                <w:kern w:val="0"/>
                <w:sz w:val="21"/>
                <w:szCs w:val="21"/>
                <w:highlight w:val="none"/>
                <w:lang w:val="zh-CN"/>
              </w:rPr>
            </w:pPr>
            <w:r>
              <w:rPr>
                <w:rFonts w:hint="default" w:ascii="Times New Roman" w:hAnsi="Times New Roman" w:cs="Times New Roman"/>
                <w:snapToGrid w:val="0"/>
                <w:kern w:val="0"/>
                <w:sz w:val="21"/>
                <w:szCs w:val="21"/>
                <w:highlight w:val="none"/>
                <w:lang w:val="zh-CN" w:eastAsia="zh-CN"/>
              </w:rPr>
              <w:t>粪污贮存区</w:t>
            </w:r>
          </w:p>
        </w:tc>
        <w:tc>
          <w:tcPr>
            <w:tcW w:w="1075" w:type="pct"/>
            <w:vAlign w:val="center"/>
          </w:tcPr>
          <w:p w14:paraId="28EA7F8F">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lang w:val="zh-CN"/>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882" w:type="dxa"/>
            <w:vAlign w:val="center"/>
          </w:tcPr>
          <w:p w14:paraId="67DA774E">
            <w:pPr>
              <w:widowControl w:val="0"/>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2"/>
                <w:sz w:val="21"/>
                <w:highlight w:val="none"/>
                <w:lang w:val="en-US" w:eastAsia="zh-CN"/>
              </w:rPr>
              <w:t>0.119</w:t>
            </w:r>
          </w:p>
        </w:tc>
        <w:tc>
          <w:tcPr>
            <w:tcW w:w="1899" w:type="dxa"/>
            <w:shd w:val="clear" w:color="auto" w:fill="auto"/>
            <w:vAlign w:val="center"/>
          </w:tcPr>
          <w:p w14:paraId="43B6AB1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kern w:val="0"/>
                <w:sz w:val="21"/>
                <w:szCs w:val="21"/>
                <w:highlight w:val="none"/>
                <w:lang w:val="en-US" w:eastAsia="zh-CN" w:bidi="ar-SA"/>
              </w:rPr>
            </w:pPr>
            <w:r>
              <w:rPr>
                <w:rFonts w:hint="eastAsia" w:ascii="Times New Roman" w:hAnsi="Times New Roman" w:cs="Times New Roman"/>
                <w:snapToGrid w:val="0"/>
                <w:color w:val="auto"/>
                <w:kern w:val="2"/>
                <w:sz w:val="21"/>
                <w:highlight w:val="none"/>
                <w:lang w:val="en-US" w:eastAsia="zh-CN"/>
              </w:rPr>
              <w:t>0.00876</w:t>
            </w:r>
          </w:p>
        </w:tc>
      </w:tr>
      <w:tr w14:paraId="583718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5D0EE3E4">
            <w:pPr>
              <w:adjustRightInd w:val="0"/>
              <w:snapToGrid w:val="0"/>
              <w:jc w:val="center"/>
              <w:rPr>
                <w:rFonts w:hint="default" w:ascii="Times New Roman" w:hAnsi="Times New Roman" w:cs="Times New Roman"/>
                <w:snapToGrid w:val="0"/>
                <w:kern w:val="0"/>
                <w:sz w:val="21"/>
                <w:szCs w:val="21"/>
                <w:highlight w:val="none"/>
                <w:lang w:val="en-US" w:eastAsia="zh-CN"/>
              </w:rPr>
            </w:pPr>
          </w:p>
        </w:tc>
        <w:tc>
          <w:tcPr>
            <w:tcW w:w="1127" w:type="pct"/>
            <w:vMerge w:val="continue"/>
            <w:vAlign w:val="center"/>
          </w:tcPr>
          <w:p w14:paraId="42BDE211">
            <w:pPr>
              <w:adjustRightInd w:val="0"/>
              <w:snapToGrid w:val="0"/>
              <w:jc w:val="center"/>
              <w:rPr>
                <w:rFonts w:ascii="Times New Roman" w:hAnsi="Times New Roman" w:cs="Times New Roman"/>
                <w:snapToGrid w:val="0"/>
                <w:kern w:val="0"/>
                <w:sz w:val="21"/>
                <w:szCs w:val="21"/>
                <w:highlight w:val="none"/>
                <w:lang w:val="zh-CN"/>
              </w:rPr>
            </w:pPr>
          </w:p>
        </w:tc>
        <w:tc>
          <w:tcPr>
            <w:tcW w:w="1075" w:type="pct"/>
            <w:vAlign w:val="center"/>
          </w:tcPr>
          <w:p w14:paraId="199CE464">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lang w:val="zh-CN"/>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882" w:type="dxa"/>
            <w:vAlign w:val="center"/>
          </w:tcPr>
          <w:p w14:paraId="11FED97A">
            <w:pPr>
              <w:widowControl w:val="0"/>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2"/>
                <w:sz w:val="21"/>
                <w:szCs w:val="21"/>
                <w:highlight w:val="none"/>
                <w:lang w:val="en-US" w:eastAsia="zh-CN"/>
              </w:rPr>
              <w:t>0.0053</w:t>
            </w:r>
          </w:p>
        </w:tc>
        <w:tc>
          <w:tcPr>
            <w:tcW w:w="1899" w:type="dxa"/>
            <w:shd w:val="clear" w:color="auto" w:fill="auto"/>
            <w:vAlign w:val="center"/>
          </w:tcPr>
          <w:p w14:paraId="5D9A8C7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kern w:val="0"/>
                <w:sz w:val="21"/>
                <w:szCs w:val="21"/>
                <w:highlight w:val="none"/>
                <w:lang w:val="en-US" w:eastAsia="zh-CN" w:bidi="ar-SA"/>
              </w:rPr>
            </w:pPr>
            <w:r>
              <w:rPr>
                <w:rFonts w:hint="eastAsia" w:ascii="Times New Roman" w:hAnsi="Times New Roman" w:cs="Times New Roman"/>
                <w:snapToGrid w:val="0"/>
                <w:color w:val="auto"/>
                <w:kern w:val="2"/>
                <w:sz w:val="21"/>
                <w:highlight w:val="none"/>
                <w:lang w:val="en-US" w:eastAsia="zh-CN"/>
              </w:rPr>
              <w:t>0.000588</w:t>
            </w:r>
          </w:p>
        </w:tc>
      </w:tr>
      <w:tr w14:paraId="77B0C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restart"/>
            <w:vAlign w:val="center"/>
          </w:tcPr>
          <w:p w14:paraId="010DC99A">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废水</w:t>
            </w:r>
          </w:p>
        </w:tc>
        <w:tc>
          <w:tcPr>
            <w:tcW w:w="2202" w:type="pct"/>
            <w:gridSpan w:val="2"/>
            <w:shd w:val="clear" w:color="auto" w:fill="auto"/>
            <w:vAlign w:val="center"/>
          </w:tcPr>
          <w:p w14:paraId="3FD34E24">
            <w:pPr>
              <w:pStyle w:val="152"/>
              <w:adjustRightInd w:val="0"/>
              <w:snapToGrid w:val="0"/>
              <w:jc w:val="center"/>
              <w:rPr>
                <w:rFonts w:hint="eastAsia" w:ascii="Times New Roman" w:hAnsi="Times New Roman" w:cs="Times New Roman"/>
                <w:snapToGrid w:val="0"/>
                <w:kern w:val="0"/>
                <w:sz w:val="21"/>
                <w:szCs w:val="21"/>
                <w:highlight w:val="none"/>
              </w:rPr>
            </w:pPr>
            <w:r>
              <w:rPr>
                <w:rFonts w:hint="eastAsia" w:ascii="Times New Roman" w:hAnsi="Times New Roman" w:cs="Times New Roman"/>
                <w:snapToGrid w:val="0"/>
                <w:kern w:val="0"/>
                <w:sz w:val="21"/>
                <w:szCs w:val="21"/>
                <w:highlight w:val="none"/>
              </w:rPr>
              <w:t>猪尿</w:t>
            </w:r>
          </w:p>
        </w:tc>
        <w:tc>
          <w:tcPr>
            <w:tcW w:w="1104" w:type="pct"/>
            <w:vAlign w:val="center"/>
          </w:tcPr>
          <w:p w14:paraId="2930D73B">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1756.08</w:t>
            </w:r>
          </w:p>
        </w:tc>
        <w:tc>
          <w:tcPr>
            <w:tcW w:w="1114" w:type="pct"/>
            <w:vAlign w:val="center"/>
          </w:tcPr>
          <w:p w14:paraId="0F0E93E5">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5924C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7185291E">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vAlign w:val="center"/>
          </w:tcPr>
          <w:p w14:paraId="14D5DB3C">
            <w:pPr>
              <w:pStyle w:val="152"/>
              <w:adjustRightInd w:val="0"/>
              <w:snapToGrid w:val="0"/>
              <w:jc w:val="center"/>
              <w:rPr>
                <w:rFonts w:hint="eastAsia" w:ascii="Times New Roman" w:hAnsi="Times New Roman" w:cs="Times New Roman"/>
                <w:snapToGrid w:val="0"/>
                <w:kern w:val="0"/>
                <w:sz w:val="21"/>
                <w:szCs w:val="21"/>
                <w:highlight w:val="none"/>
              </w:rPr>
            </w:pPr>
            <w:r>
              <w:rPr>
                <w:rFonts w:hint="eastAsia" w:ascii="Times New Roman" w:hAnsi="Times New Roman" w:cs="Times New Roman"/>
                <w:snapToGrid w:val="0"/>
                <w:kern w:val="0"/>
                <w:sz w:val="21"/>
                <w:szCs w:val="21"/>
                <w:highlight w:val="none"/>
              </w:rPr>
              <w:t>猪舍冲洗废水</w:t>
            </w:r>
          </w:p>
        </w:tc>
        <w:tc>
          <w:tcPr>
            <w:tcW w:w="1104" w:type="pct"/>
            <w:vAlign w:val="center"/>
          </w:tcPr>
          <w:p w14:paraId="31E9BDAF">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756</w:t>
            </w:r>
          </w:p>
        </w:tc>
        <w:tc>
          <w:tcPr>
            <w:tcW w:w="1114" w:type="pct"/>
            <w:vAlign w:val="center"/>
          </w:tcPr>
          <w:p w14:paraId="17F6AC75">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0CEDC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32A2C86D">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vAlign w:val="center"/>
          </w:tcPr>
          <w:p w14:paraId="2C9C5CCA">
            <w:pPr>
              <w:pStyle w:val="152"/>
              <w:adjustRightInd w:val="0"/>
              <w:snapToGrid w:val="0"/>
              <w:jc w:val="center"/>
              <w:rPr>
                <w:rFonts w:hint="eastAsia" w:ascii="Times New Roman" w:hAnsi="Times New Roman" w:cs="Times New Roman"/>
                <w:snapToGrid w:val="0"/>
                <w:kern w:val="0"/>
                <w:sz w:val="21"/>
                <w:szCs w:val="21"/>
                <w:highlight w:val="none"/>
              </w:rPr>
            </w:pPr>
            <w:r>
              <w:rPr>
                <w:rFonts w:hint="default" w:ascii="Times New Roman" w:hAnsi="Times New Roman" w:cs="Times New Roman"/>
                <w:snapToGrid w:val="0"/>
                <w:color w:val="auto"/>
                <w:highlight w:val="none"/>
                <w:lang w:val="en-US" w:eastAsia="zh-CN"/>
              </w:rPr>
              <w:t>固液分离废水</w:t>
            </w:r>
          </w:p>
        </w:tc>
        <w:tc>
          <w:tcPr>
            <w:tcW w:w="1104" w:type="pct"/>
            <w:vAlign w:val="center"/>
          </w:tcPr>
          <w:p w14:paraId="68526020">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764.16</w:t>
            </w:r>
          </w:p>
        </w:tc>
        <w:tc>
          <w:tcPr>
            <w:tcW w:w="1114" w:type="pct"/>
            <w:vAlign w:val="center"/>
          </w:tcPr>
          <w:p w14:paraId="68969B81">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2FEA8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578" w:type="pct"/>
            <w:vMerge w:val="continue"/>
            <w:vAlign w:val="center"/>
          </w:tcPr>
          <w:p w14:paraId="49FF372A">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vAlign w:val="center"/>
          </w:tcPr>
          <w:p w14:paraId="3565EF85">
            <w:pPr>
              <w:pStyle w:val="152"/>
              <w:adjustRightInd w:val="0"/>
              <w:snapToGrid w:val="0"/>
              <w:jc w:val="center"/>
              <w:rPr>
                <w:rFonts w:hint="eastAsia" w:ascii="Times New Roman" w:hAnsi="Times New Roman" w:cs="Times New Roman"/>
                <w:snapToGrid w:val="0"/>
                <w:kern w:val="0"/>
                <w:sz w:val="21"/>
                <w:szCs w:val="21"/>
                <w:highlight w:val="none"/>
              </w:rPr>
            </w:pPr>
            <w:r>
              <w:rPr>
                <w:rFonts w:hint="eastAsia" w:ascii="Times New Roman" w:hAnsi="Times New Roman" w:cs="Times New Roman"/>
                <w:snapToGrid w:val="0"/>
                <w:kern w:val="0"/>
                <w:sz w:val="21"/>
                <w:szCs w:val="21"/>
                <w:highlight w:val="none"/>
                <w:lang w:val="en-US" w:eastAsia="zh-CN"/>
              </w:rPr>
              <w:t>洗消车间废水</w:t>
            </w:r>
          </w:p>
        </w:tc>
        <w:tc>
          <w:tcPr>
            <w:tcW w:w="1104" w:type="pct"/>
            <w:vAlign w:val="center"/>
          </w:tcPr>
          <w:p w14:paraId="43F090D6">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5.5845</w:t>
            </w:r>
          </w:p>
        </w:tc>
        <w:tc>
          <w:tcPr>
            <w:tcW w:w="1114" w:type="pct"/>
            <w:vAlign w:val="center"/>
          </w:tcPr>
          <w:p w14:paraId="0211F876">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67EB78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578" w:type="pct"/>
            <w:vMerge w:val="continue"/>
            <w:vAlign w:val="center"/>
          </w:tcPr>
          <w:p w14:paraId="436E607A">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vAlign w:val="center"/>
          </w:tcPr>
          <w:p w14:paraId="1798B2CA">
            <w:pPr>
              <w:pStyle w:val="152"/>
              <w:adjustRightInd w:val="0"/>
              <w:snapToGrid w:val="0"/>
              <w:jc w:val="center"/>
              <w:rPr>
                <w:rFonts w:hint="default" w:ascii="Times New Roman" w:hAnsi="Times New Roman" w:cs="Times New Roman"/>
                <w:snapToGrid w:val="0"/>
                <w:kern w:val="0"/>
                <w:sz w:val="21"/>
                <w:szCs w:val="21"/>
                <w:highlight w:val="none"/>
                <w:lang w:val="en-US" w:eastAsia="zh-CN"/>
              </w:rPr>
            </w:pPr>
            <w:r>
              <w:rPr>
                <w:rFonts w:hint="default" w:ascii="Times New Roman" w:hAnsi="Times New Roman" w:cs="Times New Roman"/>
                <w:snapToGrid w:val="0"/>
                <w:kern w:val="0"/>
                <w:sz w:val="21"/>
                <w:szCs w:val="21"/>
                <w:highlight w:val="none"/>
                <w:lang w:val="en-US" w:eastAsia="zh-CN"/>
              </w:rPr>
              <w:t>职工生活污水</w:t>
            </w:r>
          </w:p>
        </w:tc>
        <w:tc>
          <w:tcPr>
            <w:tcW w:w="1104" w:type="pct"/>
            <w:vAlign w:val="center"/>
          </w:tcPr>
          <w:p w14:paraId="7162C80D">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186.88</w:t>
            </w:r>
          </w:p>
        </w:tc>
        <w:tc>
          <w:tcPr>
            <w:tcW w:w="1114" w:type="pct"/>
            <w:vAlign w:val="center"/>
          </w:tcPr>
          <w:p w14:paraId="05940B91">
            <w:pPr>
              <w:adjustRightInd w:val="0"/>
              <w:snapToGrid w:val="0"/>
              <w:jc w:val="center"/>
              <w:rPr>
                <w:rFonts w:hint="default" w:ascii="Times New Roman" w:hAnsi="Times New Roman"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1F969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restart"/>
            <w:vAlign w:val="center"/>
          </w:tcPr>
          <w:p w14:paraId="61D284AD">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固体废物</w:t>
            </w:r>
          </w:p>
        </w:tc>
        <w:tc>
          <w:tcPr>
            <w:tcW w:w="2202" w:type="pct"/>
            <w:gridSpan w:val="2"/>
            <w:shd w:val="clear" w:color="auto" w:fill="auto"/>
            <w:vAlign w:val="center"/>
          </w:tcPr>
          <w:p w14:paraId="4B758683">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猪粪</w:t>
            </w:r>
          </w:p>
        </w:tc>
        <w:tc>
          <w:tcPr>
            <w:tcW w:w="1104" w:type="pct"/>
            <w:vAlign w:val="center"/>
          </w:tcPr>
          <w:p w14:paraId="06695FF4">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zh-CN" w:eastAsia="zh-CN" w:bidi="ar-SA"/>
              </w:rPr>
              <w:t>191.04</w:t>
            </w:r>
          </w:p>
        </w:tc>
        <w:tc>
          <w:tcPr>
            <w:tcW w:w="1899" w:type="dxa"/>
            <w:vAlign w:val="center"/>
          </w:tcPr>
          <w:p w14:paraId="775AAB57">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zh-CN" w:eastAsia="zh-CN" w:bidi="ar-SA"/>
              </w:rPr>
              <w:t>191.04</w:t>
            </w:r>
          </w:p>
        </w:tc>
      </w:tr>
      <w:tr w14:paraId="7AF74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0BEB4AB3">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481638CD">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eastAsia" w:ascii="Times New Roman" w:hAnsi="Times New Roman" w:cs="Times New Roman"/>
                <w:snapToGrid w:val="0"/>
                <w:color w:val="auto"/>
                <w:kern w:val="0"/>
                <w:sz w:val="21"/>
                <w:szCs w:val="21"/>
                <w:highlight w:val="none"/>
                <w:lang w:val="zh-CN" w:eastAsia="zh-CN" w:bidi="ar-SA"/>
              </w:rPr>
              <w:t>动物医疗废物</w:t>
            </w:r>
          </w:p>
        </w:tc>
        <w:tc>
          <w:tcPr>
            <w:tcW w:w="1104" w:type="pct"/>
            <w:vAlign w:val="center"/>
          </w:tcPr>
          <w:p w14:paraId="70D9081B">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0.15</w:t>
            </w:r>
          </w:p>
        </w:tc>
        <w:tc>
          <w:tcPr>
            <w:tcW w:w="1899" w:type="dxa"/>
            <w:vAlign w:val="center"/>
          </w:tcPr>
          <w:p w14:paraId="4541C92B">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0.15</w:t>
            </w:r>
          </w:p>
        </w:tc>
      </w:tr>
      <w:tr w14:paraId="1CEB9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3FB56E77">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7CE4CB9C">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病死猪尸体</w:t>
            </w:r>
          </w:p>
        </w:tc>
        <w:tc>
          <w:tcPr>
            <w:tcW w:w="1104" w:type="pct"/>
            <w:vAlign w:val="center"/>
          </w:tcPr>
          <w:p w14:paraId="764A1109">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0.9</w:t>
            </w:r>
          </w:p>
        </w:tc>
        <w:tc>
          <w:tcPr>
            <w:tcW w:w="1899" w:type="dxa"/>
            <w:vAlign w:val="center"/>
          </w:tcPr>
          <w:p w14:paraId="1B501C44">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0.9</w:t>
            </w:r>
          </w:p>
        </w:tc>
      </w:tr>
      <w:tr w14:paraId="42223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130F02B1">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4184AB23">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胎盘</w:t>
            </w:r>
          </w:p>
        </w:tc>
        <w:tc>
          <w:tcPr>
            <w:tcW w:w="1104" w:type="pct"/>
            <w:vAlign w:val="center"/>
          </w:tcPr>
          <w:p w14:paraId="7117BBBA">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1.254</w:t>
            </w:r>
          </w:p>
        </w:tc>
        <w:tc>
          <w:tcPr>
            <w:tcW w:w="1899" w:type="dxa"/>
            <w:vAlign w:val="center"/>
          </w:tcPr>
          <w:p w14:paraId="0711C85F">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1.254</w:t>
            </w:r>
          </w:p>
        </w:tc>
      </w:tr>
      <w:tr w14:paraId="71D2F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564079E3">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739E336B">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沼渣</w:t>
            </w:r>
          </w:p>
        </w:tc>
        <w:tc>
          <w:tcPr>
            <w:tcW w:w="1104" w:type="pct"/>
            <w:vAlign w:val="center"/>
          </w:tcPr>
          <w:p w14:paraId="51C992F7">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106.98</w:t>
            </w:r>
          </w:p>
        </w:tc>
        <w:tc>
          <w:tcPr>
            <w:tcW w:w="1899" w:type="dxa"/>
            <w:vAlign w:val="center"/>
          </w:tcPr>
          <w:p w14:paraId="558513DB">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106.98</w:t>
            </w:r>
          </w:p>
        </w:tc>
      </w:tr>
      <w:tr w14:paraId="14B98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3D9CDFDD">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541B52C2">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bidi="ar-SA"/>
              </w:rPr>
              <w:t>废除臭剂桶</w:t>
            </w:r>
          </w:p>
        </w:tc>
        <w:tc>
          <w:tcPr>
            <w:tcW w:w="1104" w:type="pct"/>
            <w:vAlign w:val="center"/>
          </w:tcPr>
          <w:p w14:paraId="36E53A26">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w:t>
            </w:r>
          </w:p>
        </w:tc>
        <w:tc>
          <w:tcPr>
            <w:tcW w:w="1899" w:type="dxa"/>
            <w:vAlign w:val="center"/>
          </w:tcPr>
          <w:p w14:paraId="51DD5A32">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w:t>
            </w:r>
          </w:p>
        </w:tc>
      </w:tr>
    </w:tbl>
    <w:p w14:paraId="2623147A">
      <w:pPr>
        <w:pStyle w:val="7"/>
        <w:bidi w:val="0"/>
        <w:rPr>
          <w:highlight w:val="none"/>
        </w:rPr>
      </w:pPr>
      <w:r>
        <w:rPr>
          <w:rFonts w:hint="default"/>
          <w:highlight w:val="none"/>
        </w:rPr>
        <w:t>3.</w:t>
      </w:r>
      <w:r>
        <w:rPr>
          <w:rFonts w:hint="eastAsia"/>
          <w:highlight w:val="none"/>
          <w:lang w:val="en-US" w:eastAsia="zh-CN"/>
        </w:rPr>
        <w:t>1</w:t>
      </w:r>
      <w:r>
        <w:rPr>
          <w:rFonts w:hint="default"/>
          <w:highlight w:val="none"/>
        </w:rPr>
        <w:t>.</w:t>
      </w:r>
      <w:r>
        <w:rPr>
          <w:rFonts w:hint="eastAsia"/>
          <w:highlight w:val="none"/>
          <w:lang w:val="en-US" w:eastAsia="zh-CN"/>
        </w:rPr>
        <w:t>9现有项目存在的环境问题及“以新带老”措施</w:t>
      </w:r>
    </w:p>
    <w:p w14:paraId="477975D1">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根据现场踏勘及资料查阅，现有项目目前存在的主要问题为：</w:t>
      </w:r>
    </w:p>
    <w:p w14:paraId="1CC735B0">
      <w:pPr>
        <w:numPr>
          <w:ilvl w:val="0"/>
          <w:numId w:val="0"/>
        </w:numPr>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1、</w:t>
      </w:r>
      <w:r>
        <w:rPr>
          <w:rFonts w:hint="eastAsia" w:ascii="Times New Roman" w:hAnsi="Times New Roman" w:eastAsia="宋体" w:cs="Times New Roman"/>
          <w:color w:val="auto"/>
          <w:sz w:val="24"/>
          <w:highlight w:val="none"/>
          <w:lang w:val="en-US" w:eastAsia="zh-CN"/>
        </w:rPr>
        <w:t>现有工程粪污贮存区</w:t>
      </w:r>
      <w:r>
        <w:rPr>
          <w:rFonts w:hint="eastAsia" w:ascii="Times New Roman" w:hAnsi="Times New Roman" w:cs="Times New Roman"/>
          <w:color w:val="auto"/>
          <w:sz w:val="24"/>
          <w:highlight w:val="none"/>
          <w:lang w:val="en-US" w:eastAsia="zh-CN"/>
        </w:rPr>
        <w:t>干粪堆积场</w:t>
      </w:r>
      <w:r>
        <w:rPr>
          <w:rFonts w:hint="eastAsia" w:ascii="Times New Roman" w:hAnsi="Times New Roman" w:eastAsia="宋体" w:cs="Times New Roman"/>
          <w:color w:val="auto"/>
          <w:sz w:val="24"/>
          <w:highlight w:val="none"/>
          <w:lang w:val="en-US" w:eastAsia="zh-CN"/>
        </w:rPr>
        <w:t>存放过程中恶臭污染物以无组织形式排放。对周围环境空气影响较大</w:t>
      </w:r>
      <w:r>
        <w:rPr>
          <w:rFonts w:hint="eastAsia" w:ascii="Times New Roman" w:hAnsi="Times New Roman" w:cs="Times New Roman"/>
          <w:color w:val="auto"/>
          <w:sz w:val="24"/>
          <w:highlight w:val="none"/>
          <w:lang w:val="en-US" w:eastAsia="zh-CN"/>
        </w:rPr>
        <w:t>。</w:t>
      </w:r>
    </w:p>
    <w:p w14:paraId="5FA44807">
      <w:pPr>
        <w:numPr>
          <w:ilvl w:val="0"/>
          <w:numId w:val="0"/>
        </w:num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“以新带老”措施：</w:t>
      </w:r>
      <w:r>
        <w:rPr>
          <w:rFonts w:hint="eastAsia" w:ascii="Times New Roman" w:hAnsi="Times New Roman" w:cs="Times New Roman"/>
          <w:color w:val="auto"/>
          <w:kern w:val="0"/>
          <w:sz w:val="24"/>
          <w:szCs w:val="24"/>
          <w:highlight w:val="none"/>
          <w:lang w:val="en-US" w:eastAsia="zh-CN" w:bidi="ar-SA"/>
        </w:rPr>
        <w:t>干粪堆积场</w:t>
      </w:r>
      <w:r>
        <w:rPr>
          <w:rFonts w:hint="default" w:ascii="Times New Roman" w:hAnsi="Times New Roman" w:eastAsia="宋体" w:cs="Times New Roman"/>
          <w:color w:val="auto"/>
          <w:kern w:val="0"/>
          <w:sz w:val="24"/>
          <w:szCs w:val="24"/>
          <w:highlight w:val="none"/>
          <w:lang w:val="en-US" w:eastAsia="zh-CN" w:bidi="ar-SA"/>
        </w:rPr>
        <w:t>设置微负压粪污贮存区，将猪粪存放过程中产生的废气引至活性炭吸附装置，将恶臭污染物由无组织排放改为有组织排放，减小对周围环境空气的影响。</w:t>
      </w:r>
    </w:p>
    <w:p w14:paraId="25F77B8D">
      <w:pPr>
        <w:numPr>
          <w:ilvl w:val="0"/>
          <w:numId w:val="0"/>
        </w:num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SA"/>
        </w:rPr>
        <w:t>2、</w:t>
      </w:r>
      <w:r>
        <w:rPr>
          <w:rFonts w:hint="eastAsia" w:ascii="Times New Roman" w:hAnsi="Times New Roman" w:eastAsia="宋体" w:cs="Times New Roman"/>
          <w:color w:val="auto"/>
          <w:sz w:val="24"/>
          <w:highlight w:val="none"/>
          <w:lang w:val="en-US" w:eastAsia="zh-CN"/>
        </w:rPr>
        <w:t>厂区未建设</w:t>
      </w:r>
      <w:r>
        <w:rPr>
          <w:rFonts w:hint="eastAsia" w:ascii="Times New Roman" w:hAnsi="Times New Roman" w:cs="Times New Roman"/>
          <w:color w:val="auto"/>
          <w:sz w:val="24"/>
          <w:highlight w:val="none"/>
          <w:lang w:val="en-US" w:eastAsia="zh-CN"/>
        </w:rPr>
        <w:t>黑膜厌氧池沼气燃烧装置</w:t>
      </w:r>
      <w:r>
        <w:rPr>
          <w:rFonts w:hint="eastAsia" w:ascii="Times New Roman" w:hAnsi="Times New Roman" w:eastAsia="宋体" w:cs="Times New Roman"/>
          <w:color w:val="auto"/>
          <w:sz w:val="24"/>
          <w:highlight w:val="none"/>
          <w:lang w:val="en-US" w:eastAsia="zh-CN"/>
        </w:rPr>
        <w:t>。</w:t>
      </w:r>
    </w:p>
    <w:p w14:paraId="319631DE">
      <w:pPr>
        <w:spacing w:line="360" w:lineRule="auto"/>
        <w:ind w:firstLine="480" w:firstLineChars="20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以新带老</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措施：</w:t>
      </w:r>
      <w:r>
        <w:rPr>
          <w:rFonts w:hint="eastAsia" w:ascii="Times New Roman" w:hAnsi="Times New Roman" w:cs="Times New Roman"/>
          <w:color w:val="auto"/>
          <w:sz w:val="24"/>
          <w:highlight w:val="none"/>
          <w:lang w:val="en-US" w:eastAsia="zh-CN"/>
        </w:rPr>
        <w:t>建设黑膜厌氧池沼气燃烧装置</w:t>
      </w:r>
      <w:r>
        <w:rPr>
          <w:rFonts w:hint="eastAsia" w:ascii="Times New Roman" w:hAnsi="Times New Roman" w:eastAsia="宋体" w:cs="Times New Roman"/>
          <w:color w:val="auto"/>
          <w:sz w:val="24"/>
          <w:highlight w:val="none"/>
          <w:lang w:val="en-US" w:eastAsia="zh-CN"/>
        </w:rPr>
        <w:t>。</w:t>
      </w:r>
    </w:p>
    <w:p w14:paraId="213830C7">
      <w:pPr>
        <w:numPr>
          <w:ilvl w:val="0"/>
          <w:numId w:val="0"/>
        </w:num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kern w:val="0"/>
          <w:sz w:val="24"/>
          <w:szCs w:val="24"/>
          <w:highlight w:val="none"/>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sz w:val="24"/>
          <w:highlight w:val="none"/>
          <w:lang w:val="en-US" w:eastAsia="zh-CN"/>
        </w:rPr>
        <w:t>厂区未进行例行监测</w:t>
      </w:r>
    </w:p>
    <w:p w14:paraId="50D3426A">
      <w:pPr>
        <w:numPr>
          <w:ilvl w:val="0"/>
          <w:numId w:val="0"/>
        </w:num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“以新带老”措施：</w:t>
      </w:r>
      <w:r>
        <w:rPr>
          <w:rFonts w:hint="default" w:ascii="Times New Roman" w:hAnsi="Times New Roman" w:eastAsia="宋体" w:cs="Times New Roman"/>
          <w:color w:val="auto"/>
          <w:sz w:val="24"/>
          <w:highlight w:val="none"/>
          <w:lang w:val="en-US" w:eastAsia="zh-CN"/>
        </w:rPr>
        <w:t>厂区运行至今未进行例行监测，待项目建成后应根据国家相关规定进行例行监测。</w:t>
      </w:r>
    </w:p>
    <w:p w14:paraId="5FB7938A">
      <w:pPr>
        <w:spacing w:line="360" w:lineRule="auto"/>
        <w:ind w:firstLine="480" w:firstLineChars="200"/>
        <w:rPr>
          <w:highlight w:val="none"/>
        </w:rPr>
      </w:pPr>
    </w:p>
    <w:p w14:paraId="0CA1842F">
      <w:pPr>
        <w:pStyle w:val="36"/>
        <w:rPr>
          <w:rFonts w:hint="default"/>
          <w:highlight w:val="none"/>
        </w:rPr>
        <w:sectPr>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4175683">
      <w:pPr>
        <w:pStyle w:val="5"/>
        <w:bidi w:val="0"/>
        <w:rPr>
          <w:rFonts w:hint="default"/>
          <w:highlight w:val="none"/>
        </w:rPr>
      </w:pPr>
      <w:bookmarkStart w:id="339" w:name="_Toc4961"/>
      <w:r>
        <w:rPr>
          <w:rFonts w:hint="default"/>
          <w:highlight w:val="none"/>
        </w:rPr>
        <w:t>3.</w:t>
      </w:r>
      <w:r>
        <w:rPr>
          <w:rFonts w:hint="eastAsia"/>
          <w:highlight w:val="none"/>
          <w:lang w:val="en-US" w:eastAsia="zh-CN"/>
        </w:rPr>
        <w:t>2扩建</w:t>
      </w:r>
      <w:r>
        <w:rPr>
          <w:rFonts w:hint="default"/>
          <w:highlight w:val="none"/>
        </w:rPr>
        <w:t>项目概况</w:t>
      </w:r>
      <w:bookmarkEnd w:id="329"/>
      <w:bookmarkEnd w:id="330"/>
      <w:bookmarkEnd w:id="331"/>
      <w:bookmarkEnd w:id="332"/>
      <w:bookmarkEnd w:id="333"/>
      <w:bookmarkEnd w:id="334"/>
      <w:bookmarkEnd w:id="335"/>
      <w:bookmarkEnd w:id="336"/>
      <w:bookmarkEnd w:id="337"/>
      <w:bookmarkEnd w:id="338"/>
      <w:bookmarkEnd w:id="339"/>
    </w:p>
    <w:p w14:paraId="4EAF085F">
      <w:pPr>
        <w:pStyle w:val="7"/>
        <w:bidi w:val="0"/>
        <w:rPr>
          <w:rFonts w:hint="default"/>
          <w:highlight w:val="none"/>
        </w:rPr>
      </w:pPr>
      <w:bookmarkStart w:id="340" w:name="_Toc182022280"/>
      <w:bookmarkStart w:id="341" w:name="_Toc113078920"/>
      <w:bookmarkStart w:id="342" w:name="_Toc118086779"/>
      <w:bookmarkStart w:id="343" w:name="_Toc112420350"/>
      <w:bookmarkStart w:id="344" w:name="_Toc28700"/>
      <w:bookmarkStart w:id="345" w:name="_Toc22255"/>
      <w:bookmarkStart w:id="346" w:name="_Toc9671"/>
      <w:bookmarkStart w:id="347" w:name="_Toc7638"/>
      <w:r>
        <w:rPr>
          <w:rFonts w:hint="default"/>
          <w:highlight w:val="none"/>
        </w:rPr>
        <w:t>3.</w:t>
      </w:r>
      <w:r>
        <w:rPr>
          <w:rFonts w:hint="eastAsia"/>
          <w:highlight w:val="none"/>
          <w:lang w:val="en-US" w:eastAsia="zh-CN"/>
        </w:rPr>
        <w:t>2</w:t>
      </w:r>
      <w:r>
        <w:rPr>
          <w:rFonts w:hint="default"/>
          <w:highlight w:val="none"/>
        </w:rPr>
        <w:t>.1</w:t>
      </w:r>
      <w:bookmarkEnd w:id="340"/>
      <w:bookmarkEnd w:id="341"/>
      <w:bookmarkEnd w:id="342"/>
      <w:bookmarkEnd w:id="343"/>
      <w:r>
        <w:rPr>
          <w:rFonts w:hint="eastAsia"/>
          <w:highlight w:val="none"/>
          <w:lang w:val="en-US" w:eastAsia="zh-CN"/>
        </w:rPr>
        <w:t>扩建</w:t>
      </w:r>
      <w:r>
        <w:rPr>
          <w:rFonts w:hint="default"/>
          <w:highlight w:val="none"/>
        </w:rPr>
        <w:t>项目名称及基本组成</w:t>
      </w:r>
      <w:bookmarkEnd w:id="344"/>
      <w:bookmarkEnd w:id="345"/>
      <w:bookmarkEnd w:id="346"/>
      <w:bookmarkEnd w:id="347"/>
    </w:p>
    <w:p w14:paraId="13147D2F">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项目名称：</w:t>
      </w:r>
      <w:r>
        <w:rPr>
          <w:rFonts w:hint="eastAsia" w:ascii="Times New Roman" w:hAnsi="Times New Roman" w:cs="Times New Roman"/>
          <w:snapToGrid w:val="0"/>
          <w:color w:val="auto"/>
          <w:highlight w:val="none"/>
          <w:lang w:eastAsia="zh-CN"/>
        </w:rPr>
        <w:t>黑龙江省鸡西市密山市青辉禽畜养殖专业合作社规模化猪场扩建项目</w:t>
      </w:r>
    </w:p>
    <w:p w14:paraId="598D54EB">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snapToGrid w:val="0"/>
          <w:color w:val="auto"/>
          <w:highlight w:val="none"/>
        </w:rPr>
        <w:t>建设单位：</w:t>
      </w:r>
      <w:r>
        <w:rPr>
          <w:rFonts w:hint="eastAsia" w:ascii="Times New Roman" w:hAnsi="Times New Roman" w:cs="Times New Roman"/>
          <w:snapToGrid w:val="0"/>
          <w:color w:val="auto"/>
          <w:highlight w:val="none"/>
          <w:lang w:eastAsia="zh-CN"/>
        </w:rPr>
        <w:t>密山市青辉禽畜养殖专业合作社</w:t>
      </w:r>
    </w:p>
    <w:p w14:paraId="59E8D37D">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建设地点：</w:t>
      </w:r>
      <w:r>
        <w:rPr>
          <w:rFonts w:hint="eastAsia" w:ascii="Times New Roman" w:hAnsi="Times New Roman" w:cs="Times New Roman"/>
          <w:snapToGrid w:val="0"/>
          <w:color w:val="auto"/>
          <w:highlight w:val="none"/>
          <w:lang w:eastAsia="zh-CN"/>
        </w:rPr>
        <w:t>鸡西市密山市柳毛乡团结村4组</w:t>
      </w:r>
    </w:p>
    <w:p w14:paraId="6241B1B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建设性质：</w:t>
      </w:r>
      <w:r>
        <w:rPr>
          <w:rFonts w:hint="eastAsia" w:ascii="Times New Roman" w:hAnsi="Times New Roman" w:cs="Times New Roman"/>
          <w:color w:val="auto"/>
          <w:highlight w:val="none"/>
          <w:lang w:val="en-US" w:eastAsia="zh-CN"/>
        </w:rPr>
        <w:t>扩</w:t>
      </w:r>
      <w:r>
        <w:rPr>
          <w:rFonts w:hint="default" w:ascii="Times New Roman" w:hAnsi="Times New Roman" w:eastAsia="宋体" w:cs="Times New Roman"/>
          <w:color w:val="auto"/>
          <w:highlight w:val="none"/>
          <w:lang w:eastAsia="zh-CN"/>
        </w:rPr>
        <w:t>建</w:t>
      </w:r>
    </w:p>
    <w:p w14:paraId="00A0745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工程投资：</w:t>
      </w:r>
      <w:r>
        <w:rPr>
          <w:rFonts w:hint="eastAsia" w:ascii="Times New Roman" w:hAnsi="Times New Roman" w:cs="Times New Roman"/>
          <w:color w:val="auto"/>
          <w:highlight w:val="none"/>
          <w:lang w:val="en-US" w:eastAsia="zh-CN"/>
        </w:rPr>
        <w:t>600万元</w:t>
      </w:r>
    </w:p>
    <w:p w14:paraId="407E28F8">
      <w:pPr>
        <w:pStyle w:val="94"/>
        <w:ind w:firstLine="480"/>
        <w:rPr>
          <w:rFonts w:hint="eastAsia" w:ascii="Times New Roman" w:hAnsi="Times New Roman" w:eastAsia="宋体" w:cs="Times New Roman"/>
          <w:snapToGrid w:val="0"/>
          <w:color w:val="auto"/>
          <w:highlight w:val="none"/>
          <w:vertAlign w:val="baseline"/>
          <w:lang w:eastAsia="zh-CN"/>
        </w:rPr>
      </w:pPr>
      <w:r>
        <w:rPr>
          <w:rFonts w:hint="default" w:ascii="Times New Roman" w:hAnsi="Times New Roman" w:eastAsia="宋体" w:cs="Times New Roman"/>
          <w:snapToGrid w:val="0"/>
          <w:color w:val="auto"/>
          <w:highlight w:val="none"/>
        </w:rPr>
        <w:t>占地面积：</w:t>
      </w:r>
      <w:r>
        <w:rPr>
          <w:rFonts w:hint="eastAsia" w:ascii="Times New Roman" w:hAnsi="Times New Roman" w:cs="Times New Roman"/>
          <w:snapToGrid w:val="0"/>
          <w:color w:val="auto"/>
          <w:highlight w:val="none"/>
          <w:lang w:val="en-US" w:eastAsia="zh-CN"/>
        </w:rPr>
        <w:t>27000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eastAsia" w:ascii="Times New Roman" w:hAnsi="Times New Roman" w:cs="Times New Roman"/>
          <w:color w:val="auto"/>
          <w:highlight w:val="none"/>
          <w:vertAlign w:val="baseline"/>
          <w:lang w:val="en-US" w:eastAsia="zh-CN"/>
        </w:rPr>
        <w:t>，未新增占地。</w:t>
      </w:r>
    </w:p>
    <w:p w14:paraId="1D196DF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占地类型：</w:t>
      </w:r>
      <w:r>
        <w:rPr>
          <w:rFonts w:hint="eastAsia" w:ascii="Times New Roman" w:hAnsi="Times New Roman" w:cs="Times New Roman"/>
          <w:snapToGrid w:val="0"/>
          <w:color w:val="auto"/>
          <w:highlight w:val="none"/>
          <w:lang w:val="en-US" w:eastAsia="zh-CN"/>
        </w:rPr>
        <w:t>项目用地属于设施农用地，因厂区部分占地改为农田（厂区自用种植及消纳），因此占地面积缩小</w:t>
      </w:r>
      <w:r>
        <w:rPr>
          <w:rFonts w:hint="default" w:ascii="Times New Roman" w:hAnsi="Times New Roman" w:eastAsia="宋体" w:cs="Times New Roman"/>
          <w:snapToGrid w:val="0"/>
          <w:color w:val="auto"/>
          <w:highlight w:val="none"/>
        </w:rPr>
        <w:t>。</w:t>
      </w:r>
    </w:p>
    <w:p w14:paraId="1210D85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建筑面积：</w:t>
      </w:r>
      <w:r>
        <w:rPr>
          <w:rFonts w:hint="eastAsia" w:ascii="Times New Roman" w:hAnsi="Times New Roman" w:cs="Times New Roman"/>
          <w:snapToGrid w:val="0"/>
          <w:color w:val="auto"/>
          <w:highlight w:val="none"/>
          <w:lang w:val="en-US" w:eastAsia="zh-CN"/>
        </w:rPr>
        <w:t>原有</w:t>
      </w:r>
      <w:r>
        <w:rPr>
          <w:rFonts w:hint="default" w:ascii="Times New Roman" w:hAnsi="Times New Roman" w:cs="Times New Roman"/>
          <w:snapToGrid w:val="0"/>
          <w:color w:val="auto"/>
          <w:highlight w:val="none"/>
          <w:lang w:val="en-US" w:eastAsia="zh-CN"/>
        </w:rPr>
        <w:t>总建筑面积为</w:t>
      </w:r>
      <w:r>
        <w:rPr>
          <w:rFonts w:hint="eastAsia" w:ascii="Times New Roman" w:hAnsi="Times New Roman" w:cs="Times New Roman"/>
          <w:snapToGrid w:val="0"/>
          <w:color w:val="auto"/>
          <w:highlight w:val="none"/>
          <w:lang w:val="en-US" w:eastAsia="zh-CN"/>
        </w:rPr>
        <w:t>6048</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vertAlign w:val="baseline"/>
          <w:lang w:val="en-US" w:eastAsia="zh-CN"/>
        </w:rPr>
        <w:t>。</w:t>
      </w:r>
      <w:r>
        <w:rPr>
          <w:rFonts w:hint="eastAsia" w:ascii="Times New Roman" w:hAnsi="Times New Roman" w:cs="Times New Roman"/>
          <w:snapToGrid w:val="0"/>
          <w:color w:val="auto"/>
          <w:highlight w:val="none"/>
          <w:lang w:val="en-US" w:eastAsia="zh-CN"/>
        </w:rPr>
        <w:t>新增建筑面积3642</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vertAlign w:val="baseline"/>
          <w:lang w:val="en-US" w:eastAsia="zh-CN"/>
        </w:rPr>
        <w:t>。</w:t>
      </w:r>
      <w:r>
        <w:rPr>
          <w:rFonts w:hint="eastAsia" w:ascii="Times New Roman" w:hAnsi="Times New Roman" w:cs="Times New Roman"/>
          <w:snapToGrid w:val="0"/>
          <w:color w:val="auto"/>
          <w:highlight w:val="none"/>
          <w:vertAlign w:val="baseline"/>
          <w:lang w:val="en-US" w:eastAsia="zh-CN"/>
        </w:rPr>
        <w:t>扩建后</w:t>
      </w:r>
      <w:r>
        <w:rPr>
          <w:rFonts w:hint="default" w:ascii="Times New Roman" w:hAnsi="Times New Roman" w:cs="Times New Roman"/>
          <w:snapToGrid w:val="0"/>
          <w:color w:val="auto"/>
          <w:highlight w:val="none"/>
          <w:lang w:val="en-US" w:eastAsia="zh-CN"/>
        </w:rPr>
        <w:t>总建筑面积为</w:t>
      </w:r>
      <w:r>
        <w:rPr>
          <w:rFonts w:hint="eastAsia" w:ascii="Times New Roman" w:hAnsi="Times New Roman" w:cs="Times New Roman"/>
          <w:snapToGrid w:val="0"/>
          <w:color w:val="auto"/>
          <w:highlight w:val="none"/>
          <w:lang w:val="en-US" w:eastAsia="zh-CN"/>
        </w:rPr>
        <w:t>9690</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vertAlign w:val="baseline"/>
          <w:lang w:val="en-US" w:eastAsia="zh-CN"/>
        </w:rPr>
        <w:t>。</w:t>
      </w:r>
    </w:p>
    <w:p w14:paraId="7EADB2E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劳动定员及工作制度：</w:t>
      </w:r>
      <w:r>
        <w:rPr>
          <w:rFonts w:hint="default" w:ascii="Times New Roman" w:hAnsi="Times New Roman" w:cs="Times New Roman"/>
          <w:snapToGrid w:val="0"/>
          <w:color w:val="auto"/>
          <w:highlight w:val="none"/>
          <w:lang w:val="en-US" w:eastAsia="zh-CN"/>
        </w:rPr>
        <w:t>本项目劳动定员</w:t>
      </w:r>
      <w:r>
        <w:rPr>
          <w:rFonts w:hint="eastAsia" w:ascii="Times New Roman" w:hAnsi="Times New Roman" w:cs="Times New Roman"/>
          <w:snapToGrid w:val="0"/>
          <w:color w:val="auto"/>
          <w:highlight w:val="none"/>
          <w:lang w:val="en-US" w:eastAsia="zh-CN"/>
        </w:rPr>
        <w:t>11</w:t>
      </w:r>
      <w:r>
        <w:rPr>
          <w:rFonts w:hint="default" w:ascii="Times New Roman" w:hAnsi="Times New Roman" w:cs="Times New Roman"/>
          <w:snapToGrid w:val="0"/>
          <w:color w:val="auto"/>
          <w:highlight w:val="none"/>
        </w:rPr>
        <w:t>人，</w:t>
      </w:r>
      <w:r>
        <w:rPr>
          <w:rFonts w:hint="default" w:ascii="Times New Roman" w:hAnsi="Times New Roman" w:eastAsia="宋体" w:cs="Times New Roman"/>
          <w:snapToGrid w:val="0"/>
          <w:color w:val="auto"/>
          <w:highlight w:val="none"/>
        </w:rPr>
        <w:t>全年工作天数为365天，实行</w:t>
      </w:r>
      <w:r>
        <w:rPr>
          <w:rFonts w:hint="eastAsia" w:ascii="Times New Roman" w:hAnsi="Times New Roman" w:cs="Times New Roman"/>
          <w:snapToGrid w:val="0"/>
          <w:color w:val="auto"/>
          <w:highlight w:val="none"/>
          <w:lang w:val="en-US" w:eastAsia="zh-CN"/>
        </w:rPr>
        <w:t>一</w:t>
      </w:r>
      <w:r>
        <w:rPr>
          <w:rFonts w:hint="default" w:ascii="Times New Roman" w:hAnsi="Times New Roman" w:eastAsia="宋体" w:cs="Times New Roman"/>
          <w:snapToGrid w:val="0"/>
          <w:color w:val="auto"/>
          <w:highlight w:val="none"/>
        </w:rPr>
        <w:t>班制，每班8小时</w:t>
      </w:r>
      <w:r>
        <w:rPr>
          <w:rFonts w:hint="default" w:ascii="Times New Roman" w:hAnsi="Times New Roman" w:eastAsia="宋体" w:cs="Times New Roman"/>
          <w:bCs/>
          <w:color w:val="auto"/>
          <w:highlight w:val="none"/>
          <w:lang w:val="en-US" w:eastAsia="zh-CN"/>
        </w:rPr>
        <w:t>。</w:t>
      </w:r>
    </w:p>
    <w:p w14:paraId="5FF0321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建设周期：项目建设期</w:t>
      </w:r>
      <w:r>
        <w:rPr>
          <w:rFonts w:hint="eastAsia"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个月，为20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月至20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月，计划于20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月投产</w:t>
      </w:r>
      <w:r>
        <w:rPr>
          <w:rFonts w:hint="default" w:ascii="Times New Roman" w:hAnsi="Times New Roman" w:eastAsia="宋体" w:cs="Times New Roman"/>
          <w:snapToGrid w:val="0"/>
          <w:color w:val="auto"/>
          <w:highlight w:val="none"/>
          <w:lang w:val="en-US" w:eastAsia="zh-CN"/>
        </w:rPr>
        <w:t>。</w:t>
      </w:r>
    </w:p>
    <w:p w14:paraId="7F4B2DD1">
      <w:pPr>
        <w:pStyle w:val="7"/>
        <w:bidi w:val="0"/>
        <w:rPr>
          <w:rFonts w:hint="default"/>
          <w:highlight w:val="none"/>
        </w:rPr>
      </w:pPr>
      <w:bookmarkStart w:id="348" w:name="_Toc7637"/>
      <w:bookmarkStart w:id="349" w:name="_Toc14701"/>
      <w:bookmarkStart w:id="350" w:name="_Toc14206"/>
      <w:bookmarkStart w:id="351" w:name="_Toc18534"/>
      <w:r>
        <w:rPr>
          <w:rFonts w:hint="default"/>
          <w:highlight w:val="none"/>
        </w:rPr>
        <w:t>3.</w:t>
      </w:r>
      <w:r>
        <w:rPr>
          <w:rFonts w:hint="eastAsia"/>
          <w:highlight w:val="none"/>
          <w:lang w:val="en-US" w:eastAsia="zh-CN"/>
        </w:rPr>
        <w:t>2</w:t>
      </w:r>
      <w:r>
        <w:rPr>
          <w:rFonts w:hint="default"/>
          <w:highlight w:val="none"/>
        </w:rPr>
        <w:t>.2</w:t>
      </w:r>
      <w:r>
        <w:rPr>
          <w:rFonts w:hint="eastAsia"/>
          <w:highlight w:val="none"/>
          <w:lang w:val="en-US" w:eastAsia="zh-CN"/>
        </w:rPr>
        <w:t>扩</w:t>
      </w:r>
      <w:r>
        <w:rPr>
          <w:rFonts w:hint="default"/>
          <w:highlight w:val="none"/>
        </w:rPr>
        <w:t>建内容及规模</w:t>
      </w:r>
      <w:bookmarkEnd w:id="348"/>
      <w:bookmarkEnd w:id="349"/>
      <w:bookmarkEnd w:id="350"/>
      <w:bookmarkEnd w:id="351"/>
    </w:p>
    <w:p w14:paraId="4908DDF4">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本次扩建项目</w:t>
      </w:r>
      <w:r>
        <w:rPr>
          <w:rFonts w:hint="eastAsia" w:ascii="Times New Roman" w:cs="Times New Roman"/>
          <w:color w:val="auto"/>
          <w:sz w:val="24"/>
          <w:highlight w:val="none"/>
          <w:lang w:val="en-US" w:eastAsia="zh-CN"/>
        </w:rPr>
        <w:t>为新建2栋配种舍，2栋分娩舍和2栋保育舍；扩建干粪堆积场面积原占地面积245m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，建筑面积245m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，容积为490m</w:t>
      </w:r>
      <w:r>
        <w:rPr>
          <w:rFonts w:hint="eastAsia" w:ascii="Times New Roman" w:cs="Times New Roman"/>
          <w:color w:val="auto"/>
          <w:sz w:val="24"/>
          <w:highlight w:val="none"/>
          <w:vertAlign w:val="superscript"/>
          <w:lang w:val="en-US" w:eastAsia="zh-CN"/>
        </w:rPr>
        <w:t>3</w:t>
      </w:r>
      <w:r>
        <w:rPr>
          <w:rFonts w:hint="eastAsia" w:ascii="Times New Roman" w:cs="Times New Roman"/>
          <w:color w:val="auto"/>
          <w:sz w:val="24"/>
          <w:highlight w:val="none"/>
          <w:lang w:val="en-US" w:eastAsia="zh-CN"/>
        </w:rPr>
        <w:t>，现扩建至占地面积450m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，建筑面积450m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，容积为900m</w:t>
      </w:r>
      <w:r>
        <w:rPr>
          <w:rFonts w:hint="eastAsia" w:ascii="Times New Roman" w:cs="Times New Roman"/>
          <w:color w:val="auto"/>
          <w:sz w:val="24"/>
          <w:highlight w:val="none"/>
          <w:vertAlign w:val="superscript"/>
          <w:lang w:val="en-US" w:eastAsia="zh-CN"/>
        </w:rPr>
        <w:t>3</w:t>
      </w:r>
      <w:r>
        <w:rPr>
          <w:rFonts w:hint="eastAsia" w:ascii="Times New Roman" w:cs="Times New Roman"/>
          <w:color w:val="auto"/>
          <w:sz w:val="24"/>
          <w:highlight w:val="none"/>
          <w:lang w:val="en-US" w:eastAsia="zh-CN"/>
        </w:rPr>
        <w:t>；扩建洗消车间，新增50m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vertAlign w:val="baseline"/>
          <w:lang w:val="en-US" w:eastAsia="zh-CN"/>
        </w:rPr>
        <w:t>，原</w:t>
      </w:r>
      <w:r>
        <w:rPr>
          <w:rFonts w:hint="eastAsia" w:ascii="Times New Roman" w:hAnsi="Times New Roman" w:cs="Times New Roman"/>
          <w:snapToGrid w:val="0"/>
          <w:color w:val="auto"/>
          <w:szCs w:val="21"/>
          <w:highlight w:val="none"/>
          <w:lang w:val="en-US" w:eastAsia="zh-CN"/>
        </w:rPr>
        <w:t>占地面积为90m</w:t>
      </w:r>
      <w:r>
        <w:rPr>
          <w:rFonts w:hint="eastAsia" w:ascii="Times New Roman" w:hAnsi="Times New Roman" w:cs="Times New Roman"/>
          <w:snapToGrid w:val="0"/>
          <w:color w:val="auto"/>
          <w:szCs w:val="21"/>
          <w:highlight w:val="none"/>
          <w:vertAlign w:val="superscript"/>
          <w:lang w:val="en-US" w:eastAsia="zh-CN"/>
        </w:rPr>
        <w:t>2</w:t>
      </w:r>
      <w:r>
        <w:rPr>
          <w:rFonts w:hint="eastAsia" w:ascii="Times New Roman" w:hAnsi="Times New Roman"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rPr>
        <w:t>建筑面积为</w:t>
      </w:r>
      <w:r>
        <w:rPr>
          <w:rFonts w:hint="eastAsia" w:ascii="Times New Roman" w:hAnsi="Times New Roman" w:cs="Times New Roman"/>
          <w:snapToGrid w:val="0"/>
          <w:color w:val="auto"/>
          <w:szCs w:val="21"/>
          <w:highlight w:val="none"/>
          <w:lang w:val="en-US" w:eastAsia="zh-CN"/>
        </w:rPr>
        <w:t>90</w:t>
      </w:r>
      <w:r>
        <w:rPr>
          <w:rFonts w:hint="default" w:ascii="Times New Roman" w:hAnsi="Times New Roman" w:eastAsia="宋体" w:cs="Times New Roman"/>
          <w:snapToGrid w:val="0"/>
          <w:color w:val="auto"/>
          <w:szCs w:val="21"/>
          <w:highlight w:val="none"/>
        </w:rPr>
        <w:t>m</w:t>
      </w:r>
      <w:r>
        <w:rPr>
          <w:rFonts w:hint="default" w:ascii="Times New Roman" w:hAnsi="Times New Roman" w:eastAsia="宋体" w:cs="Times New Roman"/>
          <w:snapToGrid w:val="0"/>
          <w:color w:val="auto"/>
          <w:szCs w:val="21"/>
          <w:highlight w:val="none"/>
          <w:vertAlign w:val="superscript"/>
        </w:rPr>
        <w:t>2</w:t>
      </w:r>
      <w:r>
        <w:rPr>
          <w:rFonts w:hint="eastAsia" w:ascii="Times New Roman" w:cs="Times New Roman"/>
          <w:snapToGrid w:val="0"/>
          <w:color w:val="auto"/>
          <w:szCs w:val="21"/>
          <w:highlight w:val="none"/>
          <w:lang w:eastAsia="zh-CN"/>
        </w:rPr>
        <w:t>，</w:t>
      </w:r>
      <w:r>
        <w:rPr>
          <w:rFonts w:hint="eastAsia" w:ascii="Times New Roman" w:cs="Times New Roman"/>
          <w:snapToGrid w:val="0"/>
          <w:color w:val="auto"/>
          <w:szCs w:val="21"/>
          <w:highlight w:val="none"/>
          <w:lang w:val="en-US" w:eastAsia="zh-CN"/>
        </w:rPr>
        <w:t>现扩建至</w:t>
      </w:r>
      <w:r>
        <w:rPr>
          <w:rFonts w:hint="eastAsia" w:ascii="Times New Roman" w:cs="Times New Roman"/>
          <w:color w:val="auto"/>
          <w:sz w:val="24"/>
          <w:highlight w:val="none"/>
          <w:lang w:val="en-US" w:eastAsia="zh-CN"/>
        </w:rPr>
        <w:t>占地面积140m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，建筑面积140m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；新建黑膜厌氧池沼气燃烧系统；新建沼液贮存池。</w:t>
      </w:r>
      <w:r>
        <w:rPr>
          <w:rFonts w:hint="default" w:ascii="Times New Roman" w:hAnsi="Times New Roman" w:cs="Times New Roman"/>
          <w:color w:val="auto"/>
          <w:sz w:val="24"/>
          <w:highlight w:val="none"/>
          <w:lang w:val="en-US" w:eastAsia="zh-CN"/>
        </w:rPr>
        <w:t>其他工程均依托现有项目。</w:t>
      </w:r>
      <w:r>
        <w:rPr>
          <w:rFonts w:hint="eastAsia" w:ascii="Times New Roman" w:cs="Times New Roman"/>
          <w:color w:val="auto"/>
          <w:sz w:val="24"/>
          <w:highlight w:val="none"/>
          <w:lang w:val="en-US" w:eastAsia="zh-CN"/>
        </w:rPr>
        <w:t>原生产规</w:t>
      </w:r>
      <w:r>
        <w:rPr>
          <w:rFonts w:hint="default" w:ascii="Times New Roman" w:hAnsi="Times New Roman" w:cs="Times New Roman"/>
          <w:color w:val="auto"/>
          <w:sz w:val="24"/>
          <w:highlight w:val="none"/>
          <w:lang w:val="en-US" w:eastAsia="zh-CN"/>
        </w:rPr>
        <w:t>模为年存栏生猪2400头，年出栏生猪4500头。</w:t>
      </w:r>
      <w:r>
        <w:rPr>
          <w:rFonts w:hint="eastAsia" w:ascii="Times New Roman" w:cs="Times New Roman"/>
          <w:color w:val="auto"/>
          <w:sz w:val="24"/>
          <w:highlight w:val="none"/>
          <w:lang w:val="en-US" w:eastAsia="zh-CN"/>
        </w:rPr>
        <w:t>扩建</w:t>
      </w:r>
      <w:r>
        <w:rPr>
          <w:rFonts w:hint="eastAsia" w:ascii="Times New Roman" w:hAnsi="Times New Roman" w:cs="Times New Roman"/>
          <w:color w:val="auto"/>
          <w:sz w:val="24"/>
          <w:highlight w:val="none"/>
          <w:lang w:val="en-US" w:eastAsia="zh-CN"/>
        </w:rPr>
        <w:t>后年存栏8000头（母猪950头，公猪50头，哺乳仔猪1700头，保育仔猪3300头，后备猪2000头），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cs="Times New Roman"/>
          <w:color w:val="auto"/>
          <w:sz w:val="24"/>
          <w:highlight w:val="none"/>
          <w:lang w:val="en-US" w:eastAsia="zh-CN"/>
        </w:rPr>
        <w:t>商品猪（仔猪）</w:t>
      </w:r>
      <w:r>
        <w:rPr>
          <w:rFonts w:hint="eastAsia" w:ascii="Times New Roman" w:hAnsi="Times New Roman" w:cs="Times New Roman"/>
          <w:color w:val="auto"/>
          <w:sz w:val="24"/>
          <w:highlight w:val="none"/>
          <w:lang w:val="en-US" w:eastAsia="zh-CN"/>
        </w:rPr>
        <w:t>16000</w:t>
      </w:r>
      <w:r>
        <w:rPr>
          <w:rFonts w:hint="default" w:ascii="Times New Roman" w:hAnsi="Times New Roman" w:eastAsia="宋体" w:cs="Times New Roman"/>
          <w:color w:val="auto"/>
          <w:sz w:val="24"/>
          <w:highlight w:val="none"/>
          <w:lang w:val="en-US" w:eastAsia="zh-CN"/>
        </w:rPr>
        <w:t>头。</w:t>
      </w:r>
    </w:p>
    <w:p w14:paraId="52767430">
      <w:pPr>
        <w:pStyle w:val="94"/>
        <w:ind w:firstLine="480"/>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color w:val="auto"/>
          <w:highlight w:val="none"/>
        </w:rPr>
        <w:t>项目组成一览表见表3</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w:t>
      </w:r>
    </w:p>
    <w:p w14:paraId="509AA1E9">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-1工程组成一览表</w:t>
      </w:r>
    </w:p>
    <w:tbl>
      <w:tblPr>
        <w:tblStyle w:val="395"/>
        <w:tblpPr w:leftFromText="180" w:rightFromText="180" w:vertAnchor="text" w:tblpXSpec="center" w:tblpY="1"/>
        <w:tblW w:w="830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584"/>
        <w:gridCol w:w="1200"/>
        <w:gridCol w:w="4835"/>
        <w:gridCol w:w="944"/>
        <w:gridCol w:w="18"/>
      </w:tblGrid>
      <w:tr w14:paraId="5450C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Align w:val="center"/>
          </w:tcPr>
          <w:p w14:paraId="3A04026D">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工程类别</w:t>
            </w:r>
          </w:p>
        </w:tc>
        <w:tc>
          <w:tcPr>
            <w:tcW w:w="1784" w:type="dxa"/>
            <w:gridSpan w:val="2"/>
            <w:vAlign w:val="center"/>
          </w:tcPr>
          <w:p w14:paraId="5D61578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工程名称</w:t>
            </w:r>
          </w:p>
        </w:tc>
        <w:tc>
          <w:tcPr>
            <w:tcW w:w="4835" w:type="dxa"/>
            <w:vAlign w:val="center"/>
          </w:tcPr>
          <w:p w14:paraId="2338F295">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建设内容及规模</w:t>
            </w:r>
          </w:p>
        </w:tc>
        <w:tc>
          <w:tcPr>
            <w:tcW w:w="944" w:type="dxa"/>
            <w:vAlign w:val="center"/>
          </w:tcPr>
          <w:p w14:paraId="47CB118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备注</w:t>
            </w:r>
          </w:p>
        </w:tc>
      </w:tr>
      <w:tr w14:paraId="02EEA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restart"/>
            <w:vAlign w:val="center"/>
          </w:tcPr>
          <w:p w14:paraId="3F224C67">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主体工程</w:t>
            </w:r>
          </w:p>
        </w:tc>
        <w:tc>
          <w:tcPr>
            <w:tcW w:w="1784" w:type="dxa"/>
            <w:gridSpan w:val="2"/>
            <w:vAlign w:val="center"/>
          </w:tcPr>
          <w:p w14:paraId="51566C2D">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sz w:val="21"/>
                <w:szCs w:val="21"/>
                <w:highlight w:val="none"/>
                <w:lang w:val="en-US"/>
              </w:rPr>
              <w:t>配种舍</w:t>
            </w:r>
          </w:p>
        </w:tc>
        <w:tc>
          <w:tcPr>
            <w:tcW w:w="4835" w:type="dxa"/>
            <w:vAlign w:val="center"/>
          </w:tcPr>
          <w:p w14:paraId="6AA5C692">
            <w:pPr>
              <w:pStyle w:val="152"/>
              <w:adjustRightInd w:val="0"/>
              <w:snapToGrid w:val="0"/>
              <w:jc w:val="both"/>
              <w:rPr>
                <w:rFonts w:hint="eastAsia"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2座，一层，2.5米高，1#配种舍600m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厂房，2#配种舍900m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厂房，共安装550个限位栏。用于妊娠母猪饲养</w:t>
            </w:r>
            <w:r>
              <w:rPr>
                <w:rFonts w:hint="eastAsia" w:ascii="Times New Roman" w:hAnsi="Times New Roman" w:cs="Times New Roman"/>
                <w:snapToGrid w:val="0"/>
                <w:sz w:val="21"/>
                <w:szCs w:val="21"/>
                <w:highlight w:val="none"/>
                <w:lang w:val="en-US" w:eastAsia="zh-CN"/>
              </w:rPr>
              <w:t>。</w:t>
            </w:r>
          </w:p>
        </w:tc>
        <w:tc>
          <w:tcPr>
            <w:tcW w:w="944" w:type="dxa"/>
            <w:vAlign w:val="center"/>
          </w:tcPr>
          <w:p w14:paraId="01AB745D">
            <w:pPr>
              <w:pStyle w:val="15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新建</w:t>
            </w:r>
          </w:p>
        </w:tc>
      </w:tr>
      <w:tr w14:paraId="529699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498CB917">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vAlign w:val="center"/>
          </w:tcPr>
          <w:p w14:paraId="678A13D8">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分娩舍</w:t>
            </w:r>
          </w:p>
        </w:tc>
        <w:tc>
          <w:tcPr>
            <w:tcW w:w="4835" w:type="dxa"/>
            <w:vAlign w:val="center"/>
          </w:tcPr>
          <w:p w14:paraId="409E059F">
            <w:pPr>
              <w:pStyle w:val="152"/>
              <w:adjustRightInd w:val="0"/>
              <w:snapToGrid w:val="0"/>
              <w:jc w:val="both"/>
              <w:rPr>
                <w:rFonts w:hint="eastAsia"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2座，一层，2.5米高1#分娩舍336m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厂房，2#分娩舍504m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厂房，共安装100个分娩床，用于哺乳母猪及哺乳仔猪饲养</w:t>
            </w:r>
            <w:r>
              <w:rPr>
                <w:rFonts w:hint="eastAsia" w:ascii="Times New Roman" w:hAnsi="Times New Roman" w:cs="Times New Roman"/>
                <w:snapToGrid w:val="0"/>
                <w:sz w:val="21"/>
                <w:szCs w:val="21"/>
                <w:highlight w:val="none"/>
                <w:lang w:val="en-US" w:eastAsia="zh-CN"/>
              </w:rPr>
              <w:t>。</w:t>
            </w:r>
          </w:p>
        </w:tc>
        <w:tc>
          <w:tcPr>
            <w:tcW w:w="944" w:type="dxa"/>
            <w:vAlign w:val="center"/>
          </w:tcPr>
          <w:p w14:paraId="0230F8C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新建</w:t>
            </w:r>
          </w:p>
        </w:tc>
      </w:tr>
      <w:tr w14:paraId="2B4F57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06BFEA2A">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vAlign w:val="center"/>
          </w:tcPr>
          <w:p w14:paraId="71307520">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保育舍</w:t>
            </w:r>
          </w:p>
        </w:tc>
        <w:tc>
          <w:tcPr>
            <w:tcW w:w="4835" w:type="dxa"/>
            <w:vAlign w:val="center"/>
          </w:tcPr>
          <w:p w14:paraId="0E031ECA">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2座，一层，2.5米高，1#保育舍392m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厂房，2#保育舍588m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厂房，共安装80套保育床，用于断奶仔猪饲养。</w:t>
            </w:r>
          </w:p>
        </w:tc>
        <w:tc>
          <w:tcPr>
            <w:tcW w:w="944" w:type="dxa"/>
            <w:vAlign w:val="center"/>
          </w:tcPr>
          <w:p w14:paraId="6E0243C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新建</w:t>
            </w:r>
          </w:p>
        </w:tc>
      </w:tr>
      <w:tr w14:paraId="247C20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5BAAA381">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vAlign w:val="center"/>
          </w:tcPr>
          <w:p w14:paraId="0E1DCA9A">
            <w:pPr>
              <w:pStyle w:val="152"/>
              <w:adjustRightInd w:val="0"/>
              <w:snapToGrid w:val="0"/>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配种舍</w:t>
            </w:r>
          </w:p>
        </w:tc>
        <w:tc>
          <w:tcPr>
            <w:tcW w:w="4835" w:type="dxa"/>
            <w:vAlign w:val="center"/>
          </w:tcPr>
          <w:p w14:paraId="4E949F30">
            <w:pPr>
              <w:pStyle w:val="152"/>
              <w:adjustRightInd w:val="0"/>
              <w:snapToGrid w:val="0"/>
              <w:jc w:val="both"/>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eastAsia="zh-CN"/>
              </w:rPr>
              <w:t>2</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sz w:val="21"/>
                <w:szCs w:val="21"/>
                <w:highlight w:val="none"/>
                <w:lang w:val="en-US"/>
              </w:rPr>
              <w:t>，一层，</w:t>
            </w:r>
            <w:r>
              <w:rPr>
                <w:rFonts w:hint="eastAsia" w:ascii="Times New Roman" w:hAnsi="Times New Roman" w:cs="Times New Roman"/>
                <w:snapToGrid w:val="0"/>
                <w:sz w:val="21"/>
                <w:szCs w:val="21"/>
                <w:highlight w:val="none"/>
                <w:lang w:val="en-US" w:eastAsia="zh-CN"/>
              </w:rPr>
              <w:t>1#配种舍350</w:t>
            </w:r>
            <w:r>
              <w:rPr>
                <w:rFonts w:hint="eastAsia" w:ascii="Times New Roman" w:hAnsi="Times New Roman" w:cs="Times New Roman"/>
                <w:snapToGrid w:val="0"/>
                <w:sz w:val="21"/>
                <w:szCs w:val="21"/>
                <w:highlight w:val="none"/>
                <w:lang w:val="en-US"/>
              </w:rPr>
              <w:t>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w:t>
            </w:r>
            <w:r>
              <w:rPr>
                <w:rFonts w:hint="eastAsia" w:ascii="Times New Roman" w:hAnsi="Times New Roman" w:cs="Times New Roman"/>
                <w:snapToGrid w:val="0"/>
                <w:sz w:val="21"/>
                <w:szCs w:val="21"/>
                <w:highlight w:val="none"/>
                <w:lang w:val="en-US" w:eastAsia="zh-CN"/>
              </w:rPr>
              <w:t>2#配种舍350</w:t>
            </w:r>
            <w:r>
              <w:rPr>
                <w:rFonts w:hint="eastAsia" w:ascii="Times New Roman" w:hAnsi="Times New Roman" w:cs="Times New Roman"/>
                <w:snapToGrid w:val="0"/>
                <w:sz w:val="21"/>
                <w:szCs w:val="21"/>
                <w:highlight w:val="none"/>
                <w:lang w:val="en-US"/>
              </w:rPr>
              <w:t>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w:t>
            </w:r>
            <w:r>
              <w:rPr>
                <w:rFonts w:hint="eastAsia" w:ascii="Times New Roman" w:hAnsi="Times New Roman" w:cs="Times New Roman"/>
                <w:snapToGrid w:val="0"/>
                <w:sz w:val="21"/>
                <w:szCs w:val="21"/>
                <w:highlight w:val="none"/>
                <w:lang w:val="en-US" w:eastAsia="zh-CN"/>
              </w:rPr>
              <w:t>共</w:t>
            </w:r>
            <w:r>
              <w:rPr>
                <w:rFonts w:hint="eastAsia" w:ascii="Times New Roman" w:hAnsi="Times New Roman" w:cs="Times New Roman"/>
                <w:snapToGrid w:val="0"/>
                <w:sz w:val="21"/>
                <w:szCs w:val="21"/>
                <w:highlight w:val="none"/>
                <w:lang w:val="en-US"/>
              </w:rPr>
              <w:t>安装268个限位栏，用于妊娠母猪饲养</w:t>
            </w:r>
          </w:p>
        </w:tc>
        <w:tc>
          <w:tcPr>
            <w:tcW w:w="944" w:type="dxa"/>
            <w:vAlign w:val="center"/>
          </w:tcPr>
          <w:p w14:paraId="5026B9A1">
            <w:pPr>
              <w:adjustRightInd w:val="0"/>
              <w:snapToGrid w:val="0"/>
              <w:jc w:val="center"/>
              <w:rPr>
                <w:rFonts w:hint="eastAsia"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依托厂区现有</w:t>
            </w:r>
          </w:p>
        </w:tc>
      </w:tr>
      <w:tr w14:paraId="3AF3F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43DEAC56">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vAlign w:val="center"/>
          </w:tcPr>
          <w:p w14:paraId="1F5A751D">
            <w:pPr>
              <w:pStyle w:val="152"/>
              <w:adjustRightInd w:val="0"/>
              <w:snapToGrid w:val="0"/>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分娩舍</w:t>
            </w:r>
          </w:p>
        </w:tc>
        <w:tc>
          <w:tcPr>
            <w:tcW w:w="4835" w:type="dxa"/>
            <w:vAlign w:val="center"/>
          </w:tcPr>
          <w:p w14:paraId="5E5D8EA8">
            <w:pPr>
              <w:pStyle w:val="152"/>
              <w:adjustRightInd w:val="0"/>
              <w:snapToGrid w:val="0"/>
              <w:jc w:val="both"/>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1</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sz w:val="21"/>
                <w:szCs w:val="21"/>
                <w:highlight w:val="none"/>
                <w:lang w:val="en-US"/>
              </w:rPr>
              <w:t>，一层，360m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w:t>
            </w:r>
            <w:r>
              <w:rPr>
                <w:rFonts w:hint="eastAsia" w:ascii="Times New Roman" w:hAnsi="Times New Roman" w:cs="Times New Roman"/>
                <w:snapToGrid w:val="0"/>
                <w:sz w:val="21"/>
                <w:szCs w:val="21"/>
                <w:highlight w:val="none"/>
                <w:lang w:val="en-US" w:eastAsia="zh-CN"/>
              </w:rPr>
              <w:t>房，</w:t>
            </w:r>
            <w:r>
              <w:rPr>
                <w:rFonts w:hint="eastAsia" w:ascii="Times New Roman" w:hAnsi="Times New Roman" w:cs="Times New Roman"/>
                <w:snapToGrid w:val="0"/>
                <w:sz w:val="21"/>
                <w:szCs w:val="21"/>
                <w:highlight w:val="none"/>
                <w:lang w:val="en-US"/>
              </w:rPr>
              <w:t>安装48个分娩床，用于哺乳母猪及哺乳仔猪饲养</w:t>
            </w:r>
          </w:p>
        </w:tc>
        <w:tc>
          <w:tcPr>
            <w:tcW w:w="944" w:type="dxa"/>
            <w:vAlign w:val="center"/>
          </w:tcPr>
          <w:p w14:paraId="7BC47C51">
            <w:pPr>
              <w:adjustRightInd w:val="0"/>
              <w:snapToGrid w:val="0"/>
              <w:jc w:val="center"/>
              <w:rPr>
                <w:rFonts w:hint="eastAsia"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依托厂区现有</w:t>
            </w:r>
          </w:p>
        </w:tc>
      </w:tr>
      <w:tr w14:paraId="31146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6428939F">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vAlign w:val="center"/>
          </w:tcPr>
          <w:p w14:paraId="64D87329">
            <w:pPr>
              <w:pStyle w:val="152"/>
              <w:adjustRightInd w:val="0"/>
              <w:snapToGrid w:val="0"/>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保育舍</w:t>
            </w:r>
          </w:p>
        </w:tc>
        <w:tc>
          <w:tcPr>
            <w:tcW w:w="4835" w:type="dxa"/>
            <w:vAlign w:val="center"/>
          </w:tcPr>
          <w:p w14:paraId="56DBD0DF">
            <w:pPr>
              <w:pStyle w:val="152"/>
              <w:adjustRightInd w:val="0"/>
              <w:snapToGrid w:val="0"/>
              <w:jc w:val="both"/>
              <w:rPr>
                <w:rFonts w:hint="eastAsia" w:ascii="Times New Roman" w:hAnsi="Times New Roman" w:eastAsia="宋体" w:cs="Times New Roman"/>
                <w:snapToGrid w:val="0"/>
                <w:sz w:val="21"/>
                <w:szCs w:val="21"/>
                <w:highlight w:val="none"/>
                <w:lang w:val="en-US" w:eastAsia="zh-CN"/>
              </w:rPr>
            </w:pPr>
            <w:r>
              <w:rPr>
                <w:rFonts w:hint="eastAsia" w:ascii="Times New Roman" w:hAnsi="Times New Roman" w:cs="Times New Roman"/>
                <w:snapToGrid w:val="0"/>
                <w:sz w:val="21"/>
                <w:szCs w:val="21"/>
                <w:highlight w:val="none"/>
                <w:lang w:val="en-US"/>
              </w:rPr>
              <w:t>1</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sz w:val="21"/>
                <w:szCs w:val="21"/>
                <w:highlight w:val="none"/>
                <w:lang w:val="en-US"/>
              </w:rPr>
              <w:t>，一层，440m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厂房，安装32套保育床，用于断奶仔猪饲养</w:t>
            </w:r>
            <w:r>
              <w:rPr>
                <w:rFonts w:hint="eastAsia" w:ascii="Times New Roman" w:hAnsi="Times New Roman" w:cs="Times New Roman"/>
                <w:snapToGrid w:val="0"/>
                <w:sz w:val="21"/>
                <w:szCs w:val="21"/>
                <w:highlight w:val="none"/>
                <w:lang w:val="en-US" w:eastAsia="zh-CN"/>
              </w:rPr>
              <w:t>。</w:t>
            </w:r>
          </w:p>
        </w:tc>
        <w:tc>
          <w:tcPr>
            <w:tcW w:w="944" w:type="dxa"/>
            <w:vAlign w:val="center"/>
          </w:tcPr>
          <w:p w14:paraId="0C52CF91">
            <w:pPr>
              <w:adjustRightInd w:val="0"/>
              <w:snapToGrid w:val="0"/>
              <w:jc w:val="center"/>
              <w:rPr>
                <w:rFonts w:hint="eastAsia"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依托厂区现有</w:t>
            </w:r>
          </w:p>
        </w:tc>
      </w:tr>
      <w:tr w14:paraId="34812C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9" w:hRule="atLeast"/>
        </w:trPr>
        <w:tc>
          <w:tcPr>
            <w:tcW w:w="728" w:type="dxa"/>
            <w:vMerge w:val="continue"/>
            <w:vAlign w:val="center"/>
          </w:tcPr>
          <w:p w14:paraId="104058B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vAlign w:val="center"/>
          </w:tcPr>
          <w:p w14:paraId="3751A0DB">
            <w:pPr>
              <w:pStyle w:val="152"/>
              <w:adjustRightInd w:val="0"/>
              <w:snapToGrid w:val="0"/>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后备舍</w:t>
            </w:r>
          </w:p>
        </w:tc>
        <w:tc>
          <w:tcPr>
            <w:tcW w:w="4835" w:type="dxa"/>
            <w:vAlign w:val="center"/>
          </w:tcPr>
          <w:p w14:paraId="5D13A2B3">
            <w:pPr>
              <w:pStyle w:val="152"/>
              <w:adjustRightInd w:val="0"/>
              <w:snapToGrid w:val="0"/>
              <w:jc w:val="both"/>
              <w:rPr>
                <w:rFonts w:hint="eastAsia" w:ascii="Times New Roman" w:hAnsi="Times New Roman" w:eastAsia="宋体" w:cs="Times New Roman"/>
                <w:snapToGrid w:val="0"/>
                <w:sz w:val="21"/>
                <w:szCs w:val="21"/>
                <w:highlight w:val="none"/>
                <w:lang w:val="en-US" w:eastAsia="zh-CN"/>
              </w:rPr>
            </w:pPr>
            <w:r>
              <w:rPr>
                <w:rFonts w:hint="eastAsia" w:ascii="Times New Roman" w:hAnsi="Times New Roman" w:cs="Times New Roman"/>
                <w:snapToGrid w:val="0"/>
                <w:sz w:val="21"/>
                <w:szCs w:val="21"/>
                <w:highlight w:val="none"/>
                <w:lang w:val="en-US"/>
              </w:rPr>
              <w:t>2</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sz w:val="21"/>
                <w:szCs w:val="21"/>
                <w:highlight w:val="none"/>
                <w:lang w:val="en-US"/>
              </w:rPr>
              <w:t>，一层，1#后备舍1000m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厂房，2#后备舍1000m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厂房，共安装64个后备栏，用于后备猪饲养</w:t>
            </w:r>
            <w:r>
              <w:rPr>
                <w:rFonts w:hint="eastAsia" w:ascii="Times New Roman" w:hAnsi="Times New Roman" w:cs="Times New Roman"/>
                <w:snapToGrid w:val="0"/>
                <w:sz w:val="21"/>
                <w:szCs w:val="21"/>
                <w:highlight w:val="none"/>
                <w:lang w:val="en-US" w:eastAsia="zh-CN"/>
              </w:rPr>
              <w:t>。</w:t>
            </w:r>
          </w:p>
        </w:tc>
        <w:tc>
          <w:tcPr>
            <w:tcW w:w="944" w:type="dxa"/>
            <w:vAlign w:val="center"/>
          </w:tcPr>
          <w:p w14:paraId="4F5DE8BA">
            <w:pPr>
              <w:pStyle w:val="152"/>
              <w:adjustRightInd w:val="0"/>
              <w:snapToGrid w:val="0"/>
              <w:jc w:val="both"/>
              <w:rPr>
                <w:rFonts w:hint="eastAsia"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依托厂区现有后备舍</w:t>
            </w:r>
          </w:p>
        </w:tc>
      </w:tr>
      <w:tr w14:paraId="55D645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6" w:hRule="atLeast"/>
        </w:trPr>
        <w:tc>
          <w:tcPr>
            <w:tcW w:w="728" w:type="dxa"/>
            <w:vMerge w:val="restart"/>
            <w:vAlign w:val="center"/>
          </w:tcPr>
          <w:p w14:paraId="3694CEBB">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辅助</w:t>
            </w:r>
            <w:r>
              <w:rPr>
                <w:rFonts w:hint="default" w:ascii="Times New Roman" w:hAnsi="Times New Roman" w:eastAsia="宋体" w:cs="Times New Roman"/>
                <w:snapToGrid w:val="0"/>
                <w:color w:val="auto"/>
                <w:sz w:val="21"/>
                <w:szCs w:val="21"/>
                <w:highlight w:val="none"/>
              </w:rPr>
              <w:t>工程</w:t>
            </w:r>
          </w:p>
        </w:tc>
        <w:tc>
          <w:tcPr>
            <w:tcW w:w="1784" w:type="dxa"/>
            <w:gridSpan w:val="2"/>
            <w:noWrap/>
            <w:vAlign w:val="center"/>
          </w:tcPr>
          <w:p w14:paraId="6F683551">
            <w:pPr>
              <w:pStyle w:val="152"/>
              <w:adjustRightInd w:val="0"/>
              <w:snapToGrid w:val="0"/>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eastAsia="宋体" w:cs="Times New Roman"/>
                <w:snapToGrid w:val="0"/>
                <w:color w:val="auto"/>
                <w:sz w:val="21"/>
                <w:szCs w:val="21"/>
                <w:highlight w:val="none"/>
                <w:lang w:val="en-US" w:eastAsia="zh-CN" w:bidi="ar"/>
              </w:rPr>
              <w:t>综合用房</w:t>
            </w:r>
          </w:p>
        </w:tc>
        <w:tc>
          <w:tcPr>
            <w:tcW w:w="4835" w:type="dxa"/>
            <w:noWrap/>
            <w:vAlign w:val="center"/>
          </w:tcPr>
          <w:p w14:paraId="05257146">
            <w:pPr>
              <w:pStyle w:val="152"/>
              <w:adjustRightInd w:val="0"/>
              <w:snapToGrid w:val="0"/>
              <w:jc w:val="both"/>
              <w:rPr>
                <w:rFonts w:hint="default" w:ascii="Times New Roman" w:hAnsi="Times New Roman" w:eastAsia="宋体" w:cs="Times New Roman"/>
                <w:snapToGrid w:val="0"/>
                <w:color w:val="auto"/>
                <w:sz w:val="21"/>
                <w:szCs w:val="21"/>
                <w:highlight w:val="none"/>
                <w:lang w:val="en-US"/>
              </w:rPr>
            </w:pPr>
            <w:r>
              <w:rPr>
                <w:rFonts w:hint="default" w:ascii="Times New Roman" w:hAnsi="Times New Roman" w:eastAsia="宋体" w:cs="Times New Roman"/>
                <w:snapToGrid w:val="0"/>
                <w:color w:val="auto"/>
                <w:sz w:val="21"/>
                <w:szCs w:val="21"/>
                <w:highlight w:val="none"/>
                <w:lang w:val="en-US" w:eastAsia="zh-CN"/>
              </w:rPr>
              <w:t>1</w:t>
            </w:r>
            <w:r>
              <w:rPr>
                <w:rFonts w:hint="default" w:ascii="Times New Roman" w:hAnsi="Times New Roman" w:eastAsia="宋体" w:cs="Times New Roman"/>
                <w:snapToGrid w:val="0"/>
                <w:color w:val="auto"/>
                <w:sz w:val="21"/>
                <w:szCs w:val="21"/>
                <w:highlight w:val="none"/>
                <w:lang w:eastAsia="zh-CN"/>
              </w:rPr>
              <w:t>栋，</w:t>
            </w:r>
            <w:r>
              <w:rPr>
                <w:rFonts w:hint="default" w:ascii="Times New Roman" w:hAnsi="Times New Roman" w:eastAsia="宋体" w:cs="Times New Roman"/>
                <w:snapToGrid w:val="0"/>
                <w:color w:val="auto"/>
                <w:sz w:val="21"/>
                <w:szCs w:val="21"/>
                <w:highlight w:val="none"/>
                <w:lang w:val="en-US" w:eastAsia="zh-CN"/>
              </w:rPr>
              <w:t>一层</w:t>
            </w:r>
            <w:r>
              <w:rPr>
                <w:rFonts w:hint="eastAsia" w:ascii="Times New Roman" w:hAnsi="Times New Roman" w:cs="Times New Roman"/>
                <w:snapToGrid w:val="0"/>
                <w:color w:val="auto"/>
                <w:sz w:val="21"/>
                <w:szCs w:val="21"/>
                <w:highlight w:val="none"/>
                <w:lang w:val="en-US" w:eastAsia="zh-CN"/>
              </w:rPr>
              <w:t>彩钢</w:t>
            </w:r>
            <w:r>
              <w:rPr>
                <w:rFonts w:hint="default" w:ascii="Times New Roman" w:hAnsi="Times New Roman" w:eastAsia="宋体" w:cs="Times New Roman"/>
                <w:snapToGrid w:val="0"/>
                <w:color w:val="auto"/>
                <w:sz w:val="21"/>
                <w:szCs w:val="21"/>
                <w:highlight w:val="none"/>
                <w:lang w:val="en-US" w:eastAsia="zh-CN"/>
              </w:rPr>
              <w:t>结构，</w:t>
            </w:r>
            <w:r>
              <w:rPr>
                <w:rFonts w:hint="default" w:ascii="Times New Roman" w:hAnsi="Times New Roman" w:eastAsia="宋体" w:cs="Times New Roman"/>
                <w:snapToGrid w:val="0"/>
                <w:color w:val="auto"/>
                <w:sz w:val="21"/>
                <w:szCs w:val="21"/>
                <w:highlight w:val="none"/>
                <w:lang w:eastAsia="zh-CN"/>
              </w:rPr>
              <w:t>建筑面积为</w:t>
            </w:r>
            <w:r>
              <w:rPr>
                <w:rFonts w:hint="eastAsia" w:ascii="Times New Roman" w:hAnsi="Times New Roman" w:cs="Times New Roman"/>
                <w:snapToGrid w:val="0"/>
                <w:color w:val="auto"/>
                <w:sz w:val="21"/>
                <w:szCs w:val="21"/>
                <w:highlight w:val="none"/>
                <w:lang w:val="en-US" w:eastAsia="zh-CN"/>
              </w:rPr>
              <w:t>300</w:t>
            </w:r>
            <w:r>
              <w:rPr>
                <w:rFonts w:hint="default" w:ascii="Times New Roman" w:hAnsi="Times New Roman" w:eastAsia="宋体" w:cs="Times New Roman"/>
                <w:snapToGrid w:val="0"/>
                <w:color w:val="auto"/>
                <w:sz w:val="21"/>
                <w:szCs w:val="21"/>
                <w:highlight w:val="none"/>
                <w:lang w:eastAsia="zh-CN"/>
              </w:rPr>
              <w:t>m</w:t>
            </w:r>
            <w:r>
              <w:rPr>
                <w:rFonts w:hint="default" w:ascii="Times New Roman" w:hAnsi="Times New Roman" w:eastAsia="宋体" w:cs="Times New Roman"/>
                <w:snapToGrid w:val="0"/>
                <w:color w:val="auto"/>
                <w:sz w:val="21"/>
                <w:szCs w:val="21"/>
                <w:highlight w:val="none"/>
                <w:vertAlign w:val="superscript"/>
                <w:lang w:eastAsia="zh-CN"/>
              </w:rPr>
              <w:t>2</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lang w:val="en-US" w:eastAsia="zh-CN"/>
              </w:rPr>
              <w:t>用于工作人员办公</w:t>
            </w:r>
            <w:r>
              <w:rPr>
                <w:rFonts w:hint="eastAsia" w:ascii="Times New Roman" w:hAnsi="Times New Roman" w:cs="Times New Roman"/>
                <w:snapToGrid w:val="0"/>
                <w:color w:val="auto"/>
                <w:sz w:val="21"/>
                <w:szCs w:val="21"/>
                <w:highlight w:val="none"/>
                <w:lang w:val="en-US" w:eastAsia="zh-CN"/>
              </w:rPr>
              <w:t>和休息。</w:t>
            </w:r>
          </w:p>
        </w:tc>
        <w:tc>
          <w:tcPr>
            <w:tcW w:w="944" w:type="dxa"/>
            <w:vAlign w:val="center"/>
          </w:tcPr>
          <w:p w14:paraId="33442CAD">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依托厂区现有综合用房</w:t>
            </w:r>
          </w:p>
        </w:tc>
      </w:tr>
      <w:tr w14:paraId="389B5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6" w:hRule="atLeast"/>
        </w:trPr>
        <w:tc>
          <w:tcPr>
            <w:tcW w:w="728" w:type="dxa"/>
            <w:vMerge w:val="continue"/>
            <w:vAlign w:val="center"/>
          </w:tcPr>
          <w:p w14:paraId="68133CF0">
            <w:pPr>
              <w:pStyle w:val="152"/>
              <w:adjustRightInd w:val="0"/>
              <w:snapToGrid w:val="0"/>
              <w:rPr>
                <w:rFonts w:hint="default" w:ascii="Times New Roman" w:hAnsi="Times New Roman" w:eastAsia="宋体" w:cs="Times New Roman"/>
                <w:snapToGrid w:val="0"/>
                <w:color w:val="auto"/>
                <w:sz w:val="21"/>
                <w:szCs w:val="21"/>
                <w:highlight w:val="none"/>
                <w:lang w:eastAsia="zh-CN"/>
              </w:rPr>
            </w:pPr>
          </w:p>
        </w:tc>
        <w:tc>
          <w:tcPr>
            <w:tcW w:w="1784" w:type="dxa"/>
            <w:gridSpan w:val="2"/>
            <w:noWrap/>
            <w:vAlign w:val="center"/>
          </w:tcPr>
          <w:p w14:paraId="1E753012">
            <w:pPr>
              <w:pStyle w:val="152"/>
              <w:adjustRightInd w:val="0"/>
              <w:snapToGrid w:val="0"/>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eastAsia="宋体" w:cs="Times New Roman"/>
                <w:snapToGrid w:val="0"/>
                <w:color w:val="auto"/>
                <w:sz w:val="21"/>
                <w:szCs w:val="21"/>
                <w:highlight w:val="none"/>
                <w:lang w:val="en-US" w:eastAsia="zh-CN" w:bidi="ar"/>
              </w:rPr>
              <w:t>兽医室</w:t>
            </w:r>
          </w:p>
        </w:tc>
        <w:tc>
          <w:tcPr>
            <w:tcW w:w="4835" w:type="dxa"/>
            <w:noWrap/>
            <w:vAlign w:val="center"/>
          </w:tcPr>
          <w:p w14:paraId="11EDFE86">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1</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color w:val="auto"/>
                <w:sz w:val="21"/>
                <w:szCs w:val="21"/>
                <w:highlight w:val="none"/>
                <w:lang w:val="en-US" w:eastAsia="zh-CN"/>
              </w:rPr>
              <w:t>位于综合用房旁</w:t>
            </w:r>
            <w:r>
              <w:rPr>
                <w:rFonts w:hint="default" w:ascii="Times New Roman" w:hAnsi="Times New Roman" w:eastAsia="宋体" w:cs="Times New Roman"/>
                <w:snapToGrid w:val="0"/>
                <w:color w:val="auto"/>
                <w:sz w:val="21"/>
                <w:szCs w:val="21"/>
                <w:highlight w:val="none"/>
                <w:lang w:val="en-US" w:eastAsia="zh-CN"/>
              </w:rPr>
              <w:t>，</w:t>
            </w:r>
            <w:r>
              <w:rPr>
                <w:rFonts w:hint="eastAsia" w:ascii="Times New Roman" w:hAnsi="Times New Roman" w:cs="Times New Roman"/>
                <w:snapToGrid w:val="0"/>
                <w:color w:val="auto"/>
                <w:sz w:val="21"/>
                <w:szCs w:val="21"/>
                <w:highlight w:val="none"/>
                <w:lang w:val="en-US" w:eastAsia="zh-CN"/>
              </w:rPr>
              <w:t>占地</w:t>
            </w:r>
            <w:r>
              <w:rPr>
                <w:rFonts w:hint="default" w:ascii="Times New Roman" w:hAnsi="Times New Roman" w:eastAsia="宋体" w:cs="Times New Roman"/>
                <w:snapToGrid w:val="0"/>
                <w:color w:val="auto"/>
                <w:sz w:val="21"/>
                <w:szCs w:val="21"/>
                <w:highlight w:val="none"/>
                <w:lang w:eastAsia="zh-CN"/>
              </w:rPr>
              <w:t>面积为</w:t>
            </w:r>
            <w:r>
              <w:rPr>
                <w:rFonts w:hint="eastAsia" w:ascii="Times New Roman" w:hAnsi="Times New Roman" w:cs="Times New Roman"/>
                <w:snapToGrid w:val="0"/>
                <w:color w:val="auto"/>
                <w:sz w:val="21"/>
                <w:szCs w:val="21"/>
                <w:highlight w:val="none"/>
                <w:lang w:val="en-US" w:eastAsia="zh-CN"/>
              </w:rPr>
              <w:t>70</w:t>
            </w:r>
            <w:r>
              <w:rPr>
                <w:rFonts w:hint="default" w:ascii="Times New Roman" w:hAnsi="Times New Roman" w:eastAsia="宋体" w:cs="Times New Roman"/>
                <w:snapToGrid w:val="0"/>
                <w:color w:val="auto"/>
                <w:sz w:val="21"/>
                <w:szCs w:val="21"/>
                <w:highlight w:val="none"/>
                <w:lang w:eastAsia="zh-CN"/>
              </w:rPr>
              <w:t>m</w:t>
            </w:r>
            <w:r>
              <w:rPr>
                <w:rFonts w:hint="default" w:ascii="Times New Roman" w:hAnsi="Times New Roman" w:eastAsia="宋体" w:cs="Times New Roman"/>
                <w:snapToGrid w:val="0"/>
                <w:color w:val="auto"/>
                <w:sz w:val="21"/>
                <w:szCs w:val="21"/>
                <w:highlight w:val="none"/>
                <w:vertAlign w:val="superscript"/>
                <w:lang w:eastAsia="zh-CN"/>
              </w:rPr>
              <w:t>2</w:t>
            </w:r>
            <w:r>
              <w:rPr>
                <w:rFonts w:hint="eastAsia" w:ascii="Times New Roman" w:hAnsi="Times New Roman" w:cs="Times New Roman"/>
                <w:snapToGrid w:val="0"/>
                <w:color w:val="auto"/>
                <w:sz w:val="21"/>
                <w:szCs w:val="21"/>
                <w:highlight w:val="none"/>
                <w:vertAlign w:val="baseline"/>
                <w:lang w:eastAsia="zh-CN"/>
              </w:rPr>
              <w:t>，</w:t>
            </w:r>
            <w:r>
              <w:rPr>
                <w:rFonts w:hint="default" w:ascii="Times New Roman" w:hAnsi="Times New Roman" w:eastAsia="宋体" w:cs="Times New Roman"/>
                <w:snapToGrid w:val="0"/>
                <w:color w:val="auto"/>
                <w:sz w:val="21"/>
                <w:szCs w:val="21"/>
                <w:highlight w:val="none"/>
                <w:lang w:eastAsia="zh-CN"/>
              </w:rPr>
              <w:t>建筑面积为</w:t>
            </w:r>
            <w:r>
              <w:rPr>
                <w:rFonts w:hint="eastAsia" w:ascii="Times New Roman" w:hAnsi="Times New Roman" w:cs="Times New Roman"/>
                <w:snapToGrid w:val="0"/>
                <w:color w:val="auto"/>
                <w:sz w:val="21"/>
                <w:szCs w:val="21"/>
                <w:highlight w:val="none"/>
                <w:lang w:val="en-US" w:eastAsia="zh-CN"/>
              </w:rPr>
              <w:t>70</w:t>
            </w:r>
            <w:r>
              <w:rPr>
                <w:rFonts w:hint="default" w:ascii="Times New Roman" w:hAnsi="Times New Roman" w:eastAsia="宋体" w:cs="Times New Roman"/>
                <w:snapToGrid w:val="0"/>
                <w:color w:val="auto"/>
                <w:sz w:val="21"/>
                <w:szCs w:val="21"/>
                <w:highlight w:val="none"/>
                <w:lang w:eastAsia="zh-CN"/>
              </w:rPr>
              <w:t>m</w:t>
            </w:r>
            <w:r>
              <w:rPr>
                <w:rFonts w:hint="default" w:ascii="Times New Roman" w:hAnsi="Times New Roman" w:eastAsia="宋体" w:cs="Times New Roman"/>
                <w:snapToGrid w:val="0"/>
                <w:color w:val="auto"/>
                <w:sz w:val="21"/>
                <w:szCs w:val="21"/>
                <w:highlight w:val="none"/>
                <w:vertAlign w:val="superscript"/>
                <w:lang w:eastAsia="zh-CN"/>
              </w:rPr>
              <w:t>2</w:t>
            </w:r>
            <w:r>
              <w:rPr>
                <w:rFonts w:hint="default" w:ascii="Times New Roman" w:hAnsi="Times New Roman" w:eastAsia="宋体"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用于猪的治疗。</w:t>
            </w:r>
          </w:p>
        </w:tc>
        <w:tc>
          <w:tcPr>
            <w:tcW w:w="944" w:type="dxa"/>
            <w:vAlign w:val="center"/>
          </w:tcPr>
          <w:p w14:paraId="0B07E683">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依托厂区现有兽医室</w:t>
            </w:r>
          </w:p>
        </w:tc>
      </w:tr>
      <w:tr w14:paraId="33097C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727" w:hRule="atLeast"/>
        </w:trPr>
        <w:tc>
          <w:tcPr>
            <w:tcW w:w="728" w:type="dxa"/>
            <w:vMerge w:val="continue"/>
            <w:vAlign w:val="center"/>
          </w:tcPr>
          <w:p w14:paraId="2C449B20">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noWrap/>
            <w:vAlign w:val="center"/>
          </w:tcPr>
          <w:p w14:paraId="2BECD4A1">
            <w:pPr>
              <w:pStyle w:val="152"/>
              <w:adjustRightInd w:val="0"/>
              <w:snapToGrid w:val="0"/>
              <w:rPr>
                <w:rFonts w:hint="default" w:ascii="Times New Roman" w:hAnsi="Times New Roman" w:eastAsia="宋体" w:cs="Times New Roman"/>
                <w:snapToGrid w:val="0"/>
                <w:color w:val="auto"/>
                <w:sz w:val="21"/>
                <w:szCs w:val="21"/>
                <w:highlight w:val="none"/>
                <w:lang w:val="en-US" w:eastAsia="zh-CN" w:bidi="ar"/>
              </w:rPr>
            </w:pPr>
            <w:r>
              <w:rPr>
                <w:rFonts w:hint="eastAsia" w:ascii="Times New Roman" w:hAnsi="Times New Roman" w:cs="Times New Roman"/>
                <w:snapToGrid w:val="0"/>
                <w:color w:val="auto"/>
                <w:sz w:val="21"/>
                <w:szCs w:val="21"/>
                <w:highlight w:val="none"/>
                <w:lang w:val="en-US" w:eastAsia="zh-CN"/>
              </w:rPr>
              <w:t>洗消车间</w:t>
            </w:r>
          </w:p>
        </w:tc>
        <w:tc>
          <w:tcPr>
            <w:tcW w:w="4835" w:type="dxa"/>
            <w:noWrap/>
            <w:vAlign w:val="center"/>
          </w:tcPr>
          <w:p w14:paraId="4E62B964">
            <w:pPr>
              <w:pStyle w:val="152"/>
              <w:adjustRightInd w:val="0"/>
              <w:snapToGrid w:val="0"/>
              <w:jc w:val="both"/>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1栋，一层，彩钢结构，</w:t>
            </w:r>
            <w:r>
              <w:rPr>
                <w:rFonts w:hint="eastAsia" w:ascii="Times New Roman" w:cs="Times New Roman"/>
                <w:snapToGrid w:val="0"/>
                <w:color w:val="auto"/>
                <w:sz w:val="21"/>
                <w:szCs w:val="21"/>
                <w:highlight w:val="none"/>
                <w:lang w:val="en-US" w:eastAsia="zh-CN"/>
              </w:rPr>
              <w:t>新增50m</w:t>
            </w:r>
            <w:r>
              <w:rPr>
                <w:rFonts w:hint="eastAsia" w:ascii="Times New Roman" w:cs="Times New Roman"/>
                <w:snapToGrid w:val="0"/>
                <w:color w:val="auto"/>
                <w:sz w:val="21"/>
                <w:szCs w:val="21"/>
                <w:highlight w:val="none"/>
                <w:vertAlign w:val="superscript"/>
                <w:lang w:val="en-US" w:eastAsia="zh-CN"/>
              </w:rPr>
              <w:t>2</w:t>
            </w:r>
            <w:r>
              <w:rPr>
                <w:rFonts w:hint="eastAsia" w:ascii="Times New Roman" w:cs="Times New Roman"/>
                <w:snapToGrid w:val="0"/>
                <w:color w:val="auto"/>
                <w:sz w:val="21"/>
                <w:szCs w:val="21"/>
                <w:highlight w:val="none"/>
                <w:vertAlign w:val="baseline"/>
                <w:lang w:val="en-US" w:eastAsia="zh-CN"/>
              </w:rPr>
              <w:t>，原</w:t>
            </w:r>
            <w:r>
              <w:rPr>
                <w:rFonts w:hint="eastAsia" w:ascii="Times New Roman" w:hAnsi="Times New Roman" w:cs="Times New Roman"/>
                <w:snapToGrid w:val="0"/>
                <w:color w:val="auto"/>
                <w:sz w:val="21"/>
                <w:szCs w:val="21"/>
                <w:highlight w:val="none"/>
                <w:lang w:val="en-US" w:eastAsia="zh-CN"/>
              </w:rPr>
              <w:t>占地面积为90m</w:t>
            </w:r>
            <w:r>
              <w:rPr>
                <w:rFonts w:hint="eastAsia" w:ascii="Times New Roman" w:hAnsi="Times New Roman" w:cs="Times New Roman"/>
                <w:snapToGrid w:val="0"/>
                <w:color w:val="auto"/>
                <w:sz w:val="21"/>
                <w:szCs w:val="21"/>
                <w:highlight w:val="none"/>
                <w:vertAlign w:val="superscript"/>
                <w:lang w:val="en-US" w:eastAsia="zh-CN"/>
              </w:rPr>
              <w:t>2</w:t>
            </w:r>
            <w:r>
              <w:rPr>
                <w:rFonts w:hint="eastAsia"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rPr>
              <w:t>建筑面积为</w:t>
            </w:r>
            <w:r>
              <w:rPr>
                <w:rFonts w:hint="eastAsia" w:ascii="Times New Roman" w:hAnsi="Times New Roman" w:cs="Times New Roman"/>
                <w:snapToGrid w:val="0"/>
                <w:color w:val="auto"/>
                <w:sz w:val="21"/>
                <w:szCs w:val="21"/>
                <w:highlight w:val="none"/>
                <w:lang w:val="en-US" w:eastAsia="zh-CN"/>
              </w:rPr>
              <w:t>90</w:t>
            </w:r>
            <w:r>
              <w:rPr>
                <w:rFonts w:hint="default" w:ascii="Times New Roman" w:hAnsi="Times New Roman" w:eastAsia="宋体" w:cs="Times New Roman"/>
                <w:snapToGrid w:val="0"/>
                <w:color w:val="auto"/>
                <w:sz w:val="21"/>
                <w:szCs w:val="21"/>
                <w:highlight w:val="none"/>
              </w:rPr>
              <w:t>m</w:t>
            </w:r>
            <w:r>
              <w:rPr>
                <w:rFonts w:hint="default" w:ascii="Times New Roman" w:hAnsi="Times New Roman" w:eastAsia="宋体" w:cs="Times New Roman"/>
                <w:snapToGrid w:val="0"/>
                <w:color w:val="auto"/>
                <w:sz w:val="21"/>
                <w:szCs w:val="21"/>
                <w:highlight w:val="none"/>
                <w:vertAlign w:val="superscript"/>
              </w:rPr>
              <w:t>2</w:t>
            </w:r>
            <w:r>
              <w:rPr>
                <w:rFonts w:hint="eastAsia" w:ascii="Times New Roman" w:cs="Times New Roman"/>
                <w:snapToGrid w:val="0"/>
                <w:color w:val="auto"/>
                <w:sz w:val="21"/>
                <w:szCs w:val="21"/>
                <w:highlight w:val="none"/>
                <w:lang w:eastAsia="zh-CN"/>
              </w:rPr>
              <w:t>，</w:t>
            </w:r>
            <w:r>
              <w:rPr>
                <w:rFonts w:hint="eastAsia" w:ascii="Times New Roman" w:cs="Times New Roman"/>
                <w:snapToGrid w:val="0"/>
                <w:color w:val="auto"/>
                <w:sz w:val="21"/>
                <w:szCs w:val="21"/>
                <w:highlight w:val="none"/>
                <w:lang w:val="en-US" w:eastAsia="zh-CN"/>
              </w:rPr>
              <w:t>扩建至建筑面积140m</w:t>
            </w:r>
            <w:r>
              <w:rPr>
                <w:rFonts w:hint="eastAsia" w:ascii="Times New Roman" w:cs="Times New Roman"/>
                <w:snapToGrid w:val="0"/>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用于洗消。</w:t>
            </w:r>
          </w:p>
        </w:tc>
        <w:tc>
          <w:tcPr>
            <w:tcW w:w="944" w:type="dxa"/>
            <w:vAlign w:val="center"/>
          </w:tcPr>
          <w:p w14:paraId="630424F2">
            <w:pPr>
              <w:pStyle w:val="152"/>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扩建</w:t>
            </w:r>
          </w:p>
        </w:tc>
      </w:tr>
      <w:tr w14:paraId="6E758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394" w:hRule="atLeast"/>
        </w:trPr>
        <w:tc>
          <w:tcPr>
            <w:tcW w:w="728" w:type="dxa"/>
            <w:vMerge w:val="continue"/>
            <w:vAlign w:val="center"/>
          </w:tcPr>
          <w:p w14:paraId="4129F02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noWrap/>
            <w:vAlign w:val="center"/>
          </w:tcPr>
          <w:p w14:paraId="1ED892DD">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配电室</w:t>
            </w:r>
          </w:p>
        </w:tc>
        <w:tc>
          <w:tcPr>
            <w:tcW w:w="4835" w:type="dxa"/>
            <w:shd w:val="clear" w:color="auto" w:fill="auto"/>
            <w:noWrap/>
            <w:vAlign w:val="center"/>
          </w:tcPr>
          <w:p w14:paraId="481F9554">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1栋，位于兽医室旁，占地面积33m</w:t>
            </w:r>
            <w:r>
              <w:rPr>
                <w:rFonts w:hint="eastAsia" w:ascii="Times New Roman" w:hAnsi="Times New Roman" w:cs="Times New Roman"/>
                <w:snapToGrid w:val="0"/>
                <w:color w:val="auto"/>
                <w:sz w:val="21"/>
                <w:szCs w:val="21"/>
                <w:highlight w:val="none"/>
                <w:vertAlign w:val="superscript"/>
                <w:lang w:val="en-US" w:eastAsia="zh-CN"/>
              </w:rPr>
              <w:t>2</w:t>
            </w:r>
            <w:r>
              <w:rPr>
                <w:rFonts w:hint="eastAsia"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rPr>
              <w:t>建筑面积为</w:t>
            </w:r>
            <w:r>
              <w:rPr>
                <w:rFonts w:hint="eastAsia" w:ascii="Times New Roman" w:hAnsi="Times New Roman" w:cs="Times New Roman"/>
                <w:snapToGrid w:val="0"/>
                <w:color w:val="auto"/>
                <w:sz w:val="21"/>
                <w:szCs w:val="21"/>
                <w:highlight w:val="none"/>
                <w:lang w:val="en-US" w:eastAsia="zh-CN"/>
              </w:rPr>
              <w:t>33</w:t>
            </w:r>
            <w:r>
              <w:rPr>
                <w:rFonts w:hint="default" w:ascii="Times New Roman" w:hAnsi="Times New Roman" w:eastAsia="宋体" w:cs="Times New Roman"/>
                <w:snapToGrid w:val="0"/>
                <w:color w:val="auto"/>
                <w:sz w:val="21"/>
                <w:szCs w:val="21"/>
                <w:highlight w:val="none"/>
              </w:rPr>
              <w:t>m</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用于厂区配电。</w:t>
            </w:r>
          </w:p>
        </w:tc>
        <w:tc>
          <w:tcPr>
            <w:tcW w:w="944" w:type="dxa"/>
            <w:vAlign w:val="center"/>
          </w:tcPr>
          <w:p w14:paraId="4F69AC14">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w:t>
            </w:r>
            <w:r>
              <w:rPr>
                <w:rFonts w:hint="default" w:ascii="Times New Roman" w:hAnsi="Times New Roman" w:cs="Times New Roman"/>
                <w:snapToGrid w:val="0"/>
                <w:color w:val="auto"/>
                <w:kern w:val="0"/>
                <w:sz w:val="21"/>
                <w:szCs w:val="21"/>
                <w:highlight w:val="none"/>
                <w:lang w:val="en-US" w:eastAsia="zh-CN" w:bidi="ar-SA"/>
              </w:rPr>
              <w:t>配电室</w:t>
            </w:r>
          </w:p>
        </w:tc>
      </w:tr>
      <w:tr w14:paraId="5E63F3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394" w:hRule="atLeast"/>
        </w:trPr>
        <w:tc>
          <w:tcPr>
            <w:tcW w:w="728" w:type="dxa"/>
            <w:vMerge w:val="continue"/>
            <w:vAlign w:val="center"/>
          </w:tcPr>
          <w:p w14:paraId="4E82B8F5">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noWrap/>
            <w:vAlign w:val="center"/>
          </w:tcPr>
          <w:p w14:paraId="488C2D87">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水房</w:t>
            </w:r>
          </w:p>
        </w:tc>
        <w:tc>
          <w:tcPr>
            <w:tcW w:w="4835" w:type="dxa"/>
            <w:shd w:val="clear" w:color="auto" w:fill="auto"/>
            <w:noWrap/>
            <w:vAlign w:val="center"/>
          </w:tcPr>
          <w:p w14:paraId="74509F38">
            <w:pPr>
              <w:pStyle w:val="152"/>
              <w:adjustRightInd w:val="0"/>
              <w:snapToGrid w:val="0"/>
              <w:jc w:val="both"/>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1座，占地面积67m</w:t>
            </w:r>
            <w:r>
              <w:rPr>
                <w:rFonts w:hint="eastAsia" w:ascii="Times New Roman" w:hAnsi="Times New Roman" w:cs="Times New Roman"/>
                <w:snapToGrid w:val="0"/>
                <w:color w:val="auto"/>
                <w:sz w:val="21"/>
                <w:szCs w:val="21"/>
                <w:highlight w:val="none"/>
                <w:vertAlign w:val="superscript"/>
                <w:lang w:val="en-US" w:eastAsia="zh-CN"/>
              </w:rPr>
              <w:t>2</w:t>
            </w:r>
            <w:r>
              <w:rPr>
                <w:rFonts w:hint="eastAsia"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rPr>
              <w:t>建筑面积为</w:t>
            </w:r>
            <w:r>
              <w:rPr>
                <w:rFonts w:hint="eastAsia" w:ascii="Times New Roman" w:hAnsi="Times New Roman" w:cs="Times New Roman"/>
                <w:snapToGrid w:val="0"/>
                <w:color w:val="auto"/>
                <w:sz w:val="21"/>
                <w:szCs w:val="21"/>
                <w:highlight w:val="none"/>
                <w:lang w:val="en-US" w:eastAsia="zh-CN"/>
              </w:rPr>
              <w:t>67</w:t>
            </w:r>
            <w:r>
              <w:rPr>
                <w:rFonts w:hint="default" w:ascii="Times New Roman" w:hAnsi="Times New Roman" w:eastAsia="宋体" w:cs="Times New Roman"/>
                <w:snapToGrid w:val="0"/>
                <w:color w:val="auto"/>
                <w:sz w:val="21"/>
                <w:szCs w:val="21"/>
                <w:highlight w:val="none"/>
              </w:rPr>
              <w:t>m</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用于厂区生产供水。</w:t>
            </w:r>
          </w:p>
        </w:tc>
        <w:tc>
          <w:tcPr>
            <w:tcW w:w="944" w:type="dxa"/>
            <w:vAlign w:val="center"/>
          </w:tcPr>
          <w:p w14:paraId="0339C190">
            <w:pPr>
              <w:adjustRightInd w:val="0"/>
              <w:snapToGrid w:val="0"/>
              <w:jc w:val="center"/>
              <w:rPr>
                <w:rFonts w:hint="default"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新建</w:t>
            </w:r>
          </w:p>
        </w:tc>
      </w:tr>
      <w:tr w14:paraId="36485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6E525433">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restart"/>
            <w:noWrap/>
            <w:vAlign w:val="center"/>
          </w:tcPr>
          <w:p w14:paraId="378D12A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粪污处理区</w:t>
            </w:r>
          </w:p>
        </w:tc>
        <w:tc>
          <w:tcPr>
            <w:tcW w:w="1200" w:type="dxa"/>
            <w:vAlign w:val="center"/>
          </w:tcPr>
          <w:p w14:paraId="17F16129">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黑膜厌氧池</w:t>
            </w:r>
            <w:r>
              <w:rPr>
                <w:rFonts w:hint="eastAsia" w:ascii="Times New Roman" w:hAnsi="Times New Roman" w:eastAsia="宋体" w:cs="Times New Roman"/>
                <w:snapToGrid w:val="0"/>
                <w:color w:val="auto"/>
                <w:kern w:val="0"/>
                <w:sz w:val="21"/>
                <w:szCs w:val="21"/>
                <w:highlight w:val="none"/>
                <w:lang w:val="zh-CN"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黑膜囊</w:t>
            </w:r>
            <w:r>
              <w:rPr>
                <w:rFonts w:hint="eastAsia" w:ascii="Times New Roman" w:hAnsi="Times New Roman" w:eastAsia="宋体" w:cs="Times New Roman"/>
                <w:snapToGrid w:val="0"/>
                <w:color w:val="auto"/>
                <w:kern w:val="0"/>
                <w:sz w:val="21"/>
                <w:szCs w:val="21"/>
                <w:highlight w:val="none"/>
                <w:lang w:val="zh-CN" w:eastAsia="zh-CN" w:bidi="ar-SA"/>
              </w:rPr>
              <w:t>）</w:t>
            </w:r>
          </w:p>
        </w:tc>
        <w:tc>
          <w:tcPr>
            <w:tcW w:w="4835" w:type="dxa"/>
            <w:vAlign w:val="center"/>
          </w:tcPr>
          <w:p w14:paraId="0D137025">
            <w:pPr>
              <w:adjustRightInd w:val="0"/>
              <w:snapToGrid w:val="0"/>
              <w:ind w:left="0" w:leftChars="0" w:firstLine="0" w:firstLineChars="0"/>
              <w:jc w:val="left"/>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bidi="ar"/>
              </w:rPr>
              <w:t>利用1座黑膜厌氧池，</w:t>
            </w:r>
            <w:r>
              <w:rPr>
                <w:rFonts w:hint="eastAsia" w:ascii="Times New Roman" w:hAnsi="Times New Roman" w:cs="Times New Roman"/>
                <w:snapToGrid w:val="0"/>
                <w:color w:val="auto"/>
                <w:sz w:val="21"/>
                <w:szCs w:val="21"/>
                <w:highlight w:val="none"/>
                <w:vertAlign w:val="baseline"/>
                <w:lang w:val="en-US" w:eastAsia="zh-CN" w:bidi="ar"/>
              </w:rPr>
              <w:t>占地面积为1750m</w:t>
            </w:r>
            <w:r>
              <w:rPr>
                <w:rFonts w:hint="eastAsia" w:ascii="Times New Roman" w:hAnsi="Times New Roman"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，建筑面积为1750m</w:t>
            </w:r>
            <w:r>
              <w:rPr>
                <w:rFonts w:hint="eastAsia" w:ascii="Times New Roman" w:hAnsi="Times New Roman"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容积</w:t>
            </w:r>
            <w:r>
              <w:rPr>
                <w:rFonts w:hint="eastAsia" w:ascii="Times New Roman" w:hAnsi="Times New Roman" w:cs="Times New Roman"/>
                <w:snapToGrid w:val="0"/>
                <w:sz w:val="21"/>
                <w:szCs w:val="21"/>
                <w:highlight w:val="none"/>
                <w:lang w:val="en-US"/>
              </w:rPr>
              <w:t>1</w:t>
            </w:r>
            <w:r>
              <w:rPr>
                <w:rFonts w:hint="eastAsia" w:ascii="Times New Roman" w:hAnsi="Times New Roman" w:cs="Times New Roman"/>
                <w:snapToGrid w:val="0"/>
                <w:sz w:val="21"/>
                <w:szCs w:val="21"/>
                <w:highlight w:val="none"/>
                <w:lang w:val="en-US" w:eastAsia="zh-CN"/>
              </w:rPr>
              <w:t>3</w:t>
            </w:r>
            <w:r>
              <w:rPr>
                <w:rFonts w:hint="eastAsia" w:ascii="Times New Roman" w:hAnsi="Times New Roman" w:cs="Times New Roman"/>
                <w:snapToGrid w:val="0"/>
                <w:sz w:val="21"/>
                <w:szCs w:val="21"/>
                <w:highlight w:val="none"/>
                <w:lang w:val="en-US"/>
              </w:rPr>
              <w:t>000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3</w:t>
            </w:r>
            <w:r>
              <w:rPr>
                <w:rFonts w:hint="default" w:ascii="Times New Roman" w:hAnsi="Times New Roman" w:eastAsia="宋体" w:cs="Times New Roman"/>
                <w:snapToGrid w:val="0"/>
                <w:color w:val="auto"/>
                <w:sz w:val="21"/>
                <w:szCs w:val="21"/>
                <w:highlight w:val="none"/>
                <w:lang w:val="en-US" w:eastAsia="zh-CN" w:bidi="ar"/>
              </w:rPr>
              <w:t>。用于液态肥发</w:t>
            </w:r>
            <w:r>
              <w:rPr>
                <w:rFonts w:hint="default" w:ascii="Times New Roman" w:hAnsi="Times New Roman" w:eastAsia="宋体" w:cs="Times New Roman"/>
                <w:snapToGrid w:val="0"/>
                <w:color w:val="auto"/>
                <w:kern w:val="0"/>
                <w:sz w:val="21"/>
                <w:szCs w:val="21"/>
                <w:highlight w:val="none"/>
                <w:lang w:val="en-US" w:eastAsia="zh-CN" w:bidi="ar"/>
              </w:rPr>
              <w:t>酵，运营期生活污水</w:t>
            </w:r>
            <w:r>
              <w:rPr>
                <w:rFonts w:hint="eastAsia" w:ascii="Times New Roman" w:hAnsi="Times New Roman" w:cs="Times New Roman"/>
                <w:snapToGrid w:val="0"/>
                <w:color w:val="auto"/>
                <w:kern w:val="0"/>
                <w:sz w:val="21"/>
                <w:szCs w:val="21"/>
                <w:highlight w:val="none"/>
                <w:lang w:val="en-US" w:eastAsia="zh-CN" w:bidi="ar"/>
              </w:rPr>
              <w:t>和</w:t>
            </w:r>
            <w:r>
              <w:rPr>
                <w:rFonts w:hint="default" w:ascii="Times New Roman" w:hAnsi="Times New Roman" w:eastAsia="宋体" w:cs="Times New Roman"/>
                <w:snapToGrid w:val="0"/>
                <w:color w:val="auto"/>
                <w:kern w:val="0"/>
                <w:sz w:val="21"/>
                <w:szCs w:val="21"/>
                <w:highlight w:val="none"/>
                <w:lang w:val="en-US" w:eastAsia="zh-CN" w:bidi="ar"/>
              </w:rPr>
              <w:t>生产废水分别集中收集后进入黑膜厌氧池发酵处理，处理后的沼液满足《畜禽粪便无害化处理技术规范》（GB/T36195-2018）表2标准，处理后的沼液经管道输送到沼液贮存池储存，在耕种季节回用于农田，沼液在非施肥期暂存在沼液贮存池（全封闭）内。可满足沼液发酵</w:t>
            </w:r>
            <w:r>
              <w:rPr>
                <w:rFonts w:hint="eastAsia" w:ascii="Times New Roman" w:hAnsi="Times New Roman" w:cs="Times New Roman"/>
                <w:snapToGrid w:val="0"/>
                <w:color w:val="auto"/>
                <w:kern w:val="0"/>
                <w:sz w:val="21"/>
                <w:szCs w:val="21"/>
                <w:highlight w:val="none"/>
                <w:lang w:val="en-US" w:eastAsia="zh-CN" w:bidi="ar"/>
              </w:rPr>
              <w:t>30天</w:t>
            </w:r>
            <w:r>
              <w:rPr>
                <w:rFonts w:hint="default" w:ascii="Times New Roman" w:hAnsi="Times New Roman" w:eastAsia="宋体" w:cs="Times New Roman"/>
                <w:snapToGrid w:val="0"/>
                <w:color w:val="auto"/>
                <w:kern w:val="0"/>
                <w:sz w:val="21"/>
                <w:szCs w:val="21"/>
                <w:highlight w:val="none"/>
                <w:lang w:val="en-US" w:eastAsia="zh-CN" w:bidi="ar"/>
              </w:rPr>
              <w:t>的要求。</w:t>
            </w:r>
            <w:r>
              <w:rPr>
                <w:rFonts w:hint="eastAsia" w:ascii="Times New Roman" w:hAnsi="Times New Roman" w:eastAsia="宋体" w:cs="Times New Roman"/>
                <w:snapToGrid w:val="0"/>
                <w:color w:val="auto"/>
                <w:kern w:val="0"/>
                <w:sz w:val="21"/>
                <w:szCs w:val="21"/>
                <w:highlight w:val="none"/>
                <w:lang w:val="en-US" w:eastAsia="zh-CN" w:bidi="ar"/>
              </w:rPr>
              <w:t>黑膜厌氧池</w:t>
            </w:r>
            <w:r>
              <w:rPr>
                <w:rFonts w:hint="default" w:ascii="Times New Roman" w:hAnsi="Times New Roman" w:eastAsia="宋体" w:cs="Times New Roman"/>
                <w:snapToGrid w:val="0"/>
                <w:color w:val="auto"/>
                <w:kern w:val="0"/>
                <w:sz w:val="21"/>
                <w:szCs w:val="21"/>
                <w:highlight w:val="none"/>
                <w:lang w:val="en-US" w:eastAsia="zh-CN" w:bidi="ar"/>
              </w:rPr>
              <w:t>底部铺设HDPE防渗膜，顶部覆盖HDPE顶膜，形成密闭空间，进料口均匀设置排污管，使粪污进入</w:t>
            </w:r>
            <w:r>
              <w:rPr>
                <w:rFonts w:hint="eastAsia" w:ascii="Times New Roman" w:hAnsi="Times New Roman" w:eastAsia="宋体" w:cs="Times New Roman"/>
                <w:snapToGrid w:val="0"/>
                <w:color w:val="auto"/>
                <w:kern w:val="0"/>
                <w:sz w:val="21"/>
                <w:szCs w:val="21"/>
                <w:highlight w:val="none"/>
                <w:lang w:val="en-US" w:eastAsia="zh-CN" w:bidi="ar"/>
              </w:rPr>
              <w:t>黑膜厌氧池</w:t>
            </w:r>
            <w:r>
              <w:rPr>
                <w:rFonts w:hint="default" w:ascii="Times New Roman" w:hAnsi="Times New Roman" w:eastAsia="宋体" w:cs="Times New Roman"/>
                <w:snapToGrid w:val="0"/>
                <w:color w:val="auto"/>
                <w:kern w:val="0"/>
                <w:sz w:val="21"/>
                <w:szCs w:val="21"/>
                <w:highlight w:val="none"/>
                <w:lang w:val="en-US" w:eastAsia="zh-CN" w:bidi="ar"/>
              </w:rPr>
              <w:t>内均匀铺设，同时内部设置排气管，将产生的沼气导出</w:t>
            </w:r>
            <w:r>
              <w:rPr>
                <w:rFonts w:hint="default" w:ascii="Times New Roman" w:hAnsi="Times New Roman" w:eastAsia="宋体" w:cs="Times New Roman"/>
                <w:snapToGrid w:val="0"/>
                <w:color w:val="auto"/>
                <w:kern w:val="0"/>
                <w:sz w:val="21"/>
                <w:szCs w:val="21"/>
                <w:highlight w:val="none"/>
                <w:lang w:val="zh-CN" w:eastAsia="zh-CN" w:bidi="ar-SA"/>
              </w:rPr>
              <w:t>。</w:t>
            </w:r>
          </w:p>
        </w:tc>
        <w:tc>
          <w:tcPr>
            <w:tcW w:w="944" w:type="dxa"/>
            <w:vAlign w:val="center"/>
          </w:tcPr>
          <w:p w14:paraId="2121C2A4">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2B9DA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5B4B8D00">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778178F8">
            <w:pPr>
              <w:pStyle w:val="152"/>
              <w:adjustRightInd w:val="0"/>
              <w:snapToGrid w:val="0"/>
              <w:rPr>
                <w:rFonts w:hint="default" w:ascii="Times New Roman" w:hAnsi="Times New Roman" w:eastAsia="宋体" w:cs="Times New Roman"/>
                <w:snapToGrid w:val="0"/>
                <w:color w:val="auto"/>
                <w:sz w:val="21"/>
                <w:szCs w:val="21"/>
                <w:highlight w:val="none"/>
                <w:lang w:eastAsia="zh-CN"/>
              </w:rPr>
            </w:pPr>
          </w:p>
        </w:tc>
        <w:tc>
          <w:tcPr>
            <w:tcW w:w="1200" w:type="dxa"/>
            <w:vAlign w:val="center"/>
          </w:tcPr>
          <w:p w14:paraId="6C9AFD29">
            <w:pPr>
              <w:adjustRightInd w:val="0"/>
              <w:snapToGrid w:val="0"/>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沼液贮存池</w:t>
            </w:r>
          </w:p>
        </w:tc>
        <w:tc>
          <w:tcPr>
            <w:tcW w:w="4835" w:type="dxa"/>
            <w:vAlign w:val="center"/>
          </w:tcPr>
          <w:p w14:paraId="206C64CC">
            <w:pPr>
              <w:adjustRightInd w:val="0"/>
              <w:snapToGrid w:val="0"/>
              <w:ind w:left="0" w:leftChars="0" w:firstLine="0" w:firstLineChars="0"/>
              <w:jc w:val="left"/>
              <w:rPr>
                <w:rFonts w:hint="default" w:ascii="Times New Roman" w:hAnsi="Times New Roman" w:eastAsia="宋体" w:cs="Times New Roman"/>
                <w:snapToGrid w:val="0"/>
                <w:color w:val="auto"/>
                <w:sz w:val="21"/>
                <w:szCs w:val="21"/>
                <w:highlight w:val="none"/>
                <w:vertAlign w:val="baseline"/>
                <w:lang w:val="en-US" w:eastAsia="zh-CN" w:bidi="ar"/>
              </w:rPr>
            </w:pPr>
            <w:r>
              <w:rPr>
                <w:rFonts w:hint="default" w:ascii="Times New Roman" w:hAnsi="Times New Roman" w:eastAsia="宋体" w:cs="Times New Roman"/>
                <w:snapToGrid w:val="0"/>
                <w:color w:val="auto"/>
                <w:sz w:val="21"/>
                <w:szCs w:val="21"/>
                <w:highlight w:val="none"/>
                <w:vertAlign w:val="baseline"/>
                <w:lang w:val="en-US" w:eastAsia="zh-CN" w:bidi="ar"/>
              </w:rPr>
              <w:t>厂区</w:t>
            </w:r>
            <w:r>
              <w:rPr>
                <w:rFonts w:hint="eastAsia" w:ascii="Times New Roman" w:hAnsi="Times New Roman" w:cs="Times New Roman"/>
                <w:snapToGrid w:val="0"/>
                <w:color w:val="auto"/>
                <w:sz w:val="21"/>
                <w:szCs w:val="21"/>
                <w:highlight w:val="none"/>
                <w:vertAlign w:val="baseline"/>
                <w:lang w:val="en-US" w:eastAsia="zh-CN" w:bidi="ar"/>
              </w:rPr>
              <w:t>新建</w:t>
            </w:r>
            <w:r>
              <w:rPr>
                <w:rFonts w:hint="default" w:ascii="Times New Roman" w:hAnsi="Times New Roman" w:eastAsia="宋体" w:cs="Times New Roman"/>
                <w:snapToGrid w:val="0"/>
                <w:color w:val="auto"/>
                <w:sz w:val="21"/>
                <w:szCs w:val="21"/>
                <w:highlight w:val="none"/>
                <w:vertAlign w:val="baseline"/>
                <w:lang w:val="en-US" w:eastAsia="zh-CN" w:bidi="ar"/>
              </w:rPr>
              <w:t>1座沼液贮存池，占地面积</w:t>
            </w:r>
            <w:r>
              <w:rPr>
                <w:rFonts w:hint="eastAsia" w:ascii="Times New Roman" w:hAnsi="Times New Roman" w:cs="Times New Roman"/>
                <w:snapToGrid w:val="0"/>
                <w:color w:val="auto"/>
                <w:sz w:val="21"/>
                <w:szCs w:val="21"/>
                <w:highlight w:val="none"/>
                <w:vertAlign w:val="baseline"/>
                <w:lang w:val="en-US" w:eastAsia="zh-CN" w:bidi="ar"/>
              </w:rPr>
              <w:t>700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，深度为7.</w:t>
            </w:r>
            <w:r>
              <w:rPr>
                <w:rFonts w:hint="eastAsia" w:ascii="Times New Roman" w:hAnsi="Times New Roman" w:cs="Times New Roman"/>
                <w:snapToGrid w:val="0"/>
                <w:color w:val="auto"/>
                <w:sz w:val="21"/>
                <w:szCs w:val="21"/>
                <w:highlight w:val="none"/>
                <w:vertAlign w:val="baseline"/>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m，容积为</w:t>
            </w:r>
            <w:r>
              <w:rPr>
                <w:rFonts w:hint="eastAsia" w:ascii="Times New Roman" w:hAnsi="Times New Roman" w:cs="Times New Roman"/>
                <w:snapToGrid w:val="0"/>
                <w:color w:val="auto"/>
                <w:sz w:val="21"/>
                <w:szCs w:val="21"/>
                <w:highlight w:val="none"/>
                <w:vertAlign w:val="baseline"/>
                <w:lang w:val="en-US" w:eastAsia="zh-CN" w:bidi="ar"/>
              </w:rPr>
              <w:t>5040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3</w:t>
            </w:r>
            <w:r>
              <w:rPr>
                <w:rFonts w:hint="eastAsia" w:ascii="Times New Roman" w:hAnsi="Times New Roman" w:cs="Times New Roman"/>
                <w:snapToGrid w:val="0"/>
                <w:color w:val="auto"/>
                <w:sz w:val="21"/>
                <w:szCs w:val="21"/>
                <w:highlight w:val="none"/>
                <w:vertAlign w:val="baseline"/>
                <w:lang w:val="en-US" w:eastAsia="zh-CN" w:bidi="ar"/>
              </w:rPr>
              <w:t>。可贮存180d沼液，满足冬季存储需求，底部及侧壁进行防渗处理，上部覆膜全封闭，并进行防雨、防渗、防溢流的措施。沼液用于周围土地消纳，全部综合利用。</w:t>
            </w:r>
          </w:p>
        </w:tc>
        <w:tc>
          <w:tcPr>
            <w:tcW w:w="944" w:type="dxa"/>
            <w:vAlign w:val="center"/>
          </w:tcPr>
          <w:p w14:paraId="02B29D17">
            <w:pPr>
              <w:adjustRightInd w:val="0"/>
              <w:snapToGrid w:val="0"/>
              <w:jc w:val="center"/>
              <w:rPr>
                <w:rFonts w:hint="default"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新建</w:t>
            </w:r>
          </w:p>
        </w:tc>
      </w:tr>
      <w:tr w14:paraId="0FCE2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592" w:hRule="atLeast"/>
        </w:trPr>
        <w:tc>
          <w:tcPr>
            <w:tcW w:w="728" w:type="dxa"/>
            <w:vMerge w:val="continue"/>
            <w:vAlign w:val="center"/>
          </w:tcPr>
          <w:p w14:paraId="1EB7E0EA">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B0BB7FD">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725AEDB7">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bidi="ar"/>
              </w:rPr>
              <w:t>固液分离间</w:t>
            </w:r>
          </w:p>
        </w:tc>
        <w:tc>
          <w:tcPr>
            <w:tcW w:w="4835" w:type="dxa"/>
            <w:noWrap/>
            <w:vAlign w:val="center"/>
          </w:tcPr>
          <w:p w14:paraId="5DB744A9">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1座，</w:t>
            </w:r>
            <w:r>
              <w:rPr>
                <w:rFonts w:hint="eastAsia" w:ascii="Times New Roman" w:hAnsi="Times New Roman" w:eastAsia="宋体" w:cs="Times New Roman"/>
                <w:snapToGrid w:val="0"/>
                <w:color w:val="auto"/>
                <w:kern w:val="0"/>
                <w:sz w:val="21"/>
                <w:szCs w:val="21"/>
                <w:highlight w:val="none"/>
                <w:vertAlign w:val="baseline"/>
                <w:lang w:val="en-US" w:eastAsia="zh-CN" w:bidi="ar-SA"/>
              </w:rPr>
              <w:t>一层，占地面积</w:t>
            </w:r>
            <w:r>
              <w:rPr>
                <w:rFonts w:hint="eastAsia" w:ascii="Times New Roman" w:hAnsi="Times New Roman" w:eastAsia="宋体" w:cs="Times New Roman"/>
                <w:snapToGrid w:val="0"/>
                <w:color w:val="auto"/>
                <w:kern w:val="0"/>
                <w:sz w:val="21"/>
                <w:szCs w:val="21"/>
                <w:highlight w:val="none"/>
                <w:vertAlign w:val="baseline"/>
                <w:lang w:val="en-US" w:eastAsia="zh-CN" w:bidi="ar"/>
              </w:rPr>
              <w:t>40</w:t>
            </w:r>
            <w:r>
              <w:rPr>
                <w:rFonts w:hint="default" w:ascii="Times New Roman" w:hAnsi="Times New Roman" w:eastAsia="宋体" w:cs="Times New Roman"/>
                <w:snapToGrid w:val="0"/>
                <w:color w:val="auto"/>
                <w:kern w:val="0"/>
                <w:sz w:val="21"/>
                <w:szCs w:val="21"/>
                <w:highlight w:val="none"/>
                <w:vertAlign w:val="baseline"/>
                <w:lang w:val="en-US" w:eastAsia="zh-CN" w:bidi="ar"/>
              </w:rPr>
              <w:t>m</w:t>
            </w:r>
            <w:r>
              <w:rPr>
                <w:rFonts w:hint="default" w:ascii="Times New Roman" w:hAnsi="Times New Roman" w:eastAsia="宋体" w:cs="Times New Roman"/>
                <w:snapToGrid w:val="0"/>
                <w:color w:val="auto"/>
                <w:kern w:val="0"/>
                <w:sz w:val="21"/>
                <w:szCs w:val="21"/>
                <w:highlight w:val="none"/>
                <w:vertAlign w:val="superscript"/>
                <w:lang w:val="en-US" w:eastAsia="zh-CN" w:bidi="ar"/>
              </w:rPr>
              <w:t>2</w:t>
            </w:r>
            <w:r>
              <w:rPr>
                <w:rFonts w:hint="default" w:ascii="Times New Roman" w:hAnsi="Times New Roman" w:eastAsia="宋体" w:cs="Times New Roman"/>
                <w:snapToGrid w:val="0"/>
                <w:color w:val="auto"/>
                <w:kern w:val="0"/>
                <w:sz w:val="21"/>
                <w:szCs w:val="21"/>
                <w:highlight w:val="none"/>
                <w:vertAlign w:val="baseline"/>
                <w:lang w:val="en-US" w:eastAsia="zh-CN" w:bidi="ar"/>
              </w:rPr>
              <w:t>，建筑面积为</w:t>
            </w:r>
            <w:r>
              <w:rPr>
                <w:rFonts w:hint="eastAsia" w:ascii="Times New Roman" w:hAnsi="Times New Roman" w:eastAsia="宋体" w:cs="Times New Roman"/>
                <w:snapToGrid w:val="0"/>
                <w:color w:val="auto"/>
                <w:kern w:val="0"/>
                <w:sz w:val="21"/>
                <w:szCs w:val="21"/>
                <w:highlight w:val="none"/>
                <w:vertAlign w:val="baseline"/>
                <w:lang w:val="en-US" w:eastAsia="zh-CN" w:bidi="ar"/>
              </w:rPr>
              <w:t>40</w:t>
            </w:r>
            <w:r>
              <w:rPr>
                <w:rFonts w:hint="default" w:ascii="Times New Roman" w:hAnsi="Times New Roman" w:eastAsia="宋体" w:cs="Times New Roman"/>
                <w:snapToGrid w:val="0"/>
                <w:color w:val="auto"/>
                <w:kern w:val="0"/>
                <w:sz w:val="21"/>
                <w:szCs w:val="21"/>
                <w:highlight w:val="none"/>
                <w:vertAlign w:val="baseline"/>
                <w:lang w:val="en-US" w:eastAsia="zh-CN" w:bidi="ar"/>
              </w:rPr>
              <w:t>m</w:t>
            </w:r>
            <w:r>
              <w:rPr>
                <w:rFonts w:hint="default" w:ascii="Times New Roman" w:hAnsi="Times New Roman" w:eastAsia="宋体" w:cs="Times New Roman"/>
                <w:snapToGrid w:val="0"/>
                <w:color w:val="auto"/>
                <w:kern w:val="0"/>
                <w:sz w:val="21"/>
                <w:szCs w:val="21"/>
                <w:highlight w:val="none"/>
                <w:vertAlign w:val="superscript"/>
                <w:lang w:val="en-US" w:eastAsia="zh-CN" w:bidi="ar"/>
              </w:rPr>
              <w:t>2</w:t>
            </w:r>
            <w:r>
              <w:rPr>
                <w:rFonts w:hint="default" w:ascii="Times New Roman" w:hAnsi="Times New Roman" w:eastAsia="宋体" w:cs="Times New Roman"/>
                <w:snapToGrid w:val="0"/>
                <w:color w:val="auto"/>
                <w:kern w:val="0"/>
                <w:sz w:val="21"/>
                <w:szCs w:val="21"/>
                <w:highlight w:val="none"/>
                <w:vertAlign w:val="baseline"/>
                <w:lang w:val="en-US" w:eastAsia="zh-CN" w:bidi="ar"/>
              </w:rPr>
              <w:t>，</w:t>
            </w:r>
            <w:r>
              <w:rPr>
                <w:rFonts w:hint="eastAsia" w:ascii="Times New Roman" w:hAnsi="Times New Roman" w:eastAsia="宋体" w:cs="Times New Roman"/>
                <w:snapToGrid w:val="0"/>
                <w:color w:val="auto"/>
                <w:kern w:val="0"/>
                <w:sz w:val="21"/>
                <w:szCs w:val="21"/>
                <w:highlight w:val="none"/>
                <w:vertAlign w:val="baseline"/>
                <w:lang w:val="en-US" w:eastAsia="zh-CN" w:bidi="ar"/>
              </w:rPr>
              <w:t>位于分娩舍旁。</w:t>
            </w:r>
            <w:r>
              <w:rPr>
                <w:rFonts w:hint="default" w:ascii="Times New Roman" w:hAnsi="Times New Roman" w:eastAsia="宋体" w:cs="Times New Roman"/>
                <w:snapToGrid w:val="0"/>
                <w:color w:val="auto"/>
                <w:kern w:val="0"/>
                <w:sz w:val="21"/>
                <w:szCs w:val="21"/>
                <w:highlight w:val="none"/>
                <w:vertAlign w:val="baseline"/>
                <w:lang w:val="en-US" w:eastAsia="zh-CN" w:bidi="ar"/>
              </w:rPr>
              <w:t>主要处理输送过来的粪污，筛分后的</w:t>
            </w:r>
            <w:r>
              <w:rPr>
                <w:rFonts w:hint="eastAsia" w:ascii="Times New Roman" w:hAnsi="Times New Roman" w:eastAsia="宋体" w:cs="Times New Roman"/>
                <w:snapToGrid w:val="0"/>
                <w:color w:val="auto"/>
                <w:kern w:val="0"/>
                <w:sz w:val="21"/>
                <w:szCs w:val="21"/>
                <w:highlight w:val="none"/>
                <w:vertAlign w:val="baseline"/>
                <w:lang w:val="en-US" w:eastAsia="zh-CN" w:bidi="ar"/>
              </w:rPr>
              <w:t>干粪</w:t>
            </w:r>
            <w:r>
              <w:rPr>
                <w:rFonts w:hint="default" w:ascii="Times New Roman" w:hAnsi="Times New Roman" w:eastAsia="宋体" w:cs="Times New Roman"/>
                <w:snapToGrid w:val="0"/>
                <w:color w:val="auto"/>
                <w:kern w:val="0"/>
                <w:sz w:val="21"/>
                <w:szCs w:val="21"/>
                <w:highlight w:val="none"/>
                <w:vertAlign w:val="baseline"/>
                <w:lang w:val="en-US" w:eastAsia="zh-CN" w:bidi="ar"/>
              </w:rPr>
              <w:t>运至</w:t>
            </w:r>
            <w:r>
              <w:rPr>
                <w:rFonts w:hint="eastAsia" w:ascii="Times New Roman" w:hAnsi="Times New Roman" w:eastAsia="宋体" w:cs="Times New Roman"/>
                <w:snapToGrid w:val="0"/>
                <w:color w:val="auto"/>
                <w:kern w:val="0"/>
                <w:sz w:val="21"/>
                <w:szCs w:val="21"/>
                <w:highlight w:val="none"/>
                <w:vertAlign w:val="baseline"/>
                <w:lang w:val="en-US" w:eastAsia="zh-CN" w:bidi="ar"/>
              </w:rPr>
              <w:t>干粪堆积场</w:t>
            </w:r>
            <w:r>
              <w:rPr>
                <w:rFonts w:hint="default" w:ascii="Times New Roman" w:hAnsi="Times New Roman" w:eastAsia="宋体" w:cs="Times New Roman"/>
                <w:snapToGrid w:val="0"/>
                <w:color w:val="auto"/>
                <w:kern w:val="0"/>
                <w:sz w:val="21"/>
                <w:szCs w:val="21"/>
                <w:highlight w:val="none"/>
                <w:vertAlign w:val="baseline"/>
                <w:lang w:val="en-US" w:eastAsia="zh-CN" w:bidi="ar"/>
              </w:rPr>
              <w:t>堆肥；筛分后的猪粪水由管道输送到黑膜厌氧池内。</w:t>
            </w:r>
          </w:p>
        </w:tc>
        <w:tc>
          <w:tcPr>
            <w:tcW w:w="944" w:type="dxa"/>
            <w:vAlign w:val="center"/>
          </w:tcPr>
          <w:p w14:paraId="4B0C1056">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3D409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59" w:hRule="atLeast"/>
        </w:trPr>
        <w:tc>
          <w:tcPr>
            <w:tcW w:w="728" w:type="dxa"/>
            <w:vMerge w:val="continue"/>
            <w:vAlign w:val="center"/>
          </w:tcPr>
          <w:p w14:paraId="6A686A0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C93CB07">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081A3766">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
              </w:rPr>
              <w:t>干粪堆积场</w:t>
            </w:r>
          </w:p>
        </w:tc>
        <w:tc>
          <w:tcPr>
            <w:tcW w:w="4835" w:type="dxa"/>
            <w:noWrap/>
            <w:vAlign w:val="center"/>
          </w:tcPr>
          <w:p w14:paraId="29F3CF21">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kern w:val="0"/>
                <w:sz w:val="21"/>
                <w:szCs w:val="21"/>
                <w:highlight w:val="none"/>
                <w:lang w:val="en-US" w:eastAsia="zh-CN" w:bidi="ar"/>
              </w:rPr>
              <w:t>1座，占地面积</w:t>
            </w:r>
            <w:r>
              <w:rPr>
                <w:rFonts w:hint="eastAsia" w:ascii="Times New Roman" w:hAnsi="Times New Roman" w:eastAsia="宋体" w:cs="Times New Roman"/>
                <w:snapToGrid w:val="0"/>
                <w:color w:val="auto"/>
                <w:kern w:val="0"/>
                <w:sz w:val="21"/>
                <w:szCs w:val="21"/>
                <w:highlight w:val="none"/>
                <w:lang w:val="en-US" w:eastAsia="zh-CN" w:bidi="ar"/>
              </w:rPr>
              <w:t>490</w:t>
            </w:r>
            <w:r>
              <w:rPr>
                <w:rFonts w:hint="default" w:ascii="Times New Roman" w:hAnsi="Times New Roman" w:eastAsia="宋体" w:cs="Times New Roman"/>
                <w:snapToGrid w:val="0"/>
                <w:color w:val="auto"/>
                <w:kern w:val="0"/>
                <w:sz w:val="21"/>
                <w:szCs w:val="21"/>
                <w:highlight w:val="none"/>
                <w:lang w:val="en-US" w:eastAsia="zh-CN" w:bidi="ar"/>
              </w:rPr>
              <w:t>m</w:t>
            </w:r>
            <w:r>
              <w:rPr>
                <w:rFonts w:hint="default" w:ascii="Times New Roman" w:hAnsi="Times New Roman" w:eastAsia="宋体" w:cs="Times New Roman"/>
                <w:snapToGrid w:val="0"/>
                <w:color w:val="auto"/>
                <w:kern w:val="0"/>
                <w:sz w:val="21"/>
                <w:szCs w:val="21"/>
                <w:highlight w:val="none"/>
                <w:vertAlign w:val="superscript"/>
                <w:lang w:val="en-US" w:eastAsia="zh-CN" w:bidi="ar"/>
              </w:rPr>
              <w:t>2</w:t>
            </w:r>
            <w:r>
              <w:rPr>
                <w:rFonts w:hint="eastAsia" w:ascii="Times New Roman" w:hAnsi="Times New Roman" w:eastAsia="宋体"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kern w:val="0"/>
                <w:sz w:val="21"/>
                <w:szCs w:val="21"/>
                <w:highlight w:val="none"/>
                <w:lang w:val="en-US" w:eastAsia="zh-CN" w:bidi="ar"/>
              </w:rPr>
              <w:t>建筑面积为</w:t>
            </w:r>
            <w:r>
              <w:rPr>
                <w:rFonts w:hint="eastAsia" w:ascii="Times New Roman" w:hAnsi="Times New Roman" w:eastAsia="宋体" w:cs="Times New Roman"/>
                <w:snapToGrid w:val="0"/>
                <w:color w:val="auto"/>
                <w:kern w:val="0"/>
                <w:sz w:val="21"/>
                <w:szCs w:val="21"/>
                <w:highlight w:val="none"/>
                <w:lang w:val="en-US" w:eastAsia="zh-CN" w:bidi="ar"/>
              </w:rPr>
              <w:t>490</w:t>
            </w:r>
            <w:r>
              <w:rPr>
                <w:rFonts w:hint="default" w:ascii="Times New Roman" w:hAnsi="Times New Roman" w:eastAsia="宋体" w:cs="Times New Roman"/>
                <w:snapToGrid w:val="0"/>
                <w:color w:val="auto"/>
                <w:kern w:val="0"/>
                <w:sz w:val="21"/>
                <w:szCs w:val="21"/>
                <w:highlight w:val="none"/>
                <w:lang w:val="en-US" w:eastAsia="zh-CN" w:bidi="ar"/>
              </w:rPr>
              <w:t>m</w:t>
            </w:r>
            <w:r>
              <w:rPr>
                <w:rFonts w:hint="default" w:ascii="Times New Roman" w:hAnsi="Times New Roman" w:eastAsia="宋体" w:cs="Times New Roman"/>
                <w:snapToGrid w:val="0"/>
                <w:color w:val="auto"/>
                <w:kern w:val="0"/>
                <w:sz w:val="21"/>
                <w:szCs w:val="21"/>
                <w:highlight w:val="none"/>
                <w:vertAlign w:val="superscript"/>
                <w:lang w:val="en-US" w:eastAsia="zh-CN" w:bidi="ar"/>
              </w:rPr>
              <w:t>2</w:t>
            </w:r>
            <w:r>
              <w:rPr>
                <w:rFonts w:hint="eastAsia" w:ascii="Times New Roman" w:hAnsi="Times New Roman" w:eastAsia="宋体" w:cs="Times New Roman"/>
                <w:snapToGrid w:val="0"/>
                <w:color w:val="auto"/>
                <w:kern w:val="0"/>
                <w:sz w:val="21"/>
                <w:szCs w:val="21"/>
                <w:highlight w:val="none"/>
                <w:vertAlign w:val="baseline"/>
                <w:lang w:val="en-US" w:eastAsia="zh-CN" w:bidi="ar"/>
              </w:rPr>
              <w:t>，容积为900m</w:t>
            </w:r>
            <w:r>
              <w:rPr>
                <w:rFonts w:hint="eastAsia" w:ascii="Times New Roman" w:hAnsi="Times New Roman" w:eastAsia="宋体" w:cs="Times New Roman"/>
                <w:snapToGrid w:val="0"/>
                <w:color w:val="auto"/>
                <w:kern w:val="0"/>
                <w:sz w:val="21"/>
                <w:szCs w:val="21"/>
                <w:highlight w:val="none"/>
                <w:vertAlign w:val="superscript"/>
                <w:lang w:val="en-US" w:eastAsia="zh-CN" w:bidi="ar"/>
              </w:rPr>
              <w:t>3</w:t>
            </w:r>
            <w:r>
              <w:rPr>
                <w:rFonts w:hint="eastAsia" w:ascii="Times New Roman" w:hAnsi="Times New Roman" w:eastAsia="宋体" w:cs="Times New Roman"/>
                <w:snapToGrid w:val="0"/>
                <w:color w:val="auto"/>
                <w:kern w:val="0"/>
                <w:sz w:val="21"/>
                <w:szCs w:val="21"/>
                <w:highlight w:val="none"/>
                <w:vertAlign w:val="baseline"/>
                <w:lang w:val="en-US" w:eastAsia="zh-CN" w:bidi="ar"/>
              </w:rPr>
              <w:t>，</w:t>
            </w:r>
            <w:r>
              <w:rPr>
                <w:rFonts w:hint="default" w:ascii="Times New Roman" w:hAnsi="Times New Roman" w:eastAsia="宋体" w:cs="Times New Roman"/>
                <w:snapToGrid w:val="0"/>
                <w:color w:val="auto"/>
                <w:kern w:val="0"/>
                <w:sz w:val="21"/>
                <w:szCs w:val="21"/>
                <w:highlight w:val="none"/>
                <w:vertAlign w:val="baseline"/>
                <w:lang w:val="en-US" w:eastAsia="zh-CN" w:bidi="ar"/>
              </w:rPr>
              <w:t>主要将筛分后的</w:t>
            </w:r>
            <w:r>
              <w:rPr>
                <w:rFonts w:hint="eastAsia" w:ascii="Times New Roman" w:hAnsi="Times New Roman" w:eastAsia="宋体" w:cs="Times New Roman"/>
                <w:snapToGrid w:val="0"/>
                <w:color w:val="auto"/>
                <w:kern w:val="0"/>
                <w:sz w:val="21"/>
                <w:szCs w:val="21"/>
                <w:highlight w:val="none"/>
                <w:vertAlign w:val="baseline"/>
                <w:lang w:val="en-US" w:eastAsia="zh-CN" w:bidi="ar"/>
              </w:rPr>
              <w:t>干粪</w:t>
            </w:r>
            <w:r>
              <w:rPr>
                <w:rFonts w:hint="default" w:ascii="Times New Roman" w:hAnsi="Times New Roman" w:eastAsia="宋体" w:cs="Times New Roman"/>
                <w:snapToGrid w:val="0"/>
                <w:color w:val="auto"/>
                <w:kern w:val="0"/>
                <w:sz w:val="21"/>
                <w:szCs w:val="21"/>
                <w:highlight w:val="none"/>
                <w:vertAlign w:val="baseline"/>
                <w:lang w:val="en-US" w:eastAsia="zh-CN" w:bidi="ar"/>
              </w:rPr>
              <w:t>（含水率</w:t>
            </w:r>
            <w:r>
              <w:rPr>
                <w:rFonts w:hint="eastAsia" w:ascii="Times New Roman" w:hAnsi="Times New Roman" w:eastAsia="宋体" w:cs="Times New Roman"/>
                <w:snapToGrid w:val="0"/>
                <w:color w:val="auto"/>
                <w:kern w:val="0"/>
                <w:sz w:val="21"/>
                <w:szCs w:val="21"/>
                <w:highlight w:val="none"/>
                <w:vertAlign w:val="baseline"/>
                <w:lang w:val="en-US" w:eastAsia="zh-CN" w:bidi="ar"/>
              </w:rPr>
              <w:t>20</w:t>
            </w:r>
            <w:r>
              <w:rPr>
                <w:rFonts w:hint="default" w:ascii="Times New Roman" w:hAnsi="Times New Roman" w:eastAsia="宋体" w:cs="Times New Roman"/>
                <w:snapToGrid w:val="0"/>
                <w:color w:val="auto"/>
                <w:kern w:val="0"/>
                <w:sz w:val="21"/>
                <w:szCs w:val="21"/>
                <w:highlight w:val="none"/>
                <w:vertAlign w:val="baseline"/>
                <w:lang w:val="en-US" w:eastAsia="zh-CN" w:bidi="ar"/>
              </w:rPr>
              <w:t>%）进行发酵，发酵后施用于农田。</w:t>
            </w:r>
            <w:r>
              <w:rPr>
                <w:rFonts w:hint="default" w:ascii="Times New Roman" w:hAnsi="Times New Roman" w:eastAsia="宋体" w:cs="Times New Roman"/>
                <w:snapToGrid w:val="0"/>
                <w:color w:val="auto"/>
                <w:kern w:val="0"/>
                <w:sz w:val="21"/>
                <w:szCs w:val="21"/>
                <w:highlight w:val="none"/>
                <w:lang w:val="zh-CN" w:eastAsia="zh-CN" w:bidi="ar-SA"/>
              </w:rPr>
              <w:t>本项目生产固体</w:t>
            </w:r>
            <w:r>
              <w:rPr>
                <w:rFonts w:hint="eastAsia" w:ascii="Times New Roman" w:hAnsi="Times New Roman" w:eastAsia="宋体" w:cs="Times New Roman"/>
                <w:snapToGrid w:val="0"/>
                <w:color w:val="auto"/>
                <w:kern w:val="0"/>
                <w:sz w:val="21"/>
                <w:szCs w:val="21"/>
                <w:highlight w:val="none"/>
                <w:lang w:val="zh-CN" w:eastAsia="zh-CN" w:bidi="ar-SA"/>
              </w:rPr>
              <w:t>粪污</w:t>
            </w:r>
            <w:r>
              <w:rPr>
                <w:rFonts w:hint="default" w:ascii="Times New Roman" w:hAnsi="Times New Roman" w:eastAsia="宋体" w:cs="Times New Roman"/>
                <w:snapToGrid w:val="0"/>
                <w:color w:val="auto"/>
                <w:kern w:val="0"/>
                <w:sz w:val="21"/>
                <w:szCs w:val="21"/>
                <w:highlight w:val="none"/>
                <w:lang w:val="zh-CN" w:eastAsia="zh-CN" w:bidi="ar-SA"/>
              </w:rPr>
              <w:t>可作为肥料施用于项目周边区域的农田。</w:t>
            </w:r>
          </w:p>
        </w:tc>
        <w:tc>
          <w:tcPr>
            <w:tcW w:w="944" w:type="dxa"/>
            <w:vAlign w:val="center"/>
          </w:tcPr>
          <w:p w14:paraId="4D482F6A">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由现有245m</w:t>
            </w:r>
            <w:r>
              <w:rPr>
                <w:rFonts w:hint="eastAsia" w:ascii="Times New Roman" w:hAnsi="Times New Roman" w:cs="Times New Roman"/>
                <w:snapToGrid w:val="0"/>
                <w:color w:val="auto"/>
                <w:kern w:val="0"/>
                <w:sz w:val="21"/>
                <w:szCs w:val="21"/>
                <w:highlight w:val="none"/>
                <w:vertAlign w:val="superscript"/>
                <w:lang w:val="en-US" w:eastAsia="zh-CN" w:bidi="ar-SA"/>
              </w:rPr>
              <w:t>2</w:t>
            </w:r>
            <w:r>
              <w:rPr>
                <w:rFonts w:hint="eastAsia" w:ascii="Times New Roman" w:hAnsi="Times New Roman" w:cs="Times New Roman"/>
                <w:snapToGrid w:val="0"/>
                <w:color w:val="auto"/>
                <w:kern w:val="0"/>
                <w:sz w:val="21"/>
                <w:szCs w:val="21"/>
                <w:highlight w:val="none"/>
                <w:lang w:val="en-US" w:eastAsia="zh-CN" w:bidi="ar-SA"/>
              </w:rPr>
              <w:t>扩建至490m</w:t>
            </w:r>
            <w:r>
              <w:rPr>
                <w:rFonts w:hint="eastAsia" w:ascii="Times New Roman" w:hAnsi="Times New Roman" w:cs="Times New Roman"/>
                <w:snapToGrid w:val="0"/>
                <w:color w:val="auto"/>
                <w:kern w:val="0"/>
                <w:sz w:val="21"/>
                <w:szCs w:val="21"/>
                <w:highlight w:val="none"/>
                <w:vertAlign w:val="superscript"/>
                <w:lang w:val="en-US" w:eastAsia="zh-CN" w:bidi="ar-SA"/>
              </w:rPr>
              <w:t>2</w:t>
            </w:r>
          </w:p>
        </w:tc>
      </w:tr>
      <w:tr w14:paraId="04214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2C5938C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noWrap/>
            <w:vAlign w:val="center"/>
          </w:tcPr>
          <w:p w14:paraId="13F89BBC">
            <w:pPr>
              <w:pStyle w:val="152"/>
              <w:adjustRightInd w:val="0"/>
              <w:snapToGrid w:val="0"/>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医疗废物暂存间</w:t>
            </w:r>
          </w:p>
        </w:tc>
        <w:tc>
          <w:tcPr>
            <w:tcW w:w="4835" w:type="dxa"/>
            <w:noWrap/>
            <w:vAlign w:val="center"/>
          </w:tcPr>
          <w:p w14:paraId="6BCE6866">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一层，占地面积20m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建筑面积</w:t>
            </w:r>
            <w:r>
              <w:rPr>
                <w:rFonts w:hint="eastAsia" w:ascii="Times New Roman" w:hAnsi="Times New Roman" w:cs="Times New Roman"/>
                <w:snapToGrid w:val="0"/>
                <w:color w:val="auto"/>
                <w:sz w:val="21"/>
                <w:szCs w:val="21"/>
                <w:highlight w:val="none"/>
                <w:vertAlign w:val="baseline"/>
                <w:lang w:val="en-US" w:eastAsia="zh-CN"/>
              </w:rPr>
              <w:t>20m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用于</w:t>
            </w:r>
            <w:r>
              <w:rPr>
                <w:rFonts w:hint="eastAsia" w:ascii="Times New Roman" w:hAnsi="Times New Roman" w:cs="Times New Roman"/>
                <w:snapToGrid w:val="0"/>
                <w:color w:val="auto"/>
                <w:sz w:val="21"/>
                <w:szCs w:val="21"/>
                <w:highlight w:val="none"/>
                <w:vertAlign w:val="baseline"/>
                <w:lang w:val="en-US" w:eastAsia="zh-CN"/>
              </w:rPr>
              <w:t>动物医疗废物</w:t>
            </w:r>
            <w:r>
              <w:rPr>
                <w:rFonts w:hint="default" w:ascii="Times New Roman" w:hAnsi="Times New Roman" w:eastAsia="宋体" w:cs="Times New Roman"/>
                <w:snapToGrid w:val="0"/>
                <w:color w:val="auto"/>
                <w:sz w:val="21"/>
                <w:szCs w:val="21"/>
                <w:highlight w:val="none"/>
                <w:vertAlign w:val="baseline"/>
                <w:lang w:val="en-US" w:eastAsia="zh-CN"/>
              </w:rPr>
              <w:t>的暂存，为单独隔间。</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944" w:type="dxa"/>
            <w:vAlign w:val="center"/>
          </w:tcPr>
          <w:p w14:paraId="2ED76331">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w:t>
            </w:r>
            <w:r>
              <w:rPr>
                <w:rFonts w:hint="default" w:ascii="Times New Roman" w:hAnsi="Times New Roman" w:eastAsia="宋体" w:cs="Times New Roman"/>
                <w:snapToGrid w:val="0"/>
                <w:color w:val="auto"/>
                <w:sz w:val="21"/>
                <w:szCs w:val="21"/>
                <w:highlight w:val="none"/>
                <w:vertAlign w:val="baseline"/>
                <w:lang w:val="en-US" w:eastAsia="zh-CN"/>
              </w:rPr>
              <w:t>医疗废物暂存间</w:t>
            </w:r>
          </w:p>
        </w:tc>
      </w:tr>
      <w:tr w14:paraId="54869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restart"/>
            <w:vAlign w:val="center"/>
          </w:tcPr>
          <w:p w14:paraId="2C637FA6">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储运工程</w:t>
            </w:r>
          </w:p>
        </w:tc>
        <w:tc>
          <w:tcPr>
            <w:tcW w:w="1784" w:type="dxa"/>
            <w:gridSpan w:val="2"/>
            <w:noWrap/>
            <w:vAlign w:val="center"/>
          </w:tcPr>
          <w:p w14:paraId="11214B59">
            <w:pPr>
              <w:pStyle w:val="152"/>
              <w:adjustRightInd w:val="0"/>
              <w:snapToGrid w:val="0"/>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eastAsia="zh-CN" w:bidi="ar"/>
              </w:rPr>
              <w:t>干粪堆积场</w:t>
            </w:r>
          </w:p>
        </w:tc>
        <w:tc>
          <w:tcPr>
            <w:tcW w:w="4835" w:type="dxa"/>
            <w:noWrap/>
            <w:vAlign w:val="center"/>
          </w:tcPr>
          <w:p w14:paraId="724A3E9C">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全封闭</w:t>
            </w:r>
            <w:r>
              <w:rPr>
                <w:rFonts w:hint="eastAsia" w:ascii="Times New Roman" w:hAnsi="Times New Roman" w:cs="Times New Roman"/>
                <w:snapToGrid w:val="0"/>
                <w:color w:val="auto"/>
                <w:sz w:val="21"/>
                <w:szCs w:val="21"/>
                <w:highlight w:val="none"/>
                <w:lang w:eastAsia="zh-CN"/>
              </w:rPr>
              <w:t>干粪堆积场</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砖混</w:t>
            </w:r>
            <w:r>
              <w:rPr>
                <w:rFonts w:hint="default" w:ascii="Times New Roman" w:hAnsi="Times New Roman" w:eastAsia="宋体" w:cs="Times New Roman"/>
                <w:snapToGrid w:val="0"/>
                <w:color w:val="auto"/>
                <w:sz w:val="21"/>
                <w:szCs w:val="21"/>
                <w:highlight w:val="none"/>
              </w:rPr>
              <w:t>结构</w:t>
            </w:r>
            <w:r>
              <w:rPr>
                <w:rFonts w:hint="default" w:ascii="Times New Roman" w:hAnsi="Times New Roman" w:eastAsia="宋体" w:cs="Times New Roman"/>
                <w:snapToGrid w:val="0"/>
                <w:color w:val="auto"/>
                <w:sz w:val="21"/>
                <w:szCs w:val="21"/>
                <w:highlight w:val="none"/>
                <w:lang w:eastAsia="zh-CN"/>
              </w:rPr>
              <w:t>。</w:t>
            </w:r>
          </w:p>
          <w:p w14:paraId="4466C084">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w:t>
            </w:r>
            <w:r>
              <w:rPr>
                <w:rFonts w:hint="default" w:ascii="Times New Roman" w:hAnsi="Times New Roman" w:eastAsia="宋体" w:cs="Times New Roman"/>
                <w:snapToGrid w:val="0"/>
                <w:color w:val="auto"/>
                <w:sz w:val="21"/>
                <w:szCs w:val="21"/>
                <w:highlight w:val="none"/>
                <w:lang w:val="en-US" w:eastAsia="zh-CN" w:bidi="ar"/>
              </w:rPr>
              <w:t>占地面积</w:t>
            </w:r>
            <w:r>
              <w:rPr>
                <w:rFonts w:hint="eastAsia" w:ascii="Times New Roman" w:hAnsi="Times New Roman" w:cs="Times New Roman"/>
                <w:snapToGrid w:val="0"/>
                <w:color w:val="auto"/>
                <w:sz w:val="21"/>
                <w:szCs w:val="21"/>
                <w:highlight w:val="none"/>
                <w:lang w:val="en-US" w:eastAsia="zh-CN" w:bidi="ar"/>
              </w:rPr>
              <w:t>450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建筑面积为</w:t>
            </w:r>
            <w:r>
              <w:rPr>
                <w:rFonts w:hint="eastAsia" w:ascii="Times New Roman" w:hAnsi="Times New Roman" w:cs="Times New Roman"/>
                <w:snapToGrid w:val="0"/>
                <w:color w:val="auto"/>
                <w:sz w:val="21"/>
                <w:szCs w:val="21"/>
                <w:highlight w:val="none"/>
                <w:lang w:val="en-US" w:eastAsia="zh-CN" w:bidi="ar"/>
              </w:rPr>
              <w:t>450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，容积为900m</w:t>
            </w:r>
            <w:r>
              <w:rPr>
                <w:rFonts w:hint="eastAsia" w:ascii="Times New Roman" w:hAnsi="Times New Roman" w:cs="Times New Roman"/>
                <w:snapToGrid w:val="0"/>
                <w:color w:val="auto"/>
                <w:sz w:val="21"/>
                <w:szCs w:val="21"/>
                <w:highlight w:val="none"/>
                <w:vertAlign w:val="superscript"/>
                <w:lang w:val="en-US" w:eastAsia="zh-CN" w:bidi="ar"/>
              </w:rPr>
              <w:t>3</w:t>
            </w:r>
            <w:r>
              <w:rPr>
                <w:rFonts w:hint="eastAsia" w:ascii="Times New Roman" w:hAnsi="Times New Roman"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采用“猪粪收集→猪粪发酵→农田施用”工艺。猪舍的猪粪采用粪车运送到</w:t>
            </w:r>
            <w:r>
              <w:rPr>
                <w:rFonts w:hint="eastAsia" w:ascii="Times New Roman" w:hAnsi="Times New Roman" w:cs="Times New Roman"/>
                <w:snapToGrid w:val="0"/>
                <w:color w:val="auto"/>
                <w:sz w:val="21"/>
                <w:szCs w:val="21"/>
                <w:highlight w:val="none"/>
                <w:lang w:eastAsia="zh-CN"/>
              </w:rPr>
              <w:t>干粪堆积场</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可作为肥料施用于项目周边区域的农田。</w:t>
            </w:r>
          </w:p>
        </w:tc>
        <w:tc>
          <w:tcPr>
            <w:tcW w:w="944" w:type="dxa"/>
            <w:vAlign w:val="center"/>
          </w:tcPr>
          <w:p w14:paraId="71D596AE">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扩建</w:t>
            </w:r>
          </w:p>
        </w:tc>
      </w:tr>
      <w:tr w14:paraId="6025D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1E28A83C">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noWrap/>
            <w:vAlign w:val="center"/>
          </w:tcPr>
          <w:p w14:paraId="7A37C898">
            <w:pPr>
              <w:adjustRightInd w:val="0"/>
              <w:snapToGrid w:val="0"/>
              <w:ind w:left="0" w:leftChars="0" w:firstLine="0" w:firstLineChars="0"/>
              <w:jc w:val="center"/>
              <w:rPr>
                <w:rFonts w:hint="eastAsia" w:ascii="Times New Roman" w:hAnsi="Times New Roman" w:cs="Times New Roman"/>
                <w:snapToGrid w:val="0"/>
                <w:color w:val="auto"/>
                <w:sz w:val="21"/>
                <w:szCs w:val="21"/>
                <w:highlight w:val="none"/>
                <w:lang w:eastAsia="zh-CN" w:bidi="ar"/>
              </w:rPr>
            </w:pPr>
            <w:r>
              <w:rPr>
                <w:rFonts w:hint="eastAsia" w:ascii="Times New Roman" w:hAnsi="Times New Roman" w:eastAsia="宋体" w:cs="Times New Roman"/>
                <w:snapToGrid w:val="0"/>
                <w:kern w:val="0"/>
                <w:sz w:val="21"/>
                <w:szCs w:val="20"/>
                <w:highlight w:val="none"/>
                <w:lang w:val="zh-CN" w:eastAsia="zh-CN" w:bidi="ar"/>
              </w:rPr>
              <w:t>饲料塔</w:t>
            </w:r>
          </w:p>
        </w:tc>
        <w:tc>
          <w:tcPr>
            <w:tcW w:w="4835" w:type="dxa"/>
            <w:noWrap/>
            <w:vAlign w:val="center"/>
          </w:tcPr>
          <w:p w14:paraId="4A9D6BE3">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vertAlign w:val="baseline"/>
                <w:lang w:val="en-US" w:eastAsia="zh-CN"/>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7套，用于储存外购全价饲料，外购饲料直接管道密闭输送至饲料塔，饲料投料采用密闭管道投加，无粉尘排放。饲料储量为18.6t，满负荷运行情况能够满足15天饲料用量，厂区内不设饲料储存区及饲料加工区。</w:t>
            </w:r>
          </w:p>
        </w:tc>
        <w:tc>
          <w:tcPr>
            <w:tcW w:w="944" w:type="dxa"/>
            <w:vAlign w:val="center"/>
          </w:tcPr>
          <w:p w14:paraId="044FFEAE">
            <w:pPr>
              <w:pStyle w:val="152"/>
              <w:adjustRightInd w:val="0"/>
              <w:snapToGrid w:val="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扩建新增2套</w:t>
            </w:r>
          </w:p>
        </w:tc>
      </w:tr>
      <w:tr w14:paraId="3A4E7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72" w:hRule="atLeast"/>
        </w:trPr>
        <w:tc>
          <w:tcPr>
            <w:tcW w:w="728" w:type="dxa"/>
            <w:vMerge w:val="restart"/>
            <w:vAlign w:val="center"/>
          </w:tcPr>
          <w:p w14:paraId="6BEF1FC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公用工程</w:t>
            </w:r>
          </w:p>
        </w:tc>
        <w:tc>
          <w:tcPr>
            <w:tcW w:w="1784" w:type="dxa"/>
            <w:gridSpan w:val="2"/>
            <w:noWrap/>
            <w:vAlign w:val="center"/>
          </w:tcPr>
          <w:p w14:paraId="1EE08A31">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供电</w:t>
            </w:r>
          </w:p>
        </w:tc>
        <w:tc>
          <w:tcPr>
            <w:tcW w:w="4835" w:type="dxa"/>
            <w:noWrap/>
            <w:vAlign w:val="center"/>
          </w:tcPr>
          <w:p w14:paraId="529D772F">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由</w:t>
            </w:r>
            <w:r>
              <w:rPr>
                <w:rFonts w:hint="default" w:ascii="Times New Roman" w:hAnsi="Times New Roman" w:eastAsia="宋体" w:cs="Times New Roman"/>
                <w:snapToGrid w:val="0"/>
                <w:color w:val="auto"/>
                <w:kern w:val="0"/>
                <w:sz w:val="21"/>
                <w:szCs w:val="21"/>
                <w:highlight w:val="none"/>
                <w:lang w:val="zh-CN" w:eastAsia="zh-CN" w:bidi="ar-SA"/>
              </w:rPr>
              <w:t>当地电网接入。</w:t>
            </w:r>
          </w:p>
        </w:tc>
        <w:tc>
          <w:tcPr>
            <w:tcW w:w="944" w:type="dxa"/>
            <w:vAlign w:val="center"/>
          </w:tcPr>
          <w:p w14:paraId="54085AAA">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6AE0D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610E1946">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noWrap/>
            <w:vAlign w:val="center"/>
          </w:tcPr>
          <w:p w14:paraId="46B47579">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给水</w:t>
            </w:r>
          </w:p>
        </w:tc>
        <w:tc>
          <w:tcPr>
            <w:tcW w:w="4835" w:type="dxa"/>
            <w:noWrap/>
            <w:vAlign w:val="center"/>
          </w:tcPr>
          <w:p w14:paraId="4B61290A">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
              </w:rPr>
              <w:t>生产用水为地下水</w:t>
            </w:r>
            <w:r>
              <w:rPr>
                <w:rFonts w:hint="default" w:ascii="Times New Roman" w:hAnsi="Times New Roman" w:eastAsia="宋体" w:cs="Times New Roman"/>
                <w:snapToGrid w:val="0"/>
                <w:color w:val="auto"/>
                <w:kern w:val="0"/>
                <w:sz w:val="21"/>
                <w:szCs w:val="21"/>
                <w:highlight w:val="none"/>
                <w:lang w:val="en-US" w:eastAsia="zh-CN" w:bidi="ar"/>
              </w:rPr>
              <w:t>；生活用水外购桶装水。</w:t>
            </w:r>
          </w:p>
        </w:tc>
        <w:tc>
          <w:tcPr>
            <w:tcW w:w="944" w:type="dxa"/>
            <w:vAlign w:val="center"/>
          </w:tcPr>
          <w:p w14:paraId="66321AD0">
            <w:pPr>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21EE0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77" w:hRule="atLeast"/>
        </w:trPr>
        <w:tc>
          <w:tcPr>
            <w:tcW w:w="728" w:type="dxa"/>
            <w:vMerge w:val="continue"/>
            <w:vAlign w:val="center"/>
          </w:tcPr>
          <w:p w14:paraId="60202733">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noWrap/>
            <w:vAlign w:val="center"/>
          </w:tcPr>
          <w:p w14:paraId="54F5ECAF">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排水</w:t>
            </w:r>
          </w:p>
        </w:tc>
        <w:tc>
          <w:tcPr>
            <w:tcW w:w="4835" w:type="dxa"/>
            <w:noWrap/>
            <w:vAlign w:val="center"/>
          </w:tcPr>
          <w:p w14:paraId="04005776">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场区采取雨污分流。场区雨水经设计雨排系统排出场区外。</w:t>
            </w:r>
            <w:r>
              <w:rPr>
                <w:rFonts w:hint="eastAsia" w:ascii="Times New Roman" w:hAnsi="Times New Roman" w:eastAsia="宋体" w:cs="Times New Roman"/>
                <w:snapToGrid w:val="0"/>
                <w:color w:val="auto"/>
                <w:sz w:val="21"/>
                <w:szCs w:val="21"/>
                <w:highlight w:val="none"/>
                <w:lang w:val="en-US" w:eastAsia="zh-CN"/>
              </w:rPr>
              <w:t>养殖生产废水和生活污水</w:t>
            </w:r>
            <w:r>
              <w:rPr>
                <w:rFonts w:hint="default" w:ascii="Times New Roman" w:hAnsi="Times New Roman" w:eastAsia="宋体" w:cs="Times New Roman"/>
                <w:bCs/>
                <w:snapToGrid w:val="0"/>
                <w:color w:val="auto"/>
                <w:sz w:val="21"/>
                <w:szCs w:val="21"/>
                <w:highlight w:val="none"/>
              </w:rPr>
              <w:t>输送管道至</w:t>
            </w:r>
            <w:r>
              <w:rPr>
                <w:rFonts w:hint="eastAsia" w:ascii="Times New Roman" w:hAnsi="Times New Roman" w:eastAsia="宋体" w:cs="Times New Roman"/>
                <w:bCs/>
                <w:snapToGrid w:val="0"/>
                <w:color w:val="auto"/>
                <w:sz w:val="21"/>
                <w:szCs w:val="21"/>
                <w:highlight w:val="none"/>
                <w:lang w:eastAsia="zh-CN"/>
              </w:rPr>
              <w:t>黑膜厌氧池</w:t>
            </w:r>
            <w:r>
              <w:rPr>
                <w:rFonts w:hint="default" w:ascii="Times New Roman" w:hAnsi="Times New Roman" w:eastAsia="宋体" w:cs="Times New Roman"/>
                <w:bCs/>
                <w:snapToGrid w:val="0"/>
                <w:color w:val="auto"/>
                <w:sz w:val="21"/>
                <w:szCs w:val="21"/>
                <w:highlight w:val="none"/>
              </w:rPr>
              <w:t>，厌氧发酵处理，处理后的沼液在非施肥季节于</w:t>
            </w:r>
            <w:r>
              <w:rPr>
                <w:rFonts w:hint="default" w:ascii="Times New Roman" w:hAnsi="Times New Roman" w:eastAsia="宋体" w:cs="Times New Roman"/>
                <w:bCs/>
                <w:snapToGrid w:val="0"/>
                <w:color w:val="auto"/>
                <w:sz w:val="21"/>
                <w:szCs w:val="21"/>
                <w:highlight w:val="none"/>
                <w:lang w:eastAsia="zh-CN"/>
              </w:rPr>
              <w:t>沼液贮存池</w:t>
            </w:r>
            <w:r>
              <w:rPr>
                <w:rFonts w:hint="default" w:ascii="Times New Roman" w:hAnsi="Times New Roman" w:eastAsia="宋体" w:cs="Times New Roman"/>
                <w:bCs/>
                <w:snapToGrid w:val="0"/>
                <w:color w:val="auto"/>
                <w:sz w:val="21"/>
                <w:szCs w:val="21"/>
                <w:highlight w:val="none"/>
              </w:rPr>
              <w:t>储存，施肥季节施用于</w:t>
            </w:r>
            <w:r>
              <w:rPr>
                <w:rFonts w:hint="default" w:ascii="Times New Roman" w:hAnsi="Times New Roman" w:eastAsia="宋体" w:cs="Times New Roman"/>
                <w:bCs/>
                <w:snapToGrid w:val="0"/>
                <w:color w:val="auto"/>
                <w:sz w:val="21"/>
                <w:szCs w:val="21"/>
                <w:highlight w:val="none"/>
                <w:lang w:val="en-US" w:eastAsia="zh-CN"/>
              </w:rPr>
              <w:t>附近</w:t>
            </w:r>
            <w:r>
              <w:rPr>
                <w:rFonts w:hint="default" w:ascii="Times New Roman" w:hAnsi="Times New Roman" w:eastAsia="宋体" w:cs="Times New Roman"/>
                <w:bCs/>
                <w:snapToGrid w:val="0"/>
                <w:color w:val="auto"/>
                <w:sz w:val="21"/>
                <w:szCs w:val="21"/>
                <w:highlight w:val="none"/>
              </w:rPr>
              <w:t>农田，不外排</w:t>
            </w:r>
            <w:r>
              <w:rPr>
                <w:rFonts w:hint="default" w:ascii="Times New Roman" w:hAnsi="Times New Roman" w:eastAsia="宋体" w:cs="Times New Roman"/>
                <w:snapToGrid w:val="0"/>
                <w:color w:val="auto"/>
                <w:kern w:val="0"/>
                <w:sz w:val="21"/>
                <w:szCs w:val="21"/>
                <w:highlight w:val="none"/>
                <w:lang w:val="en-US" w:eastAsia="zh-CN" w:bidi="ar"/>
              </w:rPr>
              <w:t>。</w:t>
            </w:r>
          </w:p>
        </w:tc>
        <w:tc>
          <w:tcPr>
            <w:tcW w:w="944" w:type="dxa"/>
            <w:vAlign w:val="center"/>
          </w:tcPr>
          <w:p w14:paraId="2BA830E2">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依托厂区现有项目，新建沼液贮存池</w:t>
            </w:r>
          </w:p>
        </w:tc>
      </w:tr>
      <w:tr w14:paraId="5507A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50AF334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784" w:type="dxa"/>
            <w:gridSpan w:val="2"/>
            <w:noWrap/>
            <w:vAlign w:val="center"/>
          </w:tcPr>
          <w:p w14:paraId="6AA72562">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供热</w:t>
            </w:r>
          </w:p>
        </w:tc>
        <w:tc>
          <w:tcPr>
            <w:tcW w:w="4835" w:type="dxa"/>
            <w:noWrap/>
            <w:vAlign w:val="center"/>
          </w:tcPr>
          <w:p w14:paraId="7A71D81F">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kern w:val="0"/>
                <w:sz w:val="21"/>
                <w:szCs w:val="21"/>
                <w:highlight w:val="none"/>
                <w:lang w:val="zh-CN" w:eastAsia="zh-CN" w:bidi="ar-SA"/>
              </w:rPr>
              <w:t>厂区冬季采用</w:t>
            </w:r>
            <w:r>
              <w:rPr>
                <w:rFonts w:hint="default" w:ascii="Times New Roman" w:hAnsi="Times New Roman" w:eastAsia="宋体" w:cs="Times New Roman"/>
                <w:snapToGrid w:val="0"/>
                <w:color w:val="auto"/>
                <w:kern w:val="0"/>
                <w:sz w:val="21"/>
                <w:szCs w:val="21"/>
                <w:highlight w:val="none"/>
                <w:lang w:val="en-US" w:eastAsia="zh-CN" w:bidi="ar-SA"/>
              </w:rPr>
              <w:t>电暖气</w:t>
            </w:r>
            <w:r>
              <w:rPr>
                <w:rFonts w:hint="default" w:ascii="Times New Roman" w:hAnsi="Times New Roman" w:eastAsia="宋体" w:cs="Times New Roman"/>
                <w:snapToGrid w:val="0"/>
                <w:color w:val="auto"/>
                <w:kern w:val="0"/>
                <w:sz w:val="21"/>
                <w:szCs w:val="21"/>
                <w:highlight w:val="none"/>
                <w:lang w:val="zh-CN" w:eastAsia="zh-CN" w:bidi="ar-SA"/>
              </w:rPr>
              <w:t>取暖。</w:t>
            </w:r>
          </w:p>
        </w:tc>
        <w:tc>
          <w:tcPr>
            <w:tcW w:w="944" w:type="dxa"/>
            <w:vAlign w:val="center"/>
          </w:tcPr>
          <w:p w14:paraId="3C74F427">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7DBC3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1463" w:hRule="atLeast"/>
        </w:trPr>
        <w:tc>
          <w:tcPr>
            <w:tcW w:w="728" w:type="dxa"/>
            <w:vMerge w:val="restart"/>
            <w:vAlign w:val="center"/>
          </w:tcPr>
          <w:p w14:paraId="5ACA5AEF">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环保工程</w:t>
            </w:r>
          </w:p>
        </w:tc>
        <w:tc>
          <w:tcPr>
            <w:tcW w:w="1784" w:type="dxa"/>
            <w:gridSpan w:val="2"/>
            <w:noWrap/>
            <w:vAlign w:val="center"/>
          </w:tcPr>
          <w:p w14:paraId="06CEE052">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lang w:val="en-US"/>
              </w:rPr>
            </w:pPr>
            <w:r>
              <w:rPr>
                <w:rFonts w:hint="default" w:ascii="Times New Roman" w:hAnsi="Times New Roman" w:eastAsia="宋体" w:cs="Times New Roman"/>
                <w:snapToGrid w:val="0"/>
                <w:color w:val="auto"/>
                <w:sz w:val="21"/>
                <w:szCs w:val="21"/>
                <w:highlight w:val="none"/>
              </w:rPr>
              <w:t>废水</w:t>
            </w:r>
          </w:p>
        </w:tc>
        <w:tc>
          <w:tcPr>
            <w:tcW w:w="4835" w:type="dxa"/>
            <w:vAlign w:val="center"/>
          </w:tcPr>
          <w:p w14:paraId="75275729">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场区采取雨污分流。场区雨水经设计雨排系统排出场区外。</w:t>
            </w:r>
            <w:r>
              <w:rPr>
                <w:rFonts w:hint="eastAsia" w:ascii="Times New Roman" w:hAnsi="Times New Roman" w:eastAsia="宋体" w:cs="Times New Roman"/>
                <w:snapToGrid w:val="0"/>
                <w:color w:val="auto"/>
                <w:sz w:val="21"/>
                <w:szCs w:val="21"/>
                <w:highlight w:val="none"/>
                <w:lang w:val="en-US" w:eastAsia="zh-CN"/>
              </w:rPr>
              <w:t>养殖生产废水和生活污水</w:t>
            </w:r>
            <w:r>
              <w:rPr>
                <w:rFonts w:hint="default" w:ascii="Times New Roman" w:hAnsi="Times New Roman" w:eastAsia="宋体" w:cs="Times New Roman"/>
                <w:bCs/>
                <w:snapToGrid w:val="0"/>
                <w:color w:val="auto"/>
                <w:sz w:val="21"/>
                <w:szCs w:val="21"/>
                <w:highlight w:val="none"/>
              </w:rPr>
              <w:t>输送管道至</w:t>
            </w:r>
            <w:r>
              <w:rPr>
                <w:rFonts w:hint="eastAsia" w:ascii="Times New Roman" w:hAnsi="Times New Roman" w:eastAsia="宋体" w:cs="Times New Roman"/>
                <w:bCs/>
                <w:snapToGrid w:val="0"/>
                <w:color w:val="auto"/>
                <w:sz w:val="21"/>
                <w:szCs w:val="21"/>
                <w:highlight w:val="none"/>
                <w:lang w:eastAsia="zh-CN"/>
              </w:rPr>
              <w:t>黑膜厌氧池</w:t>
            </w:r>
            <w:r>
              <w:rPr>
                <w:rFonts w:hint="default" w:ascii="Times New Roman" w:hAnsi="Times New Roman" w:eastAsia="宋体" w:cs="Times New Roman"/>
                <w:bCs/>
                <w:snapToGrid w:val="0"/>
                <w:color w:val="auto"/>
                <w:sz w:val="21"/>
                <w:szCs w:val="21"/>
                <w:highlight w:val="none"/>
              </w:rPr>
              <w:t>，厌氧发酵处理，处理后的沼液在非施肥季节于</w:t>
            </w:r>
            <w:r>
              <w:rPr>
                <w:rFonts w:hint="default" w:ascii="Times New Roman" w:hAnsi="Times New Roman" w:eastAsia="宋体" w:cs="Times New Roman"/>
                <w:bCs/>
                <w:snapToGrid w:val="0"/>
                <w:color w:val="auto"/>
                <w:sz w:val="21"/>
                <w:szCs w:val="21"/>
                <w:highlight w:val="none"/>
                <w:lang w:eastAsia="zh-CN"/>
              </w:rPr>
              <w:t>沼液贮存池</w:t>
            </w:r>
            <w:r>
              <w:rPr>
                <w:rFonts w:hint="default" w:ascii="Times New Roman" w:hAnsi="Times New Roman" w:eastAsia="宋体" w:cs="Times New Roman"/>
                <w:bCs/>
                <w:snapToGrid w:val="0"/>
                <w:color w:val="auto"/>
                <w:sz w:val="21"/>
                <w:szCs w:val="21"/>
                <w:highlight w:val="none"/>
              </w:rPr>
              <w:t>储存，施肥季节施用于</w:t>
            </w:r>
            <w:r>
              <w:rPr>
                <w:rFonts w:hint="default" w:ascii="Times New Roman" w:hAnsi="Times New Roman" w:eastAsia="宋体" w:cs="Times New Roman"/>
                <w:bCs/>
                <w:snapToGrid w:val="0"/>
                <w:color w:val="auto"/>
                <w:sz w:val="21"/>
                <w:szCs w:val="21"/>
                <w:highlight w:val="none"/>
                <w:lang w:val="en-US" w:eastAsia="zh-CN"/>
              </w:rPr>
              <w:t>附近</w:t>
            </w:r>
            <w:r>
              <w:rPr>
                <w:rFonts w:hint="default" w:ascii="Times New Roman" w:hAnsi="Times New Roman" w:eastAsia="宋体" w:cs="Times New Roman"/>
                <w:bCs/>
                <w:snapToGrid w:val="0"/>
                <w:color w:val="auto"/>
                <w:sz w:val="21"/>
                <w:szCs w:val="21"/>
                <w:highlight w:val="none"/>
              </w:rPr>
              <w:t>农田，不外排</w:t>
            </w:r>
            <w:r>
              <w:rPr>
                <w:rFonts w:hint="default" w:ascii="Times New Roman" w:hAnsi="Times New Roman" w:eastAsia="宋体" w:cs="Times New Roman"/>
                <w:bCs/>
                <w:snapToGrid w:val="0"/>
                <w:color w:val="auto"/>
                <w:sz w:val="21"/>
                <w:szCs w:val="21"/>
                <w:highlight w:val="none"/>
                <w:lang w:eastAsia="zh-CN"/>
              </w:rPr>
              <w:t>。</w:t>
            </w:r>
          </w:p>
        </w:tc>
        <w:tc>
          <w:tcPr>
            <w:tcW w:w="944" w:type="dxa"/>
            <w:vAlign w:val="center"/>
          </w:tcPr>
          <w:p w14:paraId="02CA7443">
            <w:pPr>
              <w:pStyle w:val="152"/>
              <w:adjustRightInd w:val="0"/>
              <w:snapToGrid w:val="0"/>
              <w:jc w:val="both"/>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kern w:val="0"/>
                <w:sz w:val="21"/>
                <w:szCs w:val="21"/>
                <w:highlight w:val="none"/>
                <w:lang w:val="en-US" w:eastAsia="zh-CN" w:bidi="ar-SA"/>
              </w:rPr>
              <w:t>依托厂区现有项目，新建沼液贮存池</w:t>
            </w:r>
          </w:p>
        </w:tc>
      </w:tr>
      <w:tr w14:paraId="492DC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346340D">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restart"/>
            <w:noWrap/>
            <w:vAlign w:val="center"/>
          </w:tcPr>
          <w:p w14:paraId="2BAED755">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废气</w:t>
            </w:r>
          </w:p>
        </w:tc>
        <w:tc>
          <w:tcPr>
            <w:tcW w:w="1200" w:type="dxa"/>
            <w:vAlign w:val="center"/>
          </w:tcPr>
          <w:p w14:paraId="6241D54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rPr>
              <w:t>猪舍</w:t>
            </w:r>
            <w:r>
              <w:rPr>
                <w:rFonts w:hint="default" w:ascii="Times New Roman" w:hAnsi="Times New Roman" w:eastAsia="宋体" w:cs="Times New Roman"/>
                <w:snapToGrid w:val="0"/>
                <w:color w:val="auto"/>
                <w:sz w:val="21"/>
                <w:szCs w:val="21"/>
                <w:highlight w:val="none"/>
                <w:lang w:val="en-US" w:eastAsia="zh-CN"/>
              </w:rPr>
              <w:t>（配种舍、分娩舍、保育舍、后备舍）</w:t>
            </w:r>
          </w:p>
        </w:tc>
        <w:tc>
          <w:tcPr>
            <w:tcW w:w="4835" w:type="dxa"/>
            <w:vAlign w:val="center"/>
          </w:tcPr>
          <w:p w14:paraId="73124EA7">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bidi="ar"/>
              </w:rPr>
              <w:t>猪舍采用</w:t>
            </w:r>
            <w:r>
              <w:rPr>
                <w:rFonts w:hint="eastAsia" w:ascii="Times New Roman" w:hAnsi="Times New Roman" w:cs="Times New Roman"/>
                <w:snapToGrid w:val="0"/>
                <w:color w:val="auto"/>
                <w:sz w:val="21"/>
                <w:szCs w:val="21"/>
                <w:highlight w:val="none"/>
                <w:lang w:val="en-US" w:eastAsia="zh-CN" w:bidi="ar"/>
              </w:rPr>
              <w:t>尿泡粪—干清粪</w:t>
            </w:r>
            <w:r>
              <w:rPr>
                <w:rFonts w:hint="default" w:ascii="Times New Roman" w:hAnsi="Times New Roman" w:eastAsia="宋体" w:cs="Times New Roman"/>
                <w:snapToGrid w:val="0"/>
                <w:color w:val="auto"/>
                <w:sz w:val="21"/>
                <w:szCs w:val="21"/>
                <w:highlight w:val="none"/>
                <w:lang w:val="en-US" w:eastAsia="zh-CN" w:bidi="ar"/>
              </w:rPr>
              <w:t>的清粪方式，</w:t>
            </w:r>
            <w:r>
              <w:rPr>
                <w:rFonts w:hint="default" w:ascii="Times New Roman" w:hAnsi="Times New Roman" w:cs="Times New Roman"/>
                <w:snapToGrid w:val="0"/>
                <w:color w:val="auto"/>
                <w:sz w:val="21"/>
                <w:szCs w:val="21"/>
                <w:highlight w:val="none"/>
                <w:lang w:val="en-US" w:eastAsia="zh-CN"/>
              </w:rPr>
              <w:t>及时清运粪污；</w:t>
            </w:r>
            <w:r>
              <w:rPr>
                <w:rFonts w:hint="default" w:ascii="Times New Roman" w:hAnsi="Times New Roman" w:eastAsia="宋体" w:cs="Times New Roman"/>
                <w:snapToGrid w:val="0"/>
                <w:color w:val="auto"/>
                <w:sz w:val="21"/>
                <w:szCs w:val="21"/>
                <w:highlight w:val="none"/>
                <w:lang w:val="en-US" w:eastAsia="zh-CN" w:bidi="ar"/>
              </w:rPr>
              <w:t>在日粮中添加EM菌</w:t>
            </w:r>
            <w:r>
              <w:rPr>
                <w:rFonts w:hint="default"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定期喷洒生物除臭剂</w:t>
            </w:r>
            <w:r>
              <w:rPr>
                <w:rFonts w:hint="default" w:ascii="Times New Roman" w:hAnsi="Times New Roman" w:cs="Times New Roman"/>
                <w:snapToGrid w:val="0"/>
                <w:color w:val="auto"/>
                <w:sz w:val="21"/>
                <w:szCs w:val="21"/>
                <w:highlight w:val="none"/>
                <w:lang w:val="en-US" w:eastAsia="zh-CN" w:bidi="ar"/>
              </w:rPr>
              <w:t>等方法减少恶臭气体的排放</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944" w:type="dxa"/>
            <w:vAlign w:val="center"/>
          </w:tcPr>
          <w:p w14:paraId="1E5A33EE">
            <w:pPr>
              <w:adjustRightInd w:val="0"/>
              <w:snapToGrid w:val="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77EC2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B7D6ABC">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52EF896C">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6FC5A129">
            <w:pPr>
              <w:pStyle w:val="152"/>
              <w:adjustRightInd w:val="0"/>
              <w:snapToGrid w:val="0"/>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sz w:val="21"/>
                <w:szCs w:val="21"/>
                <w:highlight w:val="none"/>
                <w:lang w:eastAsia="zh-CN"/>
              </w:rPr>
              <w:t>干粪堆积场</w:t>
            </w:r>
          </w:p>
        </w:tc>
        <w:tc>
          <w:tcPr>
            <w:tcW w:w="4835" w:type="dxa"/>
            <w:vAlign w:val="center"/>
          </w:tcPr>
          <w:p w14:paraId="10941372">
            <w:pPr>
              <w:numPr>
                <w:ilvl w:val="0"/>
                <w:numId w:val="0"/>
              </w:numPr>
              <w:adjustRightInd w:val="0"/>
              <w:snapToGrid w:val="0"/>
              <w:jc w:val="center"/>
              <w:rPr>
                <w:rFonts w:hint="default" w:ascii="Times New Roman" w:hAnsi="Times New Roman" w:eastAsia="宋体" w:cs="Times New Roman"/>
                <w:snapToGrid w:val="0"/>
                <w:color w:val="auto"/>
                <w:sz w:val="21"/>
                <w:szCs w:val="21"/>
                <w:highlight w:val="none"/>
                <w:lang w:val="en-US" w:eastAsia="zh-CN" w:bidi="ar"/>
              </w:rPr>
            </w:pPr>
            <w:r>
              <w:rPr>
                <w:rFonts w:hint="eastAsia" w:ascii="Times New Roman" w:hAnsi="Times New Roman" w:cs="Times New Roman"/>
                <w:snapToGrid w:val="0"/>
                <w:color w:val="auto"/>
                <w:sz w:val="21"/>
                <w:szCs w:val="21"/>
                <w:highlight w:val="none"/>
                <w:lang w:val="en-US" w:eastAsia="zh-CN" w:bidi="ar"/>
              </w:rPr>
              <w:t>干粪堆积场</w:t>
            </w:r>
            <w:r>
              <w:rPr>
                <w:rFonts w:hint="default" w:ascii="Times New Roman" w:hAnsi="Times New Roman" w:eastAsia="宋体" w:cs="Times New Roman"/>
                <w:snapToGrid w:val="0"/>
                <w:color w:val="auto"/>
                <w:sz w:val="21"/>
                <w:szCs w:val="21"/>
                <w:highlight w:val="none"/>
                <w:lang w:val="en-US" w:eastAsia="zh-CN" w:bidi="ar"/>
              </w:rPr>
              <w:t>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cs="Times New Roman"/>
                <w:bCs/>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及时清运固体粪污；采用好氧堆肥方式；</w:t>
            </w:r>
            <w:r>
              <w:rPr>
                <w:rFonts w:hint="default" w:ascii="Times New Roman" w:hAnsi="Times New Roman" w:eastAsia="宋体" w:cs="Times New Roman"/>
                <w:snapToGrid w:val="0"/>
                <w:color w:val="auto"/>
                <w:sz w:val="21"/>
                <w:szCs w:val="21"/>
                <w:highlight w:val="none"/>
                <w:lang w:val="en-US" w:eastAsia="zh-CN" w:bidi="ar"/>
              </w:rPr>
              <w:t>恶臭废气采用负压收集后（收集效率90%）进入活性炭吸附装置净化处理后（处理效率90%）经15米高排气筒排放，废气量为</w:t>
            </w:r>
            <w:r>
              <w:rPr>
                <w:rFonts w:hint="eastAsia" w:ascii="Times New Roman" w:hAnsi="Times New Roman" w:cs="Times New Roman"/>
                <w:snapToGrid w:val="0"/>
                <w:color w:val="auto"/>
                <w:sz w:val="21"/>
                <w:szCs w:val="21"/>
                <w:highlight w:val="none"/>
                <w:lang w:val="en-US" w:eastAsia="zh-CN" w:bidi="ar"/>
              </w:rPr>
              <w:t>5000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3</w:t>
            </w:r>
            <w:r>
              <w:rPr>
                <w:rFonts w:hint="default" w:ascii="Times New Roman" w:hAnsi="Times New Roman" w:eastAsia="宋体" w:cs="Times New Roman"/>
                <w:snapToGrid w:val="0"/>
                <w:color w:val="auto"/>
                <w:sz w:val="21"/>
                <w:szCs w:val="21"/>
                <w:highlight w:val="none"/>
                <w:lang w:val="en-US" w:eastAsia="zh-CN" w:bidi="ar"/>
              </w:rPr>
              <w:t>/h，减少恶臭气体对周围环境的影响。</w:t>
            </w:r>
          </w:p>
          <w:p w14:paraId="72154031">
            <w:pPr>
              <w:numPr>
                <w:ilvl w:val="0"/>
                <w:numId w:val="0"/>
              </w:numPr>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
              </w:rPr>
              <w:t>臭气浓</w:t>
            </w:r>
            <w:r>
              <w:rPr>
                <w:rFonts w:hint="eastAsia" w:ascii="Times New Roman" w:hAnsi="Times New Roman" w:cs="Times New Roman"/>
                <w:snapToGrid w:val="0"/>
                <w:color w:val="auto"/>
                <w:sz w:val="21"/>
                <w:szCs w:val="21"/>
                <w:highlight w:val="none"/>
                <w:lang w:val="en-US" w:eastAsia="zh-CN" w:bidi="ar"/>
              </w:rPr>
              <w:t>度</w:t>
            </w:r>
            <w:r>
              <w:rPr>
                <w:rFonts w:hint="default" w:ascii="Times New Roman" w:hAnsi="Times New Roman" w:eastAsia="宋体" w:cs="Times New Roman"/>
                <w:snapToGrid w:val="0"/>
                <w:color w:val="auto"/>
                <w:sz w:val="21"/>
                <w:szCs w:val="21"/>
                <w:highlight w:val="none"/>
                <w:lang w:val="en-US" w:eastAsia="zh-CN" w:bidi="ar"/>
              </w:rPr>
              <w:t>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944" w:type="dxa"/>
            <w:vAlign w:val="center"/>
          </w:tcPr>
          <w:p w14:paraId="7F06D189">
            <w:pPr>
              <w:pStyle w:val="152"/>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扩建</w:t>
            </w:r>
          </w:p>
        </w:tc>
      </w:tr>
      <w:tr w14:paraId="40F3B5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1B3C3EC">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CF6AD81">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633639FB">
            <w:pPr>
              <w:pStyle w:val="152"/>
              <w:adjustRightInd w:val="0"/>
              <w:snapToGrid w:val="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lang w:val="en-US" w:eastAsia="zh-CN" w:bidi="ar"/>
              </w:rPr>
              <w:t>固液分离间</w:t>
            </w:r>
          </w:p>
        </w:tc>
        <w:tc>
          <w:tcPr>
            <w:tcW w:w="4835" w:type="dxa"/>
            <w:vAlign w:val="center"/>
          </w:tcPr>
          <w:p w14:paraId="65B3A083">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
              </w:rPr>
              <w:t>对处理设施进行封闭，定期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944" w:type="dxa"/>
            <w:vAlign w:val="center"/>
          </w:tcPr>
          <w:p w14:paraId="4F501AE4">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47908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7D520E54">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097FC01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0ACD7BFF">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eastAsia="zh-CN"/>
              </w:rPr>
              <w:t>黑膜厌氧池</w:t>
            </w:r>
            <w:r>
              <w:rPr>
                <w:rFonts w:hint="eastAsia" w:ascii="Times New Roman" w:hAnsi="Times New Roman"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黑膜囊</w:t>
            </w:r>
            <w:r>
              <w:rPr>
                <w:rFonts w:hint="eastAsia" w:ascii="Times New Roman" w:hAnsi="Times New Roman" w:cs="Times New Roman"/>
                <w:snapToGrid w:val="0"/>
                <w:color w:val="auto"/>
                <w:sz w:val="21"/>
                <w:szCs w:val="21"/>
                <w:highlight w:val="none"/>
                <w:lang w:eastAsia="zh-CN"/>
              </w:rPr>
              <w:t>）</w:t>
            </w:r>
          </w:p>
        </w:tc>
        <w:tc>
          <w:tcPr>
            <w:tcW w:w="4835" w:type="dxa"/>
            <w:vAlign w:val="center"/>
          </w:tcPr>
          <w:p w14:paraId="1A6EB293">
            <w:pPr>
              <w:pStyle w:val="2"/>
              <w:numPr>
                <w:ilvl w:val="0"/>
                <w:numId w:val="0"/>
              </w:numPr>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定期喷洒除臭剂</w:t>
            </w:r>
            <w:r>
              <w:rPr>
                <w:rFonts w:hint="default" w:ascii="Times New Roman" w:hAnsi="Times New Roman"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kern w:val="0"/>
                <w:sz w:val="21"/>
                <w:szCs w:val="21"/>
                <w:highlight w:val="none"/>
                <w:lang w:val="en-US" w:eastAsia="zh-CN" w:bidi="ar"/>
              </w:rPr>
              <w:t>黑膜厌氧池</w:t>
            </w:r>
            <w:r>
              <w:rPr>
                <w:rFonts w:hint="default" w:ascii="Times New Roman" w:hAnsi="Times New Roman" w:cs="Times New Roman"/>
                <w:snapToGrid w:val="0"/>
                <w:color w:val="auto"/>
                <w:kern w:val="0"/>
                <w:sz w:val="21"/>
                <w:szCs w:val="21"/>
                <w:highlight w:val="none"/>
                <w:lang w:val="en-US" w:eastAsia="zh-CN" w:bidi="ar"/>
              </w:rPr>
              <w:t>全封闭</w:t>
            </w:r>
            <w:r>
              <w:rPr>
                <w:rFonts w:hint="default" w:ascii="Times New Roman" w:hAnsi="Times New Roman" w:eastAsia="宋体"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。建设黑膜厌氧池沼气燃烧装置</w:t>
            </w:r>
            <w:r>
              <w:rPr>
                <w:rFonts w:hint="eastAsia" w:ascii="Times New Roman" w:cs="Times New Roman"/>
                <w:snapToGrid w:val="0"/>
                <w:color w:val="auto"/>
                <w:sz w:val="21"/>
                <w:szCs w:val="21"/>
                <w:highlight w:val="none"/>
                <w:lang w:val="en-US" w:eastAsia="zh-CN" w:bidi="ar"/>
              </w:rPr>
              <w:t>，沼气燃烧所产生的废气执行《大气污染物综合排放标准》(GB16297-1996)表2二级标准。</w:t>
            </w:r>
          </w:p>
        </w:tc>
        <w:tc>
          <w:tcPr>
            <w:tcW w:w="944" w:type="dxa"/>
            <w:vAlign w:val="center"/>
          </w:tcPr>
          <w:p w14:paraId="796C3FA4">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依托厂区现有项目，新建黑膜厌氧池沼气燃烧装置</w:t>
            </w:r>
          </w:p>
        </w:tc>
      </w:tr>
      <w:tr w14:paraId="36494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1342D796">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7EA5627F">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7062C70C">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沼液贮存池</w:t>
            </w:r>
          </w:p>
        </w:tc>
        <w:tc>
          <w:tcPr>
            <w:tcW w:w="4835" w:type="dxa"/>
            <w:vAlign w:val="center"/>
          </w:tcPr>
          <w:p w14:paraId="0F3E05A0">
            <w:pPr>
              <w:pStyle w:val="2"/>
              <w:numPr>
                <w:ilvl w:val="0"/>
                <w:numId w:val="0"/>
              </w:numPr>
              <w:snapToGrid w:val="0"/>
              <w:jc w:val="center"/>
              <w:rPr>
                <w:rFonts w:hint="default" w:ascii="Times New Roman" w:hAnsi="Times New Roman" w:eastAsia="宋体" w:cs="Times New Roman"/>
                <w:snapToGrid w:val="0"/>
                <w:color w:val="auto"/>
                <w:kern w:val="0"/>
                <w:sz w:val="21"/>
                <w:szCs w:val="21"/>
                <w:highlight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
              </w:rPr>
              <w:t>定期喷洒除臭剂</w:t>
            </w:r>
            <w:r>
              <w:rPr>
                <w:rFonts w:hint="default" w:ascii="Times New Roman" w:hAnsi="Times New Roman"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rPr>
              <w:t>沼液贮存池</w:t>
            </w:r>
            <w:r>
              <w:rPr>
                <w:rFonts w:hint="default" w:ascii="Times New Roman" w:hAnsi="Times New Roman" w:cs="Times New Roman"/>
                <w:snapToGrid w:val="0"/>
                <w:color w:val="auto"/>
                <w:kern w:val="0"/>
                <w:sz w:val="21"/>
                <w:szCs w:val="21"/>
                <w:highlight w:val="none"/>
                <w:lang w:val="en-US" w:eastAsia="zh-CN" w:bidi="ar"/>
              </w:rPr>
              <w:t>全封闭</w:t>
            </w:r>
            <w:r>
              <w:rPr>
                <w:rFonts w:hint="default" w:ascii="Times New Roman" w:hAnsi="Times New Roman" w:eastAsia="宋体"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944" w:type="dxa"/>
            <w:vAlign w:val="center"/>
          </w:tcPr>
          <w:p w14:paraId="6ECF7A0E">
            <w:pPr>
              <w:adjustRightInd w:val="0"/>
              <w:snapToGrid w:val="0"/>
              <w:jc w:val="center"/>
              <w:rPr>
                <w:rFonts w:hint="default"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新建</w:t>
            </w:r>
          </w:p>
        </w:tc>
      </w:tr>
      <w:tr w14:paraId="04BB3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5B19267B">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3BB9CB9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24B6AA1B">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eastAsia="zh-CN" w:bidi="ar"/>
              </w:rPr>
              <w:t>全场</w:t>
            </w:r>
          </w:p>
        </w:tc>
        <w:tc>
          <w:tcPr>
            <w:tcW w:w="4835" w:type="dxa"/>
            <w:vAlign w:val="center"/>
          </w:tcPr>
          <w:p w14:paraId="231F8EB9">
            <w:pPr>
              <w:pStyle w:val="2"/>
              <w:numPr>
                <w:ilvl w:val="0"/>
                <w:numId w:val="0"/>
              </w:numPr>
              <w:snapToGrid w:val="0"/>
              <w:jc w:val="center"/>
              <w:rPr>
                <w:rFonts w:hint="default" w:ascii="Times New Roman" w:hAnsi="Times New Roman" w:eastAsia="宋体" w:cs="Times New Roman"/>
                <w:snapToGrid w:val="0"/>
                <w:color w:val="auto"/>
                <w:kern w:val="0"/>
                <w:sz w:val="21"/>
                <w:szCs w:val="21"/>
                <w:highlight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
              </w:rPr>
              <w:t>固体粪污规范还田利用；场区运输道路全硬化、及时清扫、无积灰扬尘、定期洒水抑尘。</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944" w:type="dxa"/>
            <w:vAlign w:val="center"/>
          </w:tcPr>
          <w:p w14:paraId="77F0BD88">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7DAD9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17CE0F02">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noWrap/>
            <w:vAlign w:val="center"/>
          </w:tcPr>
          <w:p w14:paraId="174DDDAA">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噪声</w:t>
            </w:r>
          </w:p>
        </w:tc>
        <w:tc>
          <w:tcPr>
            <w:tcW w:w="1200" w:type="dxa"/>
            <w:noWrap/>
            <w:vAlign w:val="center"/>
          </w:tcPr>
          <w:p w14:paraId="3A0C6105">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降噪措施</w:t>
            </w:r>
          </w:p>
        </w:tc>
        <w:tc>
          <w:tcPr>
            <w:tcW w:w="4835" w:type="dxa"/>
            <w:vAlign w:val="center"/>
          </w:tcPr>
          <w:p w14:paraId="7011F8F2">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水泵、固液分离机</w:t>
            </w:r>
            <w:r>
              <w:rPr>
                <w:rFonts w:hint="default" w:ascii="Times New Roman" w:hAnsi="Times New Roman" w:eastAsia="宋体" w:cs="Times New Roman"/>
                <w:snapToGrid w:val="0"/>
                <w:color w:val="auto"/>
                <w:sz w:val="21"/>
                <w:szCs w:val="21"/>
                <w:highlight w:val="none"/>
                <w:lang w:eastAsia="zh-CN"/>
              </w:rPr>
              <w:t>等</w:t>
            </w:r>
            <w:r>
              <w:rPr>
                <w:rFonts w:hint="default" w:ascii="Times New Roman" w:hAnsi="Times New Roman" w:eastAsia="宋体" w:cs="Times New Roman"/>
                <w:snapToGrid w:val="0"/>
                <w:color w:val="auto"/>
                <w:sz w:val="21"/>
                <w:szCs w:val="21"/>
                <w:highlight w:val="none"/>
              </w:rPr>
              <w:t>设备采取隔声、减振降噪措施</w:t>
            </w:r>
            <w:r>
              <w:rPr>
                <w:rFonts w:hint="default" w:ascii="Times New Roman" w:hAnsi="Times New Roman" w:eastAsia="宋体" w:cs="Times New Roman"/>
                <w:snapToGrid w:val="0"/>
                <w:color w:val="auto"/>
                <w:sz w:val="21"/>
                <w:szCs w:val="21"/>
                <w:highlight w:val="none"/>
                <w:lang w:eastAsia="zh-CN"/>
              </w:rPr>
              <w:t>。满足</w:t>
            </w:r>
            <w:r>
              <w:rPr>
                <w:rFonts w:hint="default" w:ascii="Times New Roman" w:hAnsi="Times New Roman" w:eastAsia="宋体" w:cs="Times New Roman"/>
                <w:snapToGrid w:val="0"/>
                <w:color w:val="auto"/>
                <w:sz w:val="21"/>
                <w:szCs w:val="21"/>
                <w:highlight w:val="none"/>
              </w:rPr>
              <w:t>《工业企业厂界环境噪声排放标准》（GB12348-2008）</w:t>
            </w:r>
            <w:r>
              <w:rPr>
                <w:rFonts w:hint="default" w:ascii="Times New Roman" w:hAnsi="Times New Roman" w:eastAsia="宋体" w:cs="Times New Roman"/>
                <w:snapToGrid w:val="0"/>
                <w:color w:val="auto"/>
                <w:sz w:val="21"/>
                <w:szCs w:val="21"/>
                <w:highlight w:val="none"/>
                <w:lang w:eastAsia="zh-CN"/>
              </w:rPr>
              <w:t>表1中的</w:t>
            </w:r>
            <w:r>
              <w:rPr>
                <w:rFonts w:hint="eastAsia" w:ascii="Times New Roman" w:hAnsi="Times New Roman" w:cs="Times New Roman"/>
                <w:snapToGrid w:val="0"/>
                <w:color w:val="auto"/>
                <w:sz w:val="21"/>
                <w:szCs w:val="21"/>
                <w:highlight w:val="none"/>
                <w:lang w:val="en-US" w:eastAsia="zh-CN"/>
              </w:rPr>
              <w:t>1类</w:t>
            </w:r>
            <w:r>
              <w:rPr>
                <w:rFonts w:hint="default" w:ascii="Times New Roman" w:hAnsi="Times New Roman" w:eastAsia="宋体" w:cs="Times New Roman"/>
                <w:snapToGrid w:val="0"/>
                <w:color w:val="auto"/>
                <w:sz w:val="21"/>
                <w:szCs w:val="21"/>
                <w:highlight w:val="none"/>
              </w:rPr>
              <w:t>标准</w:t>
            </w:r>
            <w:r>
              <w:rPr>
                <w:rFonts w:hint="default" w:ascii="Times New Roman" w:hAnsi="Times New Roman" w:eastAsia="宋体" w:cs="Times New Roman"/>
                <w:snapToGrid w:val="0"/>
                <w:color w:val="auto"/>
                <w:sz w:val="21"/>
                <w:szCs w:val="21"/>
                <w:highlight w:val="none"/>
                <w:lang w:eastAsia="zh-CN"/>
              </w:rPr>
              <w:t>。</w:t>
            </w:r>
          </w:p>
        </w:tc>
        <w:tc>
          <w:tcPr>
            <w:tcW w:w="944" w:type="dxa"/>
            <w:tcBorders>
              <w:right w:val="nil"/>
            </w:tcBorders>
            <w:vAlign w:val="center"/>
          </w:tcPr>
          <w:p w14:paraId="5A9A257F">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依托厂区现有</w:t>
            </w:r>
          </w:p>
        </w:tc>
        <w:tc>
          <w:tcPr>
            <w:tcW w:w="18" w:type="dxa"/>
            <w:tcBorders>
              <w:left w:val="nil"/>
            </w:tcBorders>
            <w:vAlign w:val="center"/>
          </w:tcPr>
          <w:p w14:paraId="08CB401B">
            <w:pPr>
              <w:pStyle w:val="152"/>
              <w:adjustRightInd w:val="0"/>
              <w:snapToGrid w:val="0"/>
              <w:jc w:val="both"/>
              <w:rPr>
                <w:snapToGrid w:val="0"/>
                <w:sz w:val="21"/>
                <w:szCs w:val="21"/>
                <w:highlight w:val="none"/>
              </w:rPr>
            </w:pPr>
            <w:r>
              <w:rPr>
                <w:rFonts w:hint="eastAsia" w:ascii="Times New Roman" w:hAnsi="Times New Roman" w:cs="Times New Roman"/>
                <w:snapToGrid w:val="0"/>
                <w:color w:val="auto"/>
                <w:sz w:val="21"/>
                <w:szCs w:val="21"/>
                <w:highlight w:val="none"/>
                <w:lang w:val="en-US" w:eastAsia="zh-CN"/>
              </w:rPr>
              <w:t>现有</w:t>
            </w:r>
          </w:p>
        </w:tc>
      </w:tr>
      <w:tr w14:paraId="0AF58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5" w:hRule="atLeast"/>
        </w:trPr>
        <w:tc>
          <w:tcPr>
            <w:tcW w:w="728" w:type="dxa"/>
            <w:vMerge w:val="continue"/>
            <w:vAlign w:val="center"/>
          </w:tcPr>
          <w:p w14:paraId="56685812">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restart"/>
            <w:noWrap/>
            <w:vAlign w:val="center"/>
          </w:tcPr>
          <w:p w14:paraId="1CEAF816">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固体废物</w:t>
            </w:r>
          </w:p>
        </w:tc>
        <w:tc>
          <w:tcPr>
            <w:tcW w:w="1200" w:type="dxa"/>
            <w:vAlign w:val="center"/>
          </w:tcPr>
          <w:p w14:paraId="0E7C620A">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病死猪</w:t>
            </w:r>
            <w:r>
              <w:rPr>
                <w:rFonts w:hint="default" w:ascii="Times New Roman" w:hAnsi="Times New Roman" w:eastAsia="宋体" w:cs="Times New Roman"/>
                <w:snapToGrid w:val="0"/>
                <w:color w:val="auto"/>
                <w:sz w:val="21"/>
                <w:szCs w:val="21"/>
                <w:highlight w:val="none"/>
                <w:lang w:val="en-US" w:eastAsia="zh-CN"/>
              </w:rPr>
              <w:t>及</w:t>
            </w:r>
            <w:r>
              <w:rPr>
                <w:rFonts w:hint="default" w:ascii="Times New Roman" w:hAnsi="Times New Roman" w:eastAsia="宋体" w:cs="Times New Roman"/>
                <w:snapToGrid w:val="0"/>
                <w:color w:val="auto"/>
                <w:sz w:val="21"/>
                <w:szCs w:val="21"/>
                <w:highlight w:val="none"/>
                <w:lang w:eastAsia="zh-CN"/>
              </w:rPr>
              <w:t>胎盘</w:t>
            </w:r>
          </w:p>
        </w:tc>
        <w:tc>
          <w:tcPr>
            <w:tcW w:w="4835" w:type="dxa"/>
            <w:vAlign w:val="center"/>
          </w:tcPr>
          <w:p w14:paraId="37637CD0">
            <w:pPr>
              <w:pStyle w:val="152"/>
              <w:adjustRightInd w:val="0"/>
              <w:snapToGrid w:val="0"/>
              <w:jc w:val="left"/>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bidi="ar"/>
              </w:rPr>
              <w:t>病死猪及胎盘委托</w:t>
            </w:r>
            <w:r>
              <w:rPr>
                <w:rFonts w:hint="eastAsia" w:ascii="Times New Roman" w:hAnsi="Times New Roman" w:cs="Times New Roman"/>
                <w:snapToGrid w:val="0"/>
                <w:color w:val="auto"/>
                <w:sz w:val="21"/>
                <w:szCs w:val="21"/>
                <w:highlight w:val="none"/>
                <w:lang w:val="en-US" w:eastAsia="zh-CN" w:bidi="ar"/>
              </w:rPr>
              <w:t>鸡西市鑫农源固废处理有限公司进行无害化集中处理</w:t>
            </w:r>
            <w:r>
              <w:rPr>
                <w:rFonts w:hint="default" w:ascii="Times New Roman" w:hAnsi="Times New Roman" w:cs="Times New Roman"/>
                <w:snapToGrid w:val="0"/>
                <w:color w:val="auto"/>
                <w:sz w:val="21"/>
                <w:szCs w:val="21"/>
                <w:highlight w:val="none"/>
                <w:lang w:val="en-US" w:eastAsia="zh-CN" w:bidi="ar"/>
              </w:rPr>
              <w:t>。</w:t>
            </w:r>
          </w:p>
        </w:tc>
        <w:tc>
          <w:tcPr>
            <w:tcW w:w="962" w:type="dxa"/>
            <w:gridSpan w:val="2"/>
            <w:vMerge w:val="restart"/>
            <w:vAlign w:val="center"/>
          </w:tcPr>
          <w:p w14:paraId="67FDF3CC">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Cs w:val="21"/>
                <w:highlight w:val="none"/>
              </w:rPr>
              <w:t>处置率100%</w:t>
            </w:r>
          </w:p>
        </w:tc>
      </w:tr>
      <w:tr w14:paraId="601CF8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7" w:hRule="atLeast"/>
        </w:trPr>
        <w:tc>
          <w:tcPr>
            <w:tcW w:w="728" w:type="dxa"/>
            <w:vMerge w:val="continue"/>
            <w:vAlign w:val="center"/>
          </w:tcPr>
          <w:p w14:paraId="1DD81AAE">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44C528E">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069E9D3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生活垃圾</w:t>
            </w:r>
          </w:p>
        </w:tc>
        <w:tc>
          <w:tcPr>
            <w:tcW w:w="4835" w:type="dxa"/>
            <w:vAlign w:val="center"/>
          </w:tcPr>
          <w:p w14:paraId="7FB868F7">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生活垃圾单独收集，由环卫部门定期清运。</w:t>
            </w:r>
          </w:p>
        </w:tc>
        <w:tc>
          <w:tcPr>
            <w:tcW w:w="962" w:type="dxa"/>
            <w:gridSpan w:val="2"/>
            <w:vMerge w:val="continue"/>
            <w:vAlign w:val="center"/>
          </w:tcPr>
          <w:p w14:paraId="20826E3D">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p>
        </w:tc>
      </w:tr>
      <w:tr w14:paraId="5DC2F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728" w:type="dxa"/>
            <w:vMerge w:val="continue"/>
            <w:vAlign w:val="center"/>
          </w:tcPr>
          <w:p w14:paraId="4C93330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170C4D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5C468974">
            <w:pPr>
              <w:pStyle w:val="152"/>
              <w:adjustRightInd w:val="0"/>
              <w:snapToGrid w:val="0"/>
              <w:rPr>
                <w:rFonts w:hint="eastAsia" w:ascii="Times New Roman" w:hAnsi="Times New Roman" w:eastAsia="宋体" w:cs="Times New Roman"/>
                <w:snapToGrid w:val="0"/>
                <w:color w:val="auto"/>
                <w:sz w:val="21"/>
                <w:szCs w:val="21"/>
                <w:highlight w:val="none"/>
                <w:lang w:eastAsia="zh-CN"/>
              </w:rPr>
            </w:pPr>
            <w:r>
              <w:rPr>
                <w:rFonts w:hint="eastAsia" w:ascii="Times New Roman" w:hAnsi="Times New Roman" w:cs="Times New Roman"/>
                <w:snapToGrid w:val="0"/>
                <w:color w:val="auto"/>
                <w:sz w:val="21"/>
                <w:szCs w:val="21"/>
                <w:highlight w:val="none"/>
                <w:lang w:eastAsia="zh-CN"/>
              </w:rPr>
              <w:t>动物医疗废物</w:t>
            </w:r>
          </w:p>
        </w:tc>
        <w:tc>
          <w:tcPr>
            <w:tcW w:w="4835" w:type="dxa"/>
            <w:vAlign w:val="center"/>
          </w:tcPr>
          <w:p w14:paraId="0FCE526C">
            <w:pPr>
              <w:keepNext w:val="0"/>
              <w:keepLines w:val="0"/>
              <w:widowControl/>
              <w:suppressLineNumbers w:val="0"/>
              <w:adjustRightInd w:val="0"/>
              <w:snapToGrid w:val="0"/>
              <w:jc w:val="left"/>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kern w:val="0"/>
                <w:sz w:val="21"/>
                <w:szCs w:val="21"/>
                <w:highlight w:val="none"/>
                <w:lang w:val="en-US" w:eastAsia="zh-CN" w:bidi="ar"/>
              </w:rPr>
              <w:t>动物医疗废物</w:t>
            </w:r>
            <w:r>
              <w:rPr>
                <w:rFonts w:hint="default" w:ascii="Times New Roman" w:hAnsi="Times New Roman" w:cs="Times New Roman"/>
                <w:snapToGrid w:val="0"/>
                <w:color w:val="auto"/>
                <w:kern w:val="0"/>
                <w:sz w:val="21"/>
                <w:szCs w:val="21"/>
                <w:highlight w:val="none"/>
                <w:lang w:val="en-US" w:eastAsia="zh-CN" w:bidi="ar"/>
              </w:rPr>
              <w:t>交由有资质单位处置。</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962" w:type="dxa"/>
            <w:gridSpan w:val="2"/>
            <w:vMerge w:val="continue"/>
            <w:vAlign w:val="center"/>
          </w:tcPr>
          <w:p w14:paraId="33064E38">
            <w:pPr>
              <w:adjustRightInd w:val="0"/>
              <w:snapToGrid w:val="0"/>
              <w:jc w:val="center"/>
              <w:rPr>
                <w:rFonts w:hint="default" w:ascii="Times New Roman" w:hAnsi="Times New Roman" w:eastAsia="宋体" w:cs="Times New Roman"/>
                <w:snapToGrid w:val="0"/>
                <w:color w:val="auto"/>
                <w:sz w:val="21"/>
                <w:szCs w:val="21"/>
                <w:highlight w:val="none"/>
              </w:rPr>
            </w:pPr>
          </w:p>
        </w:tc>
      </w:tr>
      <w:tr w14:paraId="12C29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1" w:hRule="atLeast"/>
        </w:trPr>
        <w:tc>
          <w:tcPr>
            <w:tcW w:w="728" w:type="dxa"/>
            <w:vMerge w:val="continue"/>
            <w:vAlign w:val="center"/>
          </w:tcPr>
          <w:p w14:paraId="70D101D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369679B">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7B8699EC">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沼渣</w:t>
            </w:r>
          </w:p>
        </w:tc>
        <w:tc>
          <w:tcPr>
            <w:tcW w:w="4835" w:type="dxa"/>
            <w:vAlign w:val="center"/>
          </w:tcPr>
          <w:p w14:paraId="1DB37141">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kern w:val="0"/>
                <w:sz w:val="21"/>
                <w:szCs w:val="21"/>
                <w:highlight w:val="none"/>
                <w:lang w:val="zh-CN" w:eastAsia="zh-CN" w:bidi="ar-SA"/>
              </w:rPr>
              <w:t>干粪堆积场</w:t>
            </w:r>
            <w:r>
              <w:rPr>
                <w:rFonts w:hint="default" w:ascii="Times New Roman" w:hAnsi="Times New Roman" w:eastAsia="宋体" w:cs="Times New Roman"/>
                <w:snapToGrid w:val="0"/>
                <w:color w:val="auto"/>
                <w:kern w:val="0"/>
                <w:sz w:val="21"/>
                <w:szCs w:val="21"/>
                <w:highlight w:val="none"/>
                <w:lang w:val="zh-CN" w:eastAsia="zh-CN" w:bidi="ar-SA"/>
              </w:rPr>
              <w:t>堆肥</w:t>
            </w:r>
            <w:r>
              <w:rPr>
                <w:rFonts w:hint="eastAsia" w:ascii="Times New Roman" w:hAnsi="Times New Roman" w:eastAsia="宋体" w:cs="Times New Roman"/>
                <w:snapToGrid w:val="0"/>
                <w:color w:val="auto"/>
                <w:kern w:val="0"/>
                <w:sz w:val="21"/>
                <w:szCs w:val="21"/>
                <w:highlight w:val="none"/>
                <w:lang w:val="en-US" w:eastAsia="zh-CN" w:bidi="ar-SA"/>
              </w:rPr>
              <w:t>后用于周边农户农田</w:t>
            </w:r>
            <w:r>
              <w:rPr>
                <w:rFonts w:hint="default" w:ascii="Times New Roman" w:hAnsi="Times New Roman" w:eastAsia="宋体" w:cs="Times New Roman"/>
                <w:snapToGrid w:val="0"/>
                <w:color w:val="auto"/>
                <w:kern w:val="0"/>
                <w:sz w:val="21"/>
                <w:szCs w:val="21"/>
                <w:highlight w:val="none"/>
                <w:lang w:val="zh-CN" w:eastAsia="zh-CN" w:bidi="ar-SA"/>
              </w:rPr>
              <w:t>。</w:t>
            </w:r>
          </w:p>
        </w:tc>
        <w:tc>
          <w:tcPr>
            <w:tcW w:w="962" w:type="dxa"/>
            <w:gridSpan w:val="2"/>
            <w:vMerge w:val="continue"/>
            <w:vAlign w:val="center"/>
          </w:tcPr>
          <w:p w14:paraId="32CE199A">
            <w:pPr>
              <w:pStyle w:val="152"/>
              <w:adjustRightInd w:val="0"/>
              <w:snapToGrid w:val="0"/>
              <w:rPr>
                <w:rFonts w:hint="default" w:ascii="Times New Roman" w:hAnsi="Times New Roman" w:eastAsia="宋体" w:cs="Times New Roman"/>
                <w:snapToGrid w:val="0"/>
                <w:color w:val="auto"/>
                <w:sz w:val="21"/>
                <w:szCs w:val="21"/>
                <w:highlight w:val="none"/>
              </w:rPr>
            </w:pPr>
          </w:p>
        </w:tc>
      </w:tr>
      <w:tr w14:paraId="0511D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7C366746">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54385A1">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061B9A41">
            <w:pPr>
              <w:adjustRightInd w:val="0"/>
              <w:snapToGrid w:val="0"/>
              <w:ind w:left="0" w:leftChars="0" w:firstLine="0" w:firstLineChars="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猪粪</w:t>
            </w:r>
          </w:p>
        </w:tc>
        <w:tc>
          <w:tcPr>
            <w:tcW w:w="4835" w:type="dxa"/>
            <w:vAlign w:val="center"/>
          </w:tcPr>
          <w:p w14:paraId="3E93B5BD">
            <w:pPr>
              <w:adjustRightInd w:val="0"/>
              <w:snapToGrid w:val="0"/>
              <w:ind w:left="0" w:leftChars="0" w:firstLine="0" w:firstLineChars="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kern w:val="0"/>
                <w:sz w:val="21"/>
                <w:szCs w:val="21"/>
                <w:highlight w:val="none"/>
                <w:lang w:val="zh-CN" w:eastAsia="zh-CN" w:bidi="ar-SA"/>
              </w:rPr>
              <w:t>采用尿泡粪—干清粪方式进行清粪，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施肥季节用于配套消纳地进行施肥，非施肥季节储存于干粪堆积场内。</w:t>
            </w:r>
          </w:p>
        </w:tc>
        <w:tc>
          <w:tcPr>
            <w:tcW w:w="962" w:type="dxa"/>
            <w:gridSpan w:val="2"/>
            <w:vMerge w:val="continue"/>
            <w:vAlign w:val="center"/>
          </w:tcPr>
          <w:p w14:paraId="58D8DBE4">
            <w:pPr>
              <w:pStyle w:val="152"/>
              <w:adjustRightInd w:val="0"/>
              <w:snapToGrid w:val="0"/>
              <w:rPr>
                <w:rFonts w:hint="default" w:ascii="Times New Roman" w:hAnsi="Times New Roman" w:eastAsia="宋体" w:cs="Times New Roman"/>
                <w:snapToGrid w:val="0"/>
                <w:color w:val="auto"/>
                <w:sz w:val="21"/>
                <w:szCs w:val="21"/>
                <w:highlight w:val="none"/>
              </w:rPr>
            </w:pPr>
          </w:p>
        </w:tc>
      </w:tr>
      <w:tr w14:paraId="6DCC6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7D40448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0CA4983">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6EA11F61">
            <w:pPr>
              <w:adjustRightInd w:val="0"/>
              <w:snapToGrid w:val="0"/>
              <w:jc w:val="center"/>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废除臭剂桶</w:t>
            </w:r>
          </w:p>
        </w:tc>
        <w:tc>
          <w:tcPr>
            <w:tcW w:w="4835" w:type="dxa"/>
            <w:vAlign w:val="center"/>
          </w:tcPr>
          <w:p w14:paraId="13952C19">
            <w:pPr>
              <w:adjustRightInd w:val="0"/>
              <w:snapToGrid w:val="0"/>
              <w:jc w:val="left"/>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定期由厂家回收利用</w:t>
            </w:r>
            <w:r>
              <w:rPr>
                <w:rFonts w:hint="eastAsia" w:ascii="Times New Roman" w:hAnsi="Times New Roman" w:cs="Times New Roman"/>
                <w:snapToGrid w:val="0"/>
                <w:color w:val="auto"/>
                <w:sz w:val="21"/>
                <w:szCs w:val="21"/>
                <w:highlight w:val="none"/>
                <w:lang w:val="en-US" w:eastAsia="zh-CN"/>
              </w:rPr>
              <w:t>。</w:t>
            </w:r>
          </w:p>
        </w:tc>
        <w:tc>
          <w:tcPr>
            <w:tcW w:w="962" w:type="dxa"/>
            <w:gridSpan w:val="2"/>
            <w:vMerge w:val="continue"/>
            <w:vAlign w:val="top"/>
          </w:tcPr>
          <w:p w14:paraId="1E8AD6A3">
            <w:pPr>
              <w:pStyle w:val="152"/>
              <w:adjustRightInd w:val="0"/>
              <w:snapToGrid w:val="0"/>
              <w:jc w:val="both"/>
              <w:rPr>
                <w:rFonts w:hint="default" w:ascii="Times New Roman" w:hAnsi="Times New Roman" w:eastAsia="宋体" w:cs="Times New Roman"/>
                <w:snapToGrid w:val="0"/>
                <w:color w:val="auto"/>
                <w:sz w:val="21"/>
                <w:szCs w:val="21"/>
                <w:highlight w:val="none"/>
              </w:rPr>
            </w:pPr>
          </w:p>
        </w:tc>
      </w:tr>
      <w:tr w14:paraId="00926E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55D9EBC0">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DEC174E">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28D93E03">
            <w:pPr>
              <w:adjustRightInd w:val="0"/>
              <w:snapToGrid w:val="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废活性炭</w:t>
            </w:r>
          </w:p>
        </w:tc>
        <w:tc>
          <w:tcPr>
            <w:tcW w:w="4835" w:type="dxa"/>
            <w:vAlign w:val="center"/>
          </w:tcPr>
          <w:p w14:paraId="52C71F90">
            <w:pPr>
              <w:adjustRightInd w:val="0"/>
              <w:snapToGrid w:val="0"/>
              <w:jc w:val="left"/>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定期由厂家回收</w:t>
            </w:r>
            <w:r>
              <w:rPr>
                <w:rFonts w:hint="eastAsia" w:ascii="Times New Roman" w:hAnsi="Times New Roman" w:cs="Times New Roman"/>
                <w:snapToGrid w:val="0"/>
                <w:color w:val="auto"/>
                <w:sz w:val="21"/>
                <w:szCs w:val="21"/>
                <w:highlight w:val="none"/>
                <w:lang w:val="en-US" w:eastAsia="zh-CN"/>
              </w:rPr>
              <w:t>处置。</w:t>
            </w:r>
          </w:p>
        </w:tc>
        <w:tc>
          <w:tcPr>
            <w:tcW w:w="962" w:type="dxa"/>
            <w:gridSpan w:val="2"/>
            <w:vMerge w:val="continue"/>
            <w:vAlign w:val="top"/>
          </w:tcPr>
          <w:p w14:paraId="6CF07472">
            <w:pPr>
              <w:pStyle w:val="152"/>
              <w:adjustRightInd w:val="0"/>
              <w:snapToGrid w:val="0"/>
              <w:jc w:val="both"/>
              <w:rPr>
                <w:rFonts w:hint="default" w:ascii="Times New Roman" w:hAnsi="Times New Roman" w:eastAsia="宋体" w:cs="Times New Roman"/>
                <w:snapToGrid w:val="0"/>
                <w:color w:val="auto"/>
                <w:sz w:val="21"/>
                <w:szCs w:val="21"/>
                <w:highlight w:val="none"/>
              </w:rPr>
            </w:pPr>
          </w:p>
        </w:tc>
      </w:tr>
      <w:tr w14:paraId="5E8147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79" w:hRule="atLeast"/>
        </w:trPr>
        <w:tc>
          <w:tcPr>
            <w:tcW w:w="728" w:type="dxa"/>
            <w:vMerge w:val="continue"/>
            <w:vAlign w:val="center"/>
          </w:tcPr>
          <w:p w14:paraId="2FDAD7C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F5B056C">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2A300596">
            <w:pPr>
              <w:adjustRightInd w:val="0"/>
              <w:snapToGrid w:val="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废脱硫剂</w:t>
            </w:r>
          </w:p>
        </w:tc>
        <w:tc>
          <w:tcPr>
            <w:tcW w:w="4835" w:type="dxa"/>
            <w:vAlign w:val="center"/>
          </w:tcPr>
          <w:p w14:paraId="09B2D4CB">
            <w:pPr>
              <w:adjustRightInd w:val="0"/>
              <w:snapToGrid w:val="0"/>
              <w:jc w:val="left"/>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由厂家回收</w:t>
            </w:r>
            <w:r>
              <w:rPr>
                <w:rFonts w:hint="eastAsia" w:ascii="Times New Roman" w:hAnsi="Times New Roman" w:cs="Times New Roman"/>
                <w:snapToGrid w:val="0"/>
                <w:color w:val="auto"/>
                <w:sz w:val="21"/>
                <w:szCs w:val="21"/>
                <w:highlight w:val="none"/>
                <w:lang w:val="en-US" w:eastAsia="zh-CN"/>
              </w:rPr>
              <w:t>。</w:t>
            </w:r>
          </w:p>
        </w:tc>
        <w:tc>
          <w:tcPr>
            <w:tcW w:w="962" w:type="dxa"/>
            <w:gridSpan w:val="2"/>
            <w:vMerge w:val="continue"/>
            <w:vAlign w:val="top"/>
          </w:tcPr>
          <w:p w14:paraId="34041A7C">
            <w:pPr>
              <w:pStyle w:val="152"/>
              <w:adjustRightInd w:val="0"/>
              <w:snapToGrid w:val="0"/>
              <w:jc w:val="both"/>
              <w:rPr>
                <w:rFonts w:hint="default" w:ascii="Times New Roman" w:hAnsi="Times New Roman" w:eastAsia="宋体" w:cs="Times New Roman"/>
                <w:snapToGrid w:val="0"/>
                <w:color w:val="auto"/>
                <w:sz w:val="21"/>
                <w:szCs w:val="21"/>
                <w:highlight w:val="none"/>
              </w:rPr>
            </w:pPr>
          </w:p>
        </w:tc>
      </w:tr>
      <w:tr w14:paraId="2A7225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4" w:hRule="atLeast"/>
        </w:trPr>
        <w:tc>
          <w:tcPr>
            <w:tcW w:w="728" w:type="dxa"/>
            <w:vMerge w:val="continue"/>
            <w:vAlign w:val="center"/>
          </w:tcPr>
          <w:p w14:paraId="03A17A9D">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restart"/>
            <w:noWrap/>
            <w:vAlign w:val="center"/>
          </w:tcPr>
          <w:p w14:paraId="60C3BDE7">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地下水防治</w:t>
            </w:r>
          </w:p>
        </w:tc>
        <w:tc>
          <w:tcPr>
            <w:tcW w:w="1200" w:type="dxa"/>
            <w:vMerge w:val="restart"/>
            <w:vAlign w:val="center"/>
          </w:tcPr>
          <w:p w14:paraId="34A01A3A">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bidi="ar"/>
              </w:rPr>
              <w:t>防渗工程</w:t>
            </w:r>
          </w:p>
        </w:tc>
        <w:tc>
          <w:tcPr>
            <w:tcW w:w="4835" w:type="dxa"/>
            <w:tcBorders>
              <w:bottom w:val="single" w:color="000000" w:sz="4" w:space="0"/>
            </w:tcBorders>
            <w:vAlign w:val="center"/>
          </w:tcPr>
          <w:p w14:paraId="0A60661F">
            <w:pPr>
              <w:pStyle w:val="152"/>
              <w:adjustRightInd w:val="0"/>
              <w:snapToGrid w:val="0"/>
              <w:jc w:val="left"/>
              <w:rPr>
                <w:rFonts w:hint="eastAsia" w:ascii="Times New Roman" w:hAnsi="Times New Roman"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bidi="ar"/>
              </w:rPr>
              <w:t>①</w:t>
            </w:r>
            <w:r>
              <w:rPr>
                <w:rFonts w:hint="eastAsia" w:ascii="Times New Roman" w:hAnsi="Times New Roman" w:cs="Times New Roman"/>
                <w:snapToGrid w:val="0"/>
                <w:color w:val="auto"/>
                <w:sz w:val="21"/>
                <w:szCs w:val="21"/>
                <w:highlight w:val="none"/>
                <w:lang w:val="en-US" w:eastAsia="zh-CN" w:bidi="ar"/>
              </w:rPr>
              <w:t>黑膜厌氧池、沼液贮存池、医疗废物暂存间防渗措施为高密度聚乙烯（HDPE）防渗膜（渗透系数K≤10</w:t>
            </w:r>
            <w:r>
              <w:rPr>
                <w:rFonts w:hint="eastAsia" w:ascii="Times New Roman" w:hAnsi="Times New Roman" w:cs="Times New Roman"/>
                <w:snapToGrid w:val="0"/>
                <w:color w:val="auto"/>
                <w:sz w:val="21"/>
                <w:szCs w:val="21"/>
                <w:highlight w:val="none"/>
                <w:vertAlign w:val="superscript"/>
                <w:lang w:val="en-US" w:eastAsia="zh-CN" w:bidi="ar"/>
              </w:rPr>
              <w:t>-12</w:t>
            </w:r>
            <w:r>
              <w:rPr>
                <w:rFonts w:hint="eastAsia" w:ascii="Times New Roman" w:hAnsi="Times New Roman" w:cs="Times New Roman"/>
                <w:snapToGrid w:val="0"/>
                <w:color w:val="auto"/>
                <w:sz w:val="21"/>
                <w:szCs w:val="21"/>
                <w:highlight w:val="none"/>
                <w:lang w:val="en-US" w:eastAsia="zh-CN" w:bidi="ar"/>
              </w:rPr>
              <w:t>cm/s，等效黏土防渗层Mb≥6.0m），满足《环境影响评价技术导则 地下水环境》（HJ610-2016）的防渗要求。</w:t>
            </w:r>
          </w:p>
          <w:p w14:paraId="65BAD50F">
            <w:pPr>
              <w:pStyle w:val="152"/>
              <w:adjustRightInd w:val="0"/>
              <w:snapToGrid w:val="0"/>
              <w:jc w:val="left"/>
              <w:rPr>
                <w:rFonts w:hint="default" w:ascii="Times New Roman" w:hAnsi="Times New Roman" w:cs="Times New Roman"/>
                <w:snapToGrid w:val="0"/>
                <w:color w:val="auto"/>
                <w:sz w:val="21"/>
                <w:szCs w:val="21"/>
                <w:highlight w:val="none"/>
                <w:lang w:val="en-US" w:bidi="ar"/>
              </w:rPr>
            </w:pPr>
            <w:r>
              <w:rPr>
                <w:rFonts w:hint="eastAsia" w:ascii="Times New Roman" w:hAnsi="Times New Roman" w:cs="Times New Roman"/>
                <w:snapToGrid w:val="0"/>
                <w:color w:val="auto"/>
                <w:sz w:val="21"/>
                <w:szCs w:val="21"/>
                <w:highlight w:val="none"/>
                <w:lang w:val="en-US" w:eastAsia="zh-CN" w:bidi="ar"/>
              </w:rPr>
              <w:t>医疗废物暂存间应采取防风、防雨、防晒、防渗、防漏和防止危险废物流失、扬散等措施。</w:t>
            </w:r>
          </w:p>
          <w:p w14:paraId="0A7A5EBB">
            <w:pPr>
              <w:pStyle w:val="152"/>
              <w:adjustRightInd w:val="0"/>
              <w:snapToGrid w:val="0"/>
              <w:jc w:val="left"/>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bidi="ar"/>
              </w:rPr>
              <w:fldChar w:fldCharType="begin"/>
            </w:r>
            <w:r>
              <w:rPr>
                <w:rFonts w:hint="default" w:ascii="Times New Roman" w:hAnsi="Times New Roman" w:cs="Times New Roman"/>
                <w:snapToGrid w:val="0"/>
                <w:color w:val="auto"/>
                <w:sz w:val="21"/>
                <w:szCs w:val="21"/>
                <w:highlight w:val="none"/>
                <w:lang w:val="en-US" w:bidi="ar"/>
              </w:rPr>
              <w:instrText xml:space="preserve"> = 2 \* GB3 </w:instrText>
            </w:r>
            <w:r>
              <w:rPr>
                <w:rFonts w:hint="default" w:ascii="Times New Roman" w:hAnsi="Times New Roman" w:cs="Times New Roman"/>
                <w:snapToGrid w:val="0"/>
                <w:color w:val="auto"/>
                <w:sz w:val="21"/>
                <w:szCs w:val="21"/>
                <w:highlight w:val="none"/>
                <w:lang w:val="en-US" w:bidi="ar"/>
              </w:rPr>
              <w:fldChar w:fldCharType="separate"/>
            </w:r>
            <w:r>
              <w:rPr>
                <w:rFonts w:hint="default" w:ascii="Times New Roman" w:hAnsi="Times New Roman" w:cs="Times New Roman"/>
                <w:snapToGrid w:val="0"/>
                <w:color w:val="auto"/>
                <w:sz w:val="21"/>
                <w:szCs w:val="21"/>
                <w:highlight w:val="none"/>
                <w:lang w:val="en-US" w:bidi="ar"/>
              </w:rPr>
              <w:t>②</w:t>
            </w:r>
            <w:r>
              <w:rPr>
                <w:rFonts w:hint="default" w:ascii="Times New Roman" w:hAnsi="Times New Roman" w:cs="Times New Roman"/>
                <w:snapToGrid w:val="0"/>
                <w:color w:val="auto"/>
                <w:sz w:val="21"/>
                <w:szCs w:val="21"/>
                <w:highlight w:val="none"/>
                <w:lang w:val="en-US" w:bidi="ar"/>
              </w:rPr>
              <w:fldChar w:fldCharType="end"/>
            </w:r>
            <w:r>
              <w:rPr>
                <w:rFonts w:hint="default" w:ascii="Times New Roman" w:hAnsi="Times New Roman" w:cs="Times New Roman"/>
                <w:snapToGrid w:val="0"/>
                <w:color w:val="auto"/>
                <w:sz w:val="21"/>
                <w:szCs w:val="21"/>
                <w:highlight w:val="none"/>
                <w:lang w:val="en-US" w:bidi="ar"/>
              </w:rPr>
              <w:t>猪舍</w:t>
            </w:r>
            <w:r>
              <w:rPr>
                <w:rFonts w:hint="eastAsia" w:ascii="Times New Roman" w:hAnsi="Times New Roman" w:cs="Times New Roman"/>
                <w:snapToGrid w:val="0"/>
                <w:color w:val="auto"/>
                <w:sz w:val="21"/>
                <w:szCs w:val="21"/>
                <w:highlight w:val="none"/>
                <w:lang w:val="en-US" w:eastAsia="zh-CN" w:bidi="ar"/>
              </w:rPr>
              <w:t>（配种舍、分娩舍、保育舍、后备舍）</w:t>
            </w:r>
            <w:r>
              <w:rPr>
                <w:rFonts w:hint="default" w:ascii="Times New Roman" w:hAnsi="Times New Roman" w:cs="Times New Roman"/>
                <w:snapToGrid w:val="0"/>
                <w:color w:val="auto"/>
                <w:sz w:val="21"/>
                <w:szCs w:val="21"/>
                <w:highlight w:val="none"/>
                <w:lang w:val="en-US" w:bidi="ar"/>
              </w:rPr>
              <w:t>、</w:t>
            </w:r>
            <w:r>
              <w:rPr>
                <w:rFonts w:hint="eastAsia" w:ascii="Times New Roman" w:hAnsi="Times New Roman" w:cs="Times New Roman"/>
                <w:snapToGrid w:val="0"/>
                <w:color w:val="auto"/>
                <w:sz w:val="21"/>
                <w:szCs w:val="21"/>
                <w:highlight w:val="none"/>
                <w:lang w:val="en-US" w:eastAsia="zh-CN" w:bidi="ar"/>
              </w:rPr>
              <w:t>干粪堆积场</w:t>
            </w:r>
            <w:r>
              <w:rPr>
                <w:rFonts w:hint="default" w:ascii="Times New Roman" w:hAnsi="Times New Roman" w:cs="Times New Roman"/>
                <w:snapToGrid w:val="0"/>
                <w:color w:val="auto"/>
                <w:sz w:val="21"/>
                <w:szCs w:val="21"/>
                <w:highlight w:val="none"/>
                <w:lang w:val="en-US" w:eastAsia="zh-CN" w:bidi="ar"/>
              </w:rPr>
              <w:t>为</w:t>
            </w:r>
            <w:r>
              <w:rPr>
                <w:rFonts w:hint="default" w:ascii="Times New Roman" w:hAnsi="Times New Roman" w:cs="Times New Roman"/>
                <w:snapToGrid w:val="0"/>
                <w:color w:val="auto"/>
                <w:sz w:val="21"/>
                <w:szCs w:val="21"/>
                <w:highlight w:val="none"/>
                <w:lang w:val="en-US" w:bidi="ar"/>
              </w:rPr>
              <w:t>一般防渗区</w:t>
            </w:r>
            <w:r>
              <w:rPr>
                <w:rFonts w:hint="default" w:ascii="Times New Roman" w:hAnsi="Times New Roman" w:cs="Times New Roman"/>
                <w:snapToGrid w:val="0"/>
                <w:color w:val="auto"/>
                <w:sz w:val="21"/>
                <w:szCs w:val="21"/>
                <w:highlight w:val="none"/>
                <w:lang w:val="en-US" w:eastAsia="zh-CN" w:bidi="ar"/>
              </w:rPr>
              <w:t>，</w:t>
            </w:r>
            <w:r>
              <w:rPr>
                <w:rFonts w:hint="eastAsia" w:ascii="Times New Roman" w:hAnsi="Times New Roman" w:cs="Times New Roman"/>
                <w:snapToGrid w:val="0"/>
                <w:color w:val="auto"/>
                <w:sz w:val="21"/>
                <w:szCs w:val="21"/>
                <w:highlight w:val="none"/>
                <w:lang w:val="en-US" w:eastAsia="zh-CN" w:bidi="ar"/>
              </w:rPr>
              <w:t>地面及墙面采用水泥混凝土防渗，等效黏土防渗层Mb≥1.5m，K≤1.0×10</w:t>
            </w:r>
            <w:r>
              <w:rPr>
                <w:rFonts w:hint="eastAsia" w:ascii="Times New Roman" w:hAnsi="Times New Roman" w:cs="Times New Roman"/>
                <w:snapToGrid w:val="0"/>
                <w:color w:val="auto"/>
                <w:sz w:val="21"/>
                <w:szCs w:val="21"/>
                <w:highlight w:val="none"/>
                <w:vertAlign w:val="superscript"/>
                <w:lang w:val="en-US" w:eastAsia="zh-CN" w:bidi="ar"/>
              </w:rPr>
              <w:t>-7</w:t>
            </w:r>
            <w:r>
              <w:rPr>
                <w:rFonts w:hint="eastAsia" w:ascii="Times New Roman" w:hAnsi="Times New Roman" w:cs="Times New Roman"/>
                <w:snapToGrid w:val="0"/>
                <w:color w:val="auto"/>
                <w:sz w:val="21"/>
                <w:szCs w:val="21"/>
                <w:highlight w:val="none"/>
                <w:lang w:val="en-US" w:eastAsia="zh-CN" w:bidi="ar"/>
              </w:rPr>
              <w:t>cm/s满足《环境影响评价技术导则 地下水环境》（HJ610-2016）的防渗要求。</w:t>
            </w:r>
          </w:p>
          <w:p w14:paraId="4A50BC73">
            <w:pPr>
              <w:pStyle w:val="152"/>
              <w:adjustRightInd w:val="0"/>
              <w:snapToGrid w:val="0"/>
              <w:jc w:val="left"/>
              <w:rPr>
                <w:rFonts w:hint="default" w:ascii="Times New Roman" w:hAnsi="Times New Roman"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bidi="ar"/>
              </w:rPr>
              <w:fldChar w:fldCharType="begin"/>
            </w:r>
            <w:r>
              <w:rPr>
                <w:rFonts w:hint="default" w:ascii="Times New Roman" w:hAnsi="Times New Roman" w:cs="Times New Roman"/>
                <w:snapToGrid w:val="0"/>
                <w:color w:val="auto"/>
                <w:sz w:val="21"/>
                <w:szCs w:val="21"/>
                <w:highlight w:val="none"/>
                <w:lang w:val="en-US" w:bidi="ar"/>
              </w:rPr>
              <w:instrText xml:space="preserve"> = 3 \* GB3 </w:instrText>
            </w:r>
            <w:r>
              <w:rPr>
                <w:rFonts w:hint="default" w:ascii="Times New Roman" w:hAnsi="Times New Roman" w:cs="Times New Roman"/>
                <w:snapToGrid w:val="0"/>
                <w:color w:val="auto"/>
                <w:sz w:val="21"/>
                <w:szCs w:val="21"/>
                <w:highlight w:val="none"/>
                <w:lang w:val="en-US" w:bidi="ar"/>
              </w:rPr>
              <w:fldChar w:fldCharType="separate"/>
            </w:r>
            <w:r>
              <w:rPr>
                <w:rFonts w:hint="default" w:ascii="Times New Roman" w:hAnsi="Times New Roman" w:cs="Times New Roman"/>
                <w:snapToGrid w:val="0"/>
                <w:color w:val="auto"/>
                <w:sz w:val="21"/>
                <w:szCs w:val="21"/>
                <w:highlight w:val="none"/>
                <w:lang w:val="en-US" w:bidi="ar"/>
              </w:rPr>
              <w:t>③</w:t>
            </w:r>
            <w:r>
              <w:rPr>
                <w:rFonts w:hint="default" w:ascii="Times New Roman" w:hAnsi="Times New Roman" w:cs="Times New Roman"/>
                <w:snapToGrid w:val="0"/>
                <w:color w:val="auto"/>
                <w:sz w:val="21"/>
                <w:szCs w:val="21"/>
                <w:highlight w:val="none"/>
                <w:lang w:val="en-US" w:bidi="ar"/>
              </w:rPr>
              <w:fldChar w:fldCharType="end"/>
            </w:r>
            <w:r>
              <w:rPr>
                <w:rFonts w:hint="default" w:ascii="Times New Roman" w:hAnsi="Times New Roman" w:cs="Times New Roman"/>
                <w:snapToGrid w:val="0"/>
                <w:color w:val="auto"/>
                <w:sz w:val="21"/>
                <w:szCs w:val="21"/>
                <w:highlight w:val="none"/>
                <w:lang w:val="en-US" w:bidi="ar"/>
              </w:rPr>
              <w:t>其他建筑物及道路采取简单防渗，地面</w:t>
            </w:r>
            <w:r>
              <w:rPr>
                <w:rFonts w:hint="default" w:ascii="Times New Roman" w:hAnsi="Times New Roman" w:cs="Times New Roman"/>
                <w:snapToGrid w:val="0"/>
                <w:color w:val="auto"/>
                <w:sz w:val="21"/>
                <w:szCs w:val="21"/>
                <w:highlight w:val="none"/>
                <w:lang w:val="en-US" w:eastAsia="zh-CN" w:bidi="ar"/>
              </w:rPr>
              <w:t>均用水泥进行一般地面硬化。</w:t>
            </w:r>
          </w:p>
        </w:tc>
        <w:tc>
          <w:tcPr>
            <w:tcW w:w="962" w:type="dxa"/>
            <w:gridSpan w:val="2"/>
            <w:tcBorders>
              <w:bottom w:val="single" w:color="000000" w:sz="4" w:space="0"/>
            </w:tcBorders>
            <w:vAlign w:val="center"/>
          </w:tcPr>
          <w:p w14:paraId="0E9007A5">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3EFC5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728" w:type="dxa"/>
            <w:vMerge w:val="continue"/>
            <w:vAlign w:val="center"/>
          </w:tcPr>
          <w:p w14:paraId="691640EF">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1D7EFCD">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Merge w:val="continue"/>
            <w:vAlign w:val="center"/>
          </w:tcPr>
          <w:p w14:paraId="239F93FB">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p>
        </w:tc>
        <w:tc>
          <w:tcPr>
            <w:tcW w:w="4835" w:type="dxa"/>
            <w:tcBorders>
              <w:top w:val="single" w:color="000000" w:sz="4" w:space="0"/>
              <w:bottom w:val="single" w:color="000000" w:sz="4" w:space="0"/>
            </w:tcBorders>
            <w:vAlign w:val="center"/>
          </w:tcPr>
          <w:p w14:paraId="2E789932">
            <w:pPr>
              <w:pStyle w:val="152"/>
              <w:adjustRightInd w:val="0"/>
              <w:snapToGrid w:val="0"/>
              <w:jc w:val="left"/>
              <w:rPr>
                <w:rFonts w:hint="default" w:ascii="Times New Roman" w:hAnsi="Times New Roman"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eastAsia="zh-CN" w:bidi="ar"/>
              </w:rPr>
              <w:t>④</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962" w:type="dxa"/>
            <w:gridSpan w:val="2"/>
            <w:tcBorders>
              <w:top w:val="single" w:color="000000" w:sz="4" w:space="0"/>
              <w:bottom w:val="single" w:color="000000" w:sz="4" w:space="0"/>
            </w:tcBorders>
            <w:vAlign w:val="center"/>
          </w:tcPr>
          <w:p w14:paraId="0A0A8E30">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4885A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4" w:hRule="atLeast"/>
        </w:trPr>
        <w:tc>
          <w:tcPr>
            <w:tcW w:w="728" w:type="dxa"/>
            <w:vMerge w:val="continue"/>
            <w:vAlign w:val="center"/>
          </w:tcPr>
          <w:p w14:paraId="04E1813B">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00B038A7">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Merge w:val="continue"/>
            <w:vAlign w:val="center"/>
          </w:tcPr>
          <w:p w14:paraId="72EB74EC">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p>
        </w:tc>
        <w:tc>
          <w:tcPr>
            <w:tcW w:w="4835" w:type="dxa"/>
            <w:tcBorders>
              <w:top w:val="single" w:color="000000" w:sz="4" w:space="0"/>
              <w:bottom w:val="single" w:color="000000" w:sz="4" w:space="0"/>
            </w:tcBorders>
            <w:vAlign w:val="center"/>
          </w:tcPr>
          <w:p w14:paraId="5564689D">
            <w:pPr>
              <w:pStyle w:val="152"/>
              <w:adjustRightInd w:val="0"/>
              <w:snapToGrid w:val="0"/>
              <w:jc w:val="left"/>
              <w:rPr>
                <w:rFonts w:hint="default" w:ascii="Times New Roman" w:hAnsi="Times New Roman"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eastAsia="zh-CN" w:bidi="ar"/>
              </w:rPr>
              <w:t>⑤固液分离间为</w:t>
            </w:r>
            <w:r>
              <w:rPr>
                <w:rFonts w:hint="default" w:ascii="Times New Roman" w:hAnsi="Times New Roman" w:cs="Times New Roman"/>
                <w:snapToGrid w:val="0"/>
                <w:color w:val="auto"/>
                <w:sz w:val="21"/>
                <w:szCs w:val="21"/>
                <w:highlight w:val="none"/>
                <w:lang w:val="en-US" w:bidi="ar"/>
              </w:rPr>
              <w:t>一般防渗区</w:t>
            </w:r>
            <w:r>
              <w:rPr>
                <w:rFonts w:hint="default" w:ascii="Times New Roman" w:hAnsi="Times New Roman" w:cs="Times New Roman"/>
                <w:snapToGrid w:val="0"/>
                <w:color w:val="auto"/>
                <w:sz w:val="21"/>
                <w:szCs w:val="21"/>
                <w:highlight w:val="none"/>
                <w:lang w:val="en-US" w:eastAsia="zh-CN" w:bidi="ar"/>
              </w:rPr>
              <w:t>，</w:t>
            </w:r>
            <w:r>
              <w:rPr>
                <w:rFonts w:hint="eastAsia" w:ascii="Times New Roman" w:hAnsi="Times New Roman" w:cs="Times New Roman"/>
                <w:snapToGrid w:val="0"/>
                <w:color w:val="auto"/>
                <w:sz w:val="21"/>
                <w:szCs w:val="21"/>
                <w:highlight w:val="none"/>
                <w:lang w:val="en-US" w:eastAsia="zh-CN" w:bidi="ar"/>
              </w:rPr>
              <w:t>地面及墙面采用水泥混凝土防渗，等效黏土防渗层Mb≥1.5m，K≤1.0×10</w:t>
            </w:r>
            <w:r>
              <w:rPr>
                <w:rFonts w:hint="eastAsia" w:ascii="Times New Roman" w:hAnsi="Times New Roman" w:cs="Times New Roman"/>
                <w:snapToGrid w:val="0"/>
                <w:color w:val="auto"/>
                <w:sz w:val="21"/>
                <w:szCs w:val="21"/>
                <w:highlight w:val="none"/>
                <w:vertAlign w:val="superscript"/>
                <w:lang w:val="en-US" w:eastAsia="zh-CN" w:bidi="ar"/>
              </w:rPr>
              <w:t>-7</w:t>
            </w:r>
            <w:r>
              <w:rPr>
                <w:rFonts w:hint="eastAsia" w:ascii="Times New Roman" w:hAnsi="Times New Roman" w:cs="Times New Roman"/>
                <w:snapToGrid w:val="0"/>
                <w:color w:val="auto"/>
                <w:sz w:val="21"/>
                <w:szCs w:val="21"/>
                <w:highlight w:val="none"/>
                <w:lang w:val="en-US" w:eastAsia="zh-CN" w:bidi="ar"/>
              </w:rPr>
              <w:t>cm/s满足《环境影响评价技术导则 地下水环境》（HJ610-2016）的防渗要求。</w:t>
            </w:r>
          </w:p>
        </w:tc>
        <w:tc>
          <w:tcPr>
            <w:tcW w:w="962" w:type="dxa"/>
            <w:gridSpan w:val="2"/>
            <w:tcBorders>
              <w:top w:val="single" w:color="000000" w:sz="4" w:space="0"/>
              <w:bottom w:val="single" w:color="000000" w:sz="4" w:space="0"/>
            </w:tcBorders>
            <w:vAlign w:val="center"/>
          </w:tcPr>
          <w:p w14:paraId="4D5A4652">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587DE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521B8B83">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26E658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200" w:type="dxa"/>
            <w:vAlign w:val="center"/>
          </w:tcPr>
          <w:p w14:paraId="2A4D0074">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rPr>
              <w:t>泄漏监测装置</w:t>
            </w:r>
          </w:p>
        </w:tc>
        <w:tc>
          <w:tcPr>
            <w:tcW w:w="4835" w:type="dxa"/>
            <w:vAlign w:val="center"/>
          </w:tcPr>
          <w:p w14:paraId="06975EF5">
            <w:pPr>
              <w:pStyle w:val="152"/>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rPr>
              <w:t>黑膜厌氧池等各池体安装泄漏监测装置</w:t>
            </w:r>
            <w:r>
              <w:rPr>
                <w:rFonts w:hint="default" w:ascii="Times New Roman" w:hAnsi="Times New Roman" w:cs="Times New Roman"/>
                <w:snapToGrid w:val="0"/>
                <w:color w:val="auto"/>
                <w:sz w:val="21"/>
                <w:szCs w:val="21"/>
                <w:highlight w:val="none"/>
                <w:lang w:eastAsia="zh-CN"/>
              </w:rPr>
              <w:t>。</w:t>
            </w:r>
          </w:p>
        </w:tc>
        <w:tc>
          <w:tcPr>
            <w:tcW w:w="962" w:type="dxa"/>
            <w:gridSpan w:val="2"/>
            <w:vAlign w:val="center"/>
          </w:tcPr>
          <w:p w14:paraId="07080986">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bl>
    <w:p w14:paraId="7AF1E24D">
      <w:pPr>
        <w:pStyle w:val="7"/>
        <w:bidi w:val="0"/>
        <w:rPr>
          <w:rFonts w:hint="default"/>
          <w:highlight w:val="none"/>
        </w:rPr>
      </w:pPr>
      <w:bookmarkStart w:id="352" w:name="_Toc27532"/>
      <w:bookmarkStart w:id="353" w:name="_Toc8267"/>
      <w:bookmarkStart w:id="354" w:name="_Toc7080"/>
      <w:bookmarkStart w:id="355" w:name="_Toc32056"/>
      <w:r>
        <w:rPr>
          <w:rFonts w:hint="default"/>
          <w:highlight w:val="none"/>
        </w:rPr>
        <w:t>3.</w:t>
      </w:r>
      <w:r>
        <w:rPr>
          <w:rFonts w:hint="eastAsia"/>
          <w:highlight w:val="none"/>
          <w:lang w:val="en-US" w:eastAsia="zh-CN"/>
        </w:rPr>
        <w:t>2</w:t>
      </w:r>
      <w:r>
        <w:rPr>
          <w:rFonts w:hint="default"/>
          <w:highlight w:val="none"/>
        </w:rPr>
        <w:t>.3总平面布置合理性</w:t>
      </w:r>
      <w:bookmarkEnd w:id="352"/>
      <w:bookmarkEnd w:id="353"/>
      <w:bookmarkEnd w:id="354"/>
      <w:bookmarkEnd w:id="355"/>
    </w:p>
    <w:p w14:paraId="66C3DAA7">
      <w:pPr>
        <w:pStyle w:val="94"/>
        <w:ind w:firstLine="480"/>
        <w:rPr>
          <w:rFonts w:hint="default" w:ascii="Times New Roman" w:hAnsi="Times New Roman" w:eastAsia="宋体" w:cs="Times New Roman"/>
          <w:snapToGrid w:val="0"/>
          <w:color w:val="auto"/>
          <w:highlight w:val="none"/>
        </w:rPr>
      </w:pPr>
      <w:bookmarkStart w:id="356" w:name="_Hlk480443431"/>
      <w:r>
        <w:rPr>
          <w:rFonts w:hint="default" w:ascii="Times New Roman" w:hAnsi="Times New Roman" w:eastAsia="宋体" w:cs="Times New Roman"/>
          <w:snapToGrid w:val="0"/>
          <w:color w:val="auto"/>
          <w:highlight w:val="none"/>
        </w:rPr>
        <w:t>养殖场建设布局完全按现代化规模养殖要求进行科学布局，做到养殖场与外部环境隔离、场内分区间的分隔合理，便于疫病控制，形成大规模小区化、环境控制与疫病控制相结合的布局。本项目场区分为办公生活区、粪污治理区、养殖区等。首先从人畜保健的角度出发，使区间建立最佳生产联系和环境卫生防疫条件，各区域之间设有</w:t>
      </w:r>
      <w:r>
        <w:rPr>
          <w:rFonts w:hint="eastAsia" w:ascii="Times New Roman" w:hAnsi="Times New Roman" w:cs="Times New Roman"/>
          <w:snapToGrid w:val="0"/>
          <w:color w:val="auto"/>
          <w:highlight w:val="none"/>
          <w:lang w:val="en-US" w:eastAsia="zh-CN"/>
        </w:rPr>
        <w:t>房屋</w:t>
      </w:r>
      <w:r>
        <w:rPr>
          <w:rFonts w:hint="default" w:ascii="Times New Roman" w:hAnsi="Times New Roman" w:eastAsia="宋体" w:cs="Times New Roman"/>
          <w:snapToGrid w:val="0"/>
          <w:color w:val="auto"/>
          <w:highlight w:val="none"/>
        </w:rPr>
        <w:t>隔开，再考虑地势和主导风向进行分区安排。本地区</w:t>
      </w:r>
      <w:r>
        <w:rPr>
          <w:rFonts w:hint="eastAsia" w:ascii="Times New Roman" w:hAnsi="Times New Roman" w:cs="Times New Roman"/>
          <w:snapToGrid w:val="0"/>
          <w:color w:val="auto"/>
          <w:highlight w:val="none"/>
          <w:lang w:val="en-US" w:eastAsia="zh-CN"/>
        </w:rPr>
        <w:t>全年</w:t>
      </w:r>
      <w:r>
        <w:rPr>
          <w:rFonts w:hint="default" w:ascii="Times New Roman" w:hAnsi="Times New Roman" w:eastAsia="宋体" w:cs="Times New Roman"/>
          <w:snapToGrid w:val="0"/>
          <w:color w:val="auto"/>
          <w:highlight w:val="none"/>
        </w:rPr>
        <w:t>主导风向为西（W）风。</w:t>
      </w:r>
    </w:p>
    <w:p w14:paraId="0BD9FF6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办公生活区：主要为生活区等，位于场区</w:t>
      </w:r>
      <w:r>
        <w:rPr>
          <w:rFonts w:hint="eastAsia" w:ascii="Times New Roman" w:hAnsi="Times New Roman" w:cs="Times New Roman"/>
          <w:snapToGrid w:val="0"/>
          <w:color w:val="auto"/>
          <w:highlight w:val="none"/>
          <w:lang w:val="en-US" w:eastAsia="zh-CN"/>
        </w:rPr>
        <w:t>东</w:t>
      </w:r>
      <w:r>
        <w:rPr>
          <w:rFonts w:hint="default" w:ascii="Times New Roman" w:hAnsi="Times New Roman" w:eastAsia="宋体" w:cs="Times New Roman"/>
          <w:snapToGrid w:val="0"/>
          <w:color w:val="auto"/>
          <w:highlight w:val="none"/>
          <w:lang w:val="en-US" w:eastAsia="zh-CN"/>
        </w:rPr>
        <w:t>南</w:t>
      </w:r>
      <w:r>
        <w:rPr>
          <w:rFonts w:hint="default" w:ascii="Times New Roman" w:hAnsi="Times New Roman" w:eastAsia="宋体" w:cs="Times New Roman"/>
          <w:snapToGrid w:val="0"/>
          <w:color w:val="auto"/>
          <w:highlight w:val="none"/>
        </w:rPr>
        <w:t>侧，靠近场区大门。</w:t>
      </w:r>
    </w:p>
    <w:p w14:paraId="6B05089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养殖区：根据猪群结构及饲养期，</w:t>
      </w:r>
      <w:r>
        <w:rPr>
          <w:rFonts w:hint="default" w:ascii="Times New Roman" w:hAnsi="Times New Roman" w:eastAsia="宋体" w:cs="Times New Roman"/>
          <w:snapToGrid w:val="0"/>
          <w:color w:val="auto"/>
          <w:highlight w:val="none"/>
          <w:lang w:val="en-US" w:eastAsia="zh-CN"/>
        </w:rPr>
        <w:t>猪舍从西向东依次分布</w:t>
      </w:r>
      <w:r>
        <w:rPr>
          <w:rFonts w:hint="eastAsia" w:ascii="Times New Roman" w:hAnsi="Times New Roman" w:cs="Times New Roman"/>
          <w:snapToGrid w:val="0"/>
          <w:color w:val="auto"/>
          <w:highlight w:val="none"/>
          <w:lang w:val="en-US" w:eastAsia="zh-CN"/>
        </w:rPr>
        <w:t>后备舍、保育</w:t>
      </w:r>
      <w:r>
        <w:rPr>
          <w:rFonts w:hint="default" w:ascii="Times New Roman" w:hAnsi="Times New Roman" w:eastAsia="宋体" w:cs="Times New Roman"/>
          <w:snapToGrid w:val="0"/>
          <w:color w:val="auto"/>
          <w:highlight w:val="none"/>
        </w:rPr>
        <w:t>舍</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分娩</w:t>
      </w:r>
      <w:r>
        <w:rPr>
          <w:rFonts w:hint="default" w:ascii="Times New Roman" w:hAnsi="Times New Roman" w:eastAsia="宋体" w:cs="Times New Roman"/>
          <w:snapToGrid w:val="0"/>
          <w:color w:val="auto"/>
          <w:highlight w:val="none"/>
        </w:rPr>
        <w:t>舍</w:t>
      </w:r>
      <w:r>
        <w:rPr>
          <w:rFonts w:hint="default" w:ascii="Times New Roman" w:hAnsi="Times New Roman" w:eastAsia="宋体"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配种</w:t>
      </w:r>
      <w:r>
        <w:rPr>
          <w:rFonts w:hint="default" w:ascii="Times New Roman" w:hAnsi="Times New Roman" w:eastAsia="宋体" w:cs="Times New Roman"/>
          <w:snapToGrid w:val="0"/>
          <w:color w:val="auto"/>
          <w:highlight w:val="none"/>
          <w:lang w:val="en-US" w:eastAsia="zh-CN"/>
        </w:rPr>
        <w:t>舍</w:t>
      </w:r>
      <w:r>
        <w:rPr>
          <w:rFonts w:hint="eastAsia" w:ascii="Times New Roman" w:hAnsi="Times New Roman" w:cs="Times New Roman"/>
          <w:snapToGrid w:val="0"/>
          <w:color w:val="auto"/>
          <w:highlight w:val="none"/>
          <w:lang w:val="en-US" w:eastAsia="zh-CN"/>
        </w:rPr>
        <w:t>、固液分离间</w:t>
      </w:r>
      <w:r>
        <w:rPr>
          <w:rFonts w:hint="default" w:ascii="Times New Roman" w:hAnsi="Times New Roman" w:eastAsia="宋体" w:cs="Times New Roman"/>
          <w:snapToGrid w:val="0"/>
          <w:color w:val="auto"/>
          <w:highlight w:val="none"/>
        </w:rPr>
        <w:t>。</w:t>
      </w:r>
    </w:p>
    <w:p w14:paraId="393E030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粪污治理区：主要为</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rPr>
        <w:t>、黑膜</w:t>
      </w:r>
      <w:r>
        <w:rPr>
          <w:rFonts w:hint="eastAsia" w:ascii="Times New Roman" w:hAnsi="Times New Roman" w:cs="Times New Roman"/>
          <w:snapToGrid w:val="0"/>
          <w:color w:val="auto"/>
          <w:highlight w:val="none"/>
          <w:lang w:val="en-US" w:eastAsia="zh-CN"/>
        </w:rPr>
        <w:t>厌氧</w:t>
      </w:r>
      <w:r>
        <w:rPr>
          <w:rFonts w:hint="default" w:ascii="Times New Roman" w:hAnsi="Times New Roman" w:eastAsia="宋体" w:cs="Times New Roman"/>
          <w:snapToGrid w:val="0"/>
          <w:color w:val="auto"/>
          <w:highlight w:val="none"/>
          <w:lang w:eastAsia="zh-CN"/>
        </w:rPr>
        <w:t>池</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沼液贮存池</w:t>
      </w:r>
      <w:r>
        <w:rPr>
          <w:rFonts w:hint="default" w:ascii="Times New Roman" w:hAnsi="Times New Roman" w:eastAsia="宋体" w:cs="Times New Roman"/>
          <w:snapToGrid w:val="0"/>
          <w:color w:val="auto"/>
          <w:highlight w:val="none"/>
        </w:rPr>
        <w:t>，均位于场区</w:t>
      </w:r>
      <w:r>
        <w:rPr>
          <w:rFonts w:hint="default" w:ascii="Times New Roman" w:hAnsi="Times New Roman" w:eastAsia="宋体" w:cs="Times New Roman"/>
          <w:snapToGrid w:val="0"/>
          <w:color w:val="auto"/>
          <w:highlight w:val="none"/>
          <w:lang w:val="en-US" w:eastAsia="zh-CN"/>
        </w:rPr>
        <w:t>东北</w:t>
      </w:r>
      <w:r>
        <w:rPr>
          <w:rFonts w:hint="default" w:ascii="Times New Roman" w:hAnsi="Times New Roman" w:eastAsia="宋体" w:cs="Times New Roman"/>
          <w:snapToGrid w:val="0"/>
          <w:color w:val="auto"/>
          <w:highlight w:val="none"/>
        </w:rPr>
        <w:t>部，依次布置</w:t>
      </w:r>
      <w:r>
        <w:rPr>
          <w:rFonts w:hint="default" w:ascii="Times New Roman" w:hAnsi="Times New Roman" w:eastAsia="宋体" w:cs="Times New Roman"/>
          <w:snapToGrid w:val="0"/>
          <w:color w:val="auto"/>
          <w:highlight w:val="none"/>
          <w:lang w:val="en-US" w:eastAsia="zh-CN"/>
        </w:rPr>
        <w:t>沼液贮存池</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黑膜</w:t>
      </w:r>
      <w:r>
        <w:rPr>
          <w:rFonts w:hint="default" w:ascii="Times New Roman" w:hAnsi="Times New Roman" w:eastAsia="宋体" w:cs="Times New Roman"/>
          <w:snapToGrid w:val="0"/>
          <w:color w:val="auto"/>
          <w:highlight w:val="none"/>
          <w:lang w:val="en-US" w:eastAsia="zh-CN"/>
        </w:rPr>
        <w:t>厌氧</w:t>
      </w:r>
      <w:r>
        <w:rPr>
          <w:rFonts w:hint="default" w:ascii="Times New Roman" w:hAnsi="Times New Roman" w:eastAsia="宋体" w:cs="Times New Roman"/>
          <w:snapToGrid w:val="0"/>
          <w:color w:val="auto"/>
          <w:highlight w:val="none"/>
          <w:lang w:eastAsia="zh-CN"/>
        </w:rPr>
        <w:t>池、</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eastAsia="zh-CN"/>
        </w:rPr>
        <w:t>动物医疗废物</w:t>
      </w:r>
      <w:r>
        <w:rPr>
          <w:rFonts w:hint="default" w:ascii="Times New Roman" w:hAnsi="Times New Roman" w:eastAsia="宋体" w:cs="Times New Roman"/>
          <w:snapToGrid w:val="0"/>
          <w:color w:val="auto"/>
          <w:highlight w:val="none"/>
        </w:rPr>
        <w:t>暂存于</w:t>
      </w:r>
      <w:r>
        <w:rPr>
          <w:rFonts w:hint="eastAsia" w:ascii="Times New Roman" w:hAnsi="Times New Roman" w:cs="Times New Roman"/>
          <w:snapToGrid w:val="0"/>
          <w:color w:val="auto"/>
          <w:highlight w:val="none"/>
          <w:lang w:val="en-US" w:eastAsia="zh-CN"/>
        </w:rPr>
        <w:t>医疗废物暂存间</w:t>
      </w:r>
      <w:r>
        <w:rPr>
          <w:rFonts w:hint="default" w:ascii="Times New Roman" w:hAnsi="Times New Roman" w:eastAsia="宋体" w:cs="Times New Roman"/>
          <w:snapToGrid w:val="0"/>
          <w:color w:val="auto"/>
          <w:highlight w:val="none"/>
        </w:rPr>
        <w:t>。</w:t>
      </w:r>
    </w:p>
    <w:p w14:paraId="1BB85B0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畜禽养殖业污染防治技术规范》（HJ/T81-2001）中规定：“新建、改建、扩建的畜禽养殖场应实现生产区、生活管理区的隔离；粪便污水处理设施，应设在养殖场的生产区、生活管理区的常年主导风向的下风向或侧风向处”；“畜禽粪便的贮存设施的位置必须远离各类功能地表水体（距离不得小于400m），并应设在养殖场生产及生活管理区的常年主导风向的下风向或侧风向处”。</w:t>
      </w:r>
    </w:p>
    <w:p w14:paraId="622283F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本项目办公区位于场区</w:t>
      </w:r>
      <w:r>
        <w:rPr>
          <w:rFonts w:hint="eastAsia" w:ascii="Times New Roman" w:hAnsi="Times New Roman" w:cs="Times New Roman"/>
          <w:snapToGrid w:val="0"/>
          <w:color w:val="auto"/>
          <w:highlight w:val="none"/>
          <w:lang w:val="en-US" w:eastAsia="zh-CN"/>
        </w:rPr>
        <w:t>东</w:t>
      </w:r>
      <w:r>
        <w:rPr>
          <w:rFonts w:hint="default" w:ascii="Times New Roman" w:hAnsi="Times New Roman" w:eastAsia="宋体" w:cs="Times New Roman"/>
          <w:snapToGrid w:val="0"/>
          <w:color w:val="auto"/>
          <w:highlight w:val="none"/>
          <w:lang w:val="en-US" w:eastAsia="zh-CN"/>
        </w:rPr>
        <w:t>南</w:t>
      </w:r>
      <w:r>
        <w:rPr>
          <w:rFonts w:hint="default" w:ascii="Times New Roman" w:hAnsi="Times New Roman" w:eastAsia="宋体" w:cs="Times New Roman"/>
          <w:snapToGrid w:val="0"/>
          <w:color w:val="auto"/>
          <w:highlight w:val="none"/>
        </w:rPr>
        <w:t>侧，本项目厂区办公区与生产区域由</w:t>
      </w:r>
      <w:r>
        <w:rPr>
          <w:rFonts w:hint="eastAsia" w:ascii="Times New Roman" w:hAnsi="Times New Roman" w:cs="Times New Roman"/>
          <w:snapToGrid w:val="0"/>
          <w:color w:val="auto"/>
          <w:highlight w:val="none"/>
          <w:lang w:val="en-US" w:eastAsia="zh-CN"/>
        </w:rPr>
        <w:t>厂房</w:t>
      </w:r>
      <w:r>
        <w:rPr>
          <w:rFonts w:hint="default" w:ascii="Times New Roman" w:hAnsi="Times New Roman" w:eastAsia="宋体" w:cs="Times New Roman"/>
          <w:snapToGrid w:val="0"/>
          <w:color w:val="auto"/>
          <w:highlight w:val="none"/>
        </w:rPr>
        <w:t>分开，</w:t>
      </w:r>
      <w:r>
        <w:rPr>
          <w:rFonts w:hint="eastAsia" w:ascii="Times New Roman" w:hAnsi="Times New Roman" w:cs="Times New Roman"/>
          <w:snapToGrid w:val="0"/>
          <w:color w:val="auto"/>
          <w:highlight w:val="none"/>
          <w:lang w:val="en-US" w:eastAsia="zh-CN"/>
        </w:rPr>
        <w:t>分区明确并有标识牌，</w:t>
      </w:r>
      <w:r>
        <w:rPr>
          <w:rFonts w:hint="default" w:ascii="Times New Roman" w:hAnsi="Times New Roman" w:eastAsia="宋体" w:cs="Times New Roman"/>
          <w:snapToGrid w:val="0"/>
          <w:color w:val="auto"/>
          <w:highlight w:val="none"/>
        </w:rPr>
        <w:t>防止外来人员联系工作</w:t>
      </w:r>
      <w:r>
        <w:rPr>
          <w:rFonts w:hint="eastAsia" w:ascii="Times New Roman" w:hAnsi="Times New Roman" w:cs="Times New Roman"/>
          <w:snapToGrid w:val="0"/>
          <w:color w:val="auto"/>
          <w:highlight w:val="none"/>
          <w:lang w:val="en-US" w:eastAsia="zh-CN"/>
        </w:rPr>
        <w:t>进入</w:t>
      </w:r>
      <w:r>
        <w:rPr>
          <w:rFonts w:hint="default" w:ascii="Times New Roman" w:hAnsi="Times New Roman" w:eastAsia="宋体" w:cs="Times New Roman"/>
          <w:snapToGrid w:val="0"/>
          <w:color w:val="auto"/>
          <w:highlight w:val="none"/>
        </w:rPr>
        <w:t>猪场，避免职工家属随意进入生产区内。</w:t>
      </w:r>
    </w:p>
    <w:p w14:paraId="24B6E6B5">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根据相关气象资料，本项目所在区域常年主导风向</w:t>
      </w:r>
      <w:r>
        <w:rPr>
          <w:rFonts w:hint="default" w:ascii="Times New Roman" w:hAnsi="Times New Roman" w:eastAsia="宋体" w:cs="Times New Roman"/>
          <w:snapToGrid w:val="0"/>
          <w:color w:val="auto"/>
          <w:highlight w:val="none"/>
          <w:lang w:val="en-US" w:eastAsia="zh-CN"/>
        </w:rPr>
        <w:t>WNW-W-WSW</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eastAsia="zh-CN"/>
        </w:rPr>
        <w:t>主导风向为西风，静风发生概率为0.3%，扣除静风下年平均风速为3.8m/s，非扣除静风下年平均风速为3.8m/s。春夏季盛行西风，平均风速为3.3m/s；秋季盛行西风，平均风速为3.8m/s；冬季盛行西风，平均风速为4.3m/s。夏季主导风向为</w:t>
      </w:r>
      <w:r>
        <w:rPr>
          <w:rFonts w:hint="eastAsia" w:ascii="Times New Roman" w:hAnsi="Times New Roman" w:cs="Times New Roman"/>
          <w:snapToGrid w:val="0"/>
          <w:color w:val="auto"/>
          <w:highlight w:val="none"/>
          <w:lang w:val="en-US" w:eastAsia="zh-CN"/>
        </w:rPr>
        <w:t>西</w:t>
      </w:r>
      <w:r>
        <w:rPr>
          <w:rFonts w:hint="default" w:ascii="Times New Roman" w:hAnsi="Times New Roman" w:eastAsia="宋体" w:cs="Times New Roman"/>
          <w:snapToGrid w:val="0"/>
          <w:color w:val="auto"/>
          <w:highlight w:val="none"/>
          <w:lang w:eastAsia="zh-CN"/>
        </w:rPr>
        <w:t>风，粪污治理区位于</w:t>
      </w:r>
      <w:r>
        <w:rPr>
          <w:rFonts w:hint="default" w:ascii="Times New Roman" w:hAnsi="Times New Roman" w:eastAsia="宋体" w:cs="Times New Roman"/>
          <w:snapToGrid w:val="0"/>
          <w:color w:val="auto"/>
          <w:highlight w:val="none"/>
          <w:lang w:val="en-US" w:eastAsia="zh-CN"/>
        </w:rPr>
        <w:t>东北</w:t>
      </w:r>
      <w:r>
        <w:rPr>
          <w:rFonts w:hint="default" w:ascii="Times New Roman" w:hAnsi="Times New Roman" w:eastAsia="宋体" w:cs="Times New Roman"/>
          <w:snapToGrid w:val="0"/>
          <w:color w:val="auto"/>
          <w:highlight w:val="none"/>
          <w:lang w:eastAsia="zh-CN"/>
        </w:rPr>
        <w:t>部，处于养殖区及生活区常年主导风向</w:t>
      </w:r>
      <w:r>
        <w:rPr>
          <w:rFonts w:hint="default" w:ascii="Times New Roman" w:hAnsi="Times New Roman" w:eastAsia="宋体"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lang w:eastAsia="zh-CN"/>
        </w:rPr>
        <w:t>风向位置。综上所述，本项目场区平面布置符合《畜禽养殖业污染防治技术规范》（HJ/T81-2001）中关于场区布局要求，畜禽养殖场应实现生产区、生活管理区的隔离，粪便污水处理设施和畜禽尸体处置设施应设在养殖场的生产区、生活管理区的常年主导风向下风向或侧风向处。</w:t>
      </w:r>
    </w:p>
    <w:p w14:paraId="185EDD3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粪污治理区设在养殖场</w:t>
      </w:r>
      <w:r>
        <w:rPr>
          <w:rFonts w:hint="eastAsia" w:ascii="Times New Roman" w:hAnsi="Times New Roman" w:cs="Times New Roman"/>
          <w:snapToGrid w:val="0"/>
          <w:color w:val="auto"/>
          <w:highlight w:val="none"/>
          <w:lang w:val="en-US" w:eastAsia="zh-CN"/>
        </w:rPr>
        <w:t>东</w:t>
      </w:r>
      <w:r>
        <w:rPr>
          <w:rFonts w:hint="default" w:ascii="Times New Roman" w:hAnsi="Times New Roman" w:eastAsia="宋体" w:cs="Times New Roman"/>
          <w:snapToGrid w:val="0"/>
          <w:color w:val="auto"/>
          <w:highlight w:val="none"/>
          <w:lang w:val="en-US" w:eastAsia="zh-CN"/>
        </w:rPr>
        <w:t>北</w:t>
      </w:r>
      <w:r>
        <w:rPr>
          <w:rFonts w:hint="default" w:ascii="Times New Roman" w:hAnsi="Times New Roman" w:eastAsia="宋体" w:cs="Times New Roman"/>
          <w:snapToGrid w:val="0"/>
          <w:color w:val="auto"/>
          <w:highlight w:val="none"/>
        </w:rPr>
        <w:t>侧，离生活区较远，且处于生活区的</w:t>
      </w:r>
      <w:r>
        <w:rPr>
          <w:rFonts w:hint="eastAsia" w:ascii="Times New Roman" w:hAnsi="Times New Roman" w:cs="Times New Roman"/>
          <w:snapToGrid w:val="0"/>
          <w:color w:val="auto"/>
          <w:highlight w:val="none"/>
          <w:lang w:val="en-US" w:eastAsia="zh-CN"/>
        </w:rPr>
        <w:t>侧</w:t>
      </w:r>
      <w:r>
        <w:rPr>
          <w:rFonts w:hint="default" w:ascii="Times New Roman" w:hAnsi="Times New Roman" w:eastAsia="宋体" w:cs="Times New Roman"/>
          <w:snapToGrid w:val="0"/>
          <w:color w:val="auto"/>
          <w:highlight w:val="none"/>
        </w:rPr>
        <w:t>风向，</w:t>
      </w:r>
      <w:r>
        <w:rPr>
          <w:rFonts w:hint="default" w:ascii="Times New Roman" w:hAnsi="Times New Roman" w:cs="Times New Roman"/>
          <w:color w:val="auto"/>
          <w:highlight w:val="none"/>
        </w:rPr>
        <w:t>本项目</w:t>
      </w:r>
      <w:r>
        <w:rPr>
          <w:rFonts w:hint="default" w:ascii="Times New Roman" w:hAnsi="Times New Roman" w:eastAsia="宋体" w:cs="Times New Roman"/>
          <w:snapToGrid w:val="0"/>
          <w:color w:val="auto"/>
          <w:highlight w:val="none"/>
        </w:rPr>
        <w:t>粪污治理区</w:t>
      </w:r>
      <w:r>
        <w:rPr>
          <w:rFonts w:hint="eastAsia" w:ascii="Times New Roman" w:hAnsi="Times New Roman" w:cs="Times New Roman"/>
          <w:color w:val="auto"/>
          <w:highlight w:val="none"/>
          <w:lang w:val="en-US" w:eastAsia="zh-CN"/>
        </w:rPr>
        <w:t>定期</w:t>
      </w:r>
      <w:r>
        <w:rPr>
          <w:rFonts w:hint="eastAsia" w:ascii="Times New Roman" w:hAnsi="Times New Roman" w:cs="Times New Roman"/>
          <w:color w:val="auto"/>
          <w:highlight w:val="none"/>
          <w:lang w:eastAsia="zh-CN"/>
        </w:rPr>
        <w:t>喷洒除臭剂；</w:t>
      </w:r>
      <w:r>
        <w:rPr>
          <w:rFonts w:hint="eastAsia" w:ascii="Times New Roman" w:hAnsi="Times New Roman" w:cs="Times New Roman"/>
          <w:color w:val="auto"/>
          <w:highlight w:val="none"/>
          <w:lang w:val="en-US" w:eastAsia="zh-CN"/>
        </w:rPr>
        <w:t>及时清运固体粪污；干粪堆积场废气恶臭采用负压收集后（收集效率90%）进入活性炭吸附装置净化处理后（处理效率90%）经15米高排气筒排放，废气量为5000m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/h，减少恶臭气体对周围环境的影响。</w:t>
      </w:r>
      <w:r>
        <w:rPr>
          <w:rFonts w:hint="default" w:ascii="Times New Roman" w:hAnsi="Times New Roman" w:cs="Times New Roman"/>
          <w:color w:val="auto"/>
          <w:highlight w:val="none"/>
          <w:lang w:val="en-US" w:eastAsia="zh-CN"/>
        </w:rPr>
        <w:t>厂界</w:t>
      </w:r>
      <w:r>
        <w:rPr>
          <w:rFonts w:hint="default" w:ascii="Times New Roman" w:hAnsi="Times New Roman" w:cs="Times New Roman"/>
          <w:color w:val="auto"/>
          <w:highlight w:val="none"/>
        </w:rPr>
        <w:t>恶臭气体排放浓度</w:t>
      </w:r>
      <w:r>
        <w:rPr>
          <w:rFonts w:hint="default" w:ascii="Times New Roman" w:hAnsi="Times New Roman" w:cs="Times New Roman"/>
          <w:color w:val="auto"/>
          <w:highlight w:val="none"/>
          <w:lang w:val="en-US" w:eastAsia="zh-CN"/>
        </w:rPr>
        <w:t>满足</w:t>
      </w:r>
      <w:r>
        <w:rPr>
          <w:rFonts w:hint="default" w:ascii="Times New Roman" w:hAnsi="Times New Roman" w:cs="Times New Roman"/>
          <w:color w:val="auto"/>
          <w:highlight w:val="none"/>
        </w:rPr>
        <w:t>《恶臭污染物排放标准》(GB14554-93）表1中新改扩建二级标准和《畜禽养殖业污染物排放标准》（GB18596-2001）表7的标准要求（70无量纲），厂界500米范围内无居民，故设置较为合理。粪污治理区</w:t>
      </w:r>
      <w:r>
        <w:rPr>
          <w:rFonts w:hint="default" w:ascii="Times New Roman" w:hAnsi="Times New Roman" w:eastAsia="宋体" w:cs="Times New Roman"/>
          <w:snapToGrid w:val="0"/>
          <w:color w:val="auto"/>
          <w:highlight w:val="none"/>
        </w:rPr>
        <w:t>的恶臭对生活区影响较小。</w:t>
      </w:r>
    </w:p>
    <w:p w14:paraId="7D08AF9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生产区的布置上，功能联系紧密的猪舍相互靠近，外部购猪车停在围墙外，猪经装猪台上车，可避免外部车辆进入场区，以防感染。</w:t>
      </w:r>
    </w:p>
    <w:p w14:paraId="4AB2E08C">
      <w:pPr>
        <w:pStyle w:val="94"/>
        <w:ind w:firstLine="48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洗消车间距离厂区180米，车辆在洗消车间进行一次洗消后，在</w:t>
      </w:r>
      <w:r>
        <w:rPr>
          <w:rFonts w:hint="default" w:ascii="Times New Roman" w:hAnsi="Times New Roman" w:eastAsia="宋体" w:cs="Times New Roman"/>
          <w:snapToGrid w:val="0"/>
          <w:color w:val="auto"/>
          <w:highlight w:val="none"/>
        </w:rPr>
        <w:t>进出口</w:t>
      </w:r>
      <w:r>
        <w:rPr>
          <w:rFonts w:hint="eastAsia" w:ascii="Times New Roman" w:hAnsi="Times New Roman" w:eastAsia="宋体" w:cs="Times New Roman"/>
          <w:snapToGrid w:val="0"/>
          <w:color w:val="auto"/>
          <w:highlight w:val="none"/>
          <w:lang w:val="en-US" w:eastAsia="zh-CN"/>
        </w:rPr>
        <w:t>二次洗消（所有与外界接触进出口</w:t>
      </w:r>
      <w:r>
        <w:rPr>
          <w:rFonts w:hint="default" w:ascii="Times New Roman" w:hAnsi="Times New Roman" w:eastAsia="宋体" w:cs="Times New Roman"/>
          <w:snapToGrid w:val="0"/>
          <w:color w:val="auto"/>
          <w:highlight w:val="none"/>
        </w:rPr>
        <w:t>均设有消毒池（消毒剂：</w:t>
      </w:r>
      <w:r>
        <w:rPr>
          <w:rFonts w:hint="default" w:ascii="Times New Roman" w:hAnsi="Times New Roman" w:eastAsia="宋体" w:cs="Times New Roman"/>
          <w:snapToGrid w:val="0"/>
          <w:color w:val="auto"/>
          <w:highlight w:val="none"/>
          <w:lang w:eastAsia="zh-CN"/>
        </w:rPr>
        <w:t>戊二醛</w:t>
      </w:r>
      <w:r>
        <w:rPr>
          <w:rFonts w:hint="default" w:ascii="Times New Roman" w:hAnsi="Times New Roman" w:eastAsia="宋体" w:cs="Times New Roman"/>
          <w:snapToGrid w:val="0"/>
          <w:color w:val="auto"/>
          <w:highlight w:val="none"/>
        </w:rPr>
        <w:t>）</w:t>
      </w:r>
      <w:r>
        <w:rPr>
          <w:rFonts w:hint="eastAsia"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，运送饲料的车辆</w:t>
      </w:r>
      <w:r>
        <w:rPr>
          <w:rFonts w:hint="eastAsia" w:ascii="Times New Roman" w:hAnsi="Times New Roman" w:eastAsia="宋体" w:cs="Times New Roman"/>
          <w:snapToGrid w:val="0"/>
          <w:color w:val="auto"/>
          <w:highlight w:val="none"/>
          <w:lang w:val="en-US" w:eastAsia="zh-CN"/>
        </w:rPr>
        <w:t>先</w:t>
      </w:r>
      <w:r>
        <w:rPr>
          <w:rFonts w:hint="default" w:ascii="Times New Roman" w:hAnsi="Times New Roman" w:eastAsia="宋体" w:cs="Times New Roman"/>
          <w:snapToGrid w:val="0"/>
          <w:color w:val="auto"/>
          <w:highlight w:val="none"/>
        </w:rPr>
        <w:t>进入</w:t>
      </w:r>
      <w:r>
        <w:rPr>
          <w:rFonts w:hint="eastAsia" w:ascii="Times New Roman" w:hAnsi="Times New Roman" w:eastAsia="宋体" w:cs="Times New Roman"/>
          <w:snapToGrid w:val="0"/>
          <w:color w:val="auto"/>
          <w:highlight w:val="none"/>
          <w:lang w:val="en-US" w:eastAsia="zh-CN"/>
        </w:rPr>
        <w:t>洗消车间</w:t>
      </w:r>
      <w:r>
        <w:rPr>
          <w:rFonts w:hint="default" w:ascii="Times New Roman" w:hAnsi="Times New Roman" w:eastAsia="宋体" w:cs="Times New Roman"/>
          <w:snapToGrid w:val="0"/>
          <w:color w:val="auto"/>
          <w:highlight w:val="none"/>
        </w:rPr>
        <w:t>先经过消毒后，再用高压水龙头清洗消毒。</w:t>
      </w:r>
      <w:r>
        <w:rPr>
          <w:rFonts w:hint="eastAsia" w:ascii="Times New Roman" w:hAnsi="Times New Roman" w:cs="Times New Roman"/>
          <w:snapToGrid w:val="0"/>
          <w:color w:val="auto"/>
          <w:highlight w:val="none"/>
          <w:lang w:val="en-US" w:eastAsia="zh-CN"/>
        </w:rPr>
        <w:t>洗消车间虽离厂区有一定距离，但二次消毒可更加彻底消毒。</w:t>
      </w:r>
    </w:p>
    <w:p w14:paraId="6C24B50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之，该项目在平面布置上保证各功能区布置相对独立，项目运行过程中通过合理组织功能分区，合理布置工艺车间，合理组织交通运输使物料运输方便快捷，保证生产工艺流程畅通。场区平面布置符合环境保护、安全生产、卫生防疫与工业企业卫生要求。</w:t>
      </w:r>
    </w:p>
    <w:p w14:paraId="14EAC91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综合以上分析，本项目场区平面布局合理。</w:t>
      </w:r>
    </w:p>
    <w:p w14:paraId="3B29EBE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本项目平面布置图见附图</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bookmarkEnd w:id="356"/>
    <w:p w14:paraId="4C9C595F">
      <w:pPr>
        <w:pStyle w:val="7"/>
        <w:bidi w:val="0"/>
        <w:rPr>
          <w:rFonts w:hint="default"/>
          <w:highlight w:val="none"/>
        </w:rPr>
      </w:pPr>
      <w:bookmarkStart w:id="357" w:name="_Toc25847"/>
      <w:bookmarkStart w:id="358" w:name="_Toc25748"/>
      <w:bookmarkStart w:id="359" w:name="_Toc42"/>
      <w:bookmarkStart w:id="360" w:name="_Toc14062"/>
      <w:r>
        <w:rPr>
          <w:rFonts w:hint="default"/>
          <w:highlight w:val="none"/>
        </w:rPr>
        <w:t>3.</w:t>
      </w:r>
      <w:r>
        <w:rPr>
          <w:rFonts w:hint="eastAsia"/>
          <w:highlight w:val="none"/>
          <w:lang w:val="en-US" w:eastAsia="zh-CN"/>
        </w:rPr>
        <w:t>2</w:t>
      </w:r>
      <w:r>
        <w:rPr>
          <w:rFonts w:hint="default"/>
          <w:highlight w:val="none"/>
        </w:rPr>
        <w:t>.4主要设备</w:t>
      </w:r>
      <w:bookmarkEnd w:id="357"/>
      <w:bookmarkEnd w:id="358"/>
      <w:bookmarkEnd w:id="359"/>
      <w:bookmarkEnd w:id="360"/>
    </w:p>
    <w:p w14:paraId="6AD1184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主要设备清单见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w:t>
      </w:r>
    </w:p>
    <w:p w14:paraId="17F32EB2">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2  </w:t>
      </w:r>
      <w:r>
        <w:rPr>
          <w:rFonts w:hint="default" w:ascii="Times New Roman" w:hAnsi="Times New Roman" w:eastAsia="黑体" w:cs="Times New Roman"/>
          <w:b w:val="0"/>
          <w:bCs/>
          <w:smallCaps w:val="0"/>
          <w:snapToGrid/>
          <w:kern w:val="2"/>
          <w:sz w:val="21"/>
          <w:szCs w:val="24"/>
          <w:highlight w:val="none"/>
          <w:lang w:val="zh-CN" w:eastAsia="zh-CN" w:bidi="ar-SA"/>
        </w:rPr>
        <w:t>主要设备清单</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2"/>
        <w:gridCol w:w="3889"/>
        <w:gridCol w:w="1214"/>
        <w:gridCol w:w="2217"/>
      </w:tblGrid>
      <w:tr w14:paraId="73A42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05" w:type="pct"/>
            <w:vAlign w:val="center"/>
          </w:tcPr>
          <w:p w14:paraId="5B0CBE2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序号</w:t>
            </w:r>
          </w:p>
        </w:tc>
        <w:tc>
          <w:tcPr>
            <w:tcW w:w="2281" w:type="pct"/>
            <w:vAlign w:val="center"/>
          </w:tcPr>
          <w:p w14:paraId="6D91EEA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设备名称</w:t>
            </w:r>
          </w:p>
        </w:tc>
        <w:tc>
          <w:tcPr>
            <w:tcW w:w="712" w:type="pct"/>
            <w:vAlign w:val="center"/>
          </w:tcPr>
          <w:p w14:paraId="35458A33">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单位</w:t>
            </w:r>
          </w:p>
        </w:tc>
        <w:tc>
          <w:tcPr>
            <w:tcW w:w="1300" w:type="pct"/>
            <w:vAlign w:val="center"/>
          </w:tcPr>
          <w:p w14:paraId="2901C654">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数量</w:t>
            </w:r>
          </w:p>
        </w:tc>
      </w:tr>
      <w:tr w14:paraId="750DD2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CAB172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1</w:t>
            </w:r>
          </w:p>
        </w:tc>
        <w:tc>
          <w:tcPr>
            <w:tcW w:w="2281" w:type="pct"/>
            <w:vAlign w:val="center"/>
          </w:tcPr>
          <w:p w14:paraId="1A5981B4">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猪床</w:t>
            </w:r>
          </w:p>
        </w:tc>
        <w:tc>
          <w:tcPr>
            <w:tcW w:w="712" w:type="pct"/>
            <w:vAlign w:val="center"/>
          </w:tcPr>
          <w:p w14:paraId="1F6ED479">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套</w:t>
            </w:r>
          </w:p>
        </w:tc>
        <w:tc>
          <w:tcPr>
            <w:tcW w:w="1300" w:type="pct"/>
            <w:vAlign w:val="center"/>
          </w:tcPr>
          <w:p w14:paraId="7650563A">
            <w:pPr>
              <w:jc w:val="center"/>
              <w:rPr>
                <w:rFonts w:hint="eastAsia" w:ascii="Times New Roman" w:hAnsi="Times New Roman" w:cs="Times New Roman"/>
                <w:sz w:val="21"/>
                <w:highlight w:val="none"/>
              </w:rPr>
            </w:pPr>
            <w:r>
              <w:rPr>
                <w:rFonts w:hint="eastAsia" w:ascii="Times New Roman" w:hAnsi="Times New Roman" w:cs="Times New Roman"/>
                <w:sz w:val="21"/>
                <w:highlight w:val="none"/>
              </w:rPr>
              <w:t>550</w:t>
            </w:r>
          </w:p>
        </w:tc>
      </w:tr>
      <w:tr w14:paraId="7D89A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410CE27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2</w:t>
            </w:r>
          </w:p>
        </w:tc>
        <w:tc>
          <w:tcPr>
            <w:tcW w:w="2281" w:type="pct"/>
            <w:vAlign w:val="center"/>
          </w:tcPr>
          <w:p w14:paraId="03A43322">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自动化喂食系统</w:t>
            </w:r>
          </w:p>
        </w:tc>
        <w:tc>
          <w:tcPr>
            <w:tcW w:w="712" w:type="pct"/>
            <w:vAlign w:val="center"/>
          </w:tcPr>
          <w:p w14:paraId="291E73CF">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套</w:t>
            </w:r>
          </w:p>
        </w:tc>
        <w:tc>
          <w:tcPr>
            <w:tcW w:w="1300" w:type="pct"/>
            <w:vAlign w:val="center"/>
          </w:tcPr>
          <w:p w14:paraId="2229E8D5">
            <w:pPr>
              <w:jc w:val="center"/>
              <w:rPr>
                <w:rFonts w:ascii="Times New Roman" w:hAnsi="Times New Roman" w:cs="Times New Roman"/>
                <w:sz w:val="21"/>
                <w:highlight w:val="none"/>
                <w:lang w:val="zh-CN" w:bidi="ar"/>
              </w:rPr>
            </w:pPr>
            <w:r>
              <w:rPr>
                <w:rFonts w:hint="eastAsia" w:ascii="Times New Roman" w:hAnsi="Times New Roman" w:cs="Times New Roman"/>
                <w:sz w:val="21"/>
                <w:highlight w:val="none"/>
                <w:lang w:val="zh-CN" w:bidi="ar"/>
              </w:rPr>
              <w:t>6</w:t>
            </w:r>
          </w:p>
        </w:tc>
      </w:tr>
      <w:tr w14:paraId="36F6E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4F9F0CE">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3</w:t>
            </w:r>
          </w:p>
        </w:tc>
        <w:tc>
          <w:tcPr>
            <w:tcW w:w="2281" w:type="pct"/>
            <w:vAlign w:val="center"/>
          </w:tcPr>
          <w:p w14:paraId="27D36197">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消毒防疫设备</w:t>
            </w:r>
          </w:p>
        </w:tc>
        <w:tc>
          <w:tcPr>
            <w:tcW w:w="712" w:type="pct"/>
            <w:vAlign w:val="center"/>
          </w:tcPr>
          <w:p w14:paraId="3E09660B">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套</w:t>
            </w:r>
          </w:p>
        </w:tc>
        <w:tc>
          <w:tcPr>
            <w:tcW w:w="1300" w:type="pct"/>
            <w:vAlign w:val="center"/>
          </w:tcPr>
          <w:p w14:paraId="14A6C7E0">
            <w:pPr>
              <w:jc w:val="center"/>
              <w:rPr>
                <w:rFonts w:ascii="Times New Roman" w:hAnsi="Times New Roman" w:cs="Times New Roman"/>
                <w:sz w:val="21"/>
                <w:highlight w:val="none"/>
                <w:lang w:val="zh-CN"/>
              </w:rPr>
            </w:pPr>
            <w:r>
              <w:rPr>
                <w:rFonts w:hint="eastAsia" w:ascii="Times New Roman" w:hAnsi="Times New Roman" w:cs="Times New Roman"/>
                <w:sz w:val="21"/>
                <w:highlight w:val="none"/>
                <w:lang w:val="zh-CN"/>
              </w:rPr>
              <w:t>2</w:t>
            </w:r>
          </w:p>
        </w:tc>
      </w:tr>
      <w:tr w14:paraId="486B8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304F472E">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4</w:t>
            </w:r>
          </w:p>
        </w:tc>
        <w:tc>
          <w:tcPr>
            <w:tcW w:w="2281" w:type="pct"/>
            <w:vAlign w:val="center"/>
          </w:tcPr>
          <w:p w14:paraId="7C7F8C7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通风装置</w:t>
            </w:r>
          </w:p>
        </w:tc>
        <w:tc>
          <w:tcPr>
            <w:tcW w:w="712" w:type="pct"/>
            <w:vAlign w:val="center"/>
          </w:tcPr>
          <w:p w14:paraId="1415F9A1">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项</w:t>
            </w:r>
          </w:p>
        </w:tc>
        <w:tc>
          <w:tcPr>
            <w:tcW w:w="1300" w:type="pct"/>
            <w:vAlign w:val="center"/>
          </w:tcPr>
          <w:p w14:paraId="20F22C54">
            <w:pPr>
              <w:jc w:val="center"/>
              <w:rPr>
                <w:rFonts w:hint="eastAsia" w:ascii="Times New Roman" w:hAnsi="Times New Roman" w:cs="Times New Roman"/>
                <w:sz w:val="21"/>
                <w:highlight w:val="none"/>
              </w:rPr>
            </w:pPr>
            <w:r>
              <w:rPr>
                <w:rFonts w:hint="eastAsia" w:ascii="Times New Roman" w:hAnsi="Times New Roman" w:cs="Times New Roman"/>
                <w:sz w:val="21"/>
                <w:highlight w:val="none"/>
              </w:rPr>
              <w:t>28</w:t>
            </w:r>
          </w:p>
        </w:tc>
      </w:tr>
      <w:tr w14:paraId="07543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04636440">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5</w:t>
            </w:r>
          </w:p>
        </w:tc>
        <w:tc>
          <w:tcPr>
            <w:tcW w:w="2281" w:type="pct"/>
            <w:vAlign w:val="center"/>
          </w:tcPr>
          <w:p w14:paraId="3D2102ED">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运输车</w:t>
            </w:r>
          </w:p>
        </w:tc>
        <w:tc>
          <w:tcPr>
            <w:tcW w:w="712" w:type="pct"/>
            <w:vAlign w:val="center"/>
          </w:tcPr>
          <w:p w14:paraId="1CD8D1B3">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台</w:t>
            </w:r>
          </w:p>
        </w:tc>
        <w:tc>
          <w:tcPr>
            <w:tcW w:w="1300" w:type="pct"/>
            <w:vAlign w:val="center"/>
          </w:tcPr>
          <w:p w14:paraId="0404FF32">
            <w:pPr>
              <w:jc w:val="center"/>
              <w:rPr>
                <w:rFonts w:ascii="Times New Roman" w:hAnsi="Times New Roman" w:cs="Times New Roman"/>
                <w:sz w:val="21"/>
                <w:highlight w:val="none"/>
                <w:lang w:val="zh-CN"/>
              </w:rPr>
            </w:pPr>
            <w:r>
              <w:rPr>
                <w:rFonts w:hint="eastAsia" w:ascii="Times New Roman" w:hAnsi="Times New Roman" w:cs="Times New Roman"/>
                <w:sz w:val="21"/>
                <w:highlight w:val="none"/>
                <w:lang w:val="zh-CN"/>
              </w:rPr>
              <w:t>1</w:t>
            </w:r>
          </w:p>
        </w:tc>
      </w:tr>
      <w:tr w14:paraId="77B7C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5" w:type="pct"/>
            <w:vAlign w:val="center"/>
          </w:tcPr>
          <w:p w14:paraId="4F9FD148">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6</w:t>
            </w:r>
          </w:p>
        </w:tc>
        <w:tc>
          <w:tcPr>
            <w:tcW w:w="2281" w:type="pct"/>
            <w:vAlign w:val="center"/>
          </w:tcPr>
          <w:p w14:paraId="2B7B56F7">
            <w:pPr>
              <w:jc w:val="center"/>
              <w:rPr>
                <w:rFonts w:hint="default" w:ascii="Times New Roman" w:hAnsi="Times New Roman" w:eastAsia="宋体" w:cs="Times New Roman"/>
                <w:sz w:val="21"/>
                <w:highlight w:val="none"/>
                <w:lang w:val="en-US" w:eastAsia="zh-CN"/>
              </w:rPr>
            </w:pPr>
            <w:r>
              <w:rPr>
                <w:rFonts w:ascii="Times New Roman" w:hAnsi="Times New Roman" w:cs="Times New Roman"/>
                <w:sz w:val="21"/>
                <w:highlight w:val="none"/>
                <w:lang w:val="zh-CN" w:bidi="ar"/>
              </w:rPr>
              <w:t>活性炭吸附装置除臭系统</w:t>
            </w:r>
            <w:r>
              <w:rPr>
                <w:rFonts w:hint="eastAsia" w:ascii="Times New Roman" w:hAnsi="Times New Roman" w:cs="Times New Roman"/>
                <w:sz w:val="21"/>
                <w:highlight w:val="none"/>
                <w:lang w:val="en-US" w:eastAsia="zh-CN" w:bidi="ar"/>
              </w:rPr>
              <w:t>+15m高排气筒</w:t>
            </w:r>
          </w:p>
        </w:tc>
        <w:tc>
          <w:tcPr>
            <w:tcW w:w="712" w:type="pct"/>
            <w:vAlign w:val="center"/>
          </w:tcPr>
          <w:p w14:paraId="2A605916">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套</w:t>
            </w:r>
          </w:p>
        </w:tc>
        <w:tc>
          <w:tcPr>
            <w:tcW w:w="1300" w:type="pct"/>
            <w:vAlign w:val="center"/>
          </w:tcPr>
          <w:p w14:paraId="3B799619">
            <w:pPr>
              <w:jc w:val="center"/>
              <w:rPr>
                <w:rFonts w:hint="default" w:ascii="Times New Roman" w:hAnsi="Times New Roman" w:eastAsia="宋体" w:cs="Times New Roman"/>
                <w:sz w:val="21"/>
                <w:highlight w:val="none"/>
                <w:lang w:val="en-US" w:eastAsia="zh-CN"/>
              </w:rPr>
            </w:pPr>
            <w:r>
              <w:rPr>
                <w:rFonts w:hint="eastAsia" w:ascii="Times New Roman" w:hAnsi="Times New Roman" w:cs="Times New Roman"/>
                <w:sz w:val="21"/>
                <w:highlight w:val="none"/>
                <w:lang w:val="en-US" w:eastAsia="zh-CN"/>
              </w:rPr>
              <w:t>1</w:t>
            </w:r>
          </w:p>
        </w:tc>
      </w:tr>
      <w:tr w14:paraId="39D73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3E2E04D">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7</w:t>
            </w:r>
          </w:p>
        </w:tc>
        <w:tc>
          <w:tcPr>
            <w:tcW w:w="2281" w:type="pct"/>
            <w:vAlign w:val="center"/>
          </w:tcPr>
          <w:p w14:paraId="27E532B1">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沼气净化系统</w:t>
            </w:r>
          </w:p>
        </w:tc>
        <w:tc>
          <w:tcPr>
            <w:tcW w:w="712" w:type="pct"/>
            <w:vAlign w:val="center"/>
          </w:tcPr>
          <w:p w14:paraId="01AF30D3">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套</w:t>
            </w:r>
          </w:p>
        </w:tc>
        <w:tc>
          <w:tcPr>
            <w:tcW w:w="1300" w:type="pct"/>
            <w:vAlign w:val="center"/>
          </w:tcPr>
          <w:p w14:paraId="02A6C4AB">
            <w:pPr>
              <w:jc w:val="center"/>
              <w:rPr>
                <w:rFonts w:hint="eastAsia" w:ascii="Times New Roman" w:hAnsi="Times New Roman" w:eastAsia="宋体" w:cs="Times New Roman"/>
                <w:sz w:val="21"/>
                <w:highlight w:val="none"/>
                <w:lang w:val="zh-CN" w:eastAsia="zh-CN" w:bidi="ar"/>
              </w:rPr>
            </w:pPr>
            <w:r>
              <w:rPr>
                <w:rFonts w:hint="eastAsia" w:ascii="Times New Roman" w:hAnsi="Times New Roman" w:cs="Times New Roman"/>
                <w:sz w:val="21"/>
                <w:highlight w:val="none"/>
                <w:lang w:val="en-US" w:eastAsia="zh-CN" w:bidi="ar"/>
              </w:rPr>
              <w:t>1</w:t>
            </w:r>
          </w:p>
        </w:tc>
      </w:tr>
      <w:tr w14:paraId="0BAFB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00C4576">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8</w:t>
            </w:r>
          </w:p>
        </w:tc>
        <w:tc>
          <w:tcPr>
            <w:tcW w:w="2281" w:type="pct"/>
            <w:vAlign w:val="center"/>
          </w:tcPr>
          <w:p w14:paraId="6853E162">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沼气火炬</w:t>
            </w:r>
          </w:p>
        </w:tc>
        <w:tc>
          <w:tcPr>
            <w:tcW w:w="712" w:type="pct"/>
            <w:vAlign w:val="center"/>
          </w:tcPr>
          <w:p w14:paraId="7535E821">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个</w:t>
            </w:r>
          </w:p>
        </w:tc>
        <w:tc>
          <w:tcPr>
            <w:tcW w:w="1300" w:type="pct"/>
            <w:vAlign w:val="center"/>
          </w:tcPr>
          <w:p w14:paraId="192EC909">
            <w:pPr>
              <w:jc w:val="center"/>
              <w:rPr>
                <w:rFonts w:hint="eastAsia" w:ascii="Times New Roman" w:hAnsi="Times New Roman" w:eastAsia="宋体" w:cs="Times New Roman"/>
                <w:sz w:val="21"/>
                <w:highlight w:val="none"/>
                <w:lang w:val="zh-CN" w:eastAsia="zh-CN" w:bidi="ar"/>
              </w:rPr>
            </w:pPr>
            <w:r>
              <w:rPr>
                <w:rFonts w:hint="eastAsia" w:ascii="Times New Roman" w:hAnsi="Times New Roman" w:cs="Times New Roman"/>
                <w:sz w:val="21"/>
                <w:highlight w:val="none"/>
                <w:lang w:val="en-US" w:eastAsia="zh-CN" w:bidi="ar"/>
              </w:rPr>
              <w:t>1</w:t>
            </w:r>
          </w:p>
        </w:tc>
      </w:tr>
      <w:tr w14:paraId="6145DB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EA45DB4">
            <w:pPr>
              <w:jc w:val="center"/>
              <w:rPr>
                <w:rFonts w:hint="default" w:ascii="Times New Roman" w:hAnsi="Times New Roman" w:cs="Times New Roman"/>
                <w:sz w:val="21"/>
                <w:highlight w:val="none"/>
                <w:lang w:val="en-US" w:eastAsia="zh-CN"/>
              </w:rPr>
            </w:pPr>
            <w:bookmarkStart w:id="361" w:name="_Toc14018"/>
            <w:bookmarkStart w:id="362" w:name="_Toc24635"/>
            <w:bookmarkStart w:id="363" w:name="_Toc8142"/>
            <w:bookmarkStart w:id="364" w:name="_Toc21979"/>
            <w:r>
              <w:rPr>
                <w:rFonts w:hint="eastAsia" w:ascii="Times New Roman" w:hAnsi="Times New Roman" w:cs="Times New Roman"/>
                <w:sz w:val="21"/>
                <w:highlight w:val="none"/>
                <w:lang w:val="en-US" w:eastAsia="zh-CN"/>
              </w:rPr>
              <w:t>9</w:t>
            </w:r>
          </w:p>
        </w:tc>
        <w:tc>
          <w:tcPr>
            <w:tcW w:w="3889" w:type="dxa"/>
            <w:vAlign w:val="center"/>
          </w:tcPr>
          <w:p w14:paraId="30E27ABA">
            <w:pPr>
              <w:jc w:val="center"/>
              <w:rPr>
                <w:rFonts w:ascii="Times New Roman" w:hAnsi="Times New Roman" w:cs="Times New Roman"/>
                <w:sz w:val="21"/>
                <w:highlight w:val="none"/>
                <w:lang w:val="zh-CN" w:bidi="ar"/>
              </w:rPr>
            </w:pPr>
            <w:r>
              <w:rPr>
                <w:rFonts w:hint="eastAsia" w:ascii="Times New Roman" w:hAnsi="Times New Roman" w:cs="Times New Roman"/>
                <w:sz w:val="21"/>
                <w:highlight w:val="none"/>
                <w:lang w:bidi="ar"/>
              </w:rPr>
              <w:t>饲料塔</w:t>
            </w:r>
          </w:p>
        </w:tc>
        <w:tc>
          <w:tcPr>
            <w:tcW w:w="1214" w:type="dxa"/>
            <w:vAlign w:val="center"/>
          </w:tcPr>
          <w:p w14:paraId="0604A05D">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套</w:t>
            </w:r>
          </w:p>
        </w:tc>
        <w:tc>
          <w:tcPr>
            <w:tcW w:w="2217" w:type="dxa"/>
            <w:vAlign w:val="center"/>
          </w:tcPr>
          <w:p w14:paraId="4277476E">
            <w:pPr>
              <w:jc w:val="center"/>
              <w:rPr>
                <w:rFonts w:hint="eastAsia" w:ascii="Times New Roman" w:hAnsi="Times New Roman" w:cs="Times New Roman"/>
                <w:sz w:val="21"/>
                <w:highlight w:val="none"/>
                <w:lang w:val="en-US" w:eastAsia="zh-CN" w:bidi="ar"/>
              </w:rPr>
            </w:pPr>
            <w:r>
              <w:rPr>
                <w:rFonts w:hint="eastAsia" w:ascii="Times New Roman" w:hAnsi="Times New Roman" w:cs="Times New Roman"/>
                <w:sz w:val="21"/>
                <w:highlight w:val="none"/>
              </w:rPr>
              <w:t>2</w:t>
            </w:r>
          </w:p>
        </w:tc>
      </w:tr>
    </w:tbl>
    <w:p w14:paraId="7D3153B2">
      <w:pPr>
        <w:pStyle w:val="7"/>
        <w:bidi w:val="0"/>
        <w:rPr>
          <w:rFonts w:hint="default"/>
          <w:highlight w:val="none"/>
        </w:rPr>
      </w:pPr>
      <w:r>
        <w:rPr>
          <w:rFonts w:hint="default"/>
          <w:highlight w:val="none"/>
        </w:rPr>
        <w:t>3.</w:t>
      </w:r>
      <w:r>
        <w:rPr>
          <w:rFonts w:hint="eastAsia"/>
          <w:highlight w:val="none"/>
          <w:lang w:val="en-US" w:eastAsia="zh-CN"/>
        </w:rPr>
        <w:t>2</w:t>
      </w:r>
      <w:r>
        <w:rPr>
          <w:rFonts w:hint="default"/>
          <w:highlight w:val="none"/>
        </w:rPr>
        <w:t>.5主要原辅材料消耗</w:t>
      </w:r>
      <w:bookmarkEnd w:id="361"/>
      <w:bookmarkEnd w:id="362"/>
      <w:bookmarkEnd w:id="363"/>
      <w:bookmarkEnd w:id="364"/>
    </w:p>
    <w:p w14:paraId="661238C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项目建设地点出入交通便利，饲料供应量充足，品种齐全，建设项目和项目生产过程中所需的主要物资在当地市场均能购进。</w:t>
      </w:r>
    </w:p>
    <w:p w14:paraId="709653E6">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3  </w:t>
      </w:r>
      <w:r>
        <w:rPr>
          <w:rFonts w:hint="default" w:ascii="Times New Roman" w:hAnsi="Times New Roman" w:eastAsia="黑体" w:cs="Times New Roman"/>
          <w:b w:val="0"/>
          <w:bCs/>
          <w:smallCaps w:val="0"/>
          <w:snapToGrid/>
          <w:kern w:val="2"/>
          <w:sz w:val="21"/>
          <w:szCs w:val="24"/>
          <w:highlight w:val="none"/>
          <w:lang w:val="zh-CN" w:eastAsia="zh-CN" w:bidi="ar-SA"/>
        </w:rPr>
        <w:t>原辅材料一览表</w:t>
      </w:r>
    </w:p>
    <w:tbl>
      <w:tblPr>
        <w:tblStyle w:val="39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1"/>
        <w:gridCol w:w="1166"/>
        <w:gridCol w:w="1525"/>
        <w:gridCol w:w="893"/>
        <w:gridCol w:w="881"/>
        <w:gridCol w:w="3453"/>
      </w:tblGrid>
      <w:tr w14:paraId="42E6B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3" w:type="pct"/>
            <w:vAlign w:val="center"/>
          </w:tcPr>
          <w:p w14:paraId="26C09F85">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序号</w:t>
            </w:r>
          </w:p>
        </w:tc>
        <w:tc>
          <w:tcPr>
            <w:tcW w:w="1579" w:type="pct"/>
            <w:gridSpan w:val="2"/>
            <w:vAlign w:val="center"/>
          </w:tcPr>
          <w:p w14:paraId="2BB44FD8">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名称</w:t>
            </w:r>
          </w:p>
        </w:tc>
        <w:tc>
          <w:tcPr>
            <w:tcW w:w="524" w:type="pct"/>
            <w:vAlign w:val="center"/>
          </w:tcPr>
          <w:p w14:paraId="2A1E47DB">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数量</w:t>
            </w:r>
          </w:p>
        </w:tc>
        <w:tc>
          <w:tcPr>
            <w:tcW w:w="517" w:type="pct"/>
            <w:vAlign w:val="center"/>
          </w:tcPr>
          <w:p w14:paraId="344FFD37">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rPr>
              <w:t>单位</w:t>
            </w:r>
          </w:p>
        </w:tc>
        <w:tc>
          <w:tcPr>
            <w:tcW w:w="2026" w:type="pct"/>
            <w:vAlign w:val="center"/>
          </w:tcPr>
          <w:p w14:paraId="317FA15D">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备注</w:t>
            </w:r>
          </w:p>
        </w:tc>
      </w:tr>
      <w:tr w14:paraId="6D125D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353" w:type="pct"/>
            <w:vAlign w:val="center"/>
          </w:tcPr>
          <w:p w14:paraId="557F5FDC">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1</w:t>
            </w:r>
          </w:p>
        </w:tc>
        <w:tc>
          <w:tcPr>
            <w:tcW w:w="1579" w:type="pct"/>
            <w:gridSpan w:val="2"/>
            <w:vAlign w:val="center"/>
          </w:tcPr>
          <w:p w14:paraId="61D0F71F">
            <w:pPr>
              <w:adjustRightInd w:val="0"/>
              <w:snapToGrid w:val="0"/>
              <w:jc w:val="center"/>
              <w:rPr>
                <w:rFonts w:hint="eastAsia"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rPr>
              <w:t>全价饲料</w:t>
            </w:r>
          </w:p>
        </w:tc>
        <w:tc>
          <w:tcPr>
            <w:tcW w:w="524" w:type="pct"/>
            <w:vAlign w:val="center"/>
          </w:tcPr>
          <w:p w14:paraId="760594E7">
            <w:pPr>
              <w:adjustRightInd w:val="0"/>
              <w:snapToGrid w:val="0"/>
              <w:jc w:val="center"/>
              <w:rPr>
                <w:rFonts w:hint="eastAsia"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lang w:val="en-US" w:eastAsia="zh-CN"/>
              </w:rPr>
              <w:t>3</w:t>
            </w:r>
            <w:r>
              <w:rPr>
                <w:rFonts w:hint="eastAsia" w:ascii="Times New Roman" w:hAnsi="Times New Roman" w:cs="Times New Roman"/>
                <w:snapToGrid w:val="0"/>
                <w:kern w:val="0"/>
                <w:sz w:val="21"/>
                <w:highlight w:val="none"/>
              </w:rPr>
              <w:t>00</w:t>
            </w:r>
          </w:p>
        </w:tc>
        <w:tc>
          <w:tcPr>
            <w:tcW w:w="517" w:type="pct"/>
            <w:tcBorders>
              <w:top w:val="single" w:color="auto" w:sz="6" w:space="0"/>
              <w:left w:val="single" w:color="auto" w:sz="6" w:space="0"/>
            </w:tcBorders>
            <w:vAlign w:val="center"/>
          </w:tcPr>
          <w:p w14:paraId="718EAE13">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t/a</w:t>
            </w:r>
          </w:p>
        </w:tc>
        <w:tc>
          <w:tcPr>
            <w:tcW w:w="2026" w:type="pct"/>
            <w:tcBorders>
              <w:top w:val="single" w:color="auto" w:sz="6" w:space="0"/>
              <w:left w:val="single" w:color="auto" w:sz="6" w:space="0"/>
            </w:tcBorders>
            <w:vAlign w:val="center"/>
          </w:tcPr>
          <w:p w14:paraId="79BA834A">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外购</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厂区不储存，厂家定期配送</w:t>
            </w:r>
          </w:p>
        </w:tc>
      </w:tr>
      <w:tr w14:paraId="798A7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353" w:type="pct"/>
            <w:vAlign w:val="center"/>
          </w:tcPr>
          <w:p w14:paraId="07842067">
            <w:pPr>
              <w:adjustRightInd w:val="0"/>
              <w:snapToGrid w:val="0"/>
              <w:jc w:val="center"/>
              <w:rPr>
                <w:rFonts w:hint="eastAsia"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2</w:t>
            </w:r>
          </w:p>
        </w:tc>
        <w:tc>
          <w:tcPr>
            <w:tcW w:w="1579" w:type="pct"/>
            <w:gridSpan w:val="2"/>
            <w:vAlign w:val="center"/>
          </w:tcPr>
          <w:p w14:paraId="2B3938E9">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EM菌剂</w:t>
            </w:r>
          </w:p>
        </w:tc>
        <w:tc>
          <w:tcPr>
            <w:tcW w:w="524" w:type="pct"/>
            <w:vAlign w:val="center"/>
          </w:tcPr>
          <w:p w14:paraId="532FC11B">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100</w:t>
            </w:r>
          </w:p>
        </w:tc>
        <w:tc>
          <w:tcPr>
            <w:tcW w:w="517" w:type="pct"/>
            <w:tcBorders>
              <w:top w:val="single" w:color="auto" w:sz="6" w:space="0"/>
              <w:left w:val="single" w:color="auto" w:sz="6" w:space="0"/>
            </w:tcBorders>
            <w:vAlign w:val="center"/>
          </w:tcPr>
          <w:p w14:paraId="1D44A55A">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t/a</w:t>
            </w:r>
          </w:p>
        </w:tc>
        <w:tc>
          <w:tcPr>
            <w:tcW w:w="2026" w:type="pct"/>
            <w:tcBorders>
              <w:top w:val="single" w:color="auto" w:sz="6" w:space="0"/>
              <w:left w:val="single" w:color="auto" w:sz="6" w:space="0"/>
            </w:tcBorders>
            <w:vAlign w:val="center"/>
          </w:tcPr>
          <w:p w14:paraId="21F5B633">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ascii="Times New Roman" w:hAnsi="Times New Roman" w:cs="Times New Roman"/>
                <w:snapToGrid w:val="0"/>
                <w:kern w:val="0"/>
                <w:sz w:val="21"/>
                <w:highlight w:val="none"/>
                <w:lang w:val="zh-CN"/>
              </w:rPr>
              <w:t>外购</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厂区不储存，厂家定期配送</w:t>
            </w:r>
            <w:r>
              <w:rPr>
                <w:rFonts w:hint="eastAsia" w:ascii="Times New Roman" w:hAnsi="Times New Roman" w:cs="Times New Roman"/>
                <w:snapToGrid w:val="0"/>
                <w:kern w:val="0"/>
                <w:sz w:val="21"/>
                <w:highlight w:val="none"/>
                <w:lang w:eastAsia="zh-CN"/>
              </w:rPr>
              <w:t>，</w:t>
            </w:r>
            <w:r>
              <w:rPr>
                <w:rFonts w:hint="eastAsia" w:ascii="Times New Roman" w:hAnsi="Times New Roman" w:cs="Times New Roman"/>
                <w:snapToGrid w:val="0"/>
                <w:kern w:val="0"/>
                <w:sz w:val="21"/>
                <w:highlight w:val="none"/>
                <w:lang w:val="en-US" w:eastAsia="zh-CN"/>
              </w:rPr>
              <w:t>用于混入日粮，控制养殖区恶臭气体产生</w:t>
            </w:r>
          </w:p>
        </w:tc>
      </w:tr>
      <w:tr w14:paraId="25F4F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3" w:type="pct"/>
            <w:vAlign w:val="center"/>
          </w:tcPr>
          <w:p w14:paraId="1A5CB91C">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3</w:t>
            </w:r>
          </w:p>
        </w:tc>
        <w:tc>
          <w:tcPr>
            <w:tcW w:w="1579" w:type="pct"/>
            <w:gridSpan w:val="2"/>
            <w:vAlign w:val="center"/>
          </w:tcPr>
          <w:p w14:paraId="68C7C4DC">
            <w:pPr>
              <w:adjustRightInd w:val="0"/>
              <w:snapToGrid w:val="0"/>
              <w:jc w:val="center"/>
              <w:rPr>
                <w:rFonts w:ascii="Times New Roman" w:hAnsi="Times New Roman" w:cs="Times New Roman"/>
                <w:snapToGrid w:val="0"/>
                <w:sz w:val="21"/>
                <w:highlight w:val="none"/>
                <w:lang w:val="zh-CN"/>
              </w:rPr>
            </w:pPr>
            <w:r>
              <w:rPr>
                <w:rFonts w:ascii="Times New Roman" w:hAnsi="Times New Roman" w:cs="Times New Roman"/>
                <w:snapToGrid w:val="0"/>
                <w:sz w:val="21"/>
                <w:highlight w:val="none"/>
                <w:lang w:val="zh-CN"/>
              </w:rPr>
              <w:t>除臭剂</w:t>
            </w:r>
          </w:p>
        </w:tc>
        <w:tc>
          <w:tcPr>
            <w:tcW w:w="524" w:type="pct"/>
            <w:vAlign w:val="center"/>
          </w:tcPr>
          <w:p w14:paraId="20EABC0D">
            <w:pPr>
              <w:pStyle w:val="152"/>
              <w:adjustRightInd w:val="0"/>
              <w:snapToGrid w:val="0"/>
              <w:rPr>
                <w:rFonts w:hint="eastAsia"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lang w:val="en-US" w:eastAsia="zh-CN"/>
              </w:rPr>
              <w:t>16</w:t>
            </w:r>
          </w:p>
        </w:tc>
        <w:tc>
          <w:tcPr>
            <w:tcW w:w="517" w:type="pct"/>
            <w:vAlign w:val="center"/>
          </w:tcPr>
          <w:p w14:paraId="1ECA683B">
            <w:pPr>
              <w:pStyle w:val="152"/>
              <w:adjustRightInd w:val="0"/>
              <w:snapToGrid w:val="0"/>
              <w:rPr>
                <w:rFonts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rPr>
              <w:t>t/a</w:t>
            </w:r>
          </w:p>
        </w:tc>
        <w:tc>
          <w:tcPr>
            <w:tcW w:w="2026" w:type="pct"/>
            <w:vAlign w:val="center"/>
          </w:tcPr>
          <w:p w14:paraId="743463BF">
            <w:pPr>
              <w:adjustRightInd w:val="0"/>
              <w:snapToGrid w:val="0"/>
              <w:jc w:val="center"/>
              <w:rPr>
                <w:rFonts w:ascii="Times New Roman" w:hAnsi="Times New Roman" w:cs="Times New Roman"/>
                <w:snapToGrid w:val="0"/>
                <w:kern w:val="0"/>
                <w:sz w:val="21"/>
                <w:highlight w:val="none"/>
                <w:lang w:val="zh-CN"/>
              </w:rPr>
            </w:pPr>
            <w:r>
              <w:rPr>
                <w:rFonts w:hint="eastAsia" w:ascii="Times New Roman" w:hAnsi="Times New Roman" w:cs="Times New Roman"/>
                <w:snapToGrid w:val="0"/>
                <w:sz w:val="21"/>
                <w:highlight w:val="none"/>
              </w:rPr>
              <w:t>暂存于</w:t>
            </w:r>
            <w:r>
              <w:rPr>
                <w:rFonts w:hint="eastAsia" w:ascii="Times New Roman" w:hAnsi="Times New Roman" w:cs="Times New Roman"/>
                <w:snapToGrid w:val="0"/>
                <w:sz w:val="21"/>
                <w:highlight w:val="none"/>
                <w:lang w:eastAsia="zh-CN"/>
              </w:rPr>
              <w:t>干粪堆积场</w:t>
            </w:r>
            <w:r>
              <w:rPr>
                <w:rFonts w:hint="eastAsia" w:ascii="Times New Roman" w:hAnsi="Times New Roman" w:cs="Times New Roman"/>
                <w:snapToGrid w:val="0"/>
                <w:sz w:val="21"/>
                <w:highlight w:val="none"/>
              </w:rPr>
              <w:t>内，最大储量为</w:t>
            </w:r>
            <w:r>
              <w:rPr>
                <w:rFonts w:hint="eastAsia" w:ascii="Times New Roman" w:hAnsi="Times New Roman" w:cs="Times New Roman"/>
                <w:snapToGrid w:val="0"/>
                <w:sz w:val="21"/>
                <w:highlight w:val="none"/>
                <w:lang w:val="en-US" w:eastAsia="zh-CN"/>
              </w:rPr>
              <w:t>1</w:t>
            </w:r>
            <w:r>
              <w:rPr>
                <w:rFonts w:hint="eastAsia" w:ascii="Times New Roman" w:hAnsi="Times New Roman" w:cs="Times New Roman"/>
                <w:snapToGrid w:val="0"/>
                <w:sz w:val="21"/>
                <w:highlight w:val="none"/>
              </w:rPr>
              <w:t>t</w:t>
            </w:r>
          </w:p>
        </w:tc>
      </w:tr>
      <w:tr w14:paraId="5C9ECD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353" w:type="pct"/>
            <w:vAlign w:val="center"/>
          </w:tcPr>
          <w:p w14:paraId="7B580E55">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4</w:t>
            </w:r>
          </w:p>
        </w:tc>
        <w:tc>
          <w:tcPr>
            <w:tcW w:w="1579" w:type="pct"/>
            <w:gridSpan w:val="2"/>
            <w:vAlign w:val="center"/>
          </w:tcPr>
          <w:p w14:paraId="0E87D589">
            <w:pPr>
              <w:adjustRightInd w:val="0"/>
              <w:snapToGrid w:val="0"/>
              <w:jc w:val="center"/>
              <w:rPr>
                <w:rFonts w:hint="default" w:ascii="Times New Roman" w:hAnsi="Times New Roman" w:eastAsia="宋体" w:cs="Times New Roman"/>
                <w:snapToGrid w:val="0"/>
                <w:sz w:val="21"/>
                <w:highlight w:val="none"/>
                <w:lang w:val="en-US" w:eastAsia="zh-CN"/>
              </w:rPr>
            </w:pPr>
            <w:r>
              <w:rPr>
                <w:rFonts w:ascii="Times New Roman" w:hAnsi="Times New Roman" w:cs="Times New Roman"/>
                <w:snapToGrid w:val="0"/>
                <w:sz w:val="21"/>
                <w:highlight w:val="none"/>
                <w:lang w:val="zh-CN"/>
              </w:rPr>
              <w:t>微生物菌剂</w:t>
            </w:r>
          </w:p>
        </w:tc>
        <w:tc>
          <w:tcPr>
            <w:tcW w:w="524" w:type="pct"/>
            <w:vAlign w:val="center"/>
          </w:tcPr>
          <w:p w14:paraId="403942BB">
            <w:pPr>
              <w:pStyle w:val="152"/>
              <w:adjustRightInd w:val="0"/>
              <w:snapToGrid w:val="0"/>
              <w:rPr>
                <w:rFonts w:hint="eastAsia"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lang w:val="en-US" w:eastAsia="zh-CN"/>
              </w:rPr>
              <w:t>8</w:t>
            </w:r>
          </w:p>
        </w:tc>
        <w:tc>
          <w:tcPr>
            <w:tcW w:w="517" w:type="pct"/>
            <w:vAlign w:val="center"/>
          </w:tcPr>
          <w:p w14:paraId="24C3360A">
            <w:pPr>
              <w:pStyle w:val="152"/>
              <w:adjustRightInd w:val="0"/>
              <w:snapToGrid w:val="0"/>
              <w:rPr>
                <w:rFonts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rPr>
              <w:t>t/a</w:t>
            </w:r>
          </w:p>
        </w:tc>
        <w:tc>
          <w:tcPr>
            <w:tcW w:w="2026" w:type="pct"/>
            <w:vAlign w:val="center"/>
          </w:tcPr>
          <w:p w14:paraId="6C92E72A">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sz w:val="21"/>
                <w:highlight w:val="none"/>
              </w:rPr>
              <w:t>暂存于兽医室，最大储量为</w:t>
            </w:r>
            <w:r>
              <w:rPr>
                <w:rFonts w:hint="eastAsia" w:ascii="Times New Roman" w:hAnsi="Times New Roman" w:cs="Times New Roman"/>
                <w:snapToGrid w:val="0"/>
                <w:sz w:val="21"/>
                <w:highlight w:val="none"/>
                <w:lang w:val="en-US" w:eastAsia="zh-CN"/>
              </w:rPr>
              <w:t>0.5</w:t>
            </w:r>
            <w:r>
              <w:rPr>
                <w:rFonts w:hint="eastAsia" w:ascii="Times New Roman" w:hAnsi="Times New Roman" w:cs="Times New Roman"/>
                <w:snapToGrid w:val="0"/>
                <w:sz w:val="21"/>
                <w:highlight w:val="none"/>
              </w:rPr>
              <w:t>t</w:t>
            </w:r>
            <w:r>
              <w:rPr>
                <w:rFonts w:hint="eastAsia" w:ascii="Times New Roman" w:hAnsi="Times New Roman" w:cs="Times New Roman"/>
                <w:snapToGrid w:val="0"/>
                <w:sz w:val="21"/>
                <w:highlight w:val="none"/>
                <w:lang w:eastAsia="zh-CN"/>
              </w:rPr>
              <w:t>，</w:t>
            </w:r>
            <w:r>
              <w:rPr>
                <w:rFonts w:hint="eastAsia" w:ascii="Times New Roman" w:hAnsi="Times New Roman" w:cs="Times New Roman"/>
                <w:snapToGrid w:val="0"/>
                <w:sz w:val="21"/>
                <w:highlight w:val="none"/>
                <w:lang w:val="en-US" w:eastAsia="zh-CN"/>
              </w:rPr>
              <w:t>用于干粪堆积场好氧堆肥</w:t>
            </w:r>
          </w:p>
        </w:tc>
      </w:tr>
      <w:tr w14:paraId="57BB7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3" w:type="pct"/>
            <w:vAlign w:val="center"/>
          </w:tcPr>
          <w:p w14:paraId="6C021432">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5</w:t>
            </w:r>
          </w:p>
        </w:tc>
        <w:tc>
          <w:tcPr>
            <w:tcW w:w="1579" w:type="pct"/>
            <w:gridSpan w:val="2"/>
            <w:vAlign w:val="center"/>
          </w:tcPr>
          <w:p w14:paraId="76F28AD7">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疫苗</w:t>
            </w:r>
          </w:p>
        </w:tc>
        <w:tc>
          <w:tcPr>
            <w:tcW w:w="524" w:type="pct"/>
            <w:vAlign w:val="center"/>
          </w:tcPr>
          <w:p w14:paraId="5BFF8765">
            <w:pPr>
              <w:adjustRightInd w:val="0"/>
              <w:snapToGrid w:val="0"/>
              <w:jc w:val="center"/>
              <w:rPr>
                <w:rFonts w:hint="eastAsia" w:ascii="Times New Roman" w:hAnsi="Times New Roman" w:cs="Times New Roman"/>
                <w:snapToGrid w:val="0"/>
                <w:kern w:val="0"/>
                <w:sz w:val="21"/>
                <w:highlight w:val="none"/>
                <w:lang w:val="zh-CN"/>
              </w:rPr>
            </w:pPr>
            <w:r>
              <w:rPr>
                <w:rFonts w:hint="eastAsia" w:ascii="Times New Roman" w:hAnsi="Times New Roman" w:cs="Times New Roman"/>
                <w:snapToGrid w:val="0"/>
                <w:kern w:val="0"/>
                <w:sz w:val="21"/>
                <w:highlight w:val="none"/>
                <w:lang w:val="zh-CN"/>
              </w:rPr>
              <w:t>10000</w:t>
            </w:r>
          </w:p>
        </w:tc>
        <w:tc>
          <w:tcPr>
            <w:tcW w:w="517" w:type="pct"/>
            <w:vAlign w:val="center"/>
          </w:tcPr>
          <w:p w14:paraId="780B9949">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只</w:t>
            </w:r>
          </w:p>
        </w:tc>
        <w:tc>
          <w:tcPr>
            <w:tcW w:w="2026" w:type="pct"/>
            <w:vAlign w:val="center"/>
          </w:tcPr>
          <w:p w14:paraId="10D1FD15">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猪瘟、口蹄疫、蓝耳病、伪狂犬、猪丹毒、猪肺疫等疫苗</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根据防疫要求配备，数量不明确</w:t>
            </w:r>
          </w:p>
        </w:tc>
      </w:tr>
      <w:tr w14:paraId="1C2FA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3" w:type="pct"/>
            <w:vAlign w:val="center"/>
          </w:tcPr>
          <w:p w14:paraId="4826A0EA">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6</w:t>
            </w:r>
          </w:p>
        </w:tc>
        <w:tc>
          <w:tcPr>
            <w:tcW w:w="1579" w:type="pct"/>
            <w:gridSpan w:val="2"/>
            <w:vAlign w:val="center"/>
          </w:tcPr>
          <w:p w14:paraId="7FD1D03F">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兽药</w:t>
            </w:r>
          </w:p>
        </w:tc>
        <w:tc>
          <w:tcPr>
            <w:tcW w:w="524" w:type="pct"/>
            <w:vAlign w:val="center"/>
          </w:tcPr>
          <w:p w14:paraId="22F01BC7">
            <w:pPr>
              <w:adjustRightInd w:val="0"/>
              <w:snapToGrid w:val="0"/>
              <w:jc w:val="center"/>
              <w:rPr>
                <w:rFonts w:hint="eastAsia" w:ascii="Times New Roman" w:hAnsi="Times New Roman" w:cs="Times New Roman"/>
                <w:snapToGrid w:val="0"/>
                <w:kern w:val="0"/>
                <w:sz w:val="21"/>
                <w:highlight w:val="none"/>
                <w:lang w:val="zh-CN"/>
              </w:rPr>
            </w:pPr>
            <w:r>
              <w:rPr>
                <w:rFonts w:hint="eastAsia" w:ascii="Times New Roman" w:hAnsi="Times New Roman" w:cs="Times New Roman"/>
                <w:snapToGrid w:val="0"/>
                <w:kern w:val="0"/>
                <w:sz w:val="21"/>
                <w:highlight w:val="none"/>
                <w:lang w:val="zh-CN"/>
              </w:rPr>
              <w:t>50</w:t>
            </w:r>
          </w:p>
        </w:tc>
        <w:tc>
          <w:tcPr>
            <w:tcW w:w="517" w:type="pct"/>
            <w:vAlign w:val="center"/>
          </w:tcPr>
          <w:p w14:paraId="164EAD2F">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kg/a</w:t>
            </w:r>
          </w:p>
        </w:tc>
        <w:tc>
          <w:tcPr>
            <w:tcW w:w="2026" w:type="pct"/>
            <w:vAlign w:val="center"/>
          </w:tcPr>
          <w:p w14:paraId="3E4113CD">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氨苯尼考、强力等</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根据实际要求配备，数量不明确</w:t>
            </w:r>
          </w:p>
        </w:tc>
      </w:tr>
      <w:tr w14:paraId="75E9B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53" w:type="pct"/>
            <w:vMerge w:val="restart"/>
            <w:vAlign w:val="center"/>
          </w:tcPr>
          <w:p w14:paraId="0A08B48E">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7</w:t>
            </w:r>
          </w:p>
        </w:tc>
        <w:tc>
          <w:tcPr>
            <w:tcW w:w="684" w:type="pct"/>
            <w:vMerge w:val="restart"/>
            <w:vAlign w:val="center"/>
          </w:tcPr>
          <w:p w14:paraId="22643BBA">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rPr>
              <w:t>消毒剂</w:t>
            </w:r>
          </w:p>
        </w:tc>
        <w:tc>
          <w:tcPr>
            <w:tcW w:w="895" w:type="pct"/>
            <w:vAlign w:val="center"/>
          </w:tcPr>
          <w:p w14:paraId="53622CC0">
            <w:pPr>
              <w:adjustRightInd w:val="0"/>
              <w:snapToGrid w:val="0"/>
              <w:jc w:val="center"/>
              <w:rPr>
                <w:rFonts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rPr>
              <w:t>戊二醛</w:t>
            </w:r>
          </w:p>
        </w:tc>
        <w:tc>
          <w:tcPr>
            <w:tcW w:w="524" w:type="pct"/>
            <w:vAlign w:val="center"/>
          </w:tcPr>
          <w:p w14:paraId="37B9B913">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70</w:t>
            </w:r>
          </w:p>
        </w:tc>
        <w:tc>
          <w:tcPr>
            <w:tcW w:w="517" w:type="pct"/>
            <w:vMerge w:val="restart"/>
            <w:vAlign w:val="center"/>
          </w:tcPr>
          <w:p w14:paraId="2482D49F">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kg/a</w:t>
            </w:r>
          </w:p>
        </w:tc>
        <w:tc>
          <w:tcPr>
            <w:tcW w:w="2026" w:type="pct"/>
            <w:vMerge w:val="restart"/>
            <w:vAlign w:val="center"/>
          </w:tcPr>
          <w:p w14:paraId="66647B3C">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rPr>
              <w:t>外购</w:t>
            </w:r>
            <w:r>
              <w:rPr>
                <w:rFonts w:hint="eastAsia" w:ascii="Times New Roman" w:hAnsi="Times New Roman" w:cs="Times New Roman"/>
                <w:snapToGrid w:val="0"/>
                <w:kern w:val="0"/>
                <w:sz w:val="21"/>
                <w:highlight w:val="none"/>
                <w:lang w:eastAsia="zh-CN"/>
              </w:rPr>
              <w:t>，消毒剂（戊二醛、过硫酸氢钾）</w:t>
            </w:r>
            <w:r>
              <w:rPr>
                <w:rFonts w:hint="eastAsia" w:ascii="Times New Roman" w:hAnsi="Times New Roman" w:cs="Times New Roman"/>
                <w:snapToGrid w:val="0"/>
                <w:kern w:val="0"/>
                <w:sz w:val="21"/>
                <w:highlight w:val="none"/>
              </w:rPr>
              <w:t>，暂存于兽医室，最大储量为</w:t>
            </w:r>
            <w:r>
              <w:rPr>
                <w:rFonts w:hint="eastAsia" w:ascii="Times New Roman" w:hAnsi="Times New Roman" w:cs="Times New Roman"/>
                <w:snapToGrid w:val="0"/>
                <w:kern w:val="0"/>
                <w:sz w:val="21"/>
                <w:highlight w:val="none"/>
                <w:lang w:val="en-US" w:eastAsia="zh-CN"/>
              </w:rPr>
              <w:t>2t</w:t>
            </w:r>
          </w:p>
        </w:tc>
      </w:tr>
      <w:tr w14:paraId="58B68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3" w:type="pct"/>
            <w:vMerge w:val="continue"/>
            <w:vAlign w:val="center"/>
          </w:tcPr>
          <w:p w14:paraId="47F83F71">
            <w:pPr>
              <w:adjustRightInd w:val="0"/>
              <w:snapToGrid w:val="0"/>
              <w:jc w:val="center"/>
              <w:rPr>
                <w:rFonts w:hint="eastAsia" w:ascii="Times New Roman" w:hAnsi="Times New Roman" w:cs="Times New Roman"/>
                <w:snapToGrid w:val="0"/>
                <w:kern w:val="0"/>
                <w:sz w:val="21"/>
                <w:highlight w:val="none"/>
                <w:lang w:val="en-US" w:eastAsia="zh-CN"/>
              </w:rPr>
            </w:pPr>
          </w:p>
        </w:tc>
        <w:tc>
          <w:tcPr>
            <w:tcW w:w="684" w:type="pct"/>
            <w:vMerge w:val="continue"/>
            <w:vAlign w:val="center"/>
          </w:tcPr>
          <w:p w14:paraId="604E371B">
            <w:pPr>
              <w:adjustRightInd w:val="0"/>
              <w:snapToGrid w:val="0"/>
              <w:jc w:val="center"/>
              <w:rPr>
                <w:rFonts w:ascii="Times New Roman" w:hAnsi="Times New Roman" w:cs="Times New Roman"/>
                <w:snapToGrid w:val="0"/>
                <w:kern w:val="0"/>
                <w:sz w:val="21"/>
                <w:highlight w:val="none"/>
              </w:rPr>
            </w:pPr>
          </w:p>
        </w:tc>
        <w:tc>
          <w:tcPr>
            <w:tcW w:w="895" w:type="pct"/>
            <w:vAlign w:val="center"/>
          </w:tcPr>
          <w:p w14:paraId="3C84BBF5">
            <w:pPr>
              <w:adjustRightInd w:val="0"/>
              <w:snapToGrid w:val="0"/>
              <w:jc w:val="center"/>
              <w:rPr>
                <w:rFonts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rPr>
              <w:t>过硫酸氢钾</w:t>
            </w:r>
          </w:p>
        </w:tc>
        <w:tc>
          <w:tcPr>
            <w:tcW w:w="524" w:type="pct"/>
            <w:vAlign w:val="center"/>
          </w:tcPr>
          <w:p w14:paraId="6B2454CD">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80</w:t>
            </w:r>
          </w:p>
        </w:tc>
        <w:tc>
          <w:tcPr>
            <w:tcW w:w="517" w:type="pct"/>
            <w:vMerge w:val="continue"/>
            <w:vAlign w:val="center"/>
          </w:tcPr>
          <w:p w14:paraId="315DF2AB">
            <w:pPr>
              <w:adjustRightInd w:val="0"/>
              <w:snapToGrid w:val="0"/>
              <w:jc w:val="center"/>
              <w:rPr>
                <w:rFonts w:ascii="Times New Roman" w:hAnsi="Times New Roman" w:cs="Times New Roman"/>
                <w:snapToGrid w:val="0"/>
                <w:kern w:val="0"/>
                <w:sz w:val="21"/>
                <w:highlight w:val="none"/>
                <w:lang w:val="zh-CN"/>
              </w:rPr>
            </w:pPr>
          </w:p>
        </w:tc>
        <w:tc>
          <w:tcPr>
            <w:tcW w:w="2026" w:type="pct"/>
            <w:vMerge w:val="continue"/>
            <w:vAlign w:val="center"/>
          </w:tcPr>
          <w:p w14:paraId="3157686E">
            <w:pPr>
              <w:adjustRightInd w:val="0"/>
              <w:snapToGrid w:val="0"/>
              <w:jc w:val="center"/>
              <w:rPr>
                <w:rFonts w:ascii="Times New Roman" w:hAnsi="Times New Roman" w:cs="Times New Roman"/>
                <w:snapToGrid w:val="0"/>
                <w:kern w:val="0"/>
                <w:sz w:val="21"/>
                <w:highlight w:val="none"/>
              </w:rPr>
            </w:pPr>
          </w:p>
        </w:tc>
      </w:tr>
      <w:tr w14:paraId="716C3C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3" w:type="pct"/>
            <w:vAlign w:val="center"/>
          </w:tcPr>
          <w:p w14:paraId="280028B7">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8</w:t>
            </w:r>
          </w:p>
        </w:tc>
        <w:tc>
          <w:tcPr>
            <w:tcW w:w="1579" w:type="pct"/>
            <w:gridSpan w:val="2"/>
            <w:vAlign w:val="center"/>
          </w:tcPr>
          <w:p w14:paraId="25330ED7">
            <w:pPr>
              <w:adjustRightInd w:val="0"/>
              <w:snapToGrid w:val="0"/>
              <w:jc w:val="center"/>
              <w:rPr>
                <w:rFonts w:hint="eastAsia"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活性炭</w:t>
            </w:r>
          </w:p>
        </w:tc>
        <w:tc>
          <w:tcPr>
            <w:tcW w:w="524" w:type="pct"/>
            <w:vAlign w:val="center"/>
          </w:tcPr>
          <w:p w14:paraId="1EED0A2D">
            <w:pPr>
              <w:adjustRightInd w:val="0"/>
              <w:snapToGrid w:val="0"/>
              <w:jc w:val="center"/>
              <w:rPr>
                <w:rFonts w:hint="eastAsia"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lang w:val="en-US" w:eastAsia="zh-CN"/>
              </w:rPr>
              <w:t>5.43</w:t>
            </w:r>
          </w:p>
        </w:tc>
        <w:tc>
          <w:tcPr>
            <w:tcW w:w="517" w:type="pct"/>
            <w:vAlign w:val="center"/>
          </w:tcPr>
          <w:p w14:paraId="68FAE12F">
            <w:pPr>
              <w:adjustRightInd w:val="0"/>
              <w:snapToGrid w:val="0"/>
              <w:jc w:val="center"/>
              <w:rPr>
                <w:rFonts w:ascii="Times New Roman" w:hAnsi="Times New Roman" w:cs="Times New Roman"/>
                <w:snapToGrid w:val="0"/>
                <w:kern w:val="0"/>
                <w:sz w:val="21"/>
                <w:highlight w:val="none"/>
              </w:rPr>
            </w:pPr>
            <w:r>
              <w:rPr>
                <w:rFonts w:hint="default" w:ascii="Times New Roman" w:hAnsi="Times New Roman" w:cs="Times New Roman"/>
                <w:snapToGrid w:val="0"/>
                <w:kern w:val="0"/>
                <w:sz w:val="21"/>
                <w:highlight w:val="none"/>
              </w:rPr>
              <w:t>t/a</w:t>
            </w:r>
          </w:p>
        </w:tc>
        <w:tc>
          <w:tcPr>
            <w:tcW w:w="2026" w:type="pct"/>
            <w:vAlign w:val="center"/>
          </w:tcPr>
          <w:p w14:paraId="1C299C51">
            <w:pPr>
              <w:adjustRightInd w:val="0"/>
              <w:snapToGrid w:val="0"/>
              <w:jc w:val="center"/>
              <w:rPr>
                <w:rFonts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lang w:val="en-US" w:eastAsia="zh-CN"/>
              </w:rPr>
              <w:t>外购，厂家更换，不在厂区暂存</w:t>
            </w:r>
          </w:p>
        </w:tc>
      </w:tr>
      <w:tr w14:paraId="752E0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3" w:type="pct"/>
            <w:vAlign w:val="center"/>
          </w:tcPr>
          <w:p w14:paraId="60AB6824">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9</w:t>
            </w:r>
          </w:p>
        </w:tc>
        <w:tc>
          <w:tcPr>
            <w:tcW w:w="1579" w:type="pct"/>
            <w:gridSpan w:val="2"/>
            <w:vAlign w:val="center"/>
          </w:tcPr>
          <w:p w14:paraId="7D24DD06">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脱硫剂</w:t>
            </w:r>
          </w:p>
        </w:tc>
        <w:tc>
          <w:tcPr>
            <w:tcW w:w="524" w:type="pct"/>
            <w:vAlign w:val="center"/>
          </w:tcPr>
          <w:p w14:paraId="4C4E6936">
            <w:pPr>
              <w:adjustRightInd w:val="0"/>
              <w:snapToGrid w:val="0"/>
              <w:jc w:val="center"/>
              <w:rPr>
                <w:rFonts w:hint="eastAsia"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0.0279</w:t>
            </w:r>
          </w:p>
        </w:tc>
        <w:tc>
          <w:tcPr>
            <w:tcW w:w="517" w:type="pct"/>
            <w:vAlign w:val="center"/>
          </w:tcPr>
          <w:p w14:paraId="0C59B22D">
            <w:pPr>
              <w:adjustRightInd w:val="0"/>
              <w:snapToGrid w:val="0"/>
              <w:jc w:val="center"/>
              <w:rPr>
                <w:rFonts w:hint="default" w:ascii="Times New Roman" w:hAnsi="Times New Roman" w:cs="Times New Roman"/>
                <w:snapToGrid w:val="0"/>
                <w:kern w:val="0"/>
                <w:sz w:val="21"/>
                <w:highlight w:val="none"/>
              </w:rPr>
            </w:pPr>
            <w:r>
              <w:rPr>
                <w:rFonts w:hint="default" w:ascii="Times New Roman" w:hAnsi="Times New Roman" w:cs="Times New Roman"/>
                <w:snapToGrid w:val="0"/>
                <w:kern w:val="0"/>
                <w:sz w:val="21"/>
                <w:highlight w:val="none"/>
              </w:rPr>
              <w:t>t/a</w:t>
            </w:r>
          </w:p>
        </w:tc>
        <w:tc>
          <w:tcPr>
            <w:tcW w:w="2026" w:type="pct"/>
            <w:vAlign w:val="center"/>
          </w:tcPr>
          <w:p w14:paraId="7A8E92F7">
            <w:pPr>
              <w:adjustRightInd w:val="0"/>
              <w:snapToGrid w:val="0"/>
              <w:jc w:val="center"/>
              <w:rPr>
                <w:rFonts w:hint="eastAsia"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外购，用来对沼气净化脱硫，成分Fe2O3屑和木屑混合物</w:t>
            </w:r>
          </w:p>
        </w:tc>
      </w:tr>
    </w:tbl>
    <w:p w14:paraId="769C96A1">
      <w:pPr>
        <w:pStyle w:val="7"/>
        <w:bidi w:val="0"/>
        <w:rPr>
          <w:rFonts w:hint="default"/>
          <w:highlight w:val="none"/>
        </w:rPr>
      </w:pPr>
      <w:bookmarkStart w:id="365" w:name="_Toc6358"/>
      <w:bookmarkStart w:id="366" w:name="_Toc1565"/>
      <w:bookmarkStart w:id="367" w:name="_Toc1078"/>
      <w:bookmarkStart w:id="368" w:name="_Toc24506"/>
      <w:r>
        <w:rPr>
          <w:rFonts w:hint="default"/>
          <w:highlight w:val="none"/>
        </w:rPr>
        <w:t>3.</w:t>
      </w:r>
      <w:r>
        <w:rPr>
          <w:rFonts w:hint="eastAsia"/>
          <w:highlight w:val="none"/>
          <w:lang w:val="en-US" w:eastAsia="zh-CN"/>
        </w:rPr>
        <w:t>2</w:t>
      </w:r>
      <w:r>
        <w:rPr>
          <w:rFonts w:hint="default"/>
          <w:highlight w:val="none"/>
        </w:rPr>
        <w:t>.6产品方案</w:t>
      </w:r>
      <w:bookmarkEnd w:id="365"/>
      <w:bookmarkEnd w:id="366"/>
      <w:bookmarkEnd w:id="367"/>
      <w:bookmarkEnd w:id="368"/>
    </w:p>
    <w:p w14:paraId="5ED69B0A">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w:t>
      </w:r>
      <w:r>
        <w:rPr>
          <w:rFonts w:hint="eastAsia" w:ascii="Times New Roman" w:hAnsi="Times New Roman" w:cs="Times New Roman"/>
          <w:color w:val="auto"/>
          <w:sz w:val="24"/>
          <w:highlight w:val="none"/>
          <w:lang w:val="en-US" w:eastAsia="zh-CN"/>
        </w:rPr>
        <w:t>建成后年存栏8000头（母猪950头，公猪50头，哺乳仔猪1700头，保育仔猪3300头，后备猪2000头），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p>
    <w:p w14:paraId="00CED228">
      <w:pPr>
        <w:pStyle w:val="94"/>
        <w:ind w:firstLine="480"/>
        <w:rPr>
          <w:rFonts w:hint="eastAsia"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snapToGrid w:val="0"/>
          <w:color w:val="auto"/>
          <w:highlight w:val="none"/>
        </w:rPr>
        <w:t>产品方案见表3</w:t>
      </w:r>
      <w:r>
        <w:rPr>
          <w:rFonts w:hint="eastAsia"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p>
    <w:p w14:paraId="7A1C4ADF">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4  </w:t>
      </w:r>
      <w:r>
        <w:rPr>
          <w:rFonts w:hint="default" w:ascii="Times New Roman" w:hAnsi="Times New Roman" w:eastAsia="黑体" w:cs="Times New Roman"/>
          <w:b w:val="0"/>
          <w:bCs/>
          <w:smallCaps w:val="0"/>
          <w:snapToGrid/>
          <w:kern w:val="2"/>
          <w:sz w:val="21"/>
          <w:szCs w:val="24"/>
          <w:highlight w:val="none"/>
          <w:lang w:val="zh-CN" w:eastAsia="zh-CN" w:bidi="ar-SA"/>
        </w:rPr>
        <w:t>产品方案</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67"/>
        <w:gridCol w:w="1276"/>
        <w:gridCol w:w="851"/>
        <w:gridCol w:w="1275"/>
        <w:gridCol w:w="4337"/>
      </w:tblGrid>
      <w:tr w14:paraId="27D62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567" w:type="dxa"/>
            <w:tcBorders>
              <w:top w:val="single" w:color="auto" w:sz="12" w:space="0"/>
              <w:left w:val="nil"/>
              <w:bottom w:val="single" w:color="auto" w:sz="4" w:space="0"/>
              <w:right w:val="single" w:color="auto" w:sz="4" w:space="0"/>
            </w:tcBorders>
            <w:vAlign w:val="center"/>
          </w:tcPr>
          <w:p w14:paraId="1E1CA4E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276" w:type="dxa"/>
            <w:tcBorders>
              <w:top w:val="single" w:color="auto" w:sz="12" w:space="0"/>
              <w:left w:val="single" w:color="auto" w:sz="4" w:space="0"/>
              <w:bottom w:val="single" w:color="auto" w:sz="4" w:space="0"/>
              <w:right w:val="single" w:color="auto" w:sz="4" w:space="0"/>
            </w:tcBorders>
            <w:vAlign w:val="center"/>
          </w:tcPr>
          <w:p w14:paraId="5B5BF75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产品名称</w:t>
            </w:r>
          </w:p>
        </w:tc>
        <w:tc>
          <w:tcPr>
            <w:tcW w:w="851" w:type="dxa"/>
            <w:tcBorders>
              <w:top w:val="single" w:color="auto" w:sz="12" w:space="0"/>
              <w:left w:val="single" w:color="auto" w:sz="4" w:space="0"/>
              <w:bottom w:val="single" w:color="auto" w:sz="4" w:space="0"/>
              <w:right w:val="single" w:color="auto" w:sz="4" w:space="0"/>
            </w:tcBorders>
            <w:vAlign w:val="center"/>
          </w:tcPr>
          <w:p w14:paraId="26BC846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1275" w:type="dxa"/>
            <w:tcBorders>
              <w:top w:val="single" w:color="auto" w:sz="12" w:space="0"/>
              <w:left w:val="single" w:color="auto" w:sz="4" w:space="0"/>
              <w:bottom w:val="single" w:color="auto" w:sz="4" w:space="0"/>
              <w:right w:val="single" w:color="auto" w:sz="4" w:space="0"/>
            </w:tcBorders>
            <w:vAlign w:val="center"/>
          </w:tcPr>
          <w:p w14:paraId="5E6DE3E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年产量</w:t>
            </w:r>
          </w:p>
        </w:tc>
        <w:tc>
          <w:tcPr>
            <w:tcW w:w="4337" w:type="dxa"/>
            <w:tcBorders>
              <w:top w:val="single" w:color="auto" w:sz="12" w:space="0"/>
              <w:left w:val="single" w:color="auto" w:sz="4" w:space="0"/>
              <w:bottom w:val="single" w:color="auto" w:sz="4" w:space="0"/>
              <w:right w:val="nil"/>
            </w:tcBorders>
            <w:vAlign w:val="center"/>
          </w:tcPr>
          <w:p w14:paraId="75A8270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03ED9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567" w:type="dxa"/>
            <w:tcBorders>
              <w:top w:val="single" w:color="auto" w:sz="4" w:space="0"/>
              <w:left w:val="nil"/>
              <w:bottom w:val="single" w:color="auto" w:sz="4" w:space="0"/>
              <w:right w:val="single" w:color="auto" w:sz="4" w:space="0"/>
            </w:tcBorders>
            <w:vAlign w:val="center"/>
          </w:tcPr>
          <w:p w14:paraId="697E935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276" w:type="dxa"/>
            <w:tcBorders>
              <w:top w:val="single" w:color="auto" w:sz="4" w:space="0"/>
              <w:left w:val="single" w:color="auto" w:sz="4" w:space="0"/>
              <w:bottom w:val="single" w:color="auto" w:sz="4" w:space="0"/>
              <w:right w:val="single" w:color="auto" w:sz="4" w:space="0"/>
            </w:tcBorders>
            <w:vAlign w:val="center"/>
          </w:tcPr>
          <w:p w14:paraId="66556A6F">
            <w:pPr>
              <w:pStyle w:val="152"/>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eastAsia="zh-CN"/>
              </w:rPr>
              <w:t>商品猪（仔猪）</w:t>
            </w:r>
          </w:p>
        </w:tc>
        <w:tc>
          <w:tcPr>
            <w:tcW w:w="851" w:type="dxa"/>
            <w:tcBorders>
              <w:top w:val="single" w:color="auto" w:sz="4" w:space="0"/>
              <w:left w:val="single" w:color="auto" w:sz="4" w:space="0"/>
              <w:bottom w:val="single" w:color="auto" w:sz="4" w:space="0"/>
              <w:right w:val="single" w:color="auto" w:sz="4" w:space="0"/>
            </w:tcBorders>
            <w:vAlign w:val="center"/>
          </w:tcPr>
          <w:p w14:paraId="6A4F864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头/a</w:t>
            </w:r>
          </w:p>
        </w:tc>
        <w:tc>
          <w:tcPr>
            <w:tcW w:w="1275" w:type="dxa"/>
            <w:tcBorders>
              <w:top w:val="single" w:color="auto" w:sz="4" w:space="0"/>
              <w:left w:val="single" w:color="auto" w:sz="4" w:space="0"/>
              <w:bottom w:val="single" w:color="auto" w:sz="4" w:space="0"/>
              <w:right w:val="single" w:color="auto" w:sz="4" w:space="0"/>
            </w:tcBorders>
            <w:vAlign w:val="center"/>
          </w:tcPr>
          <w:p w14:paraId="7AD36807">
            <w:pPr>
              <w:pStyle w:val="152"/>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16000</w:t>
            </w:r>
          </w:p>
        </w:tc>
        <w:tc>
          <w:tcPr>
            <w:tcW w:w="4337" w:type="dxa"/>
            <w:tcBorders>
              <w:top w:val="single" w:color="auto" w:sz="4" w:space="0"/>
              <w:left w:val="single" w:color="auto" w:sz="4" w:space="0"/>
              <w:bottom w:val="single" w:color="auto" w:sz="4" w:space="0"/>
              <w:right w:val="nil"/>
            </w:tcBorders>
            <w:vAlign w:val="center"/>
          </w:tcPr>
          <w:p w14:paraId="09067F9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主产品</w:t>
            </w:r>
          </w:p>
        </w:tc>
      </w:tr>
      <w:tr w14:paraId="0D9194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567" w:type="dxa"/>
            <w:tcBorders>
              <w:top w:val="single" w:color="auto" w:sz="4" w:space="0"/>
              <w:left w:val="nil"/>
              <w:bottom w:val="single" w:color="auto" w:sz="4" w:space="0"/>
              <w:right w:val="single" w:color="auto" w:sz="4" w:space="0"/>
            </w:tcBorders>
            <w:vAlign w:val="center"/>
          </w:tcPr>
          <w:p w14:paraId="0670503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14:paraId="26DD9BD9">
            <w:pPr>
              <w:pStyle w:val="152"/>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固体</w:t>
            </w:r>
            <w:r>
              <w:rPr>
                <w:rFonts w:hint="eastAsia" w:ascii="Times New Roman" w:hAnsi="Times New Roman" w:cs="Times New Roman"/>
                <w:color w:val="auto"/>
                <w:highlight w:val="none"/>
                <w:lang w:eastAsia="zh-CN"/>
              </w:rPr>
              <w:t>粪污</w:t>
            </w:r>
          </w:p>
        </w:tc>
        <w:tc>
          <w:tcPr>
            <w:tcW w:w="851" w:type="dxa"/>
            <w:tcBorders>
              <w:top w:val="single" w:color="auto" w:sz="4" w:space="0"/>
              <w:left w:val="single" w:color="auto" w:sz="4" w:space="0"/>
              <w:bottom w:val="single" w:color="auto" w:sz="4" w:space="0"/>
              <w:right w:val="single" w:color="auto" w:sz="4" w:space="0"/>
            </w:tcBorders>
            <w:vAlign w:val="center"/>
          </w:tcPr>
          <w:p w14:paraId="01F82E8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1275" w:type="dxa"/>
            <w:tcBorders>
              <w:top w:val="single" w:color="auto" w:sz="4" w:space="0"/>
              <w:left w:val="single" w:color="auto" w:sz="4" w:space="0"/>
              <w:bottom w:val="single" w:color="auto" w:sz="4" w:space="0"/>
              <w:right w:val="single" w:color="auto" w:sz="4" w:space="0"/>
            </w:tcBorders>
            <w:vAlign w:val="center"/>
          </w:tcPr>
          <w:p w14:paraId="4A541682">
            <w:pPr>
              <w:pStyle w:val="152"/>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636.779</w:t>
            </w:r>
          </w:p>
        </w:tc>
        <w:tc>
          <w:tcPr>
            <w:tcW w:w="4337" w:type="dxa"/>
            <w:tcBorders>
              <w:top w:val="single" w:color="auto" w:sz="4" w:space="0"/>
              <w:left w:val="single" w:color="auto" w:sz="4" w:space="0"/>
              <w:bottom w:val="single" w:color="auto" w:sz="4" w:space="0"/>
              <w:right w:val="nil"/>
            </w:tcBorders>
            <w:vAlign w:val="center"/>
          </w:tcPr>
          <w:p w14:paraId="3E7AA439">
            <w:pPr>
              <w:pStyle w:val="152"/>
              <w:rPr>
                <w:rFonts w:hint="default" w:ascii="Times New Roman" w:hAnsi="Times New Roman" w:eastAsia="宋体" w:cs="Times New Roman"/>
                <w:color w:val="auto"/>
                <w:highlight w:val="none"/>
              </w:rPr>
            </w:pPr>
            <w:r>
              <w:rPr>
                <w:rFonts w:hint="default" w:ascii="Times New Roman" w:hAnsi="Times New Roman" w:cs="Times New Roman"/>
                <w:color w:val="auto"/>
                <w:szCs w:val="21"/>
                <w:highlight w:val="none"/>
              </w:rPr>
              <w:t>及时运输至</w:t>
            </w:r>
            <w:r>
              <w:rPr>
                <w:rFonts w:hint="eastAsia" w:ascii="Times New Roman" w:hAnsi="Times New Roman" w:cs="Times New Roman"/>
                <w:color w:val="auto"/>
                <w:szCs w:val="21"/>
                <w:highlight w:val="none"/>
                <w:lang w:val="en-US" w:eastAsia="zh-CN"/>
              </w:rPr>
              <w:t>干粪堆积场</w:t>
            </w:r>
            <w:r>
              <w:rPr>
                <w:rFonts w:hint="default" w:ascii="Times New Roman" w:hAnsi="Times New Roman" w:cs="Times New Roman"/>
                <w:color w:val="auto"/>
                <w:szCs w:val="21"/>
                <w:highlight w:val="none"/>
              </w:rPr>
              <w:t>内，干粪翻堆发酵后制作固体有机肥施肥季节用于配套消纳地进行施肥，非施肥季节储存于</w:t>
            </w:r>
            <w:r>
              <w:rPr>
                <w:rFonts w:hint="eastAsia" w:ascii="Times New Roman" w:hAnsi="Times New Roman" w:cs="Times New Roman"/>
                <w:color w:val="auto"/>
                <w:szCs w:val="21"/>
                <w:highlight w:val="none"/>
                <w:lang w:val="en-US" w:eastAsia="zh-CN"/>
              </w:rPr>
              <w:t>干粪堆积场</w:t>
            </w:r>
            <w:r>
              <w:rPr>
                <w:rFonts w:hint="default" w:ascii="Times New Roman" w:hAnsi="Times New Roman" w:cs="Times New Roman"/>
                <w:color w:val="auto"/>
                <w:szCs w:val="21"/>
                <w:highlight w:val="none"/>
              </w:rPr>
              <w:t>内</w:t>
            </w:r>
          </w:p>
        </w:tc>
      </w:tr>
      <w:tr w14:paraId="1197A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567" w:type="dxa"/>
            <w:tcBorders>
              <w:top w:val="single" w:color="auto" w:sz="4" w:space="0"/>
              <w:left w:val="nil"/>
              <w:bottom w:val="single" w:color="auto" w:sz="4" w:space="0"/>
              <w:right w:val="single" w:color="auto" w:sz="4" w:space="0"/>
            </w:tcBorders>
            <w:vAlign w:val="center"/>
          </w:tcPr>
          <w:p w14:paraId="22733D6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276" w:type="dxa"/>
            <w:tcBorders>
              <w:top w:val="single" w:color="auto" w:sz="4" w:space="0"/>
              <w:left w:val="single" w:color="auto" w:sz="4" w:space="0"/>
              <w:bottom w:val="single" w:color="auto" w:sz="4" w:space="0"/>
              <w:right w:val="single" w:color="auto" w:sz="4" w:space="0"/>
            </w:tcBorders>
            <w:vAlign w:val="center"/>
          </w:tcPr>
          <w:p w14:paraId="3FB7248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沼液</w:t>
            </w:r>
          </w:p>
        </w:tc>
        <w:tc>
          <w:tcPr>
            <w:tcW w:w="851" w:type="dxa"/>
            <w:tcBorders>
              <w:top w:val="single" w:color="auto" w:sz="4" w:space="0"/>
              <w:left w:val="single" w:color="auto" w:sz="4" w:space="0"/>
              <w:bottom w:val="single" w:color="auto" w:sz="4" w:space="0"/>
              <w:right w:val="single" w:color="auto" w:sz="4" w:space="0"/>
            </w:tcBorders>
            <w:vAlign w:val="center"/>
          </w:tcPr>
          <w:p w14:paraId="3F2C05C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1275" w:type="dxa"/>
            <w:tcBorders>
              <w:top w:val="single" w:color="auto" w:sz="4" w:space="0"/>
              <w:left w:val="single" w:color="auto" w:sz="4" w:space="0"/>
              <w:bottom w:val="single" w:color="auto" w:sz="4" w:space="0"/>
              <w:right w:val="single" w:color="auto" w:sz="4" w:space="0"/>
            </w:tcBorders>
            <w:vAlign w:val="center"/>
          </w:tcPr>
          <w:p w14:paraId="22CE6E60">
            <w:pPr>
              <w:pStyle w:val="152"/>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9539.567</w:t>
            </w:r>
          </w:p>
        </w:tc>
        <w:tc>
          <w:tcPr>
            <w:tcW w:w="4337" w:type="dxa"/>
            <w:tcBorders>
              <w:top w:val="single" w:color="auto" w:sz="4" w:space="0"/>
              <w:left w:val="single" w:color="auto" w:sz="4" w:space="0"/>
              <w:bottom w:val="single" w:color="auto" w:sz="4" w:space="0"/>
              <w:right w:val="nil"/>
            </w:tcBorders>
            <w:vAlign w:val="center"/>
          </w:tcPr>
          <w:p w14:paraId="06A9AED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沼液施用农田</w:t>
            </w:r>
          </w:p>
        </w:tc>
      </w:tr>
      <w:tr w14:paraId="0533BA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62" w:hRule="atLeast"/>
          <w:jc w:val="center"/>
        </w:trPr>
        <w:tc>
          <w:tcPr>
            <w:tcW w:w="567" w:type="dxa"/>
            <w:tcBorders>
              <w:top w:val="single" w:color="auto" w:sz="4" w:space="0"/>
              <w:left w:val="nil"/>
              <w:bottom w:val="single" w:color="auto" w:sz="4" w:space="0"/>
              <w:right w:val="single" w:color="auto" w:sz="4" w:space="0"/>
            </w:tcBorders>
            <w:vAlign w:val="center"/>
          </w:tcPr>
          <w:p w14:paraId="40D170A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276" w:type="dxa"/>
            <w:tcBorders>
              <w:top w:val="single" w:color="auto" w:sz="4" w:space="0"/>
              <w:left w:val="single" w:color="auto" w:sz="4" w:space="0"/>
              <w:bottom w:val="single" w:color="auto" w:sz="4" w:space="0"/>
              <w:right w:val="single" w:color="auto" w:sz="4" w:space="0"/>
            </w:tcBorders>
            <w:vAlign w:val="center"/>
          </w:tcPr>
          <w:p w14:paraId="2A5BAD0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沼气</w:t>
            </w:r>
          </w:p>
        </w:tc>
        <w:tc>
          <w:tcPr>
            <w:tcW w:w="851" w:type="dxa"/>
            <w:tcBorders>
              <w:top w:val="single" w:color="auto" w:sz="4" w:space="0"/>
              <w:left w:val="single" w:color="auto" w:sz="4" w:space="0"/>
              <w:bottom w:val="single" w:color="auto" w:sz="4" w:space="0"/>
              <w:right w:val="single" w:color="auto" w:sz="4" w:space="0"/>
            </w:tcBorders>
            <w:vAlign w:val="center"/>
          </w:tcPr>
          <w:p w14:paraId="59EB04B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p>
        </w:tc>
        <w:tc>
          <w:tcPr>
            <w:tcW w:w="1275" w:type="dxa"/>
            <w:tcBorders>
              <w:top w:val="single" w:color="auto" w:sz="4" w:space="0"/>
              <w:left w:val="single" w:color="auto" w:sz="4" w:space="0"/>
              <w:bottom w:val="single" w:color="auto" w:sz="4" w:space="0"/>
              <w:right w:val="single" w:color="auto" w:sz="4" w:space="0"/>
            </w:tcBorders>
            <w:vAlign w:val="center"/>
          </w:tcPr>
          <w:p w14:paraId="547BB2CC">
            <w:pPr>
              <w:pStyle w:val="152"/>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9977.33</w:t>
            </w:r>
          </w:p>
        </w:tc>
        <w:tc>
          <w:tcPr>
            <w:tcW w:w="4337" w:type="dxa"/>
            <w:tcBorders>
              <w:top w:val="single" w:color="auto" w:sz="4" w:space="0"/>
              <w:left w:val="single" w:color="auto" w:sz="4" w:space="0"/>
              <w:bottom w:val="single" w:color="auto" w:sz="4" w:space="0"/>
              <w:right w:val="nil"/>
            </w:tcBorders>
            <w:vAlign w:val="center"/>
          </w:tcPr>
          <w:p w14:paraId="2618108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主要成分CH</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rPr>
              <w:t>占69%，CO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占30%，O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S等其他气体占比1%。</w:t>
            </w:r>
          </w:p>
        </w:tc>
      </w:tr>
      <w:tr w14:paraId="1C3F84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62" w:hRule="atLeast"/>
          <w:jc w:val="center"/>
        </w:trPr>
        <w:tc>
          <w:tcPr>
            <w:tcW w:w="567" w:type="dxa"/>
            <w:tcBorders>
              <w:top w:val="single" w:color="auto" w:sz="4" w:space="0"/>
              <w:left w:val="nil"/>
              <w:bottom w:val="single" w:color="auto" w:sz="4" w:space="0"/>
              <w:right w:val="single" w:color="auto" w:sz="4" w:space="0"/>
            </w:tcBorders>
            <w:vAlign w:val="center"/>
          </w:tcPr>
          <w:p w14:paraId="37669CC8">
            <w:pPr>
              <w:pStyle w:val="152"/>
              <w:rPr>
                <w:rFonts w:hint="eastAsia" w:ascii="Times New Roman" w:hAnsi="Times New Roman" w:eastAsia="宋体" w:cs="Times New Roman"/>
                <w:color w:val="auto"/>
                <w:highlight w:val="none"/>
                <w:lang w:val="en-US" w:eastAsia="zh-CN"/>
              </w:rPr>
            </w:pPr>
            <w:bookmarkStart w:id="369" w:name="_Toc21671"/>
            <w:bookmarkStart w:id="370" w:name="_Toc3404"/>
            <w:bookmarkStart w:id="371" w:name="_Toc10128"/>
            <w:bookmarkStart w:id="372" w:name="_Toc3854"/>
            <w:r>
              <w:rPr>
                <w:rFonts w:hint="eastAsia" w:ascii="Times New Roman" w:hAnsi="Times New Roman" w:cs="Times New Roman"/>
                <w:color w:val="auto"/>
                <w:highlight w:val="none"/>
                <w:lang w:val="en-US" w:eastAsia="zh-CN"/>
              </w:rPr>
              <w:t>5</w:t>
            </w:r>
          </w:p>
        </w:tc>
        <w:tc>
          <w:tcPr>
            <w:tcW w:w="1276" w:type="dxa"/>
            <w:tcBorders>
              <w:top w:val="single" w:color="auto" w:sz="4" w:space="0"/>
              <w:left w:val="single" w:color="auto" w:sz="4" w:space="0"/>
              <w:bottom w:val="single" w:color="auto" w:sz="4" w:space="0"/>
              <w:right w:val="single" w:color="auto" w:sz="4" w:space="0"/>
            </w:tcBorders>
            <w:vAlign w:val="center"/>
          </w:tcPr>
          <w:p w14:paraId="5CECC21D">
            <w:pPr>
              <w:pStyle w:val="152"/>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沼渣</w:t>
            </w:r>
          </w:p>
        </w:tc>
        <w:tc>
          <w:tcPr>
            <w:tcW w:w="851" w:type="dxa"/>
            <w:tcBorders>
              <w:top w:val="single" w:color="auto" w:sz="4" w:space="0"/>
              <w:left w:val="single" w:color="auto" w:sz="4" w:space="0"/>
              <w:bottom w:val="single" w:color="auto" w:sz="4" w:space="0"/>
              <w:right w:val="single" w:color="auto" w:sz="4" w:space="0"/>
            </w:tcBorders>
            <w:vAlign w:val="center"/>
          </w:tcPr>
          <w:p w14:paraId="010ADDA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1275" w:type="dxa"/>
            <w:tcBorders>
              <w:top w:val="single" w:color="auto" w:sz="4" w:space="0"/>
              <w:left w:val="single" w:color="auto" w:sz="4" w:space="0"/>
              <w:bottom w:val="single" w:color="auto" w:sz="4" w:space="0"/>
              <w:right w:val="single" w:color="auto" w:sz="4" w:space="0"/>
            </w:tcBorders>
            <w:vAlign w:val="center"/>
          </w:tcPr>
          <w:p w14:paraId="463E0255">
            <w:pPr>
              <w:pStyle w:val="152"/>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356.608</w:t>
            </w:r>
          </w:p>
        </w:tc>
        <w:tc>
          <w:tcPr>
            <w:tcW w:w="4337" w:type="dxa"/>
            <w:tcBorders>
              <w:top w:val="single" w:color="auto" w:sz="4" w:space="0"/>
              <w:left w:val="single" w:color="auto" w:sz="4" w:space="0"/>
              <w:bottom w:val="single" w:color="auto" w:sz="4" w:space="0"/>
              <w:right w:val="nil"/>
            </w:tcBorders>
            <w:vAlign w:val="center"/>
          </w:tcPr>
          <w:p w14:paraId="3BAAE5C7">
            <w:pPr>
              <w:pStyle w:val="152"/>
              <w:rPr>
                <w:rFonts w:hint="default" w:ascii="Times New Roman" w:hAnsi="Times New Roman" w:eastAsia="宋体" w:cs="Times New Roman"/>
                <w:color w:val="auto"/>
                <w:highlight w:val="none"/>
              </w:rPr>
            </w:pPr>
            <w:r>
              <w:rPr>
                <w:rFonts w:hint="default" w:ascii="Times New Roman" w:hAnsi="Times New Roman" w:cs="Times New Roman"/>
                <w:color w:val="auto"/>
                <w:szCs w:val="21"/>
                <w:highlight w:val="none"/>
              </w:rPr>
              <w:t>及时运输至</w:t>
            </w:r>
            <w:r>
              <w:rPr>
                <w:rFonts w:hint="eastAsia" w:ascii="Times New Roman" w:hAnsi="Times New Roman" w:cs="Times New Roman"/>
                <w:color w:val="auto"/>
                <w:szCs w:val="21"/>
                <w:highlight w:val="none"/>
                <w:lang w:val="en-US" w:eastAsia="zh-CN"/>
              </w:rPr>
              <w:t>干粪堆积场</w:t>
            </w:r>
            <w:r>
              <w:rPr>
                <w:rFonts w:hint="default" w:ascii="Times New Roman" w:hAnsi="Times New Roman" w:cs="Times New Roman"/>
                <w:color w:val="auto"/>
                <w:szCs w:val="21"/>
                <w:highlight w:val="none"/>
              </w:rPr>
              <w:t>内，干粪翻堆发酵后制作固体有机肥施肥季节用于配套消纳地进行施肥，非施肥季节储存于</w:t>
            </w:r>
            <w:r>
              <w:rPr>
                <w:rFonts w:hint="eastAsia" w:ascii="Times New Roman" w:hAnsi="Times New Roman" w:cs="Times New Roman"/>
                <w:color w:val="auto"/>
                <w:szCs w:val="21"/>
                <w:highlight w:val="none"/>
                <w:lang w:val="en-US" w:eastAsia="zh-CN"/>
              </w:rPr>
              <w:t>干粪堆积场</w:t>
            </w:r>
            <w:r>
              <w:rPr>
                <w:rFonts w:hint="default" w:ascii="Times New Roman" w:hAnsi="Times New Roman" w:cs="Times New Roman"/>
                <w:color w:val="auto"/>
                <w:szCs w:val="21"/>
                <w:highlight w:val="none"/>
              </w:rPr>
              <w:t>内</w:t>
            </w:r>
          </w:p>
        </w:tc>
      </w:tr>
    </w:tbl>
    <w:p w14:paraId="05936BBD">
      <w:pPr>
        <w:pStyle w:val="7"/>
        <w:bidi w:val="0"/>
        <w:rPr>
          <w:rFonts w:hint="default"/>
          <w:highlight w:val="none"/>
        </w:rPr>
      </w:pPr>
      <w:r>
        <w:rPr>
          <w:rFonts w:hint="default"/>
          <w:highlight w:val="none"/>
        </w:rPr>
        <w:t>3.</w:t>
      </w:r>
      <w:r>
        <w:rPr>
          <w:rFonts w:hint="default"/>
          <w:highlight w:val="none"/>
          <w:lang w:val="en-US" w:eastAsia="zh-CN"/>
        </w:rPr>
        <w:t>2</w:t>
      </w:r>
      <w:r>
        <w:rPr>
          <w:rFonts w:hint="default"/>
          <w:highlight w:val="none"/>
        </w:rPr>
        <w:t>.7生产班制及劳动定员</w:t>
      </w:r>
      <w:bookmarkEnd w:id="369"/>
      <w:bookmarkEnd w:id="370"/>
      <w:bookmarkEnd w:id="371"/>
      <w:bookmarkEnd w:id="372"/>
    </w:p>
    <w:p w14:paraId="2EFE0CC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本项目采用现代企业化模式进行运作，企业的采购、销售均面向市场，实行董事长领导下的总经理负责制，既充分保障投资者的权益，又积极发挥劳动者的积极性，以市场竞争促进企业发展。</w:t>
      </w:r>
    </w:p>
    <w:p w14:paraId="0A5973E2">
      <w:pPr>
        <w:pStyle w:val="94"/>
        <w:ind w:firstLine="480"/>
        <w:rPr>
          <w:rFonts w:hint="default" w:ascii="Times New Roman" w:hAnsi="Times New Roman" w:cs="Times New Roman"/>
          <w:snapToGrid w:val="0"/>
          <w:color w:val="auto"/>
          <w:highlight w:val="none"/>
        </w:rPr>
      </w:pPr>
      <w:bookmarkStart w:id="373" w:name="_Toc18652"/>
      <w:bookmarkStart w:id="374" w:name="_Toc812"/>
      <w:bookmarkStart w:id="375" w:name="_Toc18143"/>
      <w:bookmarkStart w:id="376" w:name="_Toc1456"/>
      <w:r>
        <w:rPr>
          <w:rFonts w:hint="default" w:ascii="Times New Roman" w:hAnsi="Times New Roman" w:cs="Times New Roman"/>
          <w:snapToGrid w:val="0"/>
          <w:color w:val="auto"/>
          <w:highlight w:val="none"/>
        </w:rPr>
        <w:t>本项目劳动定员</w:t>
      </w:r>
      <w:r>
        <w:rPr>
          <w:rFonts w:hint="eastAsia" w:ascii="Times New Roman" w:hAnsi="Times New Roman" w:cs="Times New Roman"/>
          <w:snapToGrid w:val="0"/>
          <w:color w:val="auto"/>
          <w:highlight w:val="none"/>
          <w:lang w:val="en-US" w:eastAsia="zh-CN"/>
        </w:rPr>
        <w:t>由原有8人新增至</w:t>
      </w:r>
      <w:r>
        <w:rPr>
          <w:rFonts w:hint="default" w:ascii="Times New Roman" w:hAnsi="Times New Roman" w:cs="Times New Roman"/>
          <w:snapToGrid w:val="0"/>
          <w:color w:val="auto"/>
          <w:highlight w:val="none"/>
        </w:rPr>
        <w:t>1</w:t>
      </w:r>
      <w:r>
        <w:rPr>
          <w:rFonts w:hint="eastAsia" w:ascii="Times New Roman" w:hAnsi="Times New Roman" w:cs="Times New Roman"/>
          <w:snapToGrid w:val="0"/>
          <w:color w:val="auto"/>
          <w:highlight w:val="none"/>
          <w:lang w:val="en-US" w:eastAsia="zh-CN"/>
        </w:rPr>
        <w:t>1</w:t>
      </w:r>
      <w:r>
        <w:rPr>
          <w:rFonts w:hint="default" w:ascii="Times New Roman" w:hAnsi="Times New Roman" w:cs="Times New Roman"/>
          <w:snapToGrid w:val="0"/>
          <w:color w:val="auto"/>
          <w:highlight w:val="none"/>
        </w:rPr>
        <w:t>人，</w:t>
      </w:r>
      <w:r>
        <w:rPr>
          <w:rFonts w:hint="eastAsia" w:ascii="Times New Roman" w:hAnsi="Times New Roman" w:cs="Times New Roman"/>
          <w:snapToGrid w:val="0"/>
          <w:color w:val="auto"/>
          <w:highlight w:val="none"/>
          <w:lang w:val="en-US" w:eastAsia="zh-CN"/>
        </w:rPr>
        <w:t>一</w:t>
      </w:r>
      <w:r>
        <w:rPr>
          <w:rFonts w:hint="default" w:ascii="Times New Roman" w:hAnsi="Times New Roman" w:cs="Times New Roman"/>
          <w:snapToGrid w:val="0"/>
          <w:color w:val="auto"/>
          <w:highlight w:val="none"/>
        </w:rPr>
        <w:t>班制，年工作365天。</w:t>
      </w:r>
    </w:p>
    <w:p w14:paraId="303CCCDD">
      <w:pPr>
        <w:pStyle w:val="7"/>
        <w:bidi w:val="0"/>
        <w:rPr>
          <w:rFonts w:hint="default"/>
          <w:highlight w:val="none"/>
        </w:rPr>
      </w:pPr>
      <w:r>
        <w:rPr>
          <w:rFonts w:hint="default"/>
          <w:highlight w:val="none"/>
        </w:rPr>
        <w:t>3.</w:t>
      </w:r>
      <w:r>
        <w:rPr>
          <w:rFonts w:hint="default"/>
          <w:highlight w:val="none"/>
          <w:lang w:val="en-US" w:eastAsia="zh-CN"/>
        </w:rPr>
        <w:t>2</w:t>
      </w:r>
      <w:r>
        <w:rPr>
          <w:rFonts w:hint="default"/>
          <w:highlight w:val="none"/>
        </w:rPr>
        <w:t>.8项目实施进度</w:t>
      </w:r>
      <w:bookmarkEnd w:id="373"/>
      <w:bookmarkEnd w:id="374"/>
      <w:bookmarkEnd w:id="375"/>
      <w:bookmarkEnd w:id="376"/>
    </w:p>
    <w:p w14:paraId="4903F7C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本项目建设进度应本着缩短建设周期，早投产，见效快的原则，项目建设期</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个月，为20</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月至20</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年</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rPr>
        <w:t>月，计划于20</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年</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月投产</w:t>
      </w:r>
      <w:r>
        <w:rPr>
          <w:rFonts w:hint="default" w:ascii="Times New Roman" w:hAnsi="Times New Roman" w:eastAsia="宋体" w:cs="Times New Roman"/>
          <w:color w:val="auto"/>
          <w:highlight w:val="none"/>
          <w:lang w:val="en-US" w:eastAsia="zh-CN"/>
        </w:rPr>
        <w:t>。</w:t>
      </w:r>
    </w:p>
    <w:p w14:paraId="4E48AD87">
      <w:pPr>
        <w:pStyle w:val="5"/>
        <w:bidi w:val="0"/>
        <w:rPr>
          <w:rFonts w:hint="default"/>
          <w:highlight w:val="none"/>
        </w:rPr>
      </w:pPr>
      <w:bookmarkStart w:id="377" w:name="_Toc32181"/>
      <w:bookmarkStart w:id="378" w:name="_Toc8272"/>
      <w:bookmarkStart w:id="379" w:name="_Toc3003"/>
      <w:bookmarkStart w:id="380" w:name="_Toc11480"/>
      <w:bookmarkStart w:id="381" w:name="_Toc18849"/>
      <w:r>
        <w:rPr>
          <w:rFonts w:hint="default"/>
          <w:highlight w:val="none"/>
        </w:rPr>
        <w:t>3.</w:t>
      </w:r>
      <w:r>
        <w:rPr>
          <w:rFonts w:hint="eastAsia"/>
          <w:highlight w:val="none"/>
          <w:lang w:val="en-US" w:eastAsia="zh-CN"/>
        </w:rPr>
        <w:t>3</w:t>
      </w:r>
      <w:r>
        <w:rPr>
          <w:rFonts w:hint="default"/>
          <w:highlight w:val="none"/>
        </w:rPr>
        <w:t>公用及辅助工程</w:t>
      </w:r>
      <w:bookmarkEnd w:id="377"/>
      <w:bookmarkEnd w:id="378"/>
      <w:bookmarkEnd w:id="379"/>
      <w:bookmarkEnd w:id="380"/>
      <w:bookmarkEnd w:id="381"/>
    </w:p>
    <w:p w14:paraId="2EE9E2CC">
      <w:pPr>
        <w:pStyle w:val="7"/>
        <w:bidi w:val="0"/>
        <w:rPr>
          <w:rFonts w:hint="default"/>
          <w:highlight w:val="none"/>
        </w:rPr>
      </w:pPr>
      <w:bookmarkStart w:id="382" w:name="_Toc15951"/>
      <w:bookmarkStart w:id="383" w:name="_Toc24905"/>
      <w:bookmarkStart w:id="384" w:name="_Toc2949"/>
      <w:bookmarkStart w:id="385" w:name="_Toc13187"/>
      <w:r>
        <w:rPr>
          <w:rFonts w:hint="default"/>
          <w:highlight w:val="none"/>
        </w:rPr>
        <w:t>3.</w:t>
      </w:r>
      <w:r>
        <w:rPr>
          <w:rFonts w:hint="eastAsia"/>
          <w:highlight w:val="none"/>
          <w:lang w:val="en-US" w:eastAsia="zh-CN"/>
        </w:rPr>
        <w:t>3</w:t>
      </w:r>
      <w:r>
        <w:rPr>
          <w:rFonts w:hint="default"/>
          <w:highlight w:val="none"/>
        </w:rPr>
        <w:t>.1给水工程</w:t>
      </w:r>
      <w:bookmarkEnd w:id="382"/>
      <w:bookmarkEnd w:id="383"/>
      <w:bookmarkEnd w:id="384"/>
      <w:bookmarkEnd w:id="385"/>
    </w:p>
    <w:p w14:paraId="4D157B2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（1）水源</w:t>
      </w:r>
    </w:p>
    <w:p w14:paraId="2C70344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rPr>
        <w:t>养殖场生产用水水源</w:t>
      </w:r>
      <w:r>
        <w:rPr>
          <w:rFonts w:hint="eastAsia" w:ascii="Times New Roman" w:hAnsi="Times New Roman" w:cs="Times New Roman"/>
          <w:snapToGrid w:val="0"/>
          <w:color w:val="auto"/>
          <w:highlight w:val="none"/>
          <w:lang w:val="en-US" w:eastAsia="zh-CN"/>
        </w:rPr>
        <w:t>为井水</w:t>
      </w:r>
      <w:r>
        <w:rPr>
          <w:rFonts w:hint="default" w:ascii="Times New Roman" w:hAnsi="Times New Roman" w:cs="Times New Roman"/>
          <w:snapToGrid w:val="0"/>
          <w:color w:val="auto"/>
          <w:highlight w:val="none"/>
        </w:rPr>
        <w:t>；生活用水外购桶装水。</w:t>
      </w:r>
    </w:p>
    <w:p w14:paraId="03EF821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（2）用水量</w:t>
      </w:r>
    </w:p>
    <w:p w14:paraId="2A9E6BF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本项目用水包括</w:t>
      </w:r>
      <w:r>
        <w:rPr>
          <w:rFonts w:hint="eastAsia" w:ascii="Times New Roman" w:hAnsi="Times New Roman" w:cs="Times New Roman"/>
          <w:snapToGrid w:val="0"/>
          <w:color w:val="auto"/>
          <w:highlight w:val="none"/>
          <w:lang w:val="en-US" w:eastAsia="zh-CN"/>
        </w:rPr>
        <w:t>养殖用水</w:t>
      </w:r>
      <w:r>
        <w:rPr>
          <w:rFonts w:hint="default" w:ascii="Times New Roman" w:hAnsi="Times New Roman" w:eastAsia="宋体" w:cs="Times New Roman"/>
          <w:snapToGrid w:val="0"/>
          <w:color w:val="auto"/>
          <w:highlight w:val="none"/>
        </w:rPr>
        <w:t>、职工生活用水、消毒用水</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洗消车间用水、猪舍降温喷雾水</w:t>
      </w:r>
      <w:r>
        <w:rPr>
          <w:rFonts w:hint="default" w:ascii="Times New Roman" w:hAnsi="Times New Roman" w:eastAsia="宋体" w:cs="Times New Roman"/>
          <w:snapToGrid w:val="0"/>
          <w:color w:val="auto"/>
          <w:highlight w:val="none"/>
        </w:rPr>
        <w:t>等。</w:t>
      </w:r>
    </w:p>
    <w:p w14:paraId="134A39A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①</w:t>
      </w:r>
      <w:r>
        <w:rPr>
          <w:rFonts w:hint="default" w:ascii="Times New Roman" w:hAnsi="Times New Roman" w:eastAsia="宋体" w:cs="Times New Roman"/>
          <w:snapToGrid w:val="0"/>
          <w:color w:val="auto"/>
          <w:highlight w:val="none"/>
        </w:rPr>
        <w:fldChar w:fldCharType="end"/>
      </w:r>
      <w:r>
        <w:rPr>
          <w:rFonts w:hint="eastAsia" w:ascii="Times New Roman" w:hAnsi="Times New Roman" w:cs="Times New Roman"/>
          <w:snapToGrid w:val="0"/>
          <w:color w:val="auto"/>
          <w:highlight w:val="none"/>
          <w:lang w:val="en-US" w:eastAsia="zh-CN"/>
        </w:rPr>
        <w:t>养殖</w:t>
      </w:r>
      <w:r>
        <w:rPr>
          <w:rFonts w:hint="default" w:ascii="Times New Roman" w:hAnsi="Times New Roman" w:eastAsia="宋体" w:cs="Times New Roman"/>
          <w:snapToGrid w:val="0"/>
          <w:color w:val="auto"/>
          <w:highlight w:val="none"/>
        </w:rPr>
        <w:t>用水</w:t>
      </w:r>
    </w:p>
    <w:p w14:paraId="607446F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根据畜禽养殖业产污系数与排污系数手册中相关资料，并结合建设单位位于黑龙江省内已投产运行的养殖场生猪饮用水量实际情况，本项目生猪饮用水量见表。项目猪饮水情况</w:t>
      </w:r>
      <w:r>
        <w:rPr>
          <w:rFonts w:hint="default" w:ascii="Times New Roman" w:hAnsi="Times New Roman" w:eastAsia="宋体" w:cs="Times New Roman"/>
          <w:snapToGrid w:val="0"/>
          <w:color w:val="auto"/>
          <w:highlight w:val="none"/>
        </w:rPr>
        <w:t>见表3</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-1。</w:t>
      </w:r>
    </w:p>
    <w:p w14:paraId="6B96A8F5">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猪饮用水情况一览表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417"/>
        <w:gridCol w:w="1560"/>
        <w:gridCol w:w="2270"/>
        <w:gridCol w:w="2033"/>
      </w:tblGrid>
      <w:tr w14:paraId="0416E8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09F1B2B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猪群种类</w:t>
            </w:r>
          </w:p>
        </w:tc>
        <w:tc>
          <w:tcPr>
            <w:tcW w:w="831" w:type="pct"/>
            <w:vAlign w:val="center"/>
          </w:tcPr>
          <w:p w14:paraId="04E89E58">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数量（头）</w:t>
            </w:r>
          </w:p>
        </w:tc>
        <w:tc>
          <w:tcPr>
            <w:tcW w:w="915" w:type="pct"/>
            <w:vAlign w:val="center"/>
          </w:tcPr>
          <w:p w14:paraId="36845C29">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单位饮水量（L/头•d）</w:t>
            </w:r>
          </w:p>
        </w:tc>
        <w:tc>
          <w:tcPr>
            <w:tcW w:w="1331" w:type="pct"/>
            <w:vAlign w:val="center"/>
          </w:tcPr>
          <w:p w14:paraId="05654D68">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日饮用水量（m</w:t>
            </w:r>
            <w:r>
              <w:rPr>
                <w:rFonts w:hint="default" w:ascii="Times New Roman" w:hAnsi="Times New Roman" w:eastAsia="宋体" w:cs="Times New Roman"/>
                <w:snapToGrid/>
                <w:kern w:val="0"/>
                <w:sz w:val="21"/>
                <w:szCs w:val="20"/>
                <w:highlight w:val="none"/>
                <w:vertAlign w:val="superscript"/>
                <w:lang w:val="en-US" w:eastAsia="zh-CN" w:bidi="ar-SA"/>
              </w:rPr>
              <w:t>3</w:t>
            </w:r>
            <w:r>
              <w:rPr>
                <w:rFonts w:hint="default" w:ascii="Times New Roman" w:hAnsi="Times New Roman" w:eastAsia="宋体" w:cs="Times New Roman"/>
                <w:snapToGrid/>
                <w:kern w:val="0"/>
                <w:sz w:val="21"/>
                <w:szCs w:val="20"/>
                <w:highlight w:val="none"/>
                <w:lang w:val="en-US" w:eastAsia="zh-CN" w:bidi="ar-SA"/>
              </w:rPr>
              <w:t>/d）</w:t>
            </w:r>
          </w:p>
        </w:tc>
        <w:tc>
          <w:tcPr>
            <w:tcW w:w="1192" w:type="pct"/>
            <w:vAlign w:val="center"/>
          </w:tcPr>
          <w:p w14:paraId="452B5D5D">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年饮用水量（m</w:t>
            </w:r>
            <w:r>
              <w:rPr>
                <w:rFonts w:hint="default" w:ascii="Times New Roman" w:hAnsi="Times New Roman" w:eastAsia="宋体" w:cs="Times New Roman"/>
                <w:snapToGrid/>
                <w:kern w:val="0"/>
                <w:sz w:val="21"/>
                <w:szCs w:val="20"/>
                <w:highlight w:val="none"/>
                <w:vertAlign w:val="superscript"/>
                <w:lang w:val="en-US" w:eastAsia="zh-CN" w:bidi="ar-SA"/>
              </w:rPr>
              <w:t>3</w:t>
            </w:r>
            <w:r>
              <w:rPr>
                <w:rFonts w:hint="default" w:ascii="Times New Roman" w:hAnsi="Times New Roman" w:eastAsia="宋体" w:cs="Times New Roman"/>
                <w:snapToGrid/>
                <w:kern w:val="0"/>
                <w:sz w:val="21"/>
                <w:szCs w:val="20"/>
                <w:highlight w:val="none"/>
                <w:lang w:val="en-US" w:eastAsia="zh-CN" w:bidi="ar-SA"/>
              </w:rPr>
              <w:t>/a）</w:t>
            </w:r>
          </w:p>
        </w:tc>
      </w:tr>
      <w:tr w14:paraId="08B3E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570C2C1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母猪</w:t>
            </w:r>
          </w:p>
        </w:tc>
        <w:tc>
          <w:tcPr>
            <w:tcW w:w="831" w:type="pct"/>
            <w:vAlign w:val="center"/>
          </w:tcPr>
          <w:p w14:paraId="28F90B1E">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950</w:t>
            </w:r>
          </w:p>
        </w:tc>
        <w:tc>
          <w:tcPr>
            <w:tcW w:w="915" w:type="pct"/>
            <w:vAlign w:val="center"/>
          </w:tcPr>
          <w:p w14:paraId="058594E0">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15</w:t>
            </w:r>
          </w:p>
        </w:tc>
        <w:tc>
          <w:tcPr>
            <w:tcW w:w="1331" w:type="pct"/>
            <w:vAlign w:val="center"/>
          </w:tcPr>
          <w:p w14:paraId="431C1667">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14.25</w:t>
            </w:r>
          </w:p>
        </w:tc>
        <w:tc>
          <w:tcPr>
            <w:tcW w:w="1192" w:type="pct"/>
            <w:vAlign w:val="center"/>
          </w:tcPr>
          <w:p w14:paraId="54DF07A4">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5201.25</w:t>
            </w:r>
          </w:p>
        </w:tc>
      </w:tr>
      <w:tr w14:paraId="7DC85B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8" w:type="pct"/>
            <w:vAlign w:val="center"/>
          </w:tcPr>
          <w:p w14:paraId="629CAFB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公猪</w:t>
            </w:r>
          </w:p>
        </w:tc>
        <w:tc>
          <w:tcPr>
            <w:tcW w:w="831" w:type="pct"/>
            <w:vAlign w:val="center"/>
          </w:tcPr>
          <w:p w14:paraId="40384263">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50</w:t>
            </w:r>
          </w:p>
        </w:tc>
        <w:tc>
          <w:tcPr>
            <w:tcW w:w="915" w:type="pct"/>
            <w:vAlign w:val="center"/>
          </w:tcPr>
          <w:p w14:paraId="08DFD9B6">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cs="Times New Roman"/>
                <w:snapToGrid/>
                <w:kern w:val="0"/>
                <w:sz w:val="21"/>
                <w:szCs w:val="20"/>
                <w:highlight w:val="none"/>
                <w:lang w:val="en-US" w:eastAsia="zh-CN" w:bidi="ar-SA"/>
              </w:rPr>
              <w:t>10</w:t>
            </w:r>
          </w:p>
        </w:tc>
        <w:tc>
          <w:tcPr>
            <w:tcW w:w="1331" w:type="pct"/>
            <w:vAlign w:val="center"/>
          </w:tcPr>
          <w:p w14:paraId="4AF5A163">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cs="Times New Roman"/>
                <w:snapToGrid/>
                <w:kern w:val="0"/>
                <w:sz w:val="21"/>
                <w:szCs w:val="20"/>
                <w:highlight w:val="none"/>
                <w:lang w:val="en-US" w:eastAsia="zh-CN" w:bidi="ar-SA"/>
              </w:rPr>
              <w:t>0.5</w:t>
            </w:r>
          </w:p>
        </w:tc>
        <w:tc>
          <w:tcPr>
            <w:tcW w:w="1192" w:type="pct"/>
            <w:vAlign w:val="center"/>
          </w:tcPr>
          <w:p w14:paraId="2282257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cs="Times New Roman"/>
                <w:snapToGrid/>
                <w:kern w:val="0"/>
                <w:sz w:val="21"/>
                <w:szCs w:val="20"/>
                <w:highlight w:val="none"/>
                <w:lang w:val="en-US" w:eastAsia="zh-CN" w:bidi="ar-SA"/>
              </w:rPr>
              <w:t>182.5</w:t>
            </w:r>
          </w:p>
        </w:tc>
      </w:tr>
      <w:tr w14:paraId="36052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1C697A44">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哺乳仔猪</w:t>
            </w:r>
          </w:p>
        </w:tc>
        <w:tc>
          <w:tcPr>
            <w:tcW w:w="831" w:type="pct"/>
            <w:vAlign w:val="center"/>
          </w:tcPr>
          <w:p w14:paraId="5D90EE76">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1700</w:t>
            </w:r>
          </w:p>
        </w:tc>
        <w:tc>
          <w:tcPr>
            <w:tcW w:w="915" w:type="pct"/>
            <w:vAlign w:val="center"/>
          </w:tcPr>
          <w:p w14:paraId="06ED4FDA">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5</w:t>
            </w:r>
          </w:p>
        </w:tc>
        <w:tc>
          <w:tcPr>
            <w:tcW w:w="1331" w:type="pct"/>
            <w:vAlign w:val="center"/>
          </w:tcPr>
          <w:p w14:paraId="3BCC069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8.5</w:t>
            </w:r>
          </w:p>
        </w:tc>
        <w:tc>
          <w:tcPr>
            <w:tcW w:w="1192" w:type="pct"/>
            <w:vAlign w:val="center"/>
          </w:tcPr>
          <w:p w14:paraId="1B70C0C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3102.5</w:t>
            </w:r>
          </w:p>
        </w:tc>
      </w:tr>
      <w:tr w14:paraId="43298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2863F166">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保育仔猪</w:t>
            </w:r>
          </w:p>
        </w:tc>
        <w:tc>
          <w:tcPr>
            <w:tcW w:w="831" w:type="pct"/>
            <w:vAlign w:val="center"/>
          </w:tcPr>
          <w:p w14:paraId="14F15A80">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3300</w:t>
            </w:r>
          </w:p>
        </w:tc>
        <w:tc>
          <w:tcPr>
            <w:tcW w:w="915" w:type="pct"/>
            <w:vAlign w:val="center"/>
          </w:tcPr>
          <w:p w14:paraId="4FA7BFF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5</w:t>
            </w:r>
          </w:p>
        </w:tc>
        <w:tc>
          <w:tcPr>
            <w:tcW w:w="1331" w:type="pct"/>
            <w:vAlign w:val="center"/>
          </w:tcPr>
          <w:p w14:paraId="5647212C">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16.5</w:t>
            </w:r>
          </w:p>
        </w:tc>
        <w:tc>
          <w:tcPr>
            <w:tcW w:w="1192" w:type="pct"/>
            <w:vAlign w:val="center"/>
          </w:tcPr>
          <w:p w14:paraId="15A8FD8A">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6022.5</w:t>
            </w:r>
          </w:p>
        </w:tc>
      </w:tr>
      <w:tr w14:paraId="24FD7C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59CAF9F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后备猪</w:t>
            </w:r>
          </w:p>
        </w:tc>
        <w:tc>
          <w:tcPr>
            <w:tcW w:w="831" w:type="pct"/>
            <w:vAlign w:val="center"/>
          </w:tcPr>
          <w:p w14:paraId="378F301B">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2000</w:t>
            </w:r>
          </w:p>
        </w:tc>
        <w:tc>
          <w:tcPr>
            <w:tcW w:w="915" w:type="pct"/>
            <w:vAlign w:val="center"/>
          </w:tcPr>
          <w:p w14:paraId="2A0C963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eastAsia" w:ascii="Times New Roman" w:hAnsi="Times New Roman" w:eastAsia="宋体" w:cs="Times New Roman"/>
                <w:snapToGrid w:val="0"/>
                <w:kern w:val="2"/>
                <w:sz w:val="21"/>
                <w:szCs w:val="20"/>
                <w:highlight w:val="none"/>
                <w:lang w:val="en-US" w:eastAsia="zh-CN" w:bidi="ar-SA"/>
              </w:rPr>
              <w:t>10</w:t>
            </w:r>
          </w:p>
        </w:tc>
        <w:tc>
          <w:tcPr>
            <w:tcW w:w="1331" w:type="pct"/>
            <w:vAlign w:val="center"/>
          </w:tcPr>
          <w:p w14:paraId="0D8C6F9D">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eastAsia" w:ascii="Times New Roman" w:hAnsi="Times New Roman" w:eastAsia="宋体" w:cs="Times New Roman"/>
                <w:snapToGrid w:val="0"/>
                <w:kern w:val="2"/>
                <w:sz w:val="21"/>
                <w:szCs w:val="20"/>
                <w:highlight w:val="none"/>
                <w:lang w:val="en-US" w:eastAsia="zh-CN" w:bidi="ar-SA"/>
              </w:rPr>
              <w:t>20</w:t>
            </w:r>
          </w:p>
        </w:tc>
        <w:tc>
          <w:tcPr>
            <w:tcW w:w="1192" w:type="pct"/>
            <w:vAlign w:val="center"/>
          </w:tcPr>
          <w:p w14:paraId="1CCC296D">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7300</w:t>
            </w:r>
          </w:p>
        </w:tc>
      </w:tr>
      <w:tr w14:paraId="06663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79E41DB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合计</w:t>
            </w:r>
          </w:p>
        </w:tc>
        <w:tc>
          <w:tcPr>
            <w:tcW w:w="831" w:type="pct"/>
            <w:vAlign w:val="center"/>
          </w:tcPr>
          <w:p w14:paraId="6A23248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8000</w:t>
            </w:r>
          </w:p>
        </w:tc>
        <w:tc>
          <w:tcPr>
            <w:tcW w:w="915" w:type="pct"/>
            <w:vAlign w:val="center"/>
          </w:tcPr>
          <w:p w14:paraId="524164E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w:t>
            </w:r>
          </w:p>
        </w:tc>
        <w:tc>
          <w:tcPr>
            <w:tcW w:w="1331" w:type="pct"/>
            <w:vAlign w:val="center"/>
          </w:tcPr>
          <w:p w14:paraId="79CE307D">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eastAsia" w:ascii="Times New Roman" w:hAnsi="Times New Roman" w:cs="Times New Roman"/>
                <w:snapToGrid w:val="0"/>
                <w:kern w:val="2"/>
                <w:sz w:val="21"/>
                <w:szCs w:val="20"/>
                <w:highlight w:val="none"/>
                <w:lang w:val="en-US" w:eastAsia="zh-CN" w:bidi="ar-SA"/>
              </w:rPr>
              <w:t>59.75</w:t>
            </w:r>
          </w:p>
        </w:tc>
        <w:tc>
          <w:tcPr>
            <w:tcW w:w="1192" w:type="pct"/>
            <w:vAlign w:val="center"/>
          </w:tcPr>
          <w:p w14:paraId="325DDB60">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cs="Times New Roman"/>
                <w:snapToGrid/>
                <w:kern w:val="0"/>
                <w:sz w:val="21"/>
                <w:szCs w:val="20"/>
                <w:highlight w:val="none"/>
                <w:lang w:val="en-US" w:eastAsia="zh-CN" w:bidi="ar-SA"/>
              </w:rPr>
              <w:t>21808.75</w:t>
            </w:r>
          </w:p>
        </w:tc>
      </w:tr>
    </w:tbl>
    <w:p w14:paraId="6BEACB1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Cs/>
          <w:snapToGrid w:val="0"/>
          <w:color w:val="auto"/>
          <w:highlight w:val="none"/>
        </w:rPr>
        <w:t>②</w:t>
      </w:r>
      <w:r>
        <w:rPr>
          <w:rFonts w:hint="eastAsia" w:ascii="Times New Roman" w:hAnsi="Times New Roman" w:cs="Times New Roman"/>
          <w:bCs/>
          <w:snapToGrid w:val="0"/>
          <w:color w:val="auto"/>
          <w:highlight w:val="none"/>
          <w:lang w:val="en-US" w:eastAsia="zh-CN"/>
        </w:rPr>
        <w:t>职工</w:t>
      </w:r>
      <w:r>
        <w:rPr>
          <w:rFonts w:hint="default" w:ascii="Times New Roman" w:hAnsi="Times New Roman" w:eastAsia="宋体" w:cs="Times New Roman"/>
          <w:snapToGrid w:val="0"/>
          <w:color w:val="auto"/>
          <w:highlight w:val="none"/>
        </w:rPr>
        <w:t>生活用水</w:t>
      </w:r>
    </w:p>
    <w:p w14:paraId="1326CDE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本项目共有职工</w:t>
      </w:r>
      <w:r>
        <w:rPr>
          <w:rFonts w:hint="default" w:ascii="Times New Roman" w:hAnsi="Times New Roman" w:eastAsia="宋体" w:cs="Times New Roman"/>
          <w:snapToGrid w:val="0"/>
          <w:color w:val="auto"/>
          <w:highlight w:val="none"/>
          <w:lang w:val="en-US" w:eastAsia="zh-CN"/>
        </w:rPr>
        <w:t>1</w:t>
      </w:r>
      <w:r>
        <w:rPr>
          <w:rFonts w:hint="eastAsia"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人，根据</w:t>
      </w:r>
      <w:r>
        <w:rPr>
          <w:rFonts w:hint="default" w:ascii="Times New Roman" w:hAnsi="Times New Roman" w:eastAsia="宋体" w:cs="Times New Roman"/>
          <w:snapToGrid w:val="0"/>
          <w:color w:val="auto"/>
          <w:highlight w:val="none"/>
          <w:lang w:val="en-US" w:eastAsia="zh-CN"/>
        </w:rPr>
        <w:t>黑龙江省地方标准</w:t>
      </w:r>
      <w:r>
        <w:rPr>
          <w:rFonts w:hint="default" w:ascii="Times New Roman" w:hAnsi="Times New Roman" w:eastAsia="宋体" w:cs="Times New Roman"/>
          <w:snapToGrid w:val="0"/>
          <w:color w:val="auto"/>
          <w:highlight w:val="none"/>
        </w:rPr>
        <w:t>《用水定额》（</w:t>
      </w:r>
      <w:r>
        <w:rPr>
          <w:rFonts w:hint="eastAsia" w:ascii="Times New Roman" w:hAnsi="Times New Roman" w:cs="Times New Roman"/>
          <w:snapToGrid w:val="0"/>
          <w:color w:val="auto"/>
          <w:highlight w:val="none"/>
          <w:lang w:eastAsia="zh-CN"/>
        </w:rPr>
        <w:t>DB23/T727—2025</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中</w:t>
      </w:r>
      <w:r>
        <w:rPr>
          <w:rFonts w:hint="default" w:ascii="Times New Roman" w:hAnsi="Times New Roman" w:eastAsia="宋体" w:cs="Times New Roman"/>
          <w:snapToGrid w:val="0"/>
          <w:color w:val="auto"/>
          <w:highlight w:val="none"/>
        </w:rPr>
        <w:t>用水量，本项目职工生活用水量按</w:t>
      </w:r>
      <w:r>
        <w:rPr>
          <w:rFonts w:hint="default" w:ascii="Times New Roman" w:hAnsi="Times New Roman" w:eastAsia="宋体" w:cs="Times New Roman"/>
          <w:snapToGrid w:val="0"/>
          <w:color w:val="auto"/>
          <w:highlight w:val="none"/>
          <w:lang w:val="en-US" w:eastAsia="zh-CN"/>
        </w:rPr>
        <w:t>农村居民生活</w:t>
      </w:r>
      <w:r>
        <w:rPr>
          <w:rFonts w:hint="default" w:ascii="Times New Roman" w:hAnsi="Times New Roman" w:eastAsia="宋体" w:cs="Times New Roman"/>
          <w:snapToGrid w:val="0"/>
          <w:color w:val="auto"/>
          <w:highlight w:val="none"/>
        </w:rPr>
        <w:t>每人每天</w:t>
      </w:r>
      <w:r>
        <w:rPr>
          <w:rFonts w:hint="default" w:ascii="Times New Roman" w:hAnsi="Times New Roman" w:eastAsia="宋体"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0升计，则生活用水量为</w:t>
      </w:r>
      <w:r>
        <w:rPr>
          <w:rFonts w:hint="default" w:ascii="Times New Roman" w:hAnsi="Times New Roman" w:eastAsia="宋体" w:cs="Times New Roman"/>
          <w:snapToGrid w:val="0"/>
          <w:color w:val="auto"/>
          <w:highlight w:val="none"/>
          <w:lang w:val="en-US" w:eastAsia="zh-CN"/>
        </w:rPr>
        <w:t>0.8</w:t>
      </w:r>
      <w:r>
        <w:rPr>
          <w:rFonts w:hint="eastAsia" w:ascii="Times New Roman" w:hAnsi="Times New Roman"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t/d，即</w:t>
      </w:r>
      <w:r>
        <w:rPr>
          <w:rFonts w:hint="eastAsia" w:ascii="Times New Roman" w:hAnsi="Times New Roman" w:cs="Times New Roman"/>
          <w:snapToGrid w:val="0"/>
          <w:color w:val="auto"/>
          <w:highlight w:val="none"/>
          <w:lang w:val="en-US" w:eastAsia="zh-CN"/>
        </w:rPr>
        <w:t>321.2</w:t>
      </w:r>
      <w:r>
        <w:rPr>
          <w:rFonts w:hint="default" w:ascii="Times New Roman" w:hAnsi="Times New Roman" w:eastAsia="宋体" w:cs="Times New Roman"/>
          <w:snapToGrid w:val="0"/>
          <w:color w:val="auto"/>
          <w:highlight w:val="none"/>
        </w:rPr>
        <w:t>t/a。</w:t>
      </w:r>
    </w:p>
    <w:p w14:paraId="0F60ACE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color w:val="auto"/>
          <w:highlight w:val="none"/>
        </w:rPr>
        <w:t>消毒用水</w:t>
      </w:r>
    </w:p>
    <w:p w14:paraId="358E62D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本项目猪舍内外消毒方式是采用消毒药与水按一定比例配比后喷雾消毒，消毒</w:t>
      </w:r>
      <w:r>
        <w:rPr>
          <w:rFonts w:hint="default" w:ascii="Times New Roman" w:hAnsi="Times New Roman" w:eastAsia="宋体" w:cs="Times New Roman"/>
          <w:snapToGrid w:val="0"/>
          <w:color w:val="auto"/>
          <w:highlight w:val="none"/>
        </w:rPr>
        <w:t>用水量为</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.0t/d、</w:t>
      </w:r>
      <w:r>
        <w:rPr>
          <w:rFonts w:hint="default" w:ascii="Times New Roman" w:hAnsi="Times New Roman" w:eastAsia="宋体" w:cs="Times New Roman"/>
          <w:snapToGrid w:val="0"/>
          <w:color w:val="auto"/>
          <w:highlight w:val="none"/>
          <w:lang w:val="en-US" w:eastAsia="zh-CN"/>
        </w:rPr>
        <w:t>1460</w:t>
      </w:r>
      <w:r>
        <w:rPr>
          <w:rFonts w:hint="default" w:ascii="Times New Roman" w:hAnsi="Times New Roman" w:eastAsia="宋体" w:cs="Times New Roman"/>
          <w:snapToGrid w:val="0"/>
          <w:color w:val="auto"/>
          <w:highlight w:val="none"/>
        </w:rPr>
        <w:t>t/a，喷洒后自然蒸发。</w:t>
      </w:r>
    </w:p>
    <w:p w14:paraId="194D0B8A">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④猪舍冲洗水</w:t>
      </w:r>
    </w:p>
    <w:p w14:paraId="5008804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cs="Times New Roman"/>
          <w:snapToGrid w:val="0"/>
          <w:color w:val="auto"/>
          <w:highlight w:val="none"/>
          <w:lang w:val="en-US" w:eastAsia="zh-CN"/>
        </w:rPr>
        <w:t>根据企业的实际运行经验</w:t>
      </w:r>
      <w:r>
        <w:rPr>
          <w:rFonts w:hint="default" w:ascii="Times New Roman" w:hAnsi="Times New Roman" w:eastAsia="宋体" w:cs="Times New Roman"/>
          <w:snapToGrid w:val="0"/>
          <w:color w:val="auto"/>
          <w:highlight w:val="none"/>
          <w:lang w:val="en-US" w:eastAsia="zh-CN"/>
        </w:rPr>
        <w:t>，项目采用</w:t>
      </w:r>
      <w:r>
        <w:rPr>
          <w:rFonts w:hint="eastAsia" w:ascii="Times New Roman" w:hAnsi="Times New Roman" w:cs="Times New Roman"/>
          <w:snapToGrid w:val="0"/>
          <w:color w:val="auto"/>
          <w:highlight w:val="none"/>
          <w:lang w:val="en-US" w:eastAsia="zh-CN"/>
        </w:rPr>
        <w:t>尿泡粪—干清粪</w:t>
      </w:r>
      <w:r>
        <w:rPr>
          <w:rFonts w:hint="default" w:ascii="Times New Roman" w:hAnsi="Times New Roman" w:eastAsia="宋体" w:cs="Times New Roman"/>
          <w:snapToGrid w:val="0"/>
          <w:color w:val="auto"/>
          <w:highlight w:val="none"/>
          <w:lang w:val="en-US" w:eastAsia="zh-CN"/>
        </w:rPr>
        <w:t>工艺，粪尿全部从全漏缝地板进入地下储粪池，猪粪和尿液混合收集，粪便在粪沟中被尿液浸泡稀释成粪液，储存</w:t>
      </w:r>
      <w:r>
        <w:rPr>
          <w:rFonts w:hint="eastAsia" w:ascii="Times New Roman" w:hAnsi="Times New Roman" w:cs="Times New Roman"/>
          <w:snapToGrid w:val="0"/>
          <w:color w:val="auto"/>
          <w:highlight w:val="none"/>
          <w:lang w:val="en-US" w:eastAsia="zh-CN"/>
        </w:rPr>
        <w:t>30天</w:t>
      </w:r>
      <w:r>
        <w:rPr>
          <w:rFonts w:hint="default" w:ascii="Times New Roman" w:hAnsi="Times New Roman" w:eastAsia="宋体" w:cs="Times New Roman"/>
          <w:snapToGrid w:val="0"/>
          <w:color w:val="auto"/>
          <w:highlight w:val="none"/>
          <w:lang w:val="en-US" w:eastAsia="zh-CN"/>
        </w:rPr>
        <w:t>后打开排污塞子，将池中粪水排出，可最大程度的节约水资源。同时饲养过程中猪舍内不冲水，只进行清扫，从源头减少了污水的产生，</w:t>
      </w:r>
      <w:r>
        <w:rPr>
          <w:rFonts w:hint="eastAsia" w:ascii="Times New Roman" w:hAnsi="Times New Roman" w:cs="Times New Roman"/>
          <w:snapToGrid w:val="0"/>
          <w:color w:val="auto"/>
          <w:highlight w:val="none"/>
          <w:lang w:val="en-US" w:eastAsia="zh-CN"/>
        </w:rPr>
        <w:t>商品仔猪每个月售卖一批，售卖</w:t>
      </w:r>
      <w:r>
        <w:rPr>
          <w:rFonts w:hint="default" w:ascii="Times New Roman" w:hAnsi="Times New Roman" w:eastAsia="宋体" w:cs="Times New Roman"/>
          <w:snapToGrid w:val="0"/>
          <w:color w:val="auto"/>
          <w:highlight w:val="none"/>
          <w:lang w:val="en-US" w:eastAsia="zh-CN"/>
        </w:rPr>
        <w:t>后进行冲洗与消毒，即猪舍每年冲洗</w:t>
      </w:r>
      <w:r>
        <w:rPr>
          <w:rFonts w:hint="eastAsia" w:ascii="Times New Roman" w:hAnsi="Times New Roman" w:cs="Times New Roman"/>
          <w:snapToGrid w:val="0"/>
          <w:color w:val="auto"/>
          <w:highlight w:val="none"/>
          <w:lang w:val="en-US" w:eastAsia="zh-CN"/>
        </w:rPr>
        <w:t>十二</w:t>
      </w:r>
      <w:r>
        <w:rPr>
          <w:rFonts w:hint="default" w:ascii="Times New Roman" w:hAnsi="Times New Roman" w:eastAsia="宋体" w:cs="Times New Roman"/>
          <w:snapToGrid w:val="0"/>
          <w:color w:val="auto"/>
          <w:highlight w:val="none"/>
          <w:lang w:val="en-US" w:eastAsia="zh-CN"/>
        </w:rPr>
        <w:t>次，猪舍</w:t>
      </w:r>
      <w:r>
        <w:rPr>
          <w:rFonts w:hint="eastAsia" w:ascii="Times New Roman" w:hAnsi="Times New Roman" w:cs="Times New Roman"/>
          <w:snapToGrid w:val="0"/>
          <w:color w:val="auto"/>
          <w:highlight w:val="none"/>
          <w:lang w:val="en-US" w:eastAsia="zh-CN"/>
        </w:rPr>
        <w:t>扩建后</w:t>
      </w:r>
      <w:r>
        <w:rPr>
          <w:rFonts w:hint="default" w:ascii="Times New Roman" w:hAnsi="Times New Roman" w:eastAsia="宋体" w:cs="Times New Roman"/>
          <w:snapToGrid w:val="0"/>
          <w:color w:val="auto"/>
          <w:highlight w:val="none"/>
          <w:lang w:val="en-US" w:eastAsia="zh-CN"/>
        </w:rPr>
        <w:t>总面积约</w:t>
      </w:r>
      <w:r>
        <w:rPr>
          <w:rFonts w:hint="eastAsia" w:ascii="Times New Roman" w:hAnsi="Times New Roman" w:cs="Times New Roman"/>
          <w:snapToGrid w:val="0"/>
          <w:color w:val="auto"/>
          <w:highlight w:val="none"/>
          <w:lang w:val="en-US" w:eastAsia="zh-CN"/>
        </w:rPr>
        <w:t>6820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，一次冲洗水按20L/(m</w:t>
      </w:r>
      <w:r>
        <w:rPr>
          <w:rFonts w:hint="default" w:ascii="Times New Roman" w:hAnsi="Times New Roman" w:eastAsia="宋体" w:cs="Times New Roman"/>
          <w:snapToGrid w:val="0"/>
          <w:color w:val="auto"/>
          <w:highlight w:val="none"/>
          <w:vertAlign w:val="superscript"/>
          <w:lang w:val="en-US" w:eastAsia="zh-CN"/>
        </w:rPr>
        <w:t>2</w:t>
      </w:r>
      <w:r>
        <w:rPr>
          <w:rFonts w:hint="eastAsia" w:ascii="宋体" w:hAnsi="宋体" w:eastAsia="宋体" w:cs="宋体"/>
          <w:snapToGrid w:val="0"/>
          <w:color w:val="auto"/>
          <w:highlight w:val="none"/>
          <w:vertAlign w:val="baseline"/>
          <w:lang w:val="en-US" w:eastAsia="zh-CN"/>
        </w:rPr>
        <w:t>·</w:t>
      </w:r>
      <w:r>
        <w:rPr>
          <w:rFonts w:hint="default" w:ascii="Times New Roman" w:hAnsi="Times New Roman" w:eastAsia="宋体" w:cs="Times New Roman"/>
          <w:snapToGrid w:val="0"/>
          <w:color w:val="auto"/>
          <w:highlight w:val="none"/>
          <w:lang w:val="en-US" w:eastAsia="zh-CN"/>
        </w:rPr>
        <w:t>次)计，则猪舍年冲洗水用水量为</w:t>
      </w:r>
      <w:r>
        <w:rPr>
          <w:rFonts w:hint="eastAsia" w:ascii="Times New Roman" w:hAnsi="Times New Roman" w:cs="Times New Roman"/>
          <w:snapToGrid w:val="0"/>
          <w:color w:val="auto"/>
          <w:highlight w:val="none"/>
          <w:lang w:val="en-US" w:eastAsia="zh-CN"/>
        </w:rPr>
        <w:t>136.4</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/次，1636.8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/a，4.484</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p>
    <w:p w14:paraId="71DF486B">
      <w:pPr>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highlight w:val="none"/>
        </w:rPr>
      </w:pPr>
      <w:r>
        <w:rPr>
          <w:rFonts w:hint="eastAsia"/>
          <w:highlight w:val="none"/>
          <w:lang w:val="en-US" w:eastAsia="zh-CN"/>
        </w:rPr>
        <w:t>⑤洗消车间用水</w:t>
      </w:r>
    </w:p>
    <w:p w14:paraId="1ED2E2E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洗消车间的面积为</w:t>
      </w:r>
      <w:r>
        <w:rPr>
          <w:rFonts w:hint="eastAsia" w:ascii="Times New Roman" w:hAnsi="Times New Roman" w:eastAsia="宋体" w:cs="Times New Roman"/>
          <w:snapToGrid w:val="0"/>
          <w:color w:val="auto"/>
          <w:highlight w:val="none"/>
          <w:lang w:val="en-US" w:eastAsia="zh-CN"/>
        </w:rPr>
        <w:t>140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，冲洗用水量为0.2L/m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/d，则年用水量为</w:t>
      </w:r>
      <w:r>
        <w:rPr>
          <w:rFonts w:hint="eastAsia" w:ascii="Times New Roman" w:hAnsi="Times New Roman" w:eastAsia="宋体" w:cs="Times New Roman"/>
          <w:snapToGrid w:val="0"/>
          <w:color w:val="auto"/>
          <w:highlight w:val="none"/>
          <w:lang w:val="en-US" w:eastAsia="zh-CN"/>
        </w:rPr>
        <w:t>10.22</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/a（0.028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p>
    <w:p w14:paraId="3C834A88">
      <w:pPr>
        <w:spacing w:line="360" w:lineRule="auto"/>
        <w:ind w:firstLine="480" w:firstLineChars="200"/>
        <w:jc w:val="both"/>
        <w:rPr>
          <w:rFonts w:hint="eastAsia" w:ascii="Times New Roman" w:hAnsi="Times New Roman"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⑥猪舍降温喷雾水</w:t>
      </w:r>
    </w:p>
    <w:p w14:paraId="0E68D2D5">
      <w:pPr>
        <w:widowControl w:val="0"/>
        <w:spacing w:line="360" w:lineRule="auto"/>
        <w:ind w:firstLine="480"/>
        <w:jc w:val="both"/>
        <w:rPr>
          <w:rFonts w:hint="default"/>
          <w:highlight w:val="none"/>
          <w:lang w:val="en-US" w:eastAsia="zh-CN"/>
        </w:rPr>
      </w:pPr>
      <w:r>
        <w:rPr>
          <w:rFonts w:hint="default" w:ascii="Times New Roman" w:hAnsi="Times New Roman" w:eastAsia="宋体" w:cs="Times New Roman"/>
          <w:color w:val="auto"/>
          <w:kern w:val="2"/>
          <w:sz w:val="24"/>
          <w:szCs w:val="32"/>
          <w:highlight w:val="none"/>
        </w:rPr>
        <w:t>本项目猪舍夏季喷雾降温在较炎热天气使用60天。降温水由电脑控制喷雾时间，喷雾不形成径流，降温过程不产生废水。用水量为</w:t>
      </w:r>
      <w:r>
        <w:rPr>
          <w:rFonts w:hint="eastAsia" w:ascii="Times New Roman" w:hAnsi="Times New Roman" w:cs="Times New Roman"/>
          <w:color w:val="auto"/>
          <w:kern w:val="2"/>
          <w:sz w:val="24"/>
          <w:szCs w:val="32"/>
          <w:highlight w:val="none"/>
          <w:lang w:val="en-US" w:eastAsia="zh-CN"/>
        </w:rPr>
        <w:t>2t/d</w:t>
      </w:r>
      <w:r>
        <w:rPr>
          <w:rFonts w:hint="default" w:ascii="Times New Roman" w:hAnsi="Times New Roman" w:eastAsia="宋体" w:cs="Times New Roman"/>
          <w:color w:val="auto"/>
          <w:kern w:val="2"/>
          <w:sz w:val="24"/>
          <w:szCs w:val="32"/>
          <w:highlight w:val="none"/>
        </w:rPr>
        <w:t>，因此猪舍降温喷雾水用量为</w:t>
      </w:r>
      <w:r>
        <w:rPr>
          <w:rFonts w:hint="eastAsia" w:ascii="Times New Roman" w:hAnsi="Times New Roman" w:cs="Times New Roman"/>
          <w:color w:val="auto"/>
          <w:kern w:val="2"/>
          <w:sz w:val="24"/>
          <w:szCs w:val="32"/>
          <w:highlight w:val="none"/>
          <w:lang w:val="en-US" w:eastAsia="zh-CN"/>
        </w:rPr>
        <w:t>2</w:t>
      </w:r>
      <w:r>
        <w:rPr>
          <w:rFonts w:hint="default" w:ascii="Times New Roman" w:hAnsi="Times New Roman" w:eastAsia="宋体" w:cs="Times New Roman"/>
          <w:color w:val="auto"/>
          <w:kern w:val="2"/>
          <w:sz w:val="24"/>
          <w:szCs w:val="32"/>
          <w:highlight w:val="none"/>
          <w:lang w:val="en-US" w:eastAsia="zh-CN"/>
        </w:rPr>
        <w:t>t/d</w:t>
      </w:r>
      <w:r>
        <w:rPr>
          <w:rFonts w:hint="default" w:ascii="Times New Roman" w:hAnsi="Times New Roman" w:eastAsia="宋体" w:cs="Times New Roman"/>
          <w:color w:val="auto"/>
          <w:kern w:val="2"/>
          <w:sz w:val="24"/>
          <w:szCs w:val="32"/>
          <w:highlight w:val="none"/>
        </w:rPr>
        <w:t>（</w:t>
      </w:r>
      <w:r>
        <w:rPr>
          <w:rFonts w:hint="eastAsia" w:ascii="Times New Roman" w:hAnsi="Times New Roman" w:cs="Times New Roman"/>
          <w:color w:val="auto"/>
          <w:kern w:val="2"/>
          <w:sz w:val="24"/>
          <w:szCs w:val="32"/>
          <w:highlight w:val="none"/>
          <w:lang w:val="en-US" w:eastAsia="zh-CN"/>
        </w:rPr>
        <w:t>120</w:t>
      </w:r>
      <w:r>
        <w:rPr>
          <w:rFonts w:hint="default" w:ascii="Times New Roman" w:hAnsi="Times New Roman" w:eastAsia="宋体" w:cs="Times New Roman"/>
          <w:color w:val="auto"/>
          <w:kern w:val="2"/>
          <w:sz w:val="24"/>
          <w:szCs w:val="32"/>
          <w:highlight w:val="none"/>
        </w:rPr>
        <w:t>t/a）。</w:t>
      </w:r>
    </w:p>
    <w:p w14:paraId="00F1B7C4">
      <w:pPr>
        <w:widowControl w:val="0"/>
        <w:spacing w:line="360" w:lineRule="auto"/>
        <w:ind w:firstLine="480"/>
        <w:jc w:val="both"/>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4"/>
          <w:szCs w:val="32"/>
          <w:highlight w:val="none"/>
        </w:rPr>
        <w:t>本项目用水量汇总表见表</w:t>
      </w:r>
      <w:r>
        <w:rPr>
          <w:rFonts w:hint="default" w:ascii="Times New Roman" w:hAnsi="Times New Roman" w:eastAsia="宋体" w:cs="Times New Roman"/>
          <w:color w:val="auto"/>
          <w:kern w:val="2"/>
          <w:sz w:val="24"/>
          <w:szCs w:val="32"/>
          <w:highlight w:val="none"/>
          <w:lang w:eastAsia="zh-CN"/>
        </w:rPr>
        <w:t>3.3</w:t>
      </w:r>
      <w:r>
        <w:rPr>
          <w:rFonts w:hint="default" w:ascii="Times New Roman" w:hAnsi="Times New Roman" w:eastAsia="宋体" w:cs="Times New Roman"/>
          <w:color w:val="auto"/>
          <w:kern w:val="2"/>
          <w:sz w:val="24"/>
          <w:szCs w:val="32"/>
          <w:highlight w:val="none"/>
        </w:rPr>
        <w:t>-</w:t>
      </w:r>
      <w:r>
        <w:rPr>
          <w:rFonts w:hint="eastAsia" w:ascii="Times New Roman" w:hAnsi="Times New Roman" w:eastAsia="宋体" w:cs="Times New Roman"/>
          <w:color w:val="auto"/>
          <w:kern w:val="2"/>
          <w:sz w:val="24"/>
          <w:szCs w:val="32"/>
          <w:highlight w:val="none"/>
          <w:lang w:val="en-US" w:eastAsia="zh-CN"/>
        </w:rPr>
        <w:t>2</w:t>
      </w:r>
      <w:r>
        <w:rPr>
          <w:rFonts w:hint="default" w:ascii="Times New Roman" w:hAnsi="Times New Roman" w:eastAsia="宋体" w:cs="Times New Roman"/>
          <w:color w:val="auto"/>
          <w:kern w:val="2"/>
          <w:sz w:val="24"/>
          <w:szCs w:val="32"/>
          <w:highlight w:val="none"/>
        </w:rPr>
        <w:t>。</w:t>
      </w:r>
    </w:p>
    <w:p w14:paraId="289537E0">
      <w:pPr>
        <w:widowControl w:val="0"/>
        <w:adjustRightInd/>
        <w:snapToGrid/>
        <w:ind w:firstLine="0" w:firstLineChars="0"/>
        <w:jc w:val="center"/>
        <w:rPr>
          <w:rFonts w:hint="default" w:ascii="Times New Roman" w:hAnsi="Times New Roman" w:eastAsia="宋体" w:cs="Times New Roman"/>
          <w:b/>
          <w:color w:val="auto"/>
          <w:kern w:val="2"/>
          <w:sz w:val="24"/>
          <w:szCs w:val="32"/>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表3.3-</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 xml:space="preserve">  本项目用水情况汇总表</w:t>
      </w:r>
    </w:p>
    <w:tbl>
      <w:tblPr>
        <w:tblStyle w:val="48"/>
        <w:tblW w:w="864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62"/>
        <w:gridCol w:w="1869"/>
        <w:gridCol w:w="2163"/>
        <w:gridCol w:w="1454"/>
        <w:gridCol w:w="2500"/>
      </w:tblGrid>
      <w:tr w14:paraId="2B347D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7" w:hRule="atLeast"/>
          <w:jc w:val="center"/>
        </w:trPr>
        <w:tc>
          <w:tcPr>
            <w:tcW w:w="662" w:type="dxa"/>
            <w:noWrap w:val="0"/>
            <w:vAlign w:val="center"/>
          </w:tcPr>
          <w:p w14:paraId="1BD8FC9E">
            <w:pPr>
              <w:widowControl w:val="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序号</w:t>
            </w:r>
          </w:p>
        </w:tc>
        <w:tc>
          <w:tcPr>
            <w:tcW w:w="1869" w:type="dxa"/>
            <w:noWrap w:val="0"/>
            <w:vAlign w:val="center"/>
          </w:tcPr>
          <w:p w14:paraId="12593E1B">
            <w:pPr>
              <w:widowControl w:val="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用水源</w:t>
            </w:r>
          </w:p>
        </w:tc>
        <w:tc>
          <w:tcPr>
            <w:tcW w:w="2163" w:type="dxa"/>
            <w:noWrap w:val="0"/>
            <w:vAlign w:val="center"/>
          </w:tcPr>
          <w:p w14:paraId="0EFDDD86">
            <w:pPr>
              <w:widowControl w:val="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用水量（t/d）</w:t>
            </w:r>
          </w:p>
        </w:tc>
        <w:tc>
          <w:tcPr>
            <w:tcW w:w="1454" w:type="dxa"/>
            <w:noWrap w:val="0"/>
            <w:vAlign w:val="center"/>
          </w:tcPr>
          <w:p w14:paraId="4F2A72BC">
            <w:pPr>
              <w:widowControl w:val="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用水量（t/a）</w:t>
            </w:r>
          </w:p>
        </w:tc>
        <w:tc>
          <w:tcPr>
            <w:tcW w:w="2500" w:type="dxa"/>
            <w:noWrap w:val="0"/>
            <w:vAlign w:val="center"/>
          </w:tcPr>
          <w:p w14:paraId="3B7ADBD0">
            <w:pPr>
              <w:widowControl w:val="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备注</w:t>
            </w:r>
          </w:p>
        </w:tc>
      </w:tr>
      <w:tr w14:paraId="2E0162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2" w:type="dxa"/>
            <w:noWrap w:val="0"/>
            <w:vAlign w:val="center"/>
          </w:tcPr>
          <w:p w14:paraId="630A5E2E">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w:t>
            </w:r>
          </w:p>
        </w:tc>
        <w:tc>
          <w:tcPr>
            <w:tcW w:w="1869" w:type="dxa"/>
            <w:noWrap w:val="0"/>
            <w:vAlign w:val="center"/>
          </w:tcPr>
          <w:p w14:paraId="072A2B8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养殖</w:t>
            </w:r>
            <w:r>
              <w:rPr>
                <w:rFonts w:hint="default" w:ascii="Times New Roman" w:hAnsi="Times New Roman" w:eastAsia="宋体" w:cs="Times New Roman"/>
                <w:color w:val="auto"/>
                <w:kern w:val="2"/>
                <w:sz w:val="21"/>
                <w:szCs w:val="21"/>
                <w:highlight w:val="none"/>
              </w:rPr>
              <w:t>用水</w:t>
            </w:r>
          </w:p>
        </w:tc>
        <w:tc>
          <w:tcPr>
            <w:tcW w:w="2163" w:type="dxa"/>
            <w:noWrap w:val="0"/>
            <w:vAlign w:val="center"/>
          </w:tcPr>
          <w:p w14:paraId="0B643BE3">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snapToGrid w:val="0"/>
                <w:kern w:val="2"/>
                <w:sz w:val="21"/>
                <w:szCs w:val="20"/>
                <w:highlight w:val="none"/>
                <w:lang w:val="en-US" w:eastAsia="zh-CN" w:bidi="ar-SA"/>
              </w:rPr>
              <w:t>59.75</w:t>
            </w:r>
          </w:p>
        </w:tc>
        <w:tc>
          <w:tcPr>
            <w:tcW w:w="1454" w:type="dxa"/>
            <w:noWrap w:val="0"/>
            <w:vAlign w:val="center"/>
          </w:tcPr>
          <w:p w14:paraId="45F8810D">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rPr>
            </w:pPr>
            <w:r>
              <w:rPr>
                <w:rFonts w:hint="eastAsia" w:ascii="Times New Roman" w:hAnsi="Times New Roman" w:cs="Times New Roman"/>
                <w:snapToGrid/>
                <w:kern w:val="0"/>
                <w:sz w:val="21"/>
                <w:szCs w:val="20"/>
                <w:highlight w:val="none"/>
                <w:lang w:val="en-US" w:eastAsia="zh-CN" w:bidi="ar-SA"/>
              </w:rPr>
              <w:t>21808.75</w:t>
            </w:r>
          </w:p>
        </w:tc>
        <w:tc>
          <w:tcPr>
            <w:tcW w:w="2500" w:type="dxa"/>
            <w:noWrap w:val="0"/>
            <w:vAlign w:val="center"/>
          </w:tcPr>
          <w:p w14:paraId="5ED0080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365</w:t>
            </w:r>
            <w:r>
              <w:rPr>
                <w:rFonts w:hint="default" w:ascii="Times New Roman" w:hAnsi="Times New Roman" w:eastAsia="宋体" w:cs="Times New Roman"/>
                <w:color w:val="auto"/>
                <w:kern w:val="2"/>
                <w:sz w:val="21"/>
                <w:szCs w:val="21"/>
                <w:highlight w:val="none"/>
              </w:rPr>
              <w:t>天</w:t>
            </w:r>
          </w:p>
        </w:tc>
      </w:tr>
      <w:tr w14:paraId="0C1767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2" w:type="dxa"/>
            <w:noWrap w:val="0"/>
            <w:vAlign w:val="center"/>
          </w:tcPr>
          <w:p w14:paraId="55FE6907">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w:t>
            </w:r>
          </w:p>
        </w:tc>
        <w:tc>
          <w:tcPr>
            <w:tcW w:w="1869" w:type="dxa"/>
            <w:noWrap w:val="0"/>
            <w:vAlign w:val="center"/>
          </w:tcPr>
          <w:p w14:paraId="49D8520E">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猪舍冲洗水</w:t>
            </w:r>
          </w:p>
        </w:tc>
        <w:tc>
          <w:tcPr>
            <w:tcW w:w="2163" w:type="dxa"/>
            <w:noWrap w:val="0"/>
            <w:vAlign w:val="center"/>
          </w:tcPr>
          <w:p w14:paraId="4FCCA47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4.484</w:t>
            </w:r>
          </w:p>
        </w:tc>
        <w:tc>
          <w:tcPr>
            <w:tcW w:w="1454" w:type="dxa"/>
            <w:noWrap w:val="0"/>
            <w:vAlign w:val="center"/>
          </w:tcPr>
          <w:p w14:paraId="6087D7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eastAsia="zh-CN"/>
              </w:rPr>
              <w:t>1636.8</w:t>
            </w:r>
          </w:p>
        </w:tc>
        <w:tc>
          <w:tcPr>
            <w:tcW w:w="2500" w:type="dxa"/>
            <w:noWrap w:val="0"/>
            <w:vAlign w:val="center"/>
          </w:tcPr>
          <w:p w14:paraId="7F91A7C6">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转栏时清洗，一年</w:t>
            </w:r>
            <w:r>
              <w:rPr>
                <w:rFonts w:hint="eastAsia" w:ascii="Times New Roman" w:hAnsi="Times New Roman" w:eastAsia="宋体" w:cs="Times New Roman"/>
                <w:color w:val="auto"/>
                <w:kern w:val="2"/>
                <w:sz w:val="21"/>
                <w:szCs w:val="21"/>
                <w:highlight w:val="none"/>
                <w:lang w:val="en-US" w:eastAsia="zh-CN"/>
              </w:rPr>
              <w:t>12</w:t>
            </w:r>
            <w:r>
              <w:rPr>
                <w:rFonts w:hint="default" w:ascii="Times New Roman" w:hAnsi="Times New Roman" w:eastAsia="宋体" w:cs="Times New Roman"/>
                <w:color w:val="auto"/>
                <w:kern w:val="2"/>
                <w:sz w:val="21"/>
                <w:szCs w:val="21"/>
                <w:highlight w:val="none"/>
                <w:lang w:val="en-US" w:eastAsia="zh-CN"/>
              </w:rPr>
              <w:t>次</w:t>
            </w:r>
          </w:p>
        </w:tc>
      </w:tr>
      <w:tr w14:paraId="01AD3E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2" w:type="dxa"/>
            <w:noWrap w:val="0"/>
            <w:vAlign w:val="center"/>
          </w:tcPr>
          <w:p w14:paraId="2B71C4CE">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w:t>
            </w:r>
          </w:p>
        </w:tc>
        <w:tc>
          <w:tcPr>
            <w:tcW w:w="1869" w:type="dxa"/>
            <w:noWrap w:val="0"/>
            <w:vAlign w:val="center"/>
          </w:tcPr>
          <w:p w14:paraId="234CE5BA">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猪舍降温喷雾水</w:t>
            </w:r>
          </w:p>
        </w:tc>
        <w:tc>
          <w:tcPr>
            <w:tcW w:w="2163" w:type="dxa"/>
            <w:noWrap w:val="0"/>
            <w:vAlign w:val="center"/>
          </w:tcPr>
          <w:p w14:paraId="3D97CC2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1454" w:type="dxa"/>
            <w:noWrap w:val="0"/>
            <w:vAlign w:val="center"/>
          </w:tcPr>
          <w:p w14:paraId="31969C7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120</w:t>
            </w:r>
          </w:p>
        </w:tc>
        <w:tc>
          <w:tcPr>
            <w:tcW w:w="2500" w:type="dxa"/>
            <w:noWrap w:val="0"/>
            <w:vAlign w:val="center"/>
          </w:tcPr>
          <w:p w14:paraId="7965919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每年</w:t>
            </w:r>
            <w:r>
              <w:rPr>
                <w:rFonts w:hint="default" w:ascii="Times New Roman" w:hAnsi="Times New Roman" w:eastAsia="宋体" w:cs="Times New Roman"/>
                <w:color w:val="auto"/>
                <w:kern w:val="2"/>
                <w:sz w:val="21"/>
                <w:szCs w:val="21"/>
                <w:highlight w:val="none"/>
                <w:lang w:val="en-US" w:eastAsia="zh-CN"/>
              </w:rPr>
              <w:t>夏季</w:t>
            </w:r>
            <w:r>
              <w:rPr>
                <w:rFonts w:hint="default" w:ascii="Times New Roman" w:hAnsi="Times New Roman" w:eastAsia="宋体" w:cs="Times New Roman"/>
                <w:color w:val="auto"/>
                <w:kern w:val="2"/>
                <w:sz w:val="21"/>
                <w:szCs w:val="21"/>
                <w:highlight w:val="none"/>
              </w:rPr>
              <w:t>降温60天</w:t>
            </w:r>
          </w:p>
        </w:tc>
      </w:tr>
      <w:tr w14:paraId="7CA35E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2" w:type="dxa"/>
            <w:noWrap w:val="0"/>
            <w:vAlign w:val="center"/>
          </w:tcPr>
          <w:p w14:paraId="3692B37A">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5</w:t>
            </w:r>
          </w:p>
        </w:tc>
        <w:tc>
          <w:tcPr>
            <w:tcW w:w="1869" w:type="dxa"/>
            <w:noWrap w:val="0"/>
            <w:vAlign w:val="center"/>
          </w:tcPr>
          <w:p w14:paraId="37F68655">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职工</w:t>
            </w:r>
            <w:r>
              <w:rPr>
                <w:rFonts w:hint="default" w:ascii="Times New Roman" w:hAnsi="Times New Roman" w:eastAsia="宋体" w:cs="Times New Roman"/>
                <w:color w:val="auto"/>
                <w:kern w:val="2"/>
                <w:sz w:val="21"/>
                <w:szCs w:val="21"/>
                <w:highlight w:val="none"/>
              </w:rPr>
              <w:t>生活用水</w:t>
            </w:r>
          </w:p>
        </w:tc>
        <w:tc>
          <w:tcPr>
            <w:tcW w:w="2163" w:type="dxa"/>
            <w:noWrap w:val="0"/>
            <w:vAlign w:val="center"/>
          </w:tcPr>
          <w:p w14:paraId="7845DBE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0.88</w:t>
            </w:r>
          </w:p>
        </w:tc>
        <w:tc>
          <w:tcPr>
            <w:tcW w:w="1454" w:type="dxa"/>
            <w:noWrap w:val="0"/>
            <w:vAlign w:val="center"/>
          </w:tcPr>
          <w:p w14:paraId="6DE349D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321.2</w:t>
            </w:r>
          </w:p>
        </w:tc>
        <w:tc>
          <w:tcPr>
            <w:tcW w:w="2500" w:type="dxa"/>
            <w:noWrap w:val="0"/>
            <w:vAlign w:val="center"/>
          </w:tcPr>
          <w:p w14:paraId="45FD86EB">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365天</w:t>
            </w:r>
          </w:p>
        </w:tc>
      </w:tr>
      <w:tr w14:paraId="62F4FA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2" w:type="dxa"/>
            <w:noWrap w:val="0"/>
            <w:vAlign w:val="center"/>
          </w:tcPr>
          <w:p w14:paraId="5A222911">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6</w:t>
            </w:r>
          </w:p>
        </w:tc>
        <w:tc>
          <w:tcPr>
            <w:tcW w:w="1869" w:type="dxa"/>
            <w:noWrap w:val="0"/>
            <w:vAlign w:val="center"/>
          </w:tcPr>
          <w:p w14:paraId="5B57E97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消毒用水</w:t>
            </w:r>
          </w:p>
        </w:tc>
        <w:tc>
          <w:tcPr>
            <w:tcW w:w="2163" w:type="dxa"/>
            <w:noWrap w:val="0"/>
            <w:vAlign w:val="center"/>
          </w:tcPr>
          <w:p w14:paraId="61C7F45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4.0</w:t>
            </w:r>
          </w:p>
        </w:tc>
        <w:tc>
          <w:tcPr>
            <w:tcW w:w="1454" w:type="dxa"/>
            <w:noWrap w:val="0"/>
            <w:vAlign w:val="center"/>
          </w:tcPr>
          <w:p w14:paraId="4432D11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1460</w:t>
            </w:r>
          </w:p>
        </w:tc>
        <w:tc>
          <w:tcPr>
            <w:tcW w:w="2500" w:type="dxa"/>
            <w:noWrap w:val="0"/>
            <w:vAlign w:val="center"/>
          </w:tcPr>
          <w:p w14:paraId="01772422">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365天</w:t>
            </w:r>
          </w:p>
        </w:tc>
      </w:tr>
      <w:tr w14:paraId="4B4E82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2" w:type="dxa"/>
            <w:noWrap w:val="0"/>
            <w:vAlign w:val="center"/>
          </w:tcPr>
          <w:p w14:paraId="5B7F7556">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7</w:t>
            </w:r>
          </w:p>
        </w:tc>
        <w:tc>
          <w:tcPr>
            <w:tcW w:w="1869" w:type="dxa"/>
            <w:noWrap w:val="0"/>
            <w:vAlign w:val="center"/>
          </w:tcPr>
          <w:p w14:paraId="316F0883">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洗消车间用水</w:t>
            </w:r>
          </w:p>
        </w:tc>
        <w:tc>
          <w:tcPr>
            <w:tcW w:w="2163" w:type="dxa"/>
            <w:noWrap w:val="0"/>
            <w:vAlign w:val="center"/>
          </w:tcPr>
          <w:p w14:paraId="05C41F4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0.028</w:t>
            </w:r>
          </w:p>
        </w:tc>
        <w:tc>
          <w:tcPr>
            <w:tcW w:w="1454" w:type="dxa"/>
            <w:noWrap w:val="0"/>
            <w:vAlign w:val="center"/>
          </w:tcPr>
          <w:p w14:paraId="654E74A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10.22</w:t>
            </w:r>
          </w:p>
        </w:tc>
        <w:tc>
          <w:tcPr>
            <w:tcW w:w="2500" w:type="dxa"/>
            <w:noWrap w:val="0"/>
            <w:vAlign w:val="center"/>
          </w:tcPr>
          <w:p w14:paraId="6F5DA3BC">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365天</w:t>
            </w:r>
          </w:p>
        </w:tc>
      </w:tr>
      <w:tr w14:paraId="53C499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31" w:type="dxa"/>
            <w:gridSpan w:val="2"/>
            <w:noWrap w:val="0"/>
            <w:vAlign w:val="center"/>
          </w:tcPr>
          <w:p w14:paraId="645E3AD1">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总计</w:t>
            </w:r>
          </w:p>
        </w:tc>
        <w:tc>
          <w:tcPr>
            <w:tcW w:w="2163" w:type="dxa"/>
            <w:noWrap w:val="0"/>
            <w:vAlign w:val="center"/>
          </w:tcPr>
          <w:p w14:paraId="2FE44791">
            <w:pPr>
              <w:widowControl w:val="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69.809</w:t>
            </w:r>
            <w:r>
              <w:rPr>
                <w:rFonts w:hint="default" w:ascii="Times New Roman" w:hAnsi="Times New Roman" w:eastAsia="宋体" w:cs="Times New Roman"/>
                <w:color w:val="auto"/>
                <w:kern w:val="2"/>
                <w:sz w:val="21"/>
                <w:szCs w:val="21"/>
                <w:highlight w:val="none"/>
              </w:rPr>
              <w:t>（夏季</w:t>
            </w:r>
            <w:r>
              <w:rPr>
                <w:rFonts w:hint="default" w:ascii="Times New Roman" w:hAnsi="Times New Roman" w:eastAsia="宋体" w:cs="Times New Roman"/>
                <w:color w:val="auto"/>
                <w:kern w:val="2"/>
                <w:sz w:val="21"/>
                <w:szCs w:val="21"/>
                <w:highlight w:val="none"/>
                <w:lang w:val="en-US" w:eastAsia="zh-CN"/>
              </w:rPr>
              <w:t>180</w:t>
            </w:r>
            <w:r>
              <w:rPr>
                <w:rFonts w:hint="default" w:ascii="Times New Roman" w:hAnsi="Times New Roman" w:eastAsia="宋体" w:cs="Times New Roman"/>
                <w:color w:val="auto"/>
                <w:kern w:val="2"/>
                <w:sz w:val="21"/>
                <w:szCs w:val="21"/>
                <w:highlight w:val="none"/>
              </w:rPr>
              <w:t>天）</w:t>
            </w:r>
          </w:p>
          <w:p w14:paraId="34F2C1A5">
            <w:pPr>
              <w:widowControl w:val="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69.142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冬季185</w:t>
            </w:r>
            <w:r>
              <w:rPr>
                <w:rFonts w:hint="default" w:ascii="Times New Roman" w:hAnsi="Times New Roman" w:eastAsia="宋体" w:cs="Times New Roman"/>
                <w:color w:val="auto"/>
                <w:kern w:val="2"/>
                <w:sz w:val="21"/>
                <w:szCs w:val="21"/>
                <w:highlight w:val="none"/>
              </w:rPr>
              <w:t>天）</w:t>
            </w:r>
          </w:p>
        </w:tc>
        <w:tc>
          <w:tcPr>
            <w:tcW w:w="1454" w:type="dxa"/>
            <w:noWrap w:val="0"/>
            <w:vAlign w:val="center"/>
          </w:tcPr>
          <w:p w14:paraId="082EFEFE">
            <w:pPr>
              <w:widowControl/>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25356.97</w:t>
            </w:r>
          </w:p>
        </w:tc>
        <w:tc>
          <w:tcPr>
            <w:tcW w:w="2500" w:type="dxa"/>
            <w:noWrap w:val="0"/>
            <w:vAlign w:val="center"/>
          </w:tcPr>
          <w:p w14:paraId="7B1392C1">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r>
    </w:tbl>
    <w:p w14:paraId="3F3F496C">
      <w:pPr>
        <w:spacing w:line="360" w:lineRule="auto"/>
        <w:ind w:firstLine="480" w:firstLineChars="200"/>
        <w:jc w:val="both"/>
        <w:rPr>
          <w:rFonts w:hint="default"/>
          <w:highlight w:val="none"/>
        </w:rPr>
      </w:pPr>
      <w:r>
        <w:rPr>
          <w:rFonts w:hint="default" w:ascii="Times New Roman" w:hAnsi="Times New Roman" w:eastAsia="宋体" w:cs="Times New Roman"/>
          <w:snapToGrid w:val="0"/>
          <w:color w:val="auto"/>
          <w:kern w:val="0"/>
          <w:sz w:val="24"/>
          <w:szCs w:val="24"/>
          <w:highlight w:val="none"/>
          <w:lang w:val="en-US" w:eastAsia="zh-CN" w:bidi="ar-SA"/>
        </w:rPr>
        <w:t>综上，本项目运行后日用水量为</w:t>
      </w:r>
      <w:r>
        <w:rPr>
          <w:rFonts w:hint="eastAsia" w:ascii="Times New Roman" w:hAnsi="Times New Roman" w:cs="Times New Roman"/>
          <w:snapToGrid w:val="0"/>
          <w:color w:val="auto"/>
          <w:kern w:val="0"/>
          <w:sz w:val="24"/>
          <w:szCs w:val="24"/>
          <w:highlight w:val="none"/>
          <w:lang w:val="en-US" w:eastAsia="zh-CN" w:bidi="ar-SA"/>
        </w:rPr>
        <w:t>夏季</w:t>
      </w:r>
      <w:r>
        <w:rPr>
          <w:rFonts w:hint="default" w:ascii="Times New Roman" w:hAnsi="Times New Roman" w:eastAsia="宋体" w:cs="Times New Roman"/>
          <w:snapToGrid w:val="0"/>
          <w:color w:val="auto"/>
          <w:kern w:val="0"/>
          <w:sz w:val="24"/>
          <w:szCs w:val="24"/>
          <w:highlight w:val="none"/>
          <w:lang w:val="en-US" w:eastAsia="zh-CN" w:bidi="ar-SA"/>
        </w:rPr>
        <w:t>69.809t/d（夏季180天）</w:t>
      </w:r>
      <w:r>
        <w:rPr>
          <w:rFonts w:hint="eastAsia" w:ascii="Times New Roman" w:hAnsi="Times New Roman" w:cs="Times New Roman"/>
          <w:snapToGrid w:val="0"/>
          <w:color w:val="auto"/>
          <w:kern w:val="0"/>
          <w:sz w:val="24"/>
          <w:szCs w:val="24"/>
          <w:highlight w:val="none"/>
          <w:lang w:val="en-US" w:eastAsia="zh-CN" w:bidi="ar-SA"/>
        </w:rPr>
        <w:t>，冬季</w:t>
      </w:r>
      <w:r>
        <w:rPr>
          <w:rFonts w:hint="default" w:ascii="Times New Roman" w:hAnsi="Times New Roman" w:eastAsia="宋体" w:cs="Times New Roman"/>
          <w:snapToGrid w:val="0"/>
          <w:color w:val="auto"/>
          <w:kern w:val="0"/>
          <w:sz w:val="24"/>
          <w:szCs w:val="24"/>
          <w:highlight w:val="none"/>
          <w:lang w:val="en-US" w:eastAsia="zh-CN" w:bidi="ar-SA"/>
        </w:rPr>
        <w:t>69.142t/d（冬季185天）</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全年总用水量为</w:t>
      </w:r>
      <w:r>
        <w:rPr>
          <w:rFonts w:hint="eastAsia" w:ascii="Times New Roman" w:hAnsi="Times New Roman" w:cs="Times New Roman"/>
          <w:snapToGrid w:val="0"/>
          <w:color w:val="auto"/>
          <w:kern w:val="0"/>
          <w:sz w:val="24"/>
          <w:szCs w:val="24"/>
          <w:highlight w:val="none"/>
          <w:lang w:val="en-US" w:eastAsia="zh-CN" w:bidi="ar-SA"/>
        </w:rPr>
        <w:t>25356.97</w:t>
      </w:r>
      <w:r>
        <w:rPr>
          <w:rFonts w:hint="default" w:ascii="Times New Roman" w:hAnsi="Times New Roman" w:eastAsia="宋体" w:cs="Times New Roman"/>
          <w:snapToGrid w:val="0"/>
          <w:color w:val="auto"/>
          <w:kern w:val="0"/>
          <w:sz w:val="24"/>
          <w:szCs w:val="24"/>
          <w:highlight w:val="none"/>
          <w:lang w:val="en-US" w:eastAsia="zh-CN" w:bidi="ar-SA"/>
        </w:rPr>
        <w:t>t/a。</w:t>
      </w:r>
    </w:p>
    <w:p w14:paraId="449F9A4D">
      <w:pPr>
        <w:pStyle w:val="7"/>
        <w:bidi w:val="0"/>
        <w:rPr>
          <w:rFonts w:hint="default"/>
          <w:highlight w:val="none"/>
        </w:rPr>
      </w:pPr>
      <w:bookmarkStart w:id="386" w:name="_Toc24022"/>
      <w:bookmarkStart w:id="387" w:name="_Toc10818"/>
      <w:bookmarkStart w:id="388" w:name="_Toc29892"/>
      <w:bookmarkStart w:id="389" w:name="_Toc3792"/>
      <w:r>
        <w:rPr>
          <w:rFonts w:hint="default"/>
          <w:highlight w:val="none"/>
        </w:rPr>
        <w:t>3.</w:t>
      </w:r>
      <w:r>
        <w:rPr>
          <w:rFonts w:hint="default"/>
          <w:highlight w:val="none"/>
          <w:lang w:val="en-US" w:eastAsia="zh-CN"/>
        </w:rPr>
        <w:t>3</w:t>
      </w:r>
      <w:r>
        <w:rPr>
          <w:rFonts w:hint="default"/>
          <w:highlight w:val="none"/>
        </w:rPr>
        <w:t>.2排水工程</w:t>
      </w:r>
      <w:bookmarkEnd w:id="386"/>
      <w:bookmarkEnd w:id="387"/>
      <w:bookmarkEnd w:id="388"/>
      <w:bookmarkEnd w:id="389"/>
    </w:p>
    <w:p w14:paraId="0DF03407">
      <w:pPr>
        <w:pStyle w:val="94"/>
        <w:ind w:firstLine="480"/>
        <w:rPr>
          <w:rFonts w:hint="default" w:ascii="Times New Roman" w:hAnsi="Times New Roman" w:cs="Times New Roman"/>
          <w:snapToGrid w:val="0"/>
          <w:color w:val="auto"/>
          <w:highlight w:val="none"/>
        </w:rPr>
      </w:pPr>
      <w:bookmarkStart w:id="390" w:name="_Hlk480325836"/>
      <w:r>
        <w:rPr>
          <w:rFonts w:hint="default" w:ascii="Times New Roman" w:hAnsi="Times New Roman" w:cs="Times New Roman"/>
          <w:snapToGrid w:val="0"/>
          <w:color w:val="auto"/>
          <w:highlight w:val="none"/>
        </w:rPr>
        <w:t>养殖场废水主要包括猪尿、猪舍冲洗废水、职工生活污水</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洗消车间废水</w:t>
      </w:r>
      <w:r>
        <w:rPr>
          <w:rFonts w:hint="default" w:ascii="Times New Roman" w:hAnsi="Times New Roman" w:cs="Times New Roman"/>
          <w:snapToGrid w:val="0"/>
          <w:color w:val="auto"/>
          <w:highlight w:val="none"/>
        </w:rPr>
        <w:t>。项目排水采用雨污分流制，雨水经雨水收集管网（备注：雨污完全分离，污水输送管网是通过PVC管道埋设至冷冻层之下的，不设置在地上）收集后由场区路旁排水沟排出场外。</w:t>
      </w:r>
    </w:p>
    <w:p w14:paraId="065F4B3A">
      <w:pPr>
        <w:pStyle w:val="94"/>
        <w:ind w:firstLine="480"/>
        <w:rPr>
          <w:rFonts w:hint="default" w:ascii="Times New Roman" w:hAnsi="Times New Roman" w:cs="Times New Roman"/>
          <w:snapToGrid w:val="0"/>
          <w:color w:val="auto"/>
          <w:highlight w:val="none"/>
        </w:rPr>
      </w:pP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eastAsia" w:ascii="Times New Roman" w:hAnsi="Times New Roman" w:cs="Times New Roman"/>
          <w:color w:val="auto"/>
          <w:highlight w:val="none"/>
          <w:lang w:val="en-US" w:eastAsia="zh-CN"/>
        </w:rPr>
        <w:t>沼液贮存池，全部综合利用。</w:t>
      </w:r>
    </w:p>
    <w:p w14:paraId="03BD0DD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（1）猪尿</w:t>
      </w:r>
    </w:p>
    <w:p w14:paraId="1AE99692">
      <w:pPr>
        <w:pStyle w:val="94"/>
        <w:ind w:firstLine="480"/>
        <w:rPr>
          <w:rFonts w:hint="default" w:ascii="Times New Roman" w:hAnsi="Times New Roman" w:cs="Times New Roman"/>
          <w:snapToGrid w:val="0"/>
          <w:color w:val="auto"/>
          <w:highlight w:val="none"/>
          <w:lang w:eastAsia="zh-CN"/>
        </w:rPr>
      </w:pPr>
      <w:r>
        <w:rPr>
          <w:rFonts w:hint="default" w:ascii="Times New Roman" w:hAnsi="Times New Roman" w:cs="Times New Roman"/>
          <w:snapToGrid w:val="0"/>
          <w:color w:val="auto"/>
          <w:highlight w:val="none"/>
          <w:lang w:eastAsia="zh-CN"/>
        </w:rPr>
        <w:t>根据《畜禽养殖业污染治理工程技术规范》的资料性附录 A“畜禽养殖废水水质和粪污产生量”，</w:t>
      </w:r>
      <w:r>
        <w:rPr>
          <w:rFonts w:hint="default" w:ascii="Times New Roman" w:hAnsi="Times New Roman" w:cs="Times New Roman"/>
          <w:snapToGrid w:val="0"/>
          <w:color w:val="auto"/>
          <w:highlight w:val="none"/>
          <w:lang w:val="en-US" w:eastAsia="zh-CN"/>
        </w:rPr>
        <w:t>猪尿</w:t>
      </w:r>
      <w:r>
        <w:rPr>
          <w:rFonts w:hint="default" w:ascii="Times New Roman" w:hAnsi="Times New Roman" w:cs="Times New Roman"/>
          <w:snapToGrid w:val="0"/>
          <w:color w:val="auto"/>
          <w:highlight w:val="none"/>
          <w:lang w:eastAsia="zh-CN"/>
        </w:rPr>
        <w:t>量为</w:t>
      </w:r>
      <w:r>
        <w:rPr>
          <w:rFonts w:hint="default" w:ascii="Times New Roman" w:hAnsi="Times New Roman" w:cs="Times New Roman"/>
          <w:snapToGrid w:val="0"/>
          <w:color w:val="auto"/>
          <w:highlight w:val="none"/>
          <w:lang w:val="en-US" w:eastAsia="zh-CN"/>
        </w:rPr>
        <w:t>656.7</w:t>
      </w:r>
      <w:r>
        <w:rPr>
          <w:rFonts w:hint="default" w:ascii="Times New Roman" w:hAnsi="Times New Roman" w:cs="Times New Roman"/>
          <w:snapToGrid w:val="0"/>
          <w:color w:val="auto"/>
          <w:highlight w:val="none"/>
          <w:lang w:eastAsia="zh-CN"/>
        </w:rPr>
        <w:t>L/头▪a，</w:t>
      </w:r>
      <w:bookmarkStart w:id="391" w:name="_Hlk479525300"/>
      <w:r>
        <w:rPr>
          <w:rFonts w:hint="default" w:ascii="Times New Roman" w:hAnsi="Times New Roman" w:cs="Times New Roman"/>
          <w:snapToGrid w:val="0"/>
          <w:color w:val="auto"/>
          <w:highlight w:val="none"/>
          <w:lang w:eastAsia="zh-CN"/>
        </w:rPr>
        <w:t>本项目常年存栏量</w:t>
      </w:r>
      <w:r>
        <w:rPr>
          <w:rFonts w:hint="eastAsia" w:ascii="Times New Roman" w:hAnsi="Times New Roman" w:cs="Times New Roman"/>
          <w:snapToGrid w:val="0"/>
          <w:color w:val="auto"/>
          <w:highlight w:val="none"/>
          <w:lang w:val="en-US" w:eastAsia="zh-CN"/>
        </w:rPr>
        <w:t>8</w:t>
      </w:r>
      <w:r>
        <w:rPr>
          <w:rFonts w:hint="default" w:ascii="Times New Roman" w:hAnsi="Times New Roman" w:cs="Times New Roman"/>
          <w:snapToGrid w:val="0"/>
          <w:color w:val="auto"/>
          <w:highlight w:val="none"/>
          <w:lang w:eastAsia="zh-CN"/>
        </w:rPr>
        <w:t>00</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lang w:eastAsia="zh-CN"/>
        </w:rPr>
        <w:t>头，产尿量总计</w:t>
      </w:r>
      <w:r>
        <w:rPr>
          <w:rFonts w:hint="eastAsia" w:ascii="Times New Roman" w:hAnsi="Times New Roman" w:cs="Times New Roman"/>
          <w:snapToGrid w:val="0"/>
          <w:color w:val="auto"/>
          <w:highlight w:val="none"/>
          <w:lang w:val="en-US" w:eastAsia="zh-CN"/>
        </w:rPr>
        <w:t>14.3934</w:t>
      </w:r>
      <w:r>
        <w:rPr>
          <w:rFonts w:hint="default"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5253.6</w:t>
      </w:r>
      <w:r>
        <w:rPr>
          <w:rFonts w:hint="default" w:ascii="Times New Roman" w:hAnsi="Times New Roman" w:cs="Times New Roman"/>
          <w:snapToGrid w:val="0"/>
          <w:color w:val="auto"/>
          <w:highlight w:val="none"/>
          <w:lang w:eastAsia="zh-CN"/>
        </w:rPr>
        <w:t>t/a</w:t>
      </w:r>
      <w:r>
        <w:rPr>
          <w:rFonts w:hint="default" w:ascii="Times New Roman" w:hAnsi="Times New Roman" w:cs="Times New Roman"/>
          <w:snapToGrid w:val="0"/>
          <w:color w:val="auto"/>
          <w:highlight w:val="none"/>
          <w:lang w:val="en-US" w:eastAsia="zh-CN"/>
        </w:rPr>
        <w:t>。</w:t>
      </w:r>
    </w:p>
    <w:p w14:paraId="3B68AA5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（2）猪舍冲洗废水</w:t>
      </w:r>
    </w:p>
    <w:p w14:paraId="7002AD7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根据企业的实际运行经验，项目采用</w:t>
      </w:r>
      <w:r>
        <w:rPr>
          <w:rFonts w:hint="eastAsia" w:ascii="Times New Roman" w:hAnsi="Times New Roman" w:cs="Times New Roman"/>
          <w:snapToGrid w:val="0"/>
          <w:color w:val="auto"/>
          <w:highlight w:val="none"/>
          <w:lang w:val="en-US" w:eastAsia="zh-CN"/>
        </w:rPr>
        <w:t>尿泡粪—干清粪</w:t>
      </w:r>
      <w:r>
        <w:rPr>
          <w:rFonts w:hint="default" w:ascii="Times New Roman" w:hAnsi="Times New Roman" w:eastAsia="宋体" w:cs="Times New Roman"/>
          <w:snapToGrid w:val="0"/>
          <w:color w:val="auto"/>
          <w:highlight w:val="none"/>
          <w:lang w:val="en-US" w:eastAsia="zh-CN"/>
        </w:rPr>
        <w:t>工艺，粪尿全部从全漏缝地板进入集粪沟</w:t>
      </w:r>
      <w:r>
        <w:rPr>
          <w:rFonts w:hint="eastAsia" w:ascii="Times New Roman" w:hAnsi="Times New Roman" w:cs="Times New Roman"/>
          <w:snapToGrid w:val="0"/>
          <w:color w:val="auto"/>
          <w:highlight w:val="none"/>
          <w:lang w:eastAsia="zh-CN"/>
        </w:rPr>
        <w:t>中</w:t>
      </w:r>
      <w:r>
        <w:rPr>
          <w:rFonts w:hint="default" w:ascii="Times New Roman" w:hAnsi="Times New Roman" w:eastAsia="宋体" w:cs="Times New Roman"/>
          <w:snapToGrid w:val="0"/>
          <w:color w:val="auto"/>
          <w:highlight w:val="none"/>
          <w:lang w:val="en-US" w:eastAsia="zh-CN"/>
        </w:rPr>
        <w:t>，猪粪和尿液混合收集，粪便在粪沟中被尿液浸泡稀释成粪液，储存</w:t>
      </w:r>
      <w:r>
        <w:rPr>
          <w:rFonts w:hint="eastAsia" w:ascii="Times New Roman" w:hAnsi="Times New Roman" w:cs="Times New Roman"/>
          <w:snapToGrid w:val="0"/>
          <w:color w:val="auto"/>
          <w:highlight w:val="none"/>
          <w:lang w:val="en-US" w:eastAsia="zh-CN"/>
        </w:rPr>
        <w:t>30天</w:t>
      </w:r>
      <w:r>
        <w:rPr>
          <w:rFonts w:hint="default" w:ascii="Times New Roman" w:hAnsi="Times New Roman" w:eastAsia="宋体" w:cs="Times New Roman"/>
          <w:snapToGrid w:val="0"/>
          <w:color w:val="auto"/>
          <w:highlight w:val="none"/>
          <w:lang w:val="en-US" w:eastAsia="zh-CN"/>
        </w:rPr>
        <w:t>后打开排污塞子，将池中粪水排出，可最大程度的节约水资源。同时饲养过程中猪舍内不冲水，只进行清扫，从源头减少了污水的产生，</w:t>
      </w:r>
      <w:r>
        <w:rPr>
          <w:rFonts w:hint="eastAsia" w:ascii="Times New Roman" w:hAnsi="Times New Roman" w:eastAsia="宋体" w:cs="Times New Roman"/>
          <w:snapToGrid w:val="0"/>
          <w:color w:val="auto"/>
          <w:highlight w:val="none"/>
          <w:lang w:val="en-US" w:eastAsia="zh-CN"/>
        </w:rPr>
        <w:t>商品仔猪每个月售卖一批，售卖</w:t>
      </w:r>
      <w:r>
        <w:rPr>
          <w:rFonts w:hint="default" w:ascii="Times New Roman" w:hAnsi="Times New Roman" w:eastAsia="宋体" w:cs="Times New Roman"/>
          <w:snapToGrid w:val="0"/>
          <w:color w:val="auto"/>
          <w:highlight w:val="none"/>
          <w:lang w:val="en-US" w:eastAsia="zh-CN"/>
        </w:rPr>
        <w:t>后进行冲洗与消毒，即猪舍每年冲洗</w:t>
      </w:r>
      <w:r>
        <w:rPr>
          <w:rFonts w:hint="eastAsia" w:ascii="Times New Roman" w:hAnsi="Times New Roman" w:eastAsia="宋体" w:cs="Times New Roman"/>
          <w:snapToGrid w:val="0"/>
          <w:color w:val="auto"/>
          <w:highlight w:val="none"/>
          <w:lang w:val="en-US" w:eastAsia="zh-CN"/>
        </w:rPr>
        <w:t>十二</w:t>
      </w:r>
      <w:r>
        <w:rPr>
          <w:rFonts w:hint="default" w:ascii="Times New Roman" w:hAnsi="Times New Roman" w:eastAsia="宋体" w:cs="Times New Roman"/>
          <w:snapToGrid w:val="0"/>
          <w:color w:val="auto"/>
          <w:highlight w:val="none"/>
          <w:lang w:val="en-US" w:eastAsia="zh-CN"/>
        </w:rPr>
        <w:t>次，</w:t>
      </w:r>
      <w:r>
        <w:rPr>
          <w:rFonts w:hint="eastAsia" w:ascii="Times New Roman" w:hAnsi="Times New Roman" w:cs="Times New Roman"/>
          <w:snapToGrid w:val="0"/>
          <w:color w:val="auto"/>
          <w:highlight w:val="none"/>
          <w:lang w:val="en-US" w:eastAsia="zh-CN"/>
        </w:rPr>
        <w:t>扩建</w:t>
      </w:r>
      <w:r>
        <w:rPr>
          <w:rFonts w:hint="default" w:ascii="Times New Roman" w:hAnsi="Times New Roman" w:eastAsia="宋体" w:cs="Times New Roman"/>
          <w:snapToGrid w:val="0"/>
          <w:color w:val="auto"/>
          <w:highlight w:val="none"/>
          <w:lang w:val="en-US" w:eastAsia="zh-CN"/>
        </w:rPr>
        <w:t>猪舍总面积约</w:t>
      </w:r>
      <w:r>
        <w:rPr>
          <w:rFonts w:hint="eastAsia" w:ascii="Times New Roman" w:hAnsi="Times New Roman" w:cs="Times New Roman"/>
          <w:snapToGrid w:val="0"/>
          <w:color w:val="auto"/>
          <w:highlight w:val="none"/>
          <w:lang w:val="en-US" w:eastAsia="zh-CN"/>
        </w:rPr>
        <w:t>6820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，一次冲洗水按20L/(m</w:t>
      </w:r>
      <w:r>
        <w:rPr>
          <w:rFonts w:hint="default" w:ascii="Times New Roman" w:hAnsi="Times New Roman" w:eastAsia="宋体" w:cs="Times New Roman"/>
          <w:snapToGrid w:val="0"/>
          <w:color w:val="auto"/>
          <w:highlight w:val="none"/>
          <w:vertAlign w:val="superscript"/>
          <w:lang w:val="en-US" w:eastAsia="zh-CN"/>
        </w:rPr>
        <w:t>2</w:t>
      </w:r>
      <w:r>
        <w:rPr>
          <w:rFonts w:hint="eastAsia" w:ascii="宋体" w:hAnsi="宋体" w:eastAsia="宋体" w:cs="宋体"/>
          <w:snapToGrid w:val="0"/>
          <w:color w:val="auto"/>
          <w:highlight w:val="none"/>
          <w:vertAlign w:val="baseline"/>
          <w:lang w:val="en-US" w:eastAsia="zh-CN"/>
        </w:rPr>
        <w:t>·</w:t>
      </w:r>
      <w:r>
        <w:rPr>
          <w:rFonts w:hint="default" w:ascii="Times New Roman" w:hAnsi="Times New Roman" w:eastAsia="宋体" w:cs="Times New Roman"/>
          <w:snapToGrid w:val="0"/>
          <w:color w:val="auto"/>
          <w:highlight w:val="none"/>
          <w:lang w:val="en-US" w:eastAsia="zh-CN"/>
        </w:rPr>
        <w:t>次)计，则猪舍年冲洗水用水量为</w:t>
      </w:r>
      <w:r>
        <w:rPr>
          <w:rFonts w:hint="eastAsia" w:ascii="Times New Roman" w:hAnsi="Times New Roman" w:cs="Times New Roman"/>
          <w:snapToGrid w:val="0"/>
          <w:color w:val="auto"/>
          <w:highlight w:val="none"/>
          <w:lang w:val="en-US" w:eastAsia="zh-CN"/>
        </w:rPr>
        <w:t>136.4</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/次，</w:t>
      </w:r>
      <w:r>
        <w:rPr>
          <w:rFonts w:hint="eastAsia" w:ascii="Times New Roman" w:hAnsi="Times New Roman" w:cs="Times New Roman"/>
          <w:snapToGrid w:val="0"/>
          <w:color w:val="auto"/>
          <w:highlight w:val="none"/>
          <w:vertAlign w:val="baseline"/>
          <w:lang w:val="en-US" w:eastAsia="zh-CN"/>
        </w:rPr>
        <w:t>1636.8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r>
        <w:rPr>
          <w:rFonts w:hint="eastAsia" w:ascii="Times New Roman" w:hAnsi="Times New Roman" w:cs="Times New Roman"/>
          <w:snapToGrid w:val="0"/>
          <w:color w:val="auto"/>
          <w:highlight w:val="none"/>
          <w:vertAlign w:val="baseline"/>
          <w:lang w:val="en-US" w:eastAsia="zh-CN"/>
        </w:rPr>
        <w:t>4.484</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p>
    <w:p w14:paraId="5EE5D6D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本项目排水量按用水量的90%计</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则项目运行后，猪舍冲洗废水年排放量为</w:t>
      </w:r>
      <w:r>
        <w:rPr>
          <w:rFonts w:hint="eastAsia" w:ascii="Times New Roman" w:hAnsi="Times New Roman" w:cs="Times New Roman"/>
          <w:color w:val="auto"/>
          <w:highlight w:val="none"/>
          <w:lang w:val="en-US" w:eastAsia="zh-CN"/>
        </w:rPr>
        <w:t>1473.12</w:t>
      </w:r>
      <w:r>
        <w:rPr>
          <w:rFonts w:hint="default" w:ascii="Times New Roman" w:hAnsi="Times New Roman" w:eastAsia="宋体" w:cs="Times New Roman"/>
          <w:color w:val="auto"/>
          <w:highlight w:val="none"/>
        </w:rPr>
        <w:t>t/a。详见表3</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rPr>
        <w:t>。</w:t>
      </w:r>
    </w:p>
    <w:p w14:paraId="3E4205EA">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3  </w:t>
      </w:r>
      <w:r>
        <w:rPr>
          <w:rFonts w:hint="default" w:ascii="Times New Roman" w:hAnsi="Times New Roman" w:eastAsia="黑体" w:cs="Times New Roman"/>
          <w:b w:val="0"/>
          <w:bCs/>
          <w:smallCaps w:val="0"/>
          <w:snapToGrid/>
          <w:kern w:val="2"/>
          <w:sz w:val="21"/>
          <w:szCs w:val="24"/>
          <w:highlight w:val="none"/>
          <w:lang w:val="zh-CN" w:eastAsia="zh-CN" w:bidi="ar-SA"/>
        </w:rPr>
        <w:t>冲洗废水排放情况一览表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40"/>
        <w:gridCol w:w="4482"/>
      </w:tblGrid>
      <w:tr w14:paraId="4AE57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2370" w:type="pct"/>
            <w:vAlign w:val="center"/>
          </w:tcPr>
          <w:p w14:paraId="0A91953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日排水量（t/d）</w:t>
            </w:r>
          </w:p>
        </w:tc>
        <w:tc>
          <w:tcPr>
            <w:tcW w:w="2629" w:type="pct"/>
            <w:vAlign w:val="center"/>
          </w:tcPr>
          <w:p w14:paraId="06DC64F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年排水量（t/a）</w:t>
            </w:r>
          </w:p>
        </w:tc>
      </w:tr>
      <w:tr w14:paraId="3C829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trPr>
        <w:tc>
          <w:tcPr>
            <w:tcW w:w="2370" w:type="pct"/>
            <w:vAlign w:val="center"/>
          </w:tcPr>
          <w:p w14:paraId="4788DEE0">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4.036</w:t>
            </w:r>
          </w:p>
        </w:tc>
        <w:tc>
          <w:tcPr>
            <w:tcW w:w="2629" w:type="pct"/>
            <w:vAlign w:val="center"/>
          </w:tcPr>
          <w:p w14:paraId="7BA794B2">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1473.12</w:t>
            </w:r>
          </w:p>
        </w:tc>
      </w:tr>
      <w:bookmarkEnd w:id="391"/>
    </w:tbl>
    <w:p w14:paraId="59818543">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eastAsia="zh-CN"/>
        </w:rPr>
        <w:t>固液分离废水</w:t>
      </w:r>
    </w:p>
    <w:p w14:paraId="540920BE">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eastAsia="zh-CN"/>
        </w:rPr>
        <w:t>项目采取</w:t>
      </w:r>
      <w:r>
        <w:rPr>
          <w:rFonts w:hint="eastAsia" w:ascii="Times New Roman" w:hAnsi="Times New Roman" w:cs="Times New Roman"/>
          <w:snapToGrid w:val="0"/>
          <w:color w:val="auto"/>
          <w:highlight w:val="none"/>
          <w:lang w:eastAsia="zh-CN"/>
        </w:rPr>
        <w:t>尿泡粪—干清粪</w:t>
      </w:r>
      <w:r>
        <w:rPr>
          <w:rFonts w:hint="default" w:ascii="Times New Roman" w:hAnsi="Times New Roman" w:cs="Times New Roman"/>
          <w:snapToGrid w:val="0"/>
          <w:color w:val="auto"/>
          <w:highlight w:val="none"/>
          <w:lang w:eastAsia="zh-CN"/>
        </w:rPr>
        <w:t>方式进行清粪，</w:t>
      </w:r>
      <w:r>
        <w:rPr>
          <w:rFonts w:hint="eastAsia" w:ascii="Times New Roman" w:hAnsi="Times New Roman" w:cs="Times New Roman"/>
          <w:snapToGrid w:val="0"/>
          <w:color w:val="auto"/>
          <w:highlight w:val="none"/>
          <w:lang w:eastAsia="zh-CN"/>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根据《畜禽养殖业污染治理工程技术规范》的资料性附录 A“畜禽养殖废水水质和粪污产生量”</w:t>
      </w:r>
      <w:r>
        <w:rPr>
          <w:rFonts w:hint="eastAsia" w:ascii="Times New Roman" w:hAnsi="Times New Roman" w:cs="Times New Roman"/>
          <w:snapToGrid w:val="0"/>
          <w:color w:val="auto"/>
          <w:highlight w:val="none"/>
          <w:lang w:val="en-US" w:eastAsia="zh-CN"/>
        </w:rPr>
        <w:t>猪粪</w:t>
      </w:r>
      <w:r>
        <w:rPr>
          <w:rFonts w:hint="eastAsia"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398kg</w:t>
      </w:r>
      <w:r>
        <w:rPr>
          <w:rFonts w:hint="eastAsia" w:ascii="Times New Roman" w:hAnsi="Times New Roman" w:cs="Times New Roman"/>
          <w:snapToGrid w:val="0"/>
          <w:color w:val="auto"/>
          <w:highlight w:val="none"/>
          <w:lang w:eastAsia="zh-CN"/>
        </w:rPr>
        <w:t>/头▪a，本项目常年存栏量</w:t>
      </w:r>
      <w:r>
        <w:rPr>
          <w:rFonts w:hint="eastAsia" w:ascii="Times New Roman" w:hAnsi="Times New Roman" w:cs="Times New Roman"/>
          <w:snapToGrid w:val="0"/>
          <w:color w:val="auto"/>
          <w:highlight w:val="none"/>
          <w:lang w:val="en-US" w:eastAsia="zh-CN"/>
        </w:rPr>
        <w:t>8</w:t>
      </w:r>
      <w:r>
        <w:rPr>
          <w:rFonts w:hint="eastAsia" w:ascii="Times New Roman" w:hAnsi="Times New Roman" w:cs="Times New Roman"/>
          <w:snapToGrid w:val="0"/>
          <w:color w:val="auto"/>
          <w:highlight w:val="none"/>
          <w:lang w:eastAsia="zh-CN"/>
        </w:rPr>
        <w:t>00</w:t>
      </w:r>
      <w:r>
        <w:rPr>
          <w:rFonts w:hint="eastAsia" w:ascii="Times New Roman" w:hAnsi="Times New Roman" w:cs="Times New Roman"/>
          <w:snapToGrid w:val="0"/>
          <w:color w:val="auto"/>
          <w:highlight w:val="none"/>
          <w:lang w:val="en-US" w:eastAsia="zh-CN"/>
        </w:rPr>
        <w:t>0</w:t>
      </w:r>
      <w:r>
        <w:rPr>
          <w:rFonts w:hint="eastAsia" w:ascii="Times New Roman" w:hAnsi="Times New Roman" w:cs="Times New Roman"/>
          <w:snapToGrid w:val="0"/>
          <w:color w:val="auto"/>
          <w:highlight w:val="none"/>
          <w:lang w:eastAsia="zh-CN"/>
        </w:rPr>
        <w:t>头，产</w:t>
      </w:r>
      <w:r>
        <w:rPr>
          <w:rFonts w:hint="eastAsia" w:ascii="Times New Roman" w:hAnsi="Times New Roman" w:cs="Times New Roman"/>
          <w:snapToGrid w:val="0"/>
          <w:color w:val="auto"/>
          <w:highlight w:val="none"/>
          <w:lang w:val="en-US" w:eastAsia="zh-CN"/>
        </w:rPr>
        <w:t>粪</w:t>
      </w:r>
      <w:r>
        <w:rPr>
          <w:rFonts w:hint="eastAsia" w:ascii="Times New Roman" w:hAnsi="Times New Roman" w:cs="Times New Roman"/>
          <w:snapToGrid w:val="0"/>
          <w:color w:val="auto"/>
          <w:highlight w:val="none"/>
          <w:lang w:eastAsia="zh-CN"/>
        </w:rPr>
        <w:t>量总计</w:t>
      </w:r>
      <w:r>
        <w:rPr>
          <w:rFonts w:hint="eastAsia" w:ascii="Times New Roman" w:hAnsi="Times New Roman" w:cs="Times New Roman"/>
          <w:snapToGrid w:val="0"/>
          <w:color w:val="auto"/>
          <w:highlight w:val="none"/>
          <w:lang w:val="en-US" w:eastAsia="zh-CN"/>
        </w:rPr>
        <w:t>8.7233</w:t>
      </w:r>
      <w:r>
        <w:rPr>
          <w:rFonts w:hint="eastAsia"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3184</w:t>
      </w:r>
      <w:r>
        <w:rPr>
          <w:rFonts w:hint="eastAsia" w:ascii="Times New Roman" w:hAnsi="Times New Roman" w:cs="Times New Roman"/>
          <w:snapToGrid w:val="0"/>
          <w:color w:val="auto"/>
          <w:highlight w:val="none"/>
          <w:lang w:eastAsia="zh-CN"/>
        </w:rPr>
        <w:t>t/a</w:t>
      </w:r>
      <w:r>
        <w:rPr>
          <w:rFonts w:hint="eastAsia" w:ascii="Times New Roman" w:hAnsi="Times New Roman" w:cs="Times New Roman"/>
          <w:snapToGrid w:val="0"/>
          <w:color w:val="auto"/>
          <w:highlight w:val="none"/>
          <w:lang w:val="en-US" w:eastAsia="zh-CN"/>
        </w:rPr>
        <w:t>。</w:t>
      </w:r>
    </w:p>
    <w:p w14:paraId="1AA6A1E1">
      <w:pPr>
        <w:pStyle w:val="94"/>
        <w:ind w:firstLine="480"/>
        <w:rPr>
          <w:rFonts w:hint="default" w:ascii="Times New Roman" w:hAnsi="Times New Roman"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则</w:t>
      </w:r>
      <w:r>
        <w:rPr>
          <w:rFonts w:hint="default" w:ascii="Times New Roman" w:hAnsi="Times New Roman" w:cs="Times New Roman"/>
          <w:snapToGrid w:val="0"/>
          <w:color w:val="auto"/>
          <w:highlight w:val="none"/>
          <w:lang w:eastAsia="zh-CN"/>
        </w:rPr>
        <w:t>固液分离产生的废水量为</w:t>
      </w:r>
      <w:r>
        <w:rPr>
          <w:rFonts w:hint="eastAsia" w:ascii="Times New Roman" w:hAnsi="Times New Roman" w:cs="Times New Roman"/>
          <w:snapToGrid w:val="0"/>
          <w:color w:val="auto"/>
          <w:highlight w:val="none"/>
          <w:lang w:val="en-US" w:eastAsia="zh-CN"/>
        </w:rPr>
        <w:t>6.9786</w:t>
      </w:r>
      <w:r>
        <w:rPr>
          <w:rFonts w:hint="default"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snapToGrid w:val="0"/>
          <w:color w:val="auto"/>
          <w:highlight w:val="none"/>
          <w:lang w:eastAsia="zh-CN"/>
        </w:rPr>
        <w:t>t/a。</w:t>
      </w:r>
    </w:p>
    <w:p w14:paraId="0E6E705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职工</w:t>
      </w:r>
      <w:r>
        <w:rPr>
          <w:rFonts w:hint="default" w:ascii="Times New Roman" w:hAnsi="Times New Roman" w:eastAsia="宋体" w:cs="Times New Roman"/>
          <w:snapToGrid w:val="0"/>
          <w:color w:val="auto"/>
          <w:highlight w:val="none"/>
        </w:rPr>
        <w:t>生活污水</w:t>
      </w:r>
    </w:p>
    <w:p w14:paraId="4AB51C5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本项目共有职工</w:t>
      </w:r>
      <w:r>
        <w:rPr>
          <w:rFonts w:hint="eastAsia" w:ascii="Times New Roman" w:hAnsi="Times New Roman" w:cs="Times New Roman"/>
          <w:snapToGrid w:val="0"/>
          <w:color w:val="auto"/>
          <w:highlight w:val="none"/>
          <w:lang w:val="en-US" w:eastAsia="zh-CN"/>
        </w:rPr>
        <w:t>11</w:t>
      </w:r>
      <w:r>
        <w:rPr>
          <w:rFonts w:hint="default" w:ascii="Times New Roman" w:hAnsi="Times New Roman" w:eastAsia="宋体" w:cs="Times New Roman"/>
          <w:snapToGrid w:val="0"/>
          <w:color w:val="auto"/>
          <w:highlight w:val="none"/>
          <w:lang w:eastAsia="zh-CN"/>
        </w:rPr>
        <w:t>人</w:t>
      </w:r>
      <w:r>
        <w:rPr>
          <w:rFonts w:hint="default" w:ascii="Times New Roman" w:hAnsi="Times New Roman" w:eastAsia="宋体" w:cs="Times New Roman"/>
          <w:snapToGrid w:val="0"/>
          <w:color w:val="auto"/>
          <w:highlight w:val="none"/>
        </w:rPr>
        <w:t>，生活用水量为</w:t>
      </w:r>
      <w:r>
        <w:rPr>
          <w:rFonts w:hint="default" w:ascii="Times New Roman" w:hAnsi="Times New Roman" w:eastAsia="宋体" w:cs="Times New Roman"/>
          <w:snapToGrid w:val="0"/>
          <w:color w:val="auto"/>
          <w:highlight w:val="none"/>
          <w:lang w:val="en-US" w:eastAsia="zh-CN"/>
        </w:rPr>
        <w:t>0.88</w:t>
      </w:r>
      <w:r>
        <w:rPr>
          <w:rFonts w:hint="default" w:ascii="Times New Roman" w:hAnsi="Times New Roman" w:eastAsia="宋体" w:cs="Times New Roman"/>
          <w:snapToGrid w:val="0"/>
          <w:color w:val="auto"/>
          <w:highlight w:val="none"/>
        </w:rPr>
        <w:t>t/d，即</w:t>
      </w:r>
      <w:r>
        <w:rPr>
          <w:rFonts w:hint="default" w:ascii="Times New Roman" w:hAnsi="Times New Roman" w:eastAsia="宋体" w:cs="Times New Roman"/>
          <w:snapToGrid w:val="0"/>
          <w:color w:val="auto"/>
          <w:highlight w:val="none"/>
          <w:lang w:val="en-US" w:eastAsia="zh-CN"/>
        </w:rPr>
        <w:t>321.2</w:t>
      </w:r>
      <w:r>
        <w:rPr>
          <w:rFonts w:hint="default" w:ascii="Times New Roman" w:hAnsi="Times New Roman" w:eastAsia="宋体" w:cs="Times New Roman"/>
          <w:snapToGrid w:val="0"/>
          <w:color w:val="auto"/>
          <w:highlight w:val="none"/>
        </w:rPr>
        <w:t>t/a；排水量按用水量的80%计，则生活污水量为</w:t>
      </w:r>
      <w:r>
        <w:rPr>
          <w:rFonts w:hint="eastAsia" w:ascii="Times New Roman" w:hAnsi="Times New Roman" w:cs="Times New Roman"/>
          <w:snapToGrid w:val="0"/>
          <w:color w:val="auto"/>
          <w:highlight w:val="none"/>
          <w:lang w:val="en-US" w:eastAsia="zh-CN"/>
        </w:rPr>
        <w:t>0.704</w:t>
      </w:r>
      <w:r>
        <w:rPr>
          <w:rFonts w:hint="default" w:ascii="Times New Roman" w:hAnsi="Times New Roman" w:eastAsia="宋体" w:cs="Times New Roman"/>
          <w:snapToGrid w:val="0"/>
          <w:color w:val="auto"/>
          <w:highlight w:val="none"/>
        </w:rPr>
        <w:t>t/d，即</w:t>
      </w:r>
      <w:r>
        <w:rPr>
          <w:rFonts w:hint="eastAsia" w:ascii="Times New Roman" w:hAnsi="Times New Roman" w:cs="Times New Roman"/>
          <w:snapToGrid w:val="0"/>
          <w:color w:val="auto"/>
          <w:highlight w:val="none"/>
          <w:lang w:val="en-US" w:eastAsia="zh-CN"/>
        </w:rPr>
        <w:t>256.96</w:t>
      </w:r>
      <w:r>
        <w:rPr>
          <w:rFonts w:hint="default" w:ascii="Times New Roman" w:hAnsi="Times New Roman" w:eastAsia="宋体" w:cs="Times New Roman"/>
          <w:snapToGrid w:val="0"/>
          <w:color w:val="auto"/>
          <w:highlight w:val="none"/>
        </w:rPr>
        <w:t>t/a。</w:t>
      </w:r>
    </w:p>
    <w:p w14:paraId="4029A8F3">
      <w:pPr>
        <w:pStyle w:val="94"/>
        <w:numPr>
          <w:ilvl w:val="0"/>
          <w:numId w:val="0"/>
        </w:numPr>
        <w:ind w:firstLine="480" w:firstLineChars="200"/>
        <w:rPr>
          <w:rFonts w:hint="default" w:ascii="Times New Roman" w:hAnsi="Times New Roman" w:eastAsia="宋体" w:cs="Times New Roman"/>
          <w:snapToGrid w:val="0"/>
          <w:color w:val="auto"/>
          <w:highlight w:val="none"/>
          <w:lang w:val="en-US" w:eastAsia="zh-CN"/>
        </w:rPr>
      </w:pPr>
      <w:bookmarkStart w:id="392" w:name="_Hlk479525778"/>
      <w:r>
        <w:rPr>
          <w:rFonts w:hint="default" w:ascii="Times New Roman" w:hAnsi="Times New Roman" w:eastAsia="宋体" w:cs="Times New Roman"/>
          <w:snapToGrid w:val="0"/>
          <w:color w:val="auto"/>
          <w:kern w:val="0"/>
          <w:sz w:val="24"/>
          <w:szCs w:val="24"/>
          <w:highlight w:val="none"/>
          <w:lang w:val="en-US" w:eastAsia="zh-CN" w:bidi="ar-SA"/>
        </w:rPr>
        <w:t>（5）</w:t>
      </w:r>
      <w:r>
        <w:rPr>
          <w:rFonts w:hint="default" w:ascii="Times New Roman" w:hAnsi="Times New Roman" w:eastAsia="宋体" w:cs="Times New Roman"/>
          <w:snapToGrid w:val="0"/>
          <w:color w:val="auto"/>
          <w:highlight w:val="none"/>
          <w:lang w:val="en-US" w:eastAsia="zh-CN"/>
        </w:rPr>
        <w:t>洗消车间废水</w:t>
      </w:r>
    </w:p>
    <w:p w14:paraId="0ADA96E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洗消车间的面积为</w:t>
      </w:r>
      <w:r>
        <w:rPr>
          <w:rFonts w:hint="eastAsia" w:ascii="Times New Roman" w:hAnsi="Times New Roman" w:eastAsia="宋体" w:cs="Times New Roman"/>
          <w:snapToGrid w:val="0"/>
          <w:color w:val="auto"/>
          <w:highlight w:val="none"/>
          <w:lang w:val="en-US" w:eastAsia="zh-CN"/>
        </w:rPr>
        <w:t>140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，冲洗用水量为0.2L/m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/d，则年用水量为</w:t>
      </w:r>
      <w:r>
        <w:rPr>
          <w:rFonts w:hint="eastAsia" w:ascii="Times New Roman" w:hAnsi="Times New Roman" w:eastAsia="宋体" w:cs="Times New Roman"/>
          <w:snapToGrid w:val="0"/>
          <w:color w:val="auto"/>
          <w:highlight w:val="none"/>
          <w:lang w:val="en-US" w:eastAsia="zh-CN"/>
        </w:rPr>
        <w:t>10.22</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/a（0.028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r>
        <w:rPr>
          <w:rFonts w:hint="eastAsia" w:ascii="Times New Roman" w:hAnsi="Times New Roman" w:eastAsia="宋体" w:cs="Times New Roman"/>
          <w:snapToGrid w:val="0"/>
          <w:color w:val="auto"/>
          <w:highlight w:val="none"/>
          <w:lang w:val="en-US" w:eastAsia="zh-CN"/>
        </w:rPr>
        <w:t>排污系数按0.85计，则洗消车间废水量为0.0238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/d，8.687</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p>
    <w:p w14:paraId="608811A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综上，项目运行后，全年总排水量为</w:t>
      </w:r>
      <w:r>
        <w:rPr>
          <w:rFonts w:hint="eastAsia" w:ascii="Times New Roman" w:hAnsi="Times New Roman" w:cs="Times New Roman"/>
          <w:snapToGrid w:val="0"/>
          <w:color w:val="auto"/>
          <w:highlight w:val="none"/>
          <w:lang w:val="en-US" w:eastAsia="zh-CN"/>
        </w:rPr>
        <w:t>26.1358t/d，9539.567</w:t>
      </w:r>
      <w:r>
        <w:rPr>
          <w:rFonts w:hint="default" w:ascii="Times New Roman" w:hAnsi="Times New Roman" w:eastAsia="宋体" w:cs="Times New Roman"/>
          <w:snapToGrid w:val="0"/>
          <w:color w:val="auto"/>
          <w:highlight w:val="none"/>
        </w:rPr>
        <w:t>t/a，项目排水情况见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表。项目水平衡图见图3</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p>
    <w:p w14:paraId="5C2CA0F1">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4  扩建后</w:t>
      </w:r>
      <w:r>
        <w:rPr>
          <w:rFonts w:hint="default" w:ascii="Times New Roman" w:hAnsi="Times New Roman" w:eastAsia="黑体" w:cs="Times New Roman"/>
          <w:b w:val="0"/>
          <w:bCs/>
          <w:smallCaps w:val="0"/>
          <w:snapToGrid/>
          <w:kern w:val="2"/>
          <w:sz w:val="21"/>
          <w:szCs w:val="24"/>
          <w:highlight w:val="none"/>
          <w:lang w:val="zh-CN" w:eastAsia="zh-CN" w:bidi="ar-SA"/>
        </w:rPr>
        <w:t>项目排水情况一览表</w:t>
      </w:r>
    </w:p>
    <w:tbl>
      <w:tblPr>
        <w:tblStyle w:val="39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232"/>
        <w:gridCol w:w="1232"/>
        <w:gridCol w:w="1232"/>
        <w:gridCol w:w="1232"/>
        <w:gridCol w:w="1232"/>
        <w:gridCol w:w="1011"/>
      </w:tblGrid>
      <w:tr w14:paraId="71BF3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67571A41">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项目</w:t>
            </w:r>
          </w:p>
        </w:tc>
        <w:tc>
          <w:tcPr>
            <w:tcW w:w="723" w:type="pct"/>
            <w:tcBorders>
              <w:tl2br w:val="nil"/>
              <w:tr2bl w:val="nil"/>
            </w:tcBorders>
            <w:noWrap w:val="0"/>
            <w:vAlign w:val="center"/>
          </w:tcPr>
          <w:p w14:paraId="3A3FEDB9">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猪尿</w:t>
            </w:r>
          </w:p>
        </w:tc>
        <w:tc>
          <w:tcPr>
            <w:tcW w:w="723" w:type="pct"/>
            <w:tcBorders>
              <w:tl2br w:val="nil"/>
              <w:tr2bl w:val="nil"/>
            </w:tcBorders>
            <w:noWrap w:val="0"/>
            <w:vAlign w:val="center"/>
          </w:tcPr>
          <w:p w14:paraId="3CBB79C3">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冲洗废水</w:t>
            </w:r>
          </w:p>
        </w:tc>
        <w:tc>
          <w:tcPr>
            <w:tcW w:w="723" w:type="pct"/>
            <w:tcBorders>
              <w:tl2br w:val="nil"/>
              <w:tr2bl w:val="nil"/>
            </w:tcBorders>
            <w:noWrap w:val="0"/>
            <w:vAlign w:val="center"/>
          </w:tcPr>
          <w:p w14:paraId="1A630D59">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职工</w:t>
            </w:r>
            <w:r>
              <w:rPr>
                <w:rFonts w:hint="default" w:ascii="Times New Roman" w:hAnsi="Times New Roman" w:cs="Times New Roman"/>
                <w:snapToGrid w:val="0"/>
                <w:color w:val="auto"/>
                <w:sz w:val="21"/>
                <w:szCs w:val="21"/>
                <w:highlight w:val="none"/>
              </w:rPr>
              <w:t>生活污水</w:t>
            </w:r>
          </w:p>
        </w:tc>
        <w:tc>
          <w:tcPr>
            <w:tcW w:w="723" w:type="pct"/>
            <w:tcBorders>
              <w:tl2br w:val="nil"/>
              <w:tr2bl w:val="nil"/>
            </w:tcBorders>
            <w:noWrap w:val="0"/>
            <w:vAlign w:val="center"/>
          </w:tcPr>
          <w:p w14:paraId="541085CA">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固液分离废水</w:t>
            </w:r>
          </w:p>
        </w:tc>
        <w:tc>
          <w:tcPr>
            <w:tcW w:w="723" w:type="pct"/>
            <w:tcBorders>
              <w:tl2br w:val="nil"/>
              <w:tr2bl w:val="nil"/>
            </w:tcBorders>
            <w:noWrap w:val="0"/>
            <w:vAlign w:val="center"/>
          </w:tcPr>
          <w:p w14:paraId="6B9FEA0B">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洗消车间废水</w:t>
            </w:r>
          </w:p>
        </w:tc>
        <w:tc>
          <w:tcPr>
            <w:tcW w:w="593" w:type="pct"/>
            <w:tcBorders>
              <w:tl2br w:val="nil"/>
              <w:tr2bl w:val="nil"/>
            </w:tcBorders>
            <w:noWrap w:val="0"/>
            <w:vAlign w:val="center"/>
          </w:tcPr>
          <w:p w14:paraId="51680370">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小计</w:t>
            </w:r>
          </w:p>
        </w:tc>
      </w:tr>
      <w:tr w14:paraId="6515F7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602B6875">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日排水量（t/d）</w:t>
            </w:r>
          </w:p>
        </w:tc>
        <w:tc>
          <w:tcPr>
            <w:tcW w:w="723" w:type="pct"/>
            <w:tcBorders>
              <w:tl2br w:val="nil"/>
              <w:tr2bl w:val="nil"/>
            </w:tcBorders>
            <w:noWrap w:val="0"/>
            <w:vAlign w:val="center"/>
          </w:tcPr>
          <w:p w14:paraId="0F66D415">
            <w:pPr>
              <w:adjustRightInd w:val="0"/>
              <w:snapToGrid w:val="0"/>
              <w:jc w:val="center"/>
              <w:rPr>
                <w:rFonts w:hint="default" w:ascii="Times New Roman" w:hAnsi="Times New Roman"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14.3934</w:t>
            </w:r>
          </w:p>
        </w:tc>
        <w:tc>
          <w:tcPr>
            <w:tcW w:w="723" w:type="pct"/>
            <w:tcBorders>
              <w:tl2br w:val="nil"/>
              <w:tr2bl w:val="nil"/>
            </w:tcBorders>
            <w:noWrap w:val="0"/>
            <w:vAlign w:val="center"/>
          </w:tcPr>
          <w:p w14:paraId="4979B2AC">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4.036</w:t>
            </w:r>
          </w:p>
        </w:tc>
        <w:tc>
          <w:tcPr>
            <w:tcW w:w="723" w:type="pct"/>
            <w:tcBorders>
              <w:tl2br w:val="nil"/>
              <w:tr2bl w:val="nil"/>
            </w:tcBorders>
            <w:noWrap w:val="0"/>
            <w:vAlign w:val="center"/>
          </w:tcPr>
          <w:p w14:paraId="57E77193">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0.704</w:t>
            </w:r>
          </w:p>
        </w:tc>
        <w:tc>
          <w:tcPr>
            <w:tcW w:w="723" w:type="pct"/>
            <w:tcBorders>
              <w:tl2br w:val="nil"/>
              <w:tr2bl w:val="nil"/>
            </w:tcBorders>
            <w:noWrap w:val="0"/>
            <w:vAlign w:val="center"/>
          </w:tcPr>
          <w:p w14:paraId="268260C6">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6.9786</w:t>
            </w:r>
          </w:p>
        </w:tc>
        <w:tc>
          <w:tcPr>
            <w:tcW w:w="723" w:type="pct"/>
            <w:tcBorders>
              <w:tl2br w:val="nil"/>
              <w:tr2bl w:val="nil"/>
            </w:tcBorders>
            <w:noWrap w:val="0"/>
            <w:vAlign w:val="center"/>
          </w:tcPr>
          <w:p w14:paraId="542D9230">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0.0238</w:t>
            </w:r>
          </w:p>
        </w:tc>
        <w:tc>
          <w:tcPr>
            <w:tcW w:w="593" w:type="pct"/>
            <w:tcBorders>
              <w:tl2br w:val="nil"/>
              <w:tr2bl w:val="nil"/>
            </w:tcBorders>
            <w:noWrap w:val="0"/>
            <w:vAlign w:val="center"/>
          </w:tcPr>
          <w:p w14:paraId="4F786764">
            <w:pPr>
              <w:keepNext w:val="0"/>
              <w:keepLines w:val="0"/>
              <w:widowControl/>
              <w:suppressLineNumbers w:val="0"/>
              <w:adjustRightInd w:val="0"/>
              <w:snapToGrid w:val="0"/>
              <w:jc w:val="center"/>
              <w:textAlignment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26.1358</w:t>
            </w:r>
          </w:p>
        </w:tc>
      </w:tr>
      <w:bookmarkEnd w:id="390"/>
      <w:bookmarkEnd w:id="392"/>
    </w:tbl>
    <w:p w14:paraId="05796FE0">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bookmarkStart w:id="393" w:name="_Toc113078929"/>
      <w:bookmarkStart w:id="394" w:name="_Toc182022288"/>
      <w:bookmarkStart w:id="395" w:name="_Toc112420358"/>
      <w:bookmarkStart w:id="396" w:name="_Toc118087007"/>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5  现有工程</w:t>
      </w:r>
      <w:r>
        <w:rPr>
          <w:rFonts w:hint="default" w:ascii="Times New Roman" w:hAnsi="Times New Roman" w:eastAsia="黑体" w:cs="Times New Roman"/>
          <w:b w:val="0"/>
          <w:bCs/>
          <w:smallCaps w:val="0"/>
          <w:snapToGrid/>
          <w:kern w:val="2"/>
          <w:sz w:val="21"/>
          <w:szCs w:val="24"/>
          <w:highlight w:val="none"/>
          <w:lang w:val="zh-CN" w:eastAsia="zh-CN" w:bidi="ar-SA"/>
        </w:rPr>
        <w:t>项目排水情况一览表</w:t>
      </w:r>
    </w:p>
    <w:tbl>
      <w:tblPr>
        <w:tblStyle w:val="39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232"/>
        <w:gridCol w:w="1232"/>
        <w:gridCol w:w="1232"/>
        <w:gridCol w:w="1232"/>
        <w:gridCol w:w="1232"/>
        <w:gridCol w:w="1011"/>
      </w:tblGrid>
      <w:tr w14:paraId="0256B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045FD94A">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项目</w:t>
            </w:r>
          </w:p>
        </w:tc>
        <w:tc>
          <w:tcPr>
            <w:tcW w:w="723" w:type="pct"/>
            <w:tcBorders>
              <w:tl2br w:val="nil"/>
              <w:tr2bl w:val="nil"/>
            </w:tcBorders>
            <w:noWrap w:val="0"/>
            <w:vAlign w:val="center"/>
          </w:tcPr>
          <w:p w14:paraId="327DAFF0">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猪尿</w:t>
            </w:r>
          </w:p>
        </w:tc>
        <w:tc>
          <w:tcPr>
            <w:tcW w:w="723" w:type="pct"/>
            <w:tcBorders>
              <w:tl2br w:val="nil"/>
              <w:tr2bl w:val="nil"/>
            </w:tcBorders>
            <w:noWrap w:val="0"/>
            <w:vAlign w:val="center"/>
          </w:tcPr>
          <w:p w14:paraId="316CA61E">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冲洗废水</w:t>
            </w:r>
          </w:p>
        </w:tc>
        <w:tc>
          <w:tcPr>
            <w:tcW w:w="723" w:type="pct"/>
            <w:tcBorders>
              <w:tl2br w:val="nil"/>
              <w:tr2bl w:val="nil"/>
            </w:tcBorders>
            <w:noWrap w:val="0"/>
            <w:vAlign w:val="center"/>
          </w:tcPr>
          <w:p w14:paraId="2F783BCB">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职工</w:t>
            </w:r>
            <w:r>
              <w:rPr>
                <w:rFonts w:hint="default" w:ascii="Times New Roman" w:hAnsi="Times New Roman" w:eastAsia="宋体" w:cs="Times New Roman"/>
                <w:snapToGrid w:val="0"/>
                <w:color w:val="auto"/>
                <w:kern w:val="0"/>
                <w:sz w:val="21"/>
                <w:szCs w:val="21"/>
                <w:highlight w:val="none"/>
                <w:lang w:val="zh-CN" w:eastAsia="zh-CN" w:bidi="ar-SA"/>
              </w:rPr>
              <w:t>生活污水</w:t>
            </w:r>
          </w:p>
        </w:tc>
        <w:tc>
          <w:tcPr>
            <w:tcW w:w="723" w:type="pct"/>
            <w:tcBorders>
              <w:tl2br w:val="nil"/>
              <w:tr2bl w:val="nil"/>
            </w:tcBorders>
            <w:noWrap w:val="0"/>
            <w:vAlign w:val="center"/>
          </w:tcPr>
          <w:p w14:paraId="1BE2694B">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固液分离废水</w:t>
            </w:r>
          </w:p>
        </w:tc>
        <w:tc>
          <w:tcPr>
            <w:tcW w:w="723" w:type="pct"/>
            <w:tcBorders>
              <w:tl2br w:val="nil"/>
              <w:tr2bl w:val="nil"/>
            </w:tcBorders>
            <w:noWrap w:val="0"/>
            <w:vAlign w:val="center"/>
          </w:tcPr>
          <w:p w14:paraId="645D1BBC">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洗消车间废水</w:t>
            </w:r>
          </w:p>
        </w:tc>
        <w:tc>
          <w:tcPr>
            <w:tcW w:w="593" w:type="pct"/>
            <w:tcBorders>
              <w:tl2br w:val="nil"/>
              <w:tr2bl w:val="nil"/>
            </w:tcBorders>
            <w:noWrap w:val="0"/>
            <w:vAlign w:val="center"/>
          </w:tcPr>
          <w:p w14:paraId="38FE10FE">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小计</w:t>
            </w:r>
          </w:p>
        </w:tc>
      </w:tr>
      <w:tr w14:paraId="68EA7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49A4AF70">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日排水量（t/d）</w:t>
            </w:r>
          </w:p>
        </w:tc>
        <w:tc>
          <w:tcPr>
            <w:tcW w:w="723" w:type="pct"/>
            <w:tcBorders>
              <w:tl2br w:val="nil"/>
              <w:tr2bl w:val="nil"/>
            </w:tcBorders>
            <w:noWrap w:val="0"/>
            <w:vAlign w:val="center"/>
          </w:tcPr>
          <w:p w14:paraId="05EA32A2">
            <w:pPr>
              <w:adjustRightInd w:val="0"/>
              <w:snapToGrid w:val="0"/>
              <w:jc w:val="center"/>
              <w:rPr>
                <w:rFonts w:hint="default" w:ascii="Times New Roman" w:hAnsi="Times New Roman" w:cs="Times New Roman"/>
                <w:snapToGrid w:val="0"/>
                <w:color w:val="auto"/>
                <w:sz w:val="21"/>
                <w:szCs w:val="21"/>
                <w:highlight w:val="none"/>
                <w:lang w:val="en-US"/>
              </w:rPr>
            </w:pPr>
            <w:r>
              <w:rPr>
                <w:rFonts w:hint="default" w:ascii="Times New Roman" w:hAnsi="Times New Roman" w:cs="Times New Roman"/>
                <w:snapToGrid w:val="0"/>
                <w:color w:val="auto"/>
                <w:sz w:val="21"/>
                <w:szCs w:val="21"/>
                <w:highlight w:val="none"/>
                <w:lang w:val="en-US" w:eastAsia="zh-CN"/>
              </w:rPr>
              <w:t>4.8111</w:t>
            </w:r>
          </w:p>
        </w:tc>
        <w:tc>
          <w:tcPr>
            <w:tcW w:w="723" w:type="pct"/>
            <w:tcBorders>
              <w:tl2br w:val="nil"/>
              <w:tr2bl w:val="nil"/>
            </w:tcBorders>
            <w:noWrap w:val="0"/>
            <w:vAlign w:val="center"/>
          </w:tcPr>
          <w:p w14:paraId="02F68757">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2.071</w:t>
            </w:r>
          </w:p>
        </w:tc>
        <w:tc>
          <w:tcPr>
            <w:tcW w:w="723" w:type="pct"/>
            <w:tcBorders>
              <w:tl2br w:val="nil"/>
              <w:tr2bl w:val="nil"/>
            </w:tcBorders>
            <w:noWrap w:val="0"/>
            <w:vAlign w:val="center"/>
          </w:tcPr>
          <w:p w14:paraId="01FCF0D5">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0.512</w:t>
            </w:r>
          </w:p>
        </w:tc>
        <w:tc>
          <w:tcPr>
            <w:tcW w:w="723" w:type="pct"/>
            <w:tcBorders>
              <w:tl2br w:val="nil"/>
              <w:tr2bl w:val="nil"/>
            </w:tcBorders>
            <w:noWrap w:val="0"/>
            <w:vAlign w:val="center"/>
          </w:tcPr>
          <w:p w14:paraId="62514B72">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2.094</w:t>
            </w:r>
          </w:p>
        </w:tc>
        <w:tc>
          <w:tcPr>
            <w:tcW w:w="723" w:type="pct"/>
            <w:tcBorders>
              <w:tl2br w:val="nil"/>
              <w:tr2bl w:val="nil"/>
            </w:tcBorders>
            <w:noWrap w:val="0"/>
            <w:vAlign w:val="center"/>
          </w:tcPr>
          <w:p w14:paraId="671E91CE">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0.0153</w:t>
            </w:r>
          </w:p>
        </w:tc>
        <w:tc>
          <w:tcPr>
            <w:tcW w:w="593" w:type="pct"/>
            <w:tcBorders>
              <w:tl2br w:val="nil"/>
              <w:tr2bl w:val="nil"/>
            </w:tcBorders>
            <w:shd w:val="clear" w:color="auto" w:fill="auto"/>
            <w:noWrap w:val="0"/>
            <w:vAlign w:val="center"/>
          </w:tcPr>
          <w:p w14:paraId="6448A44A">
            <w:pPr>
              <w:adjustRightInd w:val="0"/>
              <w:snapToGrid w:val="0"/>
              <w:spacing w:line="300" w:lineRule="exact"/>
              <w:jc w:val="center"/>
              <w:rPr>
                <w:rFonts w:hint="default" w:ascii="宋体" w:hAnsi="宋体" w:eastAsia="宋体" w:cs="宋体"/>
                <w:i w:val="0"/>
                <w:iCs w:val="0"/>
                <w:snapToGrid w:val="0"/>
                <w:color w:val="000000"/>
                <w:kern w:val="0"/>
                <w:sz w:val="22"/>
                <w:szCs w:val="22"/>
                <w:highlight w:val="none"/>
                <w:u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9.5034</w:t>
            </w:r>
          </w:p>
        </w:tc>
      </w:tr>
    </w:tbl>
    <w:p w14:paraId="2DBB7AF4">
      <w:pPr>
        <w:pStyle w:val="216"/>
        <w:spacing w:line="360" w:lineRule="auto"/>
        <w:jc w:val="center"/>
        <w:rPr>
          <w:rFonts w:hint="eastAsia" w:ascii="Times New Roman" w:hAnsi="Times New Roman" w:cs="Times New Roman" w:eastAsiaTheme="minorEastAsia"/>
          <w:snapToGrid w:val="0"/>
          <w:color w:val="auto"/>
          <w:highlight w:val="none"/>
          <w:lang w:eastAsia="zh-CN"/>
        </w:rPr>
      </w:pPr>
      <w:r>
        <w:rPr>
          <w:rFonts w:hint="eastAsia" w:ascii="Times New Roman" w:hAnsi="Times New Roman" w:cs="Times New Roman" w:eastAsiaTheme="minorEastAsia"/>
          <w:snapToGrid w:val="0"/>
          <w:color w:val="auto"/>
          <w:highlight w:val="none"/>
          <w:lang w:eastAsia="zh-CN"/>
        </w:rPr>
        <w:drawing>
          <wp:inline distT="0" distB="0" distL="114300" distR="114300">
            <wp:extent cx="5406390" cy="2707640"/>
            <wp:effectExtent l="0" t="0" r="3810" b="0"/>
            <wp:docPr id="192"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ECB019B1-382A-4266-B25C-5B523AA43C14-2" descr="wps"/>
                    <pic:cNvPicPr>
                      <a:picLocks noChangeAspect="1"/>
                    </pic:cNvPicPr>
                  </pic:nvPicPr>
                  <pic:blipFill>
                    <a:blip r:embed="rId51"/>
                    <a:stretch>
                      <a:fillRect/>
                    </a:stretch>
                  </pic:blipFill>
                  <pic:spPr>
                    <a:xfrm>
                      <a:off x="0" y="0"/>
                      <a:ext cx="5406390" cy="2707640"/>
                    </a:xfrm>
                    <a:prstGeom prst="rect">
                      <a:avLst/>
                    </a:prstGeom>
                  </pic:spPr>
                </pic:pic>
              </a:graphicData>
            </a:graphic>
          </wp:inline>
        </w:drawing>
      </w:r>
    </w:p>
    <w:p w14:paraId="381FF231">
      <w:pPr>
        <w:widowControl w:val="0"/>
        <w:adjustRightInd/>
        <w:snapToGrid/>
        <w:ind w:firstLine="0" w:firstLineChars="0"/>
        <w:jc w:val="center"/>
        <w:rPr>
          <w:rFonts w:hint="eastAsia" w:ascii="Times New Roman" w:hAnsi="Times New Roman" w:cs="Times New Roman" w:eastAsiaTheme="minorEastAsia"/>
          <w:snapToGrid w:val="0"/>
          <w:color w:val="auto"/>
          <w:highlight w:val="none"/>
          <w:lang w:eastAsia="zh-CN"/>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现有工程项目</w:t>
      </w:r>
      <w:r>
        <w:rPr>
          <w:rFonts w:hint="default" w:ascii="Times New Roman" w:hAnsi="Times New Roman" w:eastAsia="黑体" w:cs="Times New Roman"/>
          <w:b w:val="0"/>
          <w:bCs/>
          <w:smallCaps w:val="0"/>
          <w:snapToGrid/>
          <w:kern w:val="2"/>
          <w:sz w:val="21"/>
          <w:szCs w:val="24"/>
          <w:highlight w:val="none"/>
          <w:lang w:val="zh-CN" w:eastAsia="zh-CN" w:bidi="ar-SA"/>
        </w:rPr>
        <w:t>水平衡图单位：t/d</w:t>
      </w:r>
    </w:p>
    <w:p w14:paraId="79ECB0CA">
      <w:pPr>
        <w:pStyle w:val="216"/>
        <w:spacing w:line="360" w:lineRule="auto"/>
        <w:jc w:val="center"/>
        <w:rPr>
          <w:rFonts w:hint="eastAsia" w:ascii="Times New Roman" w:hAnsi="Times New Roman" w:cs="Times New Roman" w:eastAsiaTheme="minorEastAsia"/>
          <w:snapToGrid w:val="0"/>
          <w:color w:val="auto"/>
          <w:highlight w:val="none"/>
          <w:lang w:eastAsia="zh-CN"/>
        </w:rPr>
      </w:pPr>
      <w:r>
        <w:rPr>
          <w:rFonts w:hint="default" w:ascii="Times New Roman" w:hAnsi="Times New Roman" w:eastAsia="黑体" w:cs="Times New Roman"/>
          <w:b w:val="0"/>
          <w:bCs/>
          <w:smallCaps w:val="0"/>
          <w:snapToGrid/>
          <w:kern w:val="2"/>
          <w:sz w:val="21"/>
          <w:szCs w:val="24"/>
          <w:highlight w:val="none"/>
          <w:lang w:val="zh-CN" w:eastAsia="zh-CN" w:bidi="ar-SA"/>
        </w:rPr>
        <w:drawing>
          <wp:inline distT="0" distB="0" distL="114300" distR="114300">
            <wp:extent cx="5331460" cy="2856865"/>
            <wp:effectExtent l="0" t="0" r="0" b="0"/>
            <wp:docPr id="229" name="ECB019B1-382A-4266-B25C-5B523AA43C14-3" descr="C:/Users/Administrator/AppData/Local/Temp/wps.HSTPvV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ECB019B1-382A-4266-B25C-5B523AA43C14-3" descr="C:/Users/Administrator/AppData/Local/Temp/wps.HSTPvVwps"/>
                    <pic:cNvPicPr>
                      <a:picLocks noChangeAspect="1"/>
                    </pic:cNvPicPr>
                  </pic:nvPicPr>
                  <pic:blipFill>
                    <a:blip r:embed="rId52"/>
                    <a:stretch>
                      <a:fillRect/>
                    </a:stretch>
                  </pic:blipFill>
                  <pic:spPr>
                    <a:xfrm>
                      <a:off x="0" y="0"/>
                      <a:ext cx="5331460" cy="2856865"/>
                    </a:xfrm>
                    <a:prstGeom prst="rect">
                      <a:avLst/>
                    </a:prstGeom>
                  </pic:spPr>
                </pic:pic>
              </a:graphicData>
            </a:graphic>
          </wp:inline>
        </w:drawing>
      </w:r>
    </w:p>
    <w:p w14:paraId="07AC6076">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扩建后项目</w:t>
      </w:r>
      <w:r>
        <w:rPr>
          <w:rFonts w:hint="default" w:ascii="Times New Roman" w:hAnsi="Times New Roman" w:eastAsia="黑体" w:cs="Times New Roman"/>
          <w:b w:val="0"/>
          <w:bCs/>
          <w:smallCaps w:val="0"/>
          <w:snapToGrid/>
          <w:kern w:val="2"/>
          <w:sz w:val="21"/>
          <w:szCs w:val="24"/>
          <w:highlight w:val="none"/>
          <w:lang w:val="zh-CN" w:eastAsia="zh-CN" w:bidi="ar-SA"/>
        </w:rPr>
        <w:t>水平衡图</w:t>
      </w:r>
      <w:r>
        <w:rPr>
          <w:rFonts w:hint="eastAsia"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夏季</w:t>
      </w:r>
      <w:r>
        <w:rPr>
          <w:rFonts w:hint="eastAsia" w:ascii="Times New Roman" w:hAnsi="Times New Roman" w:eastAsia="黑体" w:cs="Times New Roman"/>
          <w:b w:val="0"/>
          <w:bCs/>
          <w:smallCaps w:val="0"/>
          <w:snapToGrid/>
          <w:kern w:val="2"/>
          <w:sz w:val="21"/>
          <w:szCs w:val="24"/>
          <w:highlight w:val="none"/>
          <w:lang w:val="zh-CN"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单位：t/d</w:t>
      </w:r>
    </w:p>
    <w:p w14:paraId="1B1C982A">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eastAsia" w:ascii="Times New Roman" w:hAnsi="Times New Roman" w:cs="Times New Roman" w:eastAsiaTheme="minorEastAsia"/>
          <w:snapToGrid w:val="0"/>
          <w:color w:val="auto"/>
          <w:highlight w:val="none"/>
          <w:lang w:eastAsia="zh-CN"/>
        </w:rPr>
        <w:drawing>
          <wp:inline distT="0" distB="0" distL="114300" distR="114300">
            <wp:extent cx="5590540" cy="2420620"/>
            <wp:effectExtent l="0" t="0" r="10160" b="0"/>
            <wp:docPr id="68" name="ECB019B1-382A-4266-B25C-5B523AA43C14-4" descr="C:/Users/Administrator/AppData/Local/Temp/wps.DvmxrN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CB019B1-382A-4266-B25C-5B523AA43C14-4" descr="C:/Users/Administrator/AppData/Local/Temp/wps.DvmxrNwps"/>
                    <pic:cNvPicPr>
                      <a:picLocks noChangeAspect="1"/>
                    </pic:cNvPicPr>
                  </pic:nvPicPr>
                  <pic:blipFill>
                    <a:blip r:embed="rId53"/>
                    <a:stretch>
                      <a:fillRect/>
                    </a:stretch>
                  </pic:blipFill>
                  <pic:spPr>
                    <a:xfrm>
                      <a:off x="0" y="0"/>
                      <a:ext cx="5590540" cy="2420620"/>
                    </a:xfrm>
                    <a:prstGeom prst="rect">
                      <a:avLst/>
                    </a:prstGeom>
                  </pic:spPr>
                </pic:pic>
              </a:graphicData>
            </a:graphic>
          </wp:inline>
        </w:drawing>
      </w:r>
    </w:p>
    <w:p w14:paraId="0DB2ED76">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扩建后项目</w:t>
      </w:r>
      <w:r>
        <w:rPr>
          <w:rFonts w:hint="default" w:ascii="Times New Roman" w:hAnsi="Times New Roman" w:eastAsia="黑体" w:cs="Times New Roman"/>
          <w:b w:val="0"/>
          <w:bCs/>
          <w:smallCaps w:val="0"/>
          <w:snapToGrid/>
          <w:kern w:val="2"/>
          <w:sz w:val="21"/>
          <w:szCs w:val="24"/>
          <w:highlight w:val="none"/>
          <w:lang w:val="zh-CN" w:eastAsia="zh-CN" w:bidi="ar-SA"/>
        </w:rPr>
        <w:t>水平衡图</w:t>
      </w:r>
      <w:r>
        <w:rPr>
          <w:rFonts w:hint="eastAsia"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冬季</w:t>
      </w:r>
      <w:r>
        <w:rPr>
          <w:rFonts w:hint="eastAsia" w:ascii="Times New Roman" w:hAnsi="Times New Roman" w:eastAsia="黑体" w:cs="Times New Roman"/>
          <w:b w:val="0"/>
          <w:bCs/>
          <w:smallCaps w:val="0"/>
          <w:snapToGrid/>
          <w:kern w:val="2"/>
          <w:sz w:val="21"/>
          <w:szCs w:val="24"/>
          <w:highlight w:val="none"/>
          <w:lang w:val="zh-CN"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单位：t/d</w:t>
      </w:r>
    </w:p>
    <w:p w14:paraId="742449A7">
      <w:pPr>
        <w:pStyle w:val="7"/>
        <w:bidi w:val="0"/>
        <w:rPr>
          <w:rFonts w:hint="default"/>
          <w:highlight w:val="none"/>
        </w:rPr>
      </w:pPr>
      <w:bookmarkStart w:id="397" w:name="_Toc29733"/>
      <w:bookmarkStart w:id="398" w:name="_Toc14382"/>
      <w:bookmarkStart w:id="399" w:name="_Toc8601"/>
      <w:bookmarkStart w:id="400" w:name="_Toc17778"/>
      <w:r>
        <w:rPr>
          <w:rFonts w:hint="default"/>
          <w:highlight w:val="none"/>
        </w:rPr>
        <w:t>3.</w:t>
      </w:r>
      <w:r>
        <w:rPr>
          <w:rFonts w:hint="eastAsia"/>
          <w:highlight w:val="none"/>
          <w:lang w:val="en-US" w:eastAsia="zh-CN"/>
        </w:rPr>
        <w:t>3</w:t>
      </w:r>
      <w:r>
        <w:rPr>
          <w:rFonts w:hint="default"/>
          <w:highlight w:val="none"/>
        </w:rPr>
        <w:t>.3供电工程</w:t>
      </w:r>
      <w:bookmarkEnd w:id="393"/>
      <w:bookmarkEnd w:id="394"/>
      <w:bookmarkEnd w:id="395"/>
      <w:bookmarkEnd w:id="396"/>
      <w:bookmarkEnd w:id="397"/>
      <w:bookmarkEnd w:id="398"/>
      <w:bookmarkEnd w:id="399"/>
      <w:bookmarkEnd w:id="400"/>
    </w:p>
    <w:p w14:paraId="0425E39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该养殖场用电由市政供给，由附近电网变压器接入，供电电源引入配电室，经变电后送各用电环节，保证照明和其它用电需求。</w:t>
      </w:r>
    </w:p>
    <w:p w14:paraId="264F8A81">
      <w:pPr>
        <w:pStyle w:val="7"/>
        <w:bidi w:val="0"/>
        <w:rPr>
          <w:rFonts w:hint="default"/>
          <w:highlight w:val="none"/>
        </w:rPr>
      </w:pPr>
      <w:bookmarkStart w:id="401" w:name="_Toc16557"/>
      <w:bookmarkStart w:id="402" w:name="_Toc15737"/>
      <w:bookmarkStart w:id="403" w:name="_Toc20869"/>
      <w:bookmarkStart w:id="404" w:name="_Toc25939"/>
      <w:r>
        <w:rPr>
          <w:rFonts w:hint="default"/>
          <w:highlight w:val="none"/>
        </w:rPr>
        <w:t>3.</w:t>
      </w:r>
      <w:r>
        <w:rPr>
          <w:rFonts w:hint="eastAsia"/>
          <w:highlight w:val="none"/>
          <w:lang w:val="en-US" w:eastAsia="zh-CN"/>
        </w:rPr>
        <w:t>3</w:t>
      </w:r>
      <w:r>
        <w:rPr>
          <w:rFonts w:hint="default"/>
          <w:highlight w:val="none"/>
        </w:rPr>
        <w:t>.4供热工程</w:t>
      </w:r>
      <w:bookmarkEnd w:id="401"/>
      <w:bookmarkEnd w:id="402"/>
      <w:bookmarkEnd w:id="403"/>
      <w:bookmarkEnd w:id="404"/>
    </w:p>
    <w:p w14:paraId="7C6E78E3">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1、</w:t>
      </w:r>
      <w:r>
        <w:rPr>
          <w:rFonts w:hint="default" w:ascii="Times New Roman" w:hAnsi="Times New Roman" w:eastAsia="宋体" w:cs="Times New Roman"/>
          <w:snapToGrid w:val="0"/>
          <w:color w:val="auto"/>
          <w:kern w:val="0"/>
          <w:sz w:val="24"/>
          <w:szCs w:val="24"/>
          <w:highlight w:val="none"/>
          <w:lang w:val="en-US" w:eastAsia="zh-CN" w:bidi="ar-SA"/>
        </w:rPr>
        <w:t>猪舍通风系统（无需锅炉供暖）</w:t>
      </w:r>
    </w:p>
    <w:p w14:paraId="611C1A9C">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漏缝板将猪舍分为两部分，漏缝板以上为猪生活区域，漏缝板以下设置深度为</w:t>
      </w:r>
      <w:r>
        <w:rPr>
          <w:rFonts w:hint="eastAsia" w:ascii="Times New Roman" w:hAnsi="Times New Roman" w:cs="Times New Roman"/>
          <w:snapToGrid w:val="0"/>
          <w:color w:val="auto"/>
          <w:kern w:val="0"/>
          <w:sz w:val="24"/>
          <w:szCs w:val="24"/>
          <w:highlight w:val="none"/>
          <w:lang w:val="en-US" w:eastAsia="zh-CN" w:bidi="ar-SA"/>
        </w:rPr>
        <w:t>1</w:t>
      </w:r>
      <w:r>
        <w:rPr>
          <w:rFonts w:hint="default" w:ascii="Times New Roman" w:hAnsi="Times New Roman" w:eastAsia="宋体" w:cs="Times New Roman"/>
          <w:snapToGrid w:val="0"/>
          <w:color w:val="auto"/>
          <w:kern w:val="0"/>
          <w:sz w:val="24"/>
          <w:szCs w:val="24"/>
          <w:highlight w:val="none"/>
          <w:lang w:val="en-US" w:eastAsia="zh-CN" w:bidi="ar-SA"/>
        </w:rPr>
        <w:t>米的</w:t>
      </w:r>
      <w:r>
        <w:rPr>
          <w:rFonts w:hint="eastAsia" w:ascii="Times New Roman" w:hAnsi="Times New Roman" w:cs="Times New Roman"/>
          <w:snapToGrid w:val="0"/>
          <w:color w:val="auto"/>
          <w:kern w:val="0"/>
          <w:sz w:val="24"/>
          <w:szCs w:val="24"/>
          <w:highlight w:val="none"/>
          <w:lang w:val="en-US" w:eastAsia="zh-CN" w:bidi="ar-SA"/>
        </w:rPr>
        <w:t>粪沟</w:t>
      </w:r>
      <w:r>
        <w:rPr>
          <w:rFonts w:hint="default" w:ascii="Times New Roman" w:hAnsi="Times New Roman" w:eastAsia="宋体" w:cs="Times New Roman"/>
          <w:snapToGrid w:val="0"/>
          <w:color w:val="auto"/>
          <w:kern w:val="0"/>
          <w:sz w:val="24"/>
          <w:szCs w:val="24"/>
          <w:highlight w:val="none"/>
          <w:lang w:val="en-US" w:eastAsia="zh-CN" w:bidi="ar-SA"/>
        </w:rPr>
        <w:t>，为保证猪舍冬季温度，猪舍墙体使用10cm厚挤塑式聚苯乙烯隔热保温板（以下简称“挤塑板”）进行保温、猪舍屋顶使用10cm厚聚氨酯板进行保温，这些材料具有高热阻、地线性、膨胀比低的特点，其结构的闭孔率达到了99%以上，形成真空层，能够有效地阻断猪舍与外界环境进行热交换，避免热量散失；同时每排猪舍外围设计5米宽散水并铺设5cm厚挤塑板，对猪舍周边5米范围内的土壤保温，有效地减少了通过猪舍周围土壤传导散失热量。</w:t>
      </w:r>
      <w:r>
        <w:rPr>
          <w:rFonts w:hint="eastAsia" w:ascii="Times New Roman" w:hAnsi="Times New Roman" w:cs="Times New Roman"/>
          <w:snapToGrid w:val="0"/>
          <w:color w:val="auto"/>
          <w:kern w:val="0"/>
          <w:sz w:val="24"/>
          <w:szCs w:val="24"/>
          <w:highlight w:val="none"/>
          <w:lang w:val="en-US" w:eastAsia="zh-CN" w:bidi="ar-SA"/>
        </w:rPr>
        <w:t>同时安装电暖气进行电采暖。</w:t>
      </w:r>
    </w:p>
    <w:p w14:paraId="11D8EA00">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2、办公生活采暖</w:t>
      </w:r>
    </w:p>
    <w:p w14:paraId="3D569488">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项目办公区采暖采用电</w:t>
      </w:r>
      <w:r>
        <w:rPr>
          <w:rFonts w:hint="eastAsia" w:ascii="Times New Roman" w:hAnsi="Times New Roman" w:cs="Times New Roman"/>
          <w:snapToGrid w:val="0"/>
          <w:color w:val="auto"/>
          <w:kern w:val="0"/>
          <w:sz w:val="24"/>
          <w:szCs w:val="24"/>
          <w:highlight w:val="none"/>
          <w:lang w:val="en-US" w:eastAsia="zh-CN" w:bidi="ar-SA"/>
        </w:rPr>
        <w:t>暖气</w:t>
      </w:r>
      <w:r>
        <w:rPr>
          <w:rFonts w:hint="default" w:ascii="Times New Roman" w:hAnsi="Times New Roman" w:eastAsia="宋体" w:cs="Times New Roman"/>
          <w:snapToGrid w:val="0"/>
          <w:color w:val="auto"/>
          <w:kern w:val="0"/>
          <w:sz w:val="24"/>
          <w:szCs w:val="24"/>
          <w:highlight w:val="none"/>
          <w:lang w:val="en-US" w:eastAsia="zh-CN" w:bidi="ar-SA"/>
        </w:rPr>
        <w:t>取暖。</w:t>
      </w:r>
    </w:p>
    <w:p w14:paraId="0F6CFAF5">
      <w:pPr>
        <w:pStyle w:val="7"/>
        <w:bidi w:val="0"/>
        <w:rPr>
          <w:rFonts w:hint="default"/>
          <w:highlight w:val="none"/>
        </w:rPr>
      </w:pPr>
      <w:bookmarkStart w:id="405" w:name="_Toc1152"/>
      <w:bookmarkStart w:id="406" w:name="_Toc31569"/>
      <w:bookmarkStart w:id="407" w:name="_Toc32344"/>
      <w:bookmarkStart w:id="408" w:name="_Toc30735"/>
      <w:r>
        <w:rPr>
          <w:rFonts w:hint="default"/>
          <w:highlight w:val="none"/>
        </w:rPr>
        <w:t>3.</w:t>
      </w:r>
      <w:r>
        <w:rPr>
          <w:rFonts w:hint="eastAsia"/>
          <w:highlight w:val="none"/>
          <w:lang w:val="en-US" w:eastAsia="zh-CN"/>
        </w:rPr>
        <w:t>3</w:t>
      </w:r>
      <w:r>
        <w:rPr>
          <w:rFonts w:hint="default"/>
          <w:highlight w:val="none"/>
        </w:rPr>
        <w:t>.5通风工程</w:t>
      </w:r>
      <w:bookmarkEnd w:id="405"/>
      <w:bookmarkEnd w:id="406"/>
      <w:bookmarkEnd w:id="407"/>
      <w:bookmarkEnd w:id="408"/>
    </w:p>
    <w:p w14:paraId="75B67DF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为保持舍内空气新鲜和适宜的温度，本项目猪舍内采用负压通风系统通风，猪舍夏季采用对流式纵向负压通风系统，冬季采用预热式除湿通风系统。</w:t>
      </w:r>
    </w:p>
    <w:p w14:paraId="0260E5DB">
      <w:pPr>
        <w:pStyle w:val="7"/>
        <w:bidi w:val="0"/>
        <w:rPr>
          <w:rFonts w:hint="default"/>
          <w:highlight w:val="none"/>
        </w:rPr>
      </w:pPr>
      <w:bookmarkStart w:id="409" w:name="_Toc13841"/>
      <w:bookmarkStart w:id="410" w:name="_Toc21891"/>
      <w:bookmarkStart w:id="411" w:name="_Toc12032"/>
      <w:bookmarkStart w:id="412" w:name="_Toc5352"/>
      <w:r>
        <w:rPr>
          <w:rFonts w:hint="default"/>
          <w:highlight w:val="none"/>
        </w:rPr>
        <w:t>3.</w:t>
      </w:r>
      <w:r>
        <w:rPr>
          <w:rFonts w:hint="eastAsia"/>
          <w:highlight w:val="none"/>
          <w:lang w:val="en-US" w:eastAsia="zh-CN"/>
        </w:rPr>
        <w:t>3</w:t>
      </w:r>
      <w:r>
        <w:rPr>
          <w:rFonts w:hint="default"/>
          <w:highlight w:val="none"/>
        </w:rPr>
        <w:t>.6消防</w:t>
      </w:r>
      <w:bookmarkEnd w:id="409"/>
      <w:bookmarkEnd w:id="410"/>
      <w:bookmarkEnd w:id="411"/>
      <w:bookmarkEnd w:id="412"/>
    </w:p>
    <w:p w14:paraId="6FCC6EC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项目区内的道路及猪舍等各类建筑物的间距建设设计，均按照国家消防规定要求建设。在给水设计中，充分考虑消防用水，各类设施内设置足够数量消防水箱等消防设施。各猪舍设置灭火器，以备防火之用。</w:t>
      </w:r>
    </w:p>
    <w:p w14:paraId="1A66666C">
      <w:pPr>
        <w:pStyle w:val="5"/>
        <w:bidi w:val="0"/>
        <w:rPr>
          <w:rFonts w:hint="eastAsia"/>
          <w:highlight w:val="none"/>
          <w:lang w:eastAsia="zh-CN"/>
        </w:rPr>
      </w:pPr>
      <w:bookmarkStart w:id="413" w:name="_Toc29530"/>
      <w:bookmarkStart w:id="414" w:name="_Toc6698"/>
      <w:bookmarkStart w:id="415" w:name="_Toc26536"/>
      <w:bookmarkStart w:id="416" w:name="_Toc18931"/>
      <w:bookmarkStart w:id="417" w:name="_Toc7311"/>
      <w:r>
        <w:rPr>
          <w:rFonts w:hint="default"/>
          <w:highlight w:val="none"/>
        </w:rPr>
        <w:t>3.</w:t>
      </w:r>
      <w:r>
        <w:rPr>
          <w:rFonts w:hint="eastAsia"/>
          <w:highlight w:val="none"/>
          <w:lang w:val="en-US" w:eastAsia="zh-CN"/>
        </w:rPr>
        <w:t>4</w:t>
      </w:r>
      <w:r>
        <w:rPr>
          <w:rFonts w:hint="default"/>
          <w:highlight w:val="none"/>
        </w:rPr>
        <w:t>项目生产工艺及产污环节</w:t>
      </w:r>
      <w:bookmarkEnd w:id="413"/>
      <w:bookmarkEnd w:id="414"/>
      <w:bookmarkEnd w:id="415"/>
      <w:bookmarkEnd w:id="416"/>
      <w:bookmarkEnd w:id="417"/>
    </w:p>
    <w:p w14:paraId="17368F7E">
      <w:pPr>
        <w:pStyle w:val="7"/>
        <w:bidi w:val="0"/>
        <w:rPr>
          <w:rFonts w:hint="default"/>
          <w:highlight w:val="none"/>
        </w:rPr>
      </w:pPr>
      <w:bookmarkStart w:id="418" w:name="_Toc7732"/>
      <w:bookmarkStart w:id="419" w:name="_Toc509323513"/>
      <w:bookmarkStart w:id="420" w:name="_Toc9077"/>
      <w:bookmarkStart w:id="421" w:name="_Toc29630"/>
      <w:bookmarkStart w:id="422" w:name="_Toc20925"/>
      <w:r>
        <w:rPr>
          <w:rFonts w:hint="default"/>
          <w:highlight w:val="none"/>
        </w:rPr>
        <w:t>3.</w:t>
      </w:r>
      <w:r>
        <w:rPr>
          <w:rFonts w:hint="eastAsia"/>
          <w:highlight w:val="none"/>
          <w:lang w:val="en-US" w:eastAsia="zh-CN"/>
        </w:rPr>
        <w:t>4</w:t>
      </w:r>
      <w:r>
        <w:rPr>
          <w:rFonts w:hint="default"/>
          <w:highlight w:val="none"/>
        </w:rPr>
        <w:t>.1生产流程及产污环节</w:t>
      </w:r>
      <w:bookmarkEnd w:id="418"/>
      <w:bookmarkEnd w:id="419"/>
      <w:bookmarkEnd w:id="420"/>
      <w:bookmarkEnd w:id="421"/>
      <w:bookmarkEnd w:id="422"/>
    </w:p>
    <w:p w14:paraId="49B78C7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采用全进全出工厂化养猪饲养工艺进行养殖，猪群的配种怀孕、分娩、保育将使用工程流水线，生产周期以周为节拍进行全进全出的转栏饲养。养殖工艺共分为三个阶段：配种妊娠阶段、产仔哺乳阶段、断奶仔猪培育阶段，各阶段的主要工作如下：</w:t>
      </w:r>
    </w:p>
    <w:p w14:paraId="06E3480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（1）配种妊娠阶段</w:t>
      </w:r>
    </w:p>
    <w:p w14:paraId="634745C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在此阶段母猪要</w:t>
      </w:r>
      <w:r>
        <w:rPr>
          <w:rFonts w:hint="eastAsia" w:ascii="Times New Roman" w:hAnsi="Times New Roman" w:cs="Times New Roman"/>
          <w:snapToGrid w:val="0"/>
          <w:color w:val="auto"/>
          <w:highlight w:val="none"/>
          <w:lang w:val="en-US" w:eastAsia="zh-CN"/>
        </w:rPr>
        <w:t>在配种舍</w:t>
      </w:r>
      <w:r>
        <w:rPr>
          <w:rFonts w:hint="default" w:ascii="Times New Roman" w:hAnsi="Times New Roman" w:eastAsia="宋体" w:cs="Times New Roman"/>
          <w:snapToGrid w:val="0"/>
          <w:color w:val="auto"/>
          <w:highlight w:val="none"/>
        </w:rPr>
        <w:t>完成配种并度过妊娠期。单栏饲养待配母猪，配种期约需4周。空怀母猪在一周左右时间完成配种，没有配准的猪转入下批继续参加配种。妊娠期14周，母猪产前提前一周进入</w:t>
      </w:r>
      <w:r>
        <w:rPr>
          <w:rFonts w:hint="default" w:ascii="Times New Roman" w:hAnsi="Times New Roman" w:eastAsia="宋体" w:cs="Times New Roman"/>
          <w:snapToGrid w:val="0"/>
          <w:color w:val="auto"/>
          <w:highlight w:val="none"/>
          <w:lang w:val="en-US"/>
        </w:rPr>
        <w:t>分娩舍</w:t>
      </w:r>
      <w:r>
        <w:rPr>
          <w:rFonts w:hint="default" w:ascii="Times New Roman" w:hAnsi="Times New Roman" w:eastAsia="宋体" w:cs="Times New Roman"/>
          <w:snapToGrid w:val="0"/>
          <w:color w:val="auto"/>
          <w:highlight w:val="none"/>
        </w:rPr>
        <w:t>。</w:t>
      </w:r>
    </w:p>
    <w:p w14:paraId="4C80956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（2）产仔哺乳阶段</w:t>
      </w:r>
    </w:p>
    <w:p w14:paraId="5630EA5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同一周配种的母猪，要按预产期最早的母猪，提前一周同批进入</w:t>
      </w:r>
      <w:r>
        <w:rPr>
          <w:rFonts w:hint="default" w:ascii="Times New Roman" w:hAnsi="Times New Roman" w:eastAsia="宋体" w:cs="Times New Roman"/>
          <w:snapToGrid w:val="0"/>
          <w:color w:val="auto"/>
          <w:highlight w:val="none"/>
          <w:lang w:val="en-US"/>
        </w:rPr>
        <w:t>分娩舍</w:t>
      </w:r>
      <w:r>
        <w:rPr>
          <w:rFonts w:hint="default" w:ascii="Times New Roman" w:hAnsi="Times New Roman" w:eastAsia="宋体" w:cs="Times New Roman"/>
          <w:snapToGrid w:val="0"/>
          <w:color w:val="auto"/>
          <w:highlight w:val="none"/>
        </w:rPr>
        <w:t>，在此阶段要完成分娩和对仔猪的哺育，约5周，断奶后仔猪转入下一阶段饲养，母猪回到</w:t>
      </w:r>
      <w:r>
        <w:rPr>
          <w:rFonts w:hint="eastAsia" w:ascii="Times New Roman" w:hAnsi="Times New Roman" w:cs="Times New Roman"/>
          <w:snapToGrid w:val="0"/>
          <w:color w:val="auto"/>
          <w:highlight w:val="none"/>
          <w:lang w:eastAsia="zh-CN"/>
        </w:rPr>
        <w:t>后备舍</w:t>
      </w:r>
      <w:r>
        <w:rPr>
          <w:rFonts w:hint="default" w:ascii="Times New Roman" w:hAnsi="Times New Roman" w:eastAsia="宋体" w:cs="Times New Roman"/>
          <w:snapToGrid w:val="0"/>
          <w:color w:val="auto"/>
          <w:highlight w:val="none"/>
        </w:rPr>
        <w:t>参加下一个繁殖周期的配种。</w:t>
      </w:r>
    </w:p>
    <w:p w14:paraId="5A4B77C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（3）断奶仔猪培育阶段</w:t>
      </w:r>
    </w:p>
    <w:p w14:paraId="42A2C67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仔猪断奶后，同批转入</w:t>
      </w:r>
      <w:r>
        <w:rPr>
          <w:rFonts w:hint="eastAsia" w:ascii="Times New Roman" w:hAnsi="Times New Roman" w:cs="Times New Roman"/>
          <w:color w:val="auto"/>
          <w:highlight w:val="none"/>
          <w:lang w:val="en-US" w:eastAsia="zh-CN"/>
        </w:rPr>
        <w:t>保育</w:t>
      </w:r>
      <w:r>
        <w:rPr>
          <w:rFonts w:hint="default" w:ascii="Times New Roman" w:hAnsi="Times New Roman" w:eastAsia="宋体" w:cs="Times New Roman"/>
          <w:color w:val="auto"/>
          <w:highlight w:val="none"/>
        </w:rPr>
        <w:t>舍，在</w:t>
      </w:r>
      <w:r>
        <w:rPr>
          <w:rFonts w:hint="eastAsia" w:ascii="Times New Roman" w:hAnsi="Times New Roman" w:cs="Times New Roman"/>
          <w:color w:val="auto"/>
          <w:highlight w:val="none"/>
          <w:lang w:eastAsia="zh-CN"/>
        </w:rPr>
        <w:t>保育舍</w:t>
      </w:r>
      <w:r>
        <w:rPr>
          <w:rFonts w:hint="default" w:ascii="Times New Roman" w:hAnsi="Times New Roman" w:eastAsia="宋体" w:cs="Times New Roman"/>
          <w:color w:val="auto"/>
          <w:highlight w:val="none"/>
        </w:rPr>
        <w:t>饲养</w:t>
      </w:r>
      <w:r>
        <w:rPr>
          <w:rFonts w:hint="eastAsia"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rPr>
        <w:t>周左右，这时幼猪已对外界环境条件有了相当的适应能力，仔猪作为</w:t>
      </w:r>
      <w:r>
        <w:rPr>
          <w:rFonts w:hint="eastAsia" w:ascii="Times New Roman" w:hAnsi="Times New Roman" w:cs="Times New Roman"/>
          <w:color w:val="auto"/>
          <w:highlight w:val="none"/>
          <w:lang w:val="en-US" w:eastAsia="zh-CN"/>
        </w:rPr>
        <w:t>商品猪</w:t>
      </w:r>
      <w:r>
        <w:rPr>
          <w:rFonts w:hint="default" w:ascii="Times New Roman" w:hAnsi="Times New Roman" w:eastAsia="宋体" w:cs="Times New Roman"/>
          <w:color w:val="auto"/>
          <w:highlight w:val="none"/>
        </w:rPr>
        <w:t>外售。</w:t>
      </w:r>
    </w:p>
    <w:p w14:paraId="00F5F44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为了保持良好的环境，减少疾病发生，减轻清洁工作量，猪舍配有使用方便的</w:t>
      </w:r>
      <w:r>
        <w:rPr>
          <w:rFonts w:hint="eastAsia" w:ascii="Times New Roman" w:hAnsi="Times New Roman" w:cs="Times New Roman"/>
          <w:snapToGrid w:val="0"/>
          <w:color w:val="auto"/>
          <w:highlight w:val="none"/>
          <w:lang w:eastAsia="zh-CN"/>
        </w:rPr>
        <w:t>尿泡粪—干清粪</w:t>
      </w:r>
      <w:r>
        <w:rPr>
          <w:rFonts w:hint="default" w:ascii="Times New Roman" w:hAnsi="Times New Roman" w:eastAsia="宋体" w:cs="Times New Roman"/>
          <w:snapToGrid w:val="0"/>
          <w:color w:val="auto"/>
          <w:highlight w:val="none"/>
        </w:rPr>
        <w:t>系统，因而产生的</w:t>
      </w:r>
      <w:r>
        <w:rPr>
          <w:rFonts w:hint="eastAsia" w:ascii="Times New Roman" w:hAnsi="Times New Roman" w:cs="Times New Roman"/>
          <w:snapToGrid w:val="0"/>
          <w:color w:val="auto"/>
          <w:highlight w:val="none"/>
          <w:lang w:val="en-US" w:eastAsia="zh-CN"/>
        </w:rPr>
        <w:t>干粪量</w:t>
      </w:r>
      <w:r>
        <w:rPr>
          <w:rFonts w:hint="default" w:ascii="Times New Roman" w:hAnsi="Times New Roman" w:eastAsia="宋体" w:cs="Times New Roman"/>
          <w:snapToGrid w:val="0"/>
          <w:color w:val="auto"/>
          <w:highlight w:val="none"/>
        </w:rPr>
        <w:t>将减少。</w:t>
      </w:r>
      <w:r>
        <w:rPr>
          <w:rFonts w:hint="eastAsia" w:ascii="Times New Roman" w:hAnsi="Times New Roman" w:cs="Times New Roman"/>
          <w:snapToGrid w:val="0"/>
          <w:color w:val="auto"/>
          <w:highlight w:val="none"/>
          <w:lang w:eastAsia="zh-CN"/>
        </w:rPr>
        <w:t>尿泡粪—干清粪</w:t>
      </w:r>
      <w:r>
        <w:rPr>
          <w:rFonts w:hint="default" w:ascii="Times New Roman" w:hAnsi="Times New Roman" w:eastAsia="宋体" w:cs="Times New Roman"/>
          <w:snapToGrid w:val="0"/>
          <w:color w:val="auto"/>
          <w:highlight w:val="none"/>
        </w:rPr>
        <w:t>技术已成为畜牧场废弃物管理的重要措施之一。项目生产工艺流程示意图见图3</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-1，根据粪污处理工艺见图3</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-2。</w:t>
      </w:r>
    </w:p>
    <w:p w14:paraId="34C22BA1">
      <w:pPr>
        <w:keepNext w:val="0"/>
        <w:keepLines w:val="0"/>
        <w:pageBreakBefore w:val="0"/>
        <w:widowControl/>
        <w:kinsoku/>
        <w:wordWrap/>
        <w:overflowPunct/>
        <w:topLinePunct w:val="0"/>
        <w:autoSpaceDE/>
        <w:autoSpaceDN/>
        <w:bidi w:val="0"/>
        <w:adjustRightInd/>
        <w:snapToGrid/>
        <w:ind w:left="-240" w:leftChars="-100"/>
        <w:textAlignment w:val="auto"/>
        <w:rPr>
          <w:rFonts w:hint="eastAsia" w:eastAsia="宋体"/>
          <w:highlight w:val="none"/>
          <w:lang w:eastAsia="zh-CN"/>
        </w:rPr>
      </w:pPr>
      <w:r>
        <w:rPr>
          <w:rFonts w:hint="eastAsia" w:eastAsia="宋体"/>
          <w:highlight w:val="none"/>
          <w:lang w:eastAsia="zh-CN"/>
        </w:rPr>
        <w:drawing>
          <wp:inline distT="0" distB="0" distL="114300" distR="114300">
            <wp:extent cx="5536565" cy="2472690"/>
            <wp:effectExtent l="0" t="0" r="6985" b="0"/>
            <wp:docPr id="65" name="ECB019B1-382A-4266-B25C-5B523AA43C14-5" descr="C:/Users/Administrator/AppData/Local/Temp/wps.kowGSM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CB019B1-382A-4266-B25C-5B523AA43C14-5" descr="C:/Users/Administrator/AppData/Local/Temp/wps.kowGSMwps"/>
                    <pic:cNvPicPr>
                      <a:picLocks noChangeAspect="1"/>
                    </pic:cNvPicPr>
                  </pic:nvPicPr>
                  <pic:blipFill>
                    <a:blip r:embed="rId54"/>
                    <a:stretch>
                      <a:fillRect/>
                    </a:stretch>
                  </pic:blipFill>
                  <pic:spPr>
                    <a:xfrm>
                      <a:off x="0" y="0"/>
                      <a:ext cx="5536565" cy="2472690"/>
                    </a:xfrm>
                    <a:prstGeom prst="rect">
                      <a:avLst/>
                    </a:prstGeom>
                  </pic:spPr>
                </pic:pic>
              </a:graphicData>
            </a:graphic>
          </wp:inline>
        </w:drawing>
      </w:r>
    </w:p>
    <w:p w14:paraId="428DF3B5">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项目生产过程及产污环节示意图</w:t>
      </w:r>
    </w:p>
    <w:p w14:paraId="3F82E494">
      <w:pPr>
        <w:pStyle w:val="7"/>
        <w:bidi w:val="0"/>
        <w:rPr>
          <w:rFonts w:hint="default"/>
          <w:highlight w:val="none"/>
        </w:rPr>
      </w:pPr>
      <w:r>
        <w:rPr>
          <w:rFonts w:hint="default"/>
          <w:highlight w:val="none"/>
        </w:rPr>
        <w:t>3.</w:t>
      </w:r>
      <w:r>
        <w:rPr>
          <w:rFonts w:hint="eastAsia"/>
          <w:highlight w:val="none"/>
          <w:lang w:val="en-US" w:eastAsia="zh-CN"/>
        </w:rPr>
        <w:t>4</w:t>
      </w:r>
      <w:r>
        <w:rPr>
          <w:rFonts w:hint="default"/>
          <w:highlight w:val="none"/>
        </w:rPr>
        <w:t>.2不同猪群的饲养流程</w:t>
      </w:r>
    </w:p>
    <w:p w14:paraId="62BF88C8">
      <w:pPr>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cs="Times New Roman"/>
          <w:highlight w:val="none"/>
        </w:rPr>
      </w:pPr>
      <w:r>
        <w:rPr>
          <w:rFonts w:hint="default" w:ascii="Times New Roman" w:hAnsi="Times New Roman" w:eastAsia="宋体" w:cs="Times New Roman"/>
          <w:color w:val="auto"/>
          <w:sz w:val="24"/>
          <w:highlight w:val="none"/>
        </w:rPr>
        <w:t>饲养过程中要科学合理地使用饲料原料，既要保证饲粮营养全面、平衡、满足猪的营养需要，又要力求降低饲粮成本。不使用被污染的、霉变的饲料原料</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highlight w:val="none"/>
          <w:lang w:val="en-US" w:eastAsia="zh-CN"/>
        </w:rPr>
        <w:t>本项目扩建后年存栏8000头</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母猪950头，公猪50头，哺乳仔猪1700头，保育仔猪3300头，后备猪2000头，年出栏商品猪（仔猪）16000头。</w:t>
      </w:r>
    </w:p>
    <w:p w14:paraId="20AE6AA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（一）母猪</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highlight w:val="none"/>
          <w:lang w:val="en-US" w:eastAsia="zh-CN"/>
        </w:rPr>
        <w:t>公猪</w:t>
      </w:r>
      <w:r>
        <w:rPr>
          <w:rFonts w:hint="default" w:ascii="Times New Roman" w:hAnsi="Times New Roman" w:eastAsia="宋体" w:cs="Times New Roman"/>
          <w:color w:val="auto"/>
          <w:sz w:val="24"/>
          <w:highlight w:val="none"/>
        </w:rPr>
        <w:t>的饲养管理，母猪</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公猪</w:t>
      </w:r>
      <w:r>
        <w:rPr>
          <w:rFonts w:hint="default" w:ascii="Times New Roman" w:hAnsi="Times New Roman" w:eastAsia="宋体" w:cs="Times New Roman"/>
          <w:color w:val="auto"/>
          <w:sz w:val="24"/>
          <w:highlight w:val="none"/>
        </w:rPr>
        <w:t>预期配种前2周应增加约30％的饲喂量，实行催情补饲。母猪</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highlight w:val="none"/>
          <w:lang w:val="en-US" w:eastAsia="zh-CN"/>
        </w:rPr>
        <w:t>公猪</w:t>
      </w:r>
      <w:r>
        <w:rPr>
          <w:rFonts w:hint="default" w:ascii="Times New Roman" w:hAnsi="Times New Roman" w:eastAsia="宋体" w:cs="Times New Roman"/>
          <w:color w:val="auto"/>
          <w:sz w:val="24"/>
          <w:highlight w:val="none"/>
        </w:rPr>
        <w:t>多为群养，每群以4～6头为宜。母猪</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highlight w:val="none"/>
          <w:lang w:val="en-US" w:eastAsia="zh-CN"/>
        </w:rPr>
        <w:t>公猪</w:t>
      </w:r>
      <w:r>
        <w:rPr>
          <w:rFonts w:hint="default" w:ascii="Times New Roman" w:hAnsi="Times New Roman" w:eastAsia="宋体" w:cs="Times New Roman"/>
          <w:color w:val="auto"/>
          <w:sz w:val="24"/>
          <w:highlight w:val="none"/>
        </w:rPr>
        <w:t>达6月龄后，应利用转圈、公猪诱情等办法，促进母猪的发情，并仔细观察、准确记录初次发情的时间、表现。</w:t>
      </w:r>
    </w:p>
    <w:p w14:paraId="4CD27EB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二）后经产待配母猪的饲养管理，经产母猪在断乳应适当增加饲喂量，以达到催情补饲的目的。待配母猪可单栏饲养，断奶3d后，每天用试情公猪与待配母猪隔栏接触2次，每次15～20分钟，促进母猪的发情和排卵。经产母猪一般集中在断奶后的4～7d发情，应做好发情鉴定并适时输精配种。</w:t>
      </w:r>
    </w:p>
    <w:p w14:paraId="298B1A2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（三）妊娠母猪的饲养管理，严格控制妊娠初期（配种～妊娠28d）的饲喂量，以减少胚胎的早期死亡。初产母猪继续饲喂育成阶段的饲粮。</w:t>
      </w:r>
    </w:p>
    <w:p w14:paraId="1263851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1.妊娠中期（妊娠29～84d）的日饲喂量为2.5kg左右，可根据母猪的体况、体重适当调整饲喂量，体况差的增加饲喂量，过肥的母猪减少饲喂量。此阶段结束后应力求使母猪达到适宜的繁殖体况。</w:t>
      </w:r>
    </w:p>
    <w:p w14:paraId="317E07D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2.妊娠后期（妊娠85～111d）应增加饲喂量，以满足快速增长的胎儿和母猪体增重对养分的需要。建议此阶段的日饲喂量应增加至2.8～3.2kg。</w:t>
      </w:r>
    </w:p>
    <w:p w14:paraId="4EA8783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3.分娩前期（妊娠112d～分娩）逐渐减少饲喂量，有利于分娩。分娩前2～3d开始逐渐降低饲喂量，分娩当天至少应饲喂1.8 kg饲粮，否则易使母猪患胃溃疡和便秘。严禁对妊娠母猪呵斥、鞭打、强度驱赶、跨沟等。</w:t>
      </w:r>
    </w:p>
    <w:p w14:paraId="79FB733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分娩，在母猪临产前可用0.1％的高锰酸钾水溶液擦洗外阴部及乳区进行消毒处理。仔猪产出后应先用毛巾擦去口鼻中的黏液，然后再擦干全身，在仔猪脐带停止波动以后，将脐带中的血反复向仔猪的腹部方向挤压，在距仔猪腹部3～5c</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rPr>
        <w:t>处用手指把脐带捻转至断或用剪刀剪断，断处用5％碘酒溶液涂抹消毒，然后将仔猪放入安全、保温的地方，如保温箱。对假死仔猪进行及时的救助。可用一只手倒提仔猪的两条后腿，用另一只手拍打仔猪的背部和肋部，或两只手分别托住仔猪的头颈和臀部，使腹部朝上，进行屈伸做人工呼吸。仔猪产出后应尽快吃到初乳、剪掉犬齿、断尾。同时进行编号、称重并登记分娩哺育记录等工作。</w:t>
      </w:r>
    </w:p>
    <w:p w14:paraId="238D389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（四）哺乳</w:t>
      </w:r>
      <w:r>
        <w:rPr>
          <w:rFonts w:hint="eastAsia" w:ascii="Times New Roman" w:hAnsi="Times New Roman" w:eastAsia="宋体" w:cs="Times New Roman"/>
          <w:color w:val="auto"/>
          <w:sz w:val="24"/>
          <w:highlight w:val="none"/>
          <w:lang w:val="en-US" w:eastAsia="zh-CN"/>
        </w:rPr>
        <w:t>母</w:t>
      </w:r>
      <w:r>
        <w:rPr>
          <w:rFonts w:hint="default" w:ascii="Times New Roman" w:hAnsi="Times New Roman" w:eastAsia="宋体" w:cs="Times New Roman"/>
          <w:color w:val="auto"/>
          <w:sz w:val="24"/>
          <w:highlight w:val="none"/>
        </w:rPr>
        <w:t>猪的饲养管理，应在预产期前5～7d将母猪转入经过彻底清洗、消毒、干燥的分娩舍，并要求分娩舍温度和湿度适宜、空气清新、安静。母猪转入前要进行淋浴，至少要对猪体进行清洗。泌乳初期（产后第1周）应逐渐增加饲喂量，每天增加饲喂量0.5～1.0kg。泌乳旺期（产后7d～断奶）应自由采食并</w:t>
      </w:r>
      <w:r>
        <w:rPr>
          <w:rFonts w:hint="default" w:ascii="Times New Roman" w:hAnsi="Times New Roman" w:eastAsia="宋体" w:cs="Times New Roman"/>
          <w:color w:val="auto"/>
          <w:sz w:val="24"/>
          <w:highlight w:val="none"/>
          <w:lang w:eastAsia="zh-CN"/>
        </w:rPr>
        <w:t>最大限度地提高</w:t>
      </w:r>
      <w:r>
        <w:rPr>
          <w:rFonts w:hint="default" w:ascii="Times New Roman" w:hAnsi="Times New Roman" w:eastAsia="宋体" w:cs="Times New Roman"/>
          <w:color w:val="auto"/>
          <w:sz w:val="24"/>
          <w:highlight w:val="none"/>
        </w:rPr>
        <w:t>母猪的采食量，以提高母猪的泌乳量。哺乳母猪应日喂4～6次，并尽量使各次饲喂间隔均匀。</w:t>
      </w:r>
    </w:p>
    <w:p w14:paraId="6DFEC1E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五）哺乳仔猪的饲养管理，应保证仔猪吃足初乳，仔猪哺乳前应挤掉几滴乳汁。应采用人工辅助的方法，在仔猪生后2～3d内固定乳头吸乳。固定乳头的原则是将弱小的仔猪固定在前边的几对乳头，将初生重较大的仔猪固定在后面的几对乳头。通过设置保温箱等措施为仔猪提供适宜的温度。仔猪最适宜的环境温度为：0～3日龄为30～32℃，3～7日龄为28～30℃，以后每周约降1℃直至25℃。</w:t>
      </w:r>
    </w:p>
    <w:p w14:paraId="72ED3B3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应在仔猪生后3～4d、通过肌肉注射的方式补铁150～200</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rPr>
        <w:t>g。在缺硒地区，应在仔猪生后3～5d肌肉注射0.1％亚硒酸钠维生素E溶液0.5</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rPr>
        <w:t>L，14～21d时再注射1</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rPr>
        <w:t>L。从生后3d起为仔猪提供清洁的饮水。补水的最好方式是设置自动饮水碗，且应注意水压适宜；也可用水槽补水，但应保持水槽卫生，冬季应供给温水。应在仔猪生后7d左右开始训练仔猪吃料，以刺激仔猪消化道的发育。教槽料（开食料）应营养丰富、适口性好、容易消化。要保证仔猪在28日龄断奶前至少吃入500g教槽料。作为育肥猪的小猪在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15日龄后送去育肥场进行保育。</w:t>
      </w:r>
    </w:p>
    <w:p w14:paraId="23EAA50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（六）保育仔猪饲养管理</w:t>
      </w:r>
    </w:p>
    <w:p w14:paraId="433D52AB">
      <w:pPr>
        <w:spacing w:line="360" w:lineRule="auto"/>
        <w:ind w:firstLine="480" w:firstLineChars="200"/>
        <w:rPr>
          <w:rFonts w:hint="default"/>
          <w:highlight w:val="none"/>
          <w:lang w:val="zh-CN" w:eastAsia="zh-CN"/>
        </w:rPr>
      </w:pPr>
      <w:r>
        <w:rPr>
          <w:rFonts w:hint="default" w:ascii="Times New Roman" w:hAnsi="Times New Roman" w:eastAsia="宋体" w:cs="Times New Roman"/>
          <w:color w:val="auto"/>
          <w:sz w:val="24"/>
          <w:highlight w:val="none"/>
        </w:rPr>
        <w:t>保育仔猪的饲养管理，应在仔猪转入前对</w:t>
      </w:r>
      <w:r>
        <w:rPr>
          <w:rFonts w:hint="default" w:ascii="Times New Roman" w:hAnsi="Times New Roman" w:eastAsia="宋体" w:cs="Times New Roman"/>
          <w:color w:val="auto"/>
          <w:sz w:val="24"/>
          <w:highlight w:val="none"/>
          <w:lang w:eastAsia="zh-CN"/>
        </w:rPr>
        <w:t>保育育肥一体</w:t>
      </w:r>
      <w:r>
        <w:rPr>
          <w:rFonts w:hint="default" w:ascii="Times New Roman" w:hAnsi="Times New Roman" w:eastAsia="宋体" w:cs="Times New Roman"/>
          <w:color w:val="auto"/>
          <w:sz w:val="24"/>
          <w:highlight w:val="none"/>
        </w:rPr>
        <w:t>舍及饲养用具等进行彻底的清洗、消毒、干燥。仔猪断乳后应继续饲喂槽料1～2周，以避免换料应激，并设法提高仔猪的采食量。断乳1～2周后逐渐过渡到饲喂保育仔猪料，自由采食。要</w:t>
      </w:r>
      <w:r>
        <w:rPr>
          <w:rFonts w:hint="default" w:ascii="Times New Roman" w:hAnsi="Times New Roman" w:eastAsia="宋体" w:cs="Times New Roman"/>
          <w:color w:val="auto"/>
          <w:sz w:val="24"/>
          <w:highlight w:val="none"/>
          <w:lang w:eastAsia="zh-CN"/>
        </w:rPr>
        <w:t>保障供给</w:t>
      </w:r>
      <w:r>
        <w:rPr>
          <w:rFonts w:hint="default" w:ascii="Times New Roman" w:hAnsi="Times New Roman" w:eastAsia="宋体" w:cs="Times New Roman"/>
          <w:color w:val="auto"/>
          <w:sz w:val="24"/>
          <w:highlight w:val="none"/>
        </w:rPr>
        <w:t>充足的清洁饮水。要保证保育仔猪舍温度和湿度适宜，控制刚转入仔猪的保育舍温度为25～27℃，以后每周降低1℃，保证保育舍清洁、空气清新。</w:t>
      </w:r>
    </w:p>
    <w:p w14:paraId="1CE804F5">
      <w:pPr>
        <w:pStyle w:val="7"/>
        <w:bidi w:val="0"/>
        <w:rPr>
          <w:rFonts w:hint="default"/>
          <w:highlight w:val="none"/>
        </w:rPr>
      </w:pPr>
      <w:bookmarkStart w:id="423" w:name="_Toc5335"/>
      <w:bookmarkStart w:id="424" w:name="_Toc1042"/>
      <w:bookmarkStart w:id="425" w:name="_Toc5966"/>
      <w:bookmarkStart w:id="426" w:name="_Toc7770"/>
      <w:r>
        <w:rPr>
          <w:rFonts w:hint="default"/>
          <w:highlight w:val="none"/>
        </w:rPr>
        <w:t>3.</w:t>
      </w:r>
      <w:r>
        <w:rPr>
          <w:rFonts w:hint="eastAsia"/>
          <w:highlight w:val="none"/>
          <w:lang w:val="en-US" w:eastAsia="zh-CN"/>
        </w:rPr>
        <w:t>4</w:t>
      </w:r>
      <w:r>
        <w:rPr>
          <w:rFonts w:hint="default"/>
          <w:highlight w:val="none"/>
        </w:rPr>
        <w:t>.</w:t>
      </w:r>
      <w:r>
        <w:rPr>
          <w:rFonts w:hint="eastAsia"/>
          <w:highlight w:val="none"/>
          <w:lang w:val="en-US" w:eastAsia="zh-CN"/>
        </w:rPr>
        <w:t>3</w:t>
      </w:r>
      <w:r>
        <w:rPr>
          <w:rFonts w:hint="default"/>
          <w:highlight w:val="none"/>
        </w:rPr>
        <w:t>清粪工艺</w:t>
      </w:r>
      <w:bookmarkEnd w:id="423"/>
      <w:bookmarkEnd w:id="424"/>
      <w:bookmarkEnd w:id="425"/>
      <w:bookmarkEnd w:id="426"/>
    </w:p>
    <w:p w14:paraId="0201D1C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本项目清粪方式采用</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工艺。</w:t>
      </w:r>
    </w:p>
    <w:p w14:paraId="0DA7B368">
      <w:pPr>
        <w:pStyle w:val="7"/>
        <w:bidi w:val="0"/>
        <w:rPr>
          <w:rFonts w:hint="default"/>
          <w:highlight w:val="none"/>
        </w:rPr>
      </w:pPr>
      <w:bookmarkStart w:id="427" w:name="_Toc19231"/>
      <w:bookmarkStart w:id="428" w:name="_Toc28334"/>
      <w:bookmarkStart w:id="429" w:name="_Toc23984"/>
      <w:bookmarkStart w:id="430" w:name="_Toc21918"/>
      <w:r>
        <w:rPr>
          <w:rFonts w:hint="default"/>
          <w:highlight w:val="none"/>
        </w:rPr>
        <w:t>3.</w:t>
      </w:r>
      <w:r>
        <w:rPr>
          <w:rFonts w:hint="eastAsia"/>
          <w:highlight w:val="none"/>
          <w:lang w:val="en-US" w:eastAsia="zh-CN"/>
        </w:rPr>
        <w:t>4</w:t>
      </w:r>
      <w:r>
        <w:rPr>
          <w:rFonts w:hint="default"/>
          <w:highlight w:val="none"/>
        </w:rPr>
        <w:t>.</w:t>
      </w:r>
      <w:r>
        <w:rPr>
          <w:rFonts w:hint="eastAsia"/>
          <w:highlight w:val="none"/>
          <w:lang w:val="en-US" w:eastAsia="zh-CN"/>
        </w:rPr>
        <w:t>4</w:t>
      </w:r>
      <w:r>
        <w:rPr>
          <w:rFonts w:hint="default"/>
          <w:highlight w:val="none"/>
        </w:rPr>
        <w:t>粪污处理工程</w:t>
      </w:r>
      <w:bookmarkEnd w:id="427"/>
      <w:bookmarkEnd w:id="428"/>
      <w:bookmarkEnd w:id="429"/>
      <w:bookmarkEnd w:id="430"/>
    </w:p>
    <w:p w14:paraId="2182399C">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color w:val="auto"/>
          <w:highlight w:val="none"/>
        </w:rPr>
        <w:t>本项目养殖周期猪舍产生粪污采用</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方式进行清粪，</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施肥季节用于配套消纳地进行施肥，非施肥季节储存于</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color w:val="auto"/>
          <w:highlight w:val="none"/>
        </w:rPr>
        <w:t>内；固液分离出来的液体进入黑膜厌氧池中发酵，发酵成的沼液于</w:t>
      </w:r>
      <w:r>
        <w:rPr>
          <w:rFonts w:hint="default" w:ascii="Times New Roman" w:hAnsi="Times New Roman" w:eastAsia="宋体" w:cs="Times New Roman"/>
          <w:color w:val="auto"/>
          <w:highlight w:val="none"/>
          <w:lang w:val="en-US" w:eastAsia="zh-CN"/>
        </w:rPr>
        <w:t>沼液贮存池</w:t>
      </w:r>
      <w:r>
        <w:rPr>
          <w:rFonts w:hint="default" w:ascii="Times New Roman" w:hAnsi="Times New Roman" w:eastAsia="宋体" w:cs="Times New Roman"/>
          <w:color w:val="auto"/>
          <w:highlight w:val="none"/>
        </w:rPr>
        <w:t>中储存，施肥季节用于配套用于周围土地消纳，非施肥季节储存于</w:t>
      </w:r>
      <w:r>
        <w:rPr>
          <w:rFonts w:hint="eastAsia" w:ascii="Times New Roman" w:hAnsi="Times New Roman" w:cs="Times New Roman"/>
          <w:color w:val="auto"/>
          <w:highlight w:val="none"/>
          <w:lang w:val="en-US" w:eastAsia="zh-CN"/>
        </w:rPr>
        <w:t>沼液贮存池</w:t>
      </w:r>
      <w:r>
        <w:rPr>
          <w:rFonts w:hint="default" w:ascii="Times New Roman" w:hAnsi="Times New Roman" w:eastAsia="宋体" w:cs="Times New Roman"/>
          <w:color w:val="auto"/>
          <w:highlight w:val="none"/>
        </w:rPr>
        <w:t>中储存。</w:t>
      </w:r>
      <w:r>
        <w:rPr>
          <w:rFonts w:hint="eastAsia" w:ascii="Times New Roman" w:hAnsi="Times New Roman" w:cs="Times New Roman"/>
          <w:color w:val="auto"/>
          <w:highlight w:val="none"/>
          <w:lang w:eastAsia="zh-CN"/>
        </w:rPr>
        <w:t>其中产生的沼气经过脱水脱硫后经沼气燃烧系统进行燃烧后产生废气通过10m高排气筒排放，沼渣用于堆肥。</w:t>
      </w:r>
      <w:r>
        <w:rPr>
          <w:rFonts w:hint="default" w:ascii="Times New Roman" w:hAnsi="Times New Roman" w:eastAsia="宋体" w:cs="Times New Roman"/>
          <w:color w:val="auto"/>
          <w:highlight w:val="none"/>
        </w:rPr>
        <w:t>圈舍冲洗仅在转栏时进行，废水产生量较少；粪污在存栏周期内在圈舍内储存不外排，舍内恶臭气体浓度明显较低；同时粪污离开圈舍即进行干湿分离，废水经厌氧发酵处理后做农肥施用于农田，固形物则经过堆肥发酵作为固体</w:t>
      </w:r>
      <w:r>
        <w:rPr>
          <w:rFonts w:hint="eastAsia" w:ascii="Times New Roman" w:hAnsi="Times New Roman" w:cs="Times New Roman"/>
          <w:color w:val="auto"/>
          <w:highlight w:val="none"/>
          <w:lang w:eastAsia="zh-CN"/>
        </w:rPr>
        <w:t>粪污</w:t>
      </w:r>
      <w:r>
        <w:rPr>
          <w:rFonts w:hint="default" w:ascii="Times New Roman" w:hAnsi="Times New Roman" w:eastAsia="宋体" w:cs="Times New Roman"/>
          <w:color w:val="auto"/>
          <w:highlight w:val="none"/>
        </w:rPr>
        <w:t>，实现了粪污的资源化利用。</w:t>
      </w:r>
    </w:p>
    <w:p w14:paraId="334DE7B6">
      <w:pPr>
        <w:pStyle w:val="216"/>
        <w:rPr>
          <w:rFonts w:hint="eastAsia"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drawing>
          <wp:inline distT="0" distB="0" distL="114300" distR="114300">
            <wp:extent cx="5067300" cy="2428875"/>
            <wp:effectExtent l="0" t="0" r="0" b="0"/>
            <wp:docPr id="67" name="ECB019B1-382A-4266-B25C-5B523AA43C14-6" descr="C:/Users/Administrator/AppData/Local/Temp/wps.RWFbuD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CB019B1-382A-4266-B25C-5B523AA43C14-6" descr="C:/Users/Administrator/AppData/Local/Temp/wps.RWFbuDwps"/>
                    <pic:cNvPicPr>
                      <a:picLocks noChangeAspect="1"/>
                    </pic:cNvPicPr>
                  </pic:nvPicPr>
                  <pic:blipFill>
                    <a:blip r:embed="rId55"/>
                    <a:stretch>
                      <a:fillRect/>
                    </a:stretch>
                  </pic:blipFill>
                  <pic:spPr>
                    <a:xfrm>
                      <a:off x="0" y="0"/>
                      <a:ext cx="5067300" cy="2428875"/>
                    </a:xfrm>
                    <a:prstGeom prst="rect">
                      <a:avLst/>
                    </a:prstGeom>
                  </pic:spPr>
                </pic:pic>
              </a:graphicData>
            </a:graphic>
          </wp:inline>
        </w:drawing>
      </w:r>
    </w:p>
    <w:p w14:paraId="2E2ABBFC">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-2粪污处理工艺流程</w:t>
      </w:r>
    </w:p>
    <w:p w14:paraId="457CBF9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本项目采用的</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工艺已在</w:t>
      </w:r>
      <w:r>
        <w:rPr>
          <w:rFonts w:hint="eastAsia" w:ascii="Times New Roman" w:hAnsi="Times New Roman" w:cs="Times New Roman"/>
          <w:color w:val="auto"/>
          <w:highlight w:val="none"/>
          <w:lang w:val="en-US" w:eastAsia="zh-CN"/>
        </w:rPr>
        <w:t>本</w:t>
      </w:r>
      <w:r>
        <w:rPr>
          <w:rFonts w:hint="default" w:ascii="Times New Roman" w:hAnsi="Times New Roman" w:eastAsia="宋体" w:cs="Times New Roman"/>
          <w:color w:val="auto"/>
          <w:highlight w:val="none"/>
        </w:rPr>
        <w:t>养殖场得到广泛应用。根据环境保护部办公厅《关于牧原</w:t>
      </w:r>
      <w:r>
        <w:rPr>
          <w:rFonts w:hint="default" w:ascii="Times New Roman" w:hAnsi="Times New Roman" w:eastAsia="宋体" w:cs="Times New Roman"/>
          <w:color w:val="auto"/>
          <w:highlight w:val="none"/>
          <w:lang w:eastAsia="zh-CN"/>
        </w:rPr>
        <w:t>食品</w:t>
      </w:r>
      <w:r>
        <w:rPr>
          <w:rFonts w:hint="default" w:ascii="Times New Roman" w:hAnsi="Times New Roman" w:eastAsia="宋体" w:cs="Times New Roman"/>
          <w:color w:val="auto"/>
          <w:highlight w:val="none"/>
        </w:rPr>
        <w:t>有限公司部分养殖场清粪工艺问题的复函》（环办函</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425号）明确指出：依据《畜禽规模养殖污染防治条例》（国务院令第643号）、《</w:t>
      </w:r>
      <w:r>
        <w:rPr>
          <w:rFonts w:hint="default" w:ascii="Times New Roman" w:hAnsi="Times New Roman" w:eastAsia="宋体" w:cs="Times New Roman"/>
          <w:color w:val="auto"/>
          <w:highlight w:val="none"/>
          <w:lang w:eastAsia="zh-CN"/>
        </w:rPr>
        <w:t>畜禽养殖业污染治理工程技术规范</w:t>
      </w:r>
      <w:r>
        <w:rPr>
          <w:rFonts w:hint="default" w:ascii="Times New Roman" w:hAnsi="Times New Roman" w:eastAsia="宋体" w:cs="Times New Roman"/>
          <w:color w:val="auto"/>
          <w:highlight w:val="none"/>
        </w:rPr>
        <w:t>》（HJ497-2009）、《畜禽粪便无害化处理技术规范》（NY/T1168-2006）、《</w:t>
      </w:r>
      <w:r>
        <w:rPr>
          <w:rFonts w:hint="default" w:ascii="Times New Roman" w:hAnsi="Times New Roman" w:eastAsia="宋体" w:cs="Times New Roman"/>
          <w:color w:val="auto"/>
          <w:highlight w:val="none"/>
          <w:lang w:eastAsia="zh-CN"/>
        </w:rPr>
        <w:t>畜禽养殖业污染防治技术规范</w:t>
      </w:r>
      <w:r>
        <w:rPr>
          <w:rFonts w:hint="default" w:ascii="Times New Roman" w:hAnsi="Times New Roman" w:eastAsia="宋体" w:cs="Times New Roman"/>
          <w:color w:val="auto"/>
          <w:highlight w:val="none"/>
        </w:rPr>
        <w:t>》（HJ/T81-2001）等法规、标准，结合现场考察情况，我部认为，你厅《请示》中所描述牧原</w:t>
      </w:r>
      <w:r>
        <w:rPr>
          <w:rFonts w:hint="default" w:ascii="Times New Roman" w:hAnsi="Times New Roman" w:eastAsia="宋体" w:cs="Times New Roman"/>
          <w:color w:val="auto"/>
          <w:highlight w:val="none"/>
          <w:lang w:eastAsia="zh-CN"/>
        </w:rPr>
        <w:t>食品</w:t>
      </w:r>
      <w:r>
        <w:rPr>
          <w:rFonts w:hint="default" w:ascii="Times New Roman" w:hAnsi="Times New Roman" w:eastAsia="宋体" w:cs="Times New Roman"/>
          <w:color w:val="auto"/>
          <w:highlight w:val="none"/>
        </w:rPr>
        <w:t>有限公司部分养殖场所采用的清粪工艺不将清水用于圈舍粪尿日常清理，粪尿产生即依靠重力离开猪舍进入储存池，大大减少了粪污产生量并实现粪尿及时清理；粪污离开储存池即进行干湿分离和无害化并全部实现综合利用，没有混合排出。据此，我部认为，该清粪工艺具备干清粪工艺基本特征，符合相关技术规范的要求。该复函截图见</w:t>
      </w:r>
      <w:r>
        <w:rPr>
          <w:rFonts w:hint="default" w:ascii="Times New Roman" w:hAnsi="Times New Roman" w:eastAsia="宋体" w:cs="Times New Roman"/>
          <w:color w:val="auto"/>
          <w:highlight w:val="none"/>
          <w:lang w:eastAsia="zh-CN"/>
        </w:rPr>
        <w:t>3.5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14:paraId="090EBA00">
      <w:pPr>
        <w:spacing w:line="360" w:lineRule="auto"/>
        <w:jc w:val="center"/>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drawing>
          <wp:inline distT="0" distB="0" distL="114300" distR="114300">
            <wp:extent cx="5161915" cy="4090035"/>
            <wp:effectExtent l="0" t="0" r="635" b="5715"/>
            <wp:docPr id="220" name="图片 7" descr="关于牧原食品股份有限公司部分养殖场清粪工艺问题的复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 descr="关于牧原食品股份有限公司部分养殖场清粪工艺问题的复函"/>
                    <pic:cNvPicPr>
                      <a:picLocks noChangeAspect="1"/>
                    </pic:cNvPicPr>
                  </pic:nvPicPr>
                  <pic:blipFill>
                    <a:blip r:embed="rId56"/>
                    <a:srcRect l="23109" t="2266" r="24794" b="26752"/>
                    <a:stretch>
                      <a:fillRect/>
                    </a:stretch>
                  </pic:blipFill>
                  <pic:spPr>
                    <a:xfrm>
                      <a:off x="0" y="0"/>
                      <a:ext cx="5161915" cy="4090035"/>
                    </a:xfrm>
                    <a:prstGeom prst="rect">
                      <a:avLst/>
                    </a:prstGeom>
                    <a:noFill/>
                    <a:ln>
                      <a:noFill/>
                    </a:ln>
                  </pic:spPr>
                </pic:pic>
              </a:graphicData>
            </a:graphic>
          </wp:inline>
        </w:drawing>
      </w:r>
    </w:p>
    <w:p w14:paraId="4095C562">
      <w:pPr>
        <w:widowControl w:val="0"/>
        <w:adjustRightInd/>
        <w:snapToGrid/>
        <w:ind w:firstLine="0" w:firstLineChars="0"/>
        <w:jc w:val="center"/>
        <w:rPr>
          <w:rFonts w:hint="default" w:ascii="Times New Roman" w:hAnsi="Times New Roman" w:eastAsia="宋体" w:cs="Times New Roman"/>
          <w:b/>
          <w:bCs/>
          <w:color w:val="auto"/>
          <w:sz w:val="24"/>
          <w:szCs w:val="32"/>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default"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 xml:space="preserve">  关于牧原农牧食品股份有限公司部分养殖场清粪工艺问题的复函截图</w:t>
      </w:r>
    </w:p>
    <w:p w14:paraId="5230BC0D">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本项目干清粪工艺具有以下特点：</w:t>
      </w:r>
    </w:p>
    <w:p w14:paraId="5D7DD885">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①</w:t>
      </w:r>
      <w:r>
        <w:rPr>
          <w:rFonts w:hint="eastAsia" w:ascii="Times New Roman" w:hAnsi="Times New Roman" w:cs="Times New Roman"/>
          <w:color w:val="auto"/>
          <w:sz w:val="24"/>
          <w:szCs w:val="32"/>
          <w:highlight w:val="none"/>
          <w:lang w:val="en-US" w:eastAsia="zh-CN"/>
        </w:rPr>
        <w:t>猪舍</w:t>
      </w:r>
      <w:r>
        <w:rPr>
          <w:rFonts w:hint="default" w:ascii="Times New Roman" w:hAnsi="Times New Roman" w:eastAsia="宋体" w:cs="Times New Roman"/>
          <w:color w:val="auto"/>
          <w:sz w:val="24"/>
          <w:szCs w:val="32"/>
          <w:highlight w:val="none"/>
        </w:rPr>
        <w:t>不注入清水，也不将清水用于圈舍粪尿日常清理，仅在转栏时用高压水枪进行冲洗，大大减少了粪污产生量。</w:t>
      </w:r>
    </w:p>
    <w:p w14:paraId="7FF966B4">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②</w:t>
      </w:r>
      <w:r>
        <w:rPr>
          <w:rFonts w:hint="default" w:ascii="Times New Roman" w:hAnsi="Times New Roman" w:eastAsia="宋体" w:cs="Times New Roman"/>
          <w:color w:val="auto"/>
          <w:sz w:val="24"/>
          <w:szCs w:val="32"/>
          <w:highlight w:val="none"/>
          <w:lang w:val="en-US" w:eastAsia="zh-CN"/>
        </w:rPr>
        <w:t>猪舍</w:t>
      </w:r>
      <w:r>
        <w:rPr>
          <w:rFonts w:hint="default" w:ascii="Times New Roman" w:hAnsi="Times New Roman" w:eastAsia="宋体" w:cs="Times New Roman"/>
          <w:color w:val="auto"/>
          <w:sz w:val="24"/>
          <w:szCs w:val="32"/>
          <w:highlight w:val="none"/>
        </w:rPr>
        <w:t>内粪尿产生即依靠重力经漏缝地板离开猪舍进入猪舍下部</w:t>
      </w:r>
      <w:r>
        <w:rPr>
          <w:rFonts w:hint="eastAsia" w:ascii="Times New Roman" w:hAnsi="Times New Roman" w:cs="Times New Roman"/>
          <w:color w:val="auto"/>
          <w:sz w:val="24"/>
          <w:szCs w:val="32"/>
          <w:highlight w:val="none"/>
          <w:lang w:eastAsia="zh-CN"/>
        </w:rPr>
        <w:t>粪沟</w:t>
      </w:r>
      <w:r>
        <w:rPr>
          <w:rFonts w:hint="default" w:ascii="Times New Roman" w:hAnsi="Times New Roman" w:eastAsia="宋体" w:cs="Times New Roman"/>
          <w:color w:val="auto"/>
          <w:sz w:val="24"/>
          <w:szCs w:val="32"/>
          <w:highlight w:val="none"/>
        </w:rPr>
        <w:t>，</w:t>
      </w:r>
      <w:r>
        <w:rPr>
          <w:rFonts w:hint="eastAsia" w:ascii="Times New Roman" w:hAnsi="Times New Roman" w:cs="Times New Roman"/>
          <w:color w:val="auto"/>
          <w:sz w:val="24"/>
          <w:szCs w:val="32"/>
          <w:highlight w:val="none"/>
          <w:lang w:eastAsia="zh-CN"/>
        </w:rPr>
        <w:t>粪沟</w:t>
      </w:r>
      <w:r>
        <w:rPr>
          <w:rFonts w:hint="default" w:ascii="Times New Roman" w:hAnsi="Times New Roman" w:eastAsia="宋体" w:cs="Times New Roman"/>
          <w:color w:val="auto"/>
          <w:sz w:val="24"/>
          <w:szCs w:val="32"/>
          <w:highlight w:val="none"/>
        </w:rPr>
        <w:t>达到一定液位后及时清理，由人工打开排污塞，粪污水排入粪污处理系统处理。</w:t>
      </w:r>
    </w:p>
    <w:p w14:paraId="5D96135D">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③粪污水离开</w:t>
      </w:r>
      <w:r>
        <w:rPr>
          <w:rFonts w:hint="eastAsia" w:ascii="Times New Roman" w:hAnsi="Times New Roman" w:cs="Times New Roman"/>
          <w:color w:val="auto"/>
          <w:sz w:val="24"/>
          <w:szCs w:val="32"/>
          <w:highlight w:val="none"/>
          <w:lang w:eastAsia="zh-CN"/>
        </w:rPr>
        <w:t>粪沟</w:t>
      </w:r>
      <w:r>
        <w:rPr>
          <w:rFonts w:hint="default" w:ascii="Times New Roman" w:hAnsi="Times New Roman" w:eastAsia="宋体" w:cs="Times New Roman"/>
          <w:color w:val="auto"/>
          <w:sz w:val="24"/>
          <w:szCs w:val="32"/>
          <w:highlight w:val="none"/>
        </w:rPr>
        <w:t>后即进行固液分离和无害化处理，经固液分离后固体粪渣及沼渣</w:t>
      </w:r>
      <w:r>
        <w:rPr>
          <w:rFonts w:hint="default" w:ascii="Times New Roman" w:hAnsi="Times New Roman" w:eastAsia="宋体" w:cs="Times New Roman"/>
          <w:color w:val="auto"/>
          <w:kern w:val="24"/>
          <w:sz w:val="24"/>
          <w:szCs w:val="32"/>
          <w:highlight w:val="none"/>
        </w:rPr>
        <w:t>发酵后外运</w:t>
      </w:r>
      <w:r>
        <w:rPr>
          <w:rFonts w:hint="default" w:ascii="Times New Roman" w:hAnsi="Times New Roman" w:eastAsia="宋体" w:cs="Times New Roman"/>
          <w:color w:val="auto"/>
          <w:sz w:val="24"/>
          <w:szCs w:val="24"/>
          <w:highlight w:val="none"/>
          <w:lang w:val="en-US" w:eastAsia="zh-CN"/>
        </w:rPr>
        <w:t>处理</w:t>
      </w:r>
      <w:r>
        <w:rPr>
          <w:rFonts w:hint="default" w:ascii="Times New Roman" w:hAnsi="Times New Roman" w:eastAsia="宋体" w:cs="Times New Roman"/>
          <w:color w:val="auto"/>
          <w:sz w:val="24"/>
          <w:szCs w:val="32"/>
          <w:highlight w:val="none"/>
        </w:rPr>
        <w:t>，废水经黑膜厌氧</w:t>
      </w:r>
      <w:r>
        <w:rPr>
          <w:rFonts w:hint="eastAsia" w:ascii="Times New Roman" w:hAnsi="Times New Roman" w:cs="Times New Roman"/>
          <w:color w:val="auto"/>
          <w:sz w:val="24"/>
          <w:szCs w:val="32"/>
          <w:highlight w:val="none"/>
          <w:lang w:val="en-US" w:eastAsia="zh-CN"/>
        </w:rPr>
        <w:t>池</w:t>
      </w:r>
      <w:r>
        <w:rPr>
          <w:rFonts w:hint="default" w:ascii="Times New Roman" w:hAnsi="Times New Roman" w:eastAsia="宋体" w:cs="Times New Roman"/>
          <w:color w:val="auto"/>
          <w:sz w:val="24"/>
          <w:szCs w:val="32"/>
          <w:highlight w:val="none"/>
        </w:rPr>
        <w:t>发酵后沼液</w:t>
      </w:r>
      <w:r>
        <w:rPr>
          <w:rFonts w:hint="default" w:ascii="Times New Roman" w:hAnsi="Times New Roman" w:eastAsia="宋体" w:cs="Times New Roman"/>
          <w:color w:val="auto"/>
          <w:kern w:val="24"/>
          <w:sz w:val="24"/>
          <w:szCs w:val="32"/>
          <w:highlight w:val="none"/>
        </w:rPr>
        <w:t>作为农肥施用于农田</w:t>
      </w:r>
      <w:r>
        <w:rPr>
          <w:rFonts w:hint="default" w:ascii="Times New Roman" w:hAnsi="Times New Roman" w:eastAsia="宋体" w:cs="Times New Roman"/>
          <w:color w:val="auto"/>
          <w:sz w:val="24"/>
          <w:szCs w:val="32"/>
          <w:highlight w:val="none"/>
        </w:rPr>
        <w:t>，可以实现粪污离开储存池即进行固液分离和无害化并全部实现综合利用，不混合排出。</w:t>
      </w:r>
    </w:p>
    <w:p w14:paraId="5DDBDC8F">
      <w:pPr>
        <w:pStyle w:val="94"/>
        <w:keepNext w:val="0"/>
        <w:keepLines w:val="0"/>
        <w:pageBreakBefore w:val="0"/>
        <w:widowControl/>
        <w:kinsoku/>
        <w:wordWrap/>
        <w:overflowPunct/>
        <w:topLinePunct w:val="0"/>
        <w:autoSpaceDE/>
        <w:autoSpaceDN/>
        <w:bidi w:val="0"/>
        <w:adjustRightInd/>
        <w:snapToGrid/>
        <w:ind w:firstLine="0" w:firstLineChars="0"/>
        <w:jc w:val="center"/>
        <w:textAlignment w:val="auto"/>
        <w:rPr>
          <w:highlight w:val="none"/>
        </w:rPr>
      </w:pPr>
      <w:r>
        <w:rPr>
          <w:highlight w:val="none"/>
        </w:rPr>
        <w:drawing>
          <wp:inline distT="0" distB="0" distL="114300" distR="114300">
            <wp:extent cx="4489450" cy="2411095"/>
            <wp:effectExtent l="0" t="0" r="6350" b="8255"/>
            <wp:docPr id="2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5"/>
                    <pic:cNvPicPr>
                      <a:picLocks noChangeAspect="1"/>
                    </pic:cNvPicPr>
                  </pic:nvPicPr>
                  <pic:blipFill>
                    <a:blip r:embed="rId57"/>
                    <a:stretch>
                      <a:fillRect/>
                    </a:stretch>
                  </pic:blipFill>
                  <pic:spPr>
                    <a:xfrm>
                      <a:off x="0" y="0"/>
                      <a:ext cx="4489450" cy="2411095"/>
                    </a:xfrm>
                    <a:prstGeom prst="rect">
                      <a:avLst/>
                    </a:prstGeom>
                    <a:noFill/>
                    <a:ln>
                      <a:noFill/>
                    </a:ln>
                  </pic:spPr>
                </pic:pic>
              </a:graphicData>
            </a:graphic>
          </wp:inline>
        </w:drawing>
      </w:r>
    </w:p>
    <w:p w14:paraId="1CB70FE5">
      <w:pPr>
        <w:pStyle w:val="9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 xml:space="preserve">  本项目清粪工艺示意图</w:t>
      </w:r>
    </w:p>
    <w:p w14:paraId="46EE8CD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采用</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工艺合理性分析：我国规模化养殖场目前主要清粪工艺有水冲粪、水泡粪、干清粪和微生态发酵床四种。</w:t>
      </w:r>
      <w:r>
        <w:rPr>
          <w:rFonts w:hint="eastAsia" w:ascii="Times New Roman" w:hAnsi="Times New Roman" w:cs="Times New Roman"/>
          <w:color w:val="auto"/>
          <w:highlight w:val="none"/>
          <w:lang w:eastAsia="zh-CN"/>
        </w:rPr>
        <w:t>干清粪</w:t>
      </w:r>
      <w:r>
        <w:rPr>
          <w:rFonts w:hint="default" w:ascii="Times New Roman" w:hAnsi="Times New Roman" w:eastAsia="宋体" w:cs="Times New Roman"/>
          <w:color w:val="auto"/>
          <w:highlight w:val="none"/>
        </w:rPr>
        <w:t>工艺是猪粪便粪尿污水混合后进入缝隙地板下的贮粪池，每天数次冲沟端的自翻水装置放水冲洗。干法清粪工艺是将猪粪及时、单独清出，尿及其冲洗水则从下水道流出，再分别进行处理。由于机械清粪噪声大，不利于猪的生长，因此目前一般多用人工清粪，人力消耗大。</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清粪工艺是在</w:t>
      </w:r>
      <w:r>
        <w:rPr>
          <w:rFonts w:hint="default" w:ascii="Times New Roman" w:hAnsi="Times New Roman" w:eastAsia="宋体" w:cs="Times New Roman"/>
          <w:color w:val="auto"/>
          <w:highlight w:val="none"/>
          <w:lang w:eastAsia="zh-CN"/>
        </w:rPr>
        <w:t>干清粪</w:t>
      </w:r>
      <w:r>
        <w:rPr>
          <w:rFonts w:hint="default" w:ascii="Times New Roman" w:hAnsi="Times New Roman" w:eastAsia="宋体" w:cs="Times New Roman"/>
          <w:color w:val="auto"/>
          <w:highlight w:val="none"/>
        </w:rPr>
        <w:t>工艺的基础上改造而来的。</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工艺相比水冲粪更省水、比干清粪更省人工。同时</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工艺的优点在于能定时、有效的清除畜舍内的粪便及尿液，减少粪污清理过程中的劳动投入，减少冲洗水量，提高养殖场的自动化管理水平。后续的粪污处理工艺通过设置固液分离，</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工艺重点在于后期污水处理，本项目通过设置</w:t>
      </w:r>
      <w:r>
        <w:rPr>
          <w:rFonts w:hint="default" w:ascii="Times New Roman" w:hAnsi="Times New Roman" w:eastAsia="宋体" w:cs="Times New Roman"/>
          <w:color w:val="auto"/>
          <w:highlight w:val="none"/>
          <w:lang w:eastAsia="zh-CN"/>
        </w:rPr>
        <w:t>黑膜厌氧池</w:t>
      </w:r>
      <w:r>
        <w:rPr>
          <w:rFonts w:hint="default" w:ascii="Times New Roman" w:hAnsi="Times New Roman" w:eastAsia="宋体" w:cs="Times New Roman"/>
          <w:color w:val="auto"/>
          <w:highlight w:val="none"/>
        </w:rPr>
        <w:t>处理后，用于农肥，生态环保。同时</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工艺技术简单，自动化程度高，不受气候变化影响。</w:t>
      </w:r>
    </w:p>
    <w:p w14:paraId="4509F58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与目前国内采用的集中常用的养殖模式对比，本项目所用模式具有以下优点：</w:t>
      </w:r>
    </w:p>
    <w:p w14:paraId="6FD2150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①项目养殖模式实现了干清粪，符合技术规范要求；</w:t>
      </w:r>
    </w:p>
    <w:p w14:paraId="1D6D62A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②项目养殖模式适合进行大规模集约化养殖；</w:t>
      </w:r>
    </w:p>
    <w:p w14:paraId="3117EE1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eastAsia="zh-CN"/>
        </w:rPr>
        <w:t>减小了劳动强度</w:t>
      </w:r>
      <w:r>
        <w:rPr>
          <w:rFonts w:hint="default" w:ascii="Times New Roman" w:hAnsi="Times New Roman" w:eastAsia="宋体" w:cs="Times New Roman"/>
          <w:color w:val="auto"/>
          <w:highlight w:val="none"/>
        </w:rPr>
        <w:t>和人力资源消耗；</w:t>
      </w:r>
    </w:p>
    <w:p w14:paraId="04A9746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④采用立体设计结构，生猪饲养、粪污清理和废水收集垂直进行，减少了占地面积。</w:t>
      </w:r>
    </w:p>
    <w:p w14:paraId="715CF8FD">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项目运营期采用新型</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工艺，沼液可用于土地施肥，猪舍贮粪池一般1个月处理一次，在降低猪舍冲洗水量的同时可节省人力。因此，本项目采用</w:t>
      </w:r>
      <w:r>
        <w:rPr>
          <w:rFonts w:hint="eastAsia" w:ascii="Times New Roman" w:hAnsi="Times New Roman" w:cs="Times New Roman"/>
          <w:color w:val="auto"/>
          <w:highlight w:val="none"/>
          <w:lang w:eastAsia="zh-CN"/>
        </w:rPr>
        <w:t>尿泡粪—干清粪</w:t>
      </w:r>
      <w:r>
        <w:rPr>
          <w:rFonts w:hint="default" w:ascii="Times New Roman" w:hAnsi="Times New Roman" w:eastAsia="宋体" w:cs="Times New Roman"/>
          <w:color w:val="auto"/>
          <w:highlight w:val="none"/>
        </w:rPr>
        <w:t>工艺是合理可行的</w:t>
      </w:r>
      <w:r>
        <w:rPr>
          <w:rFonts w:hint="eastAsia" w:ascii="Times New Roman" w:hAnsi="Times New Roman" w:cs="Times New Roman"/>
          <w:color w:val="auto"/>
          <w:highlight w:val="none"/>
          <w:lang w:eastAsia="zh-CN"/>
        </w:rPr>
        <w:t>。</w:t>
      </w:r>
    </w:p>
    <w:p w14:paraId="55A72E1D">
      <w:pPr>
        <w:pStyle w:val="94"/>
        <w:ind w:firstLine="480"/>
        <w:rPr>
          <w:rFonts w:hint="eastAsia"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rPr>
        <w:t>废水处理工艺可行性</w:t>
      </w:r>
      <w:r>
        <w:rPr>
          <w:rFonts w:hint="eastAsia" w:ascii="Times New Roman" w:hAnsi="Times New Roman" w:cs="Times New Roman"/>
          <w:b/>
          <w:bCs/>
          <w:color w:val="auto"/>
          <w:highlight w:val="none"/>
          <w:lang w:eastAsia="zh-CN"/>
        </w:rPr>
        <w:t>：</w:t>
      </w:r>
    </w:p>
    <w:p w14:paraId="021DA453">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的工作原理：</w:t>
      </w:r>
    </w:p>
    <w:p w14:paraId="7C64947B">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底部铺设HDPE防渗膜，顶部覆盖HDPE顶膜，形成密闭空间，进料口均匀设置排污管，使粪污进入</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内均匀铺设，同时内部设置排气管，将产生的沼气导出。</w:t>
      </w:r>
    </w:p>
    <w:p w14:paraId="78285779">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：本项目粪便通过地下管网靠重力作用输送泵入</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，经厌氧发酵去除大部分有机物（pH为6~9，温度为18~25℃），污水出沼气池后，沼液排入沼液贮存池储存，在施肥季节根据农作物需求液态施肥，沼渣运至场内</w:t>
      </w:r>
      <w:r>
        <w:rPr>
          <w:rFonts w:hint="eastAsia" w:ascii="Times New Roman" w:hAnsi="Times New Roman" w:eastAsia="宋体" w:cs="Times New Roman"/>
          <w:color w:val="auto"/>
          <w:kern w:val="0"/>
          <w:sz w:val="24"/>
          <w:szCs w:val="24"/>
          <w:highlight w:val="none"/>
          <w:lang w:val="en-US" w:eastAsia="zh-CN" w:bidi="ar-SA"/>
        </w:rPr>
        <w:t>干粪堆积场</w:t>
      </w:r>
      <w:r>
        <w:rPr>
          <w:rFonts w:hint="default" w:ascii="Times New Roman" w:hAnsi="Times New Roman" w:eastAsia="宋体" w:cs="Times New Roman"/>
          <w:color w:val="auto"/>
          <w:kern w:val="0"/>
          <w:sz w:val="24"/>
          <w:szCs w:val="24"/>
          <w:highlight w:val="none"/>
          <w:lang w:val="en-US" w:eastAsia="zh-CN" w:bidi="ar-SA"/>
        </w:rPr>
        <w:t>进行发酵处理后回用于附近农田施肥。</w:t>
      </w:r>
    </w:p>
    <w:p w14:paraId="646478EB">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集发酵、贮气采用</w:t>
      </w:r>
      <w:r>
        <w:rPr>
          <w:rFonts w:hint="default" w:ascii="Times New Roman" w:hAnsi="Times New Roman" w:eastAsia="宋体" w:cs="Times New Roman"/>
          <w:color w:val="auto"/>
          <w:kern w:val="0"/>
          <w:sz w:val="24"/>
          <w:szCs w:val="24"/>
          <w:highlight w:val="none"/>
          <w:lang w:val="en-US" w:eastAsia="zh-CN" w:bidi="ar-SA"/>
        </w:rPr>
        <w:fldChar w:fldCharType="begin"/>
      </w:r>
      <w:r>
        <w:rPr>
          <w:rFonts w:hint="default" w:ascii="Times New Roman" w:hAnsi="Times New Roman" w:eastAsia="宋体" w:cs="Times New Roman"/>
          <w:color w:val="auto"/>
          <w:kern w:val="0"/>
          <w:sz w:val="24"/>
          <w:szCs w:val="24"/>
          <w:highlight w:val="none"/>
          <w:lang w:val="en-US" w:eastAsia="zh-CN" w:bidi="ar-SA"/>
        </w:rPr>
        <w:instrText xml:space="preserve"> HYPERLINK "http://www.kuanruo.com/a/cn/products/2013/0424/437.html" </w:instrText>
      </w:r>
      <w:r>
        <w:rPr>
          <w:rFonts w:hint="default" w:ascii="Times New Roman" w:hAnsi="Times New Roman" w:eastAsia="宋体" w:cs="Times New Roman"/>
          <w:color w:val="auto"/>
          <w:kern w:val="0"/>
          <w:sz w:val="24"/>
          <w:szCs w:val="24"/>
          <w:highlight w:val="none"/>
          <w:lang w:val="en-US" w:eastAsia="zh-CN" w:bidi="ar-SA"/>
        </w:rPr>
        <w:fldChar w:fldCharType="separate"/>
      </w:r>
      <w:r>
        <w:rPr>
          <w:rFonts w:hint="default" w:ascii="Times New Roman" w:hAnsi="Times New Roman" w:eastAsia="宋体" w:cs="Times New Roman"/>
          <w:color w:val="auto"/>
          <w:kern w:val="0"/>
          <w:sz w:val="24"/>
          <w:szCs w:val="24"/>
          <w:highlight w:val="none"/>
          <w:lang w:val="en-US" w:eastAsia="zh-CN" w:bidi="ar-SA"/>
        </w:rPr>
        <w:t>HDPE防渗膜</w:t>
      </w:r>
      <w:r>
        <w:rPr>
          <w:rFonts w:hint="default" w:ascii="Times New Roman" w:hAnsi="Times New Roman" w:eastAsia="宋体" w:cs="Times New Roman"/>
          <w:color w:val="auto"/>
          <w:kern w:val="0"/>
          <w:sz w:val="24"/>
          <w:szCs w:val="24"/>
          <w:highlight w:val="none"/>
          <w:lang w:val="en-US" w:eastAsia="zh-CN" w:bidi="ar-SA"/>
        </w:rPr>
        <w:fldChar w:fldCharType="end"/>
      </w:r>
      <w:r>
        <w:rPr>
          <w:rFonts w:hint="default" w:ascii="Times New Roman" w:hAnsi="Times New Roman" w:eastAsia="宋体" w:cs="Times New Roman"/>
          <w:color w:val="auto"/>
          <w:kern w:val="0"/>
          <w:sz w:val="24"/>
          <w:szCs w:val="24"/>
          <w:highlight w:val="none"/>
          <w:lang w:val="en-US" w:eastAsia="zh-CN" w:bidi="ar-SA"/>
        </w:rPr>
        <w:t>将整个厌氧塘进行全封闭，利用黑膜（HDPE膜）吸收阳光、增温保温效果好，池底设有自动排泥装置。采用沼气技术处理养殖场污水，具有污泥量少，运行费用低等优势，同时可以控制生产过程中污染物的流向，降低农作物本身受污染的程度，控制疫病，实现污水零排放。农业废物在经厌氧消化处理和沉淀后，产生高效肥料，并最终达到粪污“零排放”，其优点如下：</w:t>
      </w:r>
    </w:p>
    <w:p w14:paraId="22016270">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①</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具有优异的化学稳定性，耐高低温，耐沥青、油及焦油，耐酸、碱、盐等80多种强酸强碱化学介质腐蚀；对进水SS浓度无要求，不会造成污泥淤积，拥堵管道。</w:t>
      </w:r>
    </w:p>
    <w:p w14:paraId="3FD89574">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②黑膜（HDPE膜）厌氧池施工简单，建设成本低；施工简单，建设周期短；安全性高，工艺流程短，运行维护方便，广泛适用于禽畜粪便污水的处理、城市垃圾填埋场等。</w:t>
      </w:r>
    </w:p>
    <w:p w14:paraId="3205FD61">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③黑膜（HDPE膜）厌氧池内温度稳定，春夏秋季节均能运行：池底挖深</w:t>
      </w:r>
      <w:r>
        <w:rPr>
          <w:rFonts w:hint="eastAsia" w:ascii="Times New Roman" w:hAnsi="Times New Roman" w:eastAsia="宋体" w:cs="Times New Roman"/>
          <w:color w:val="auto"/>
          <w:kern w:val="0"/>
          <w:sz w:val="24"/>
          <w:szCs w:val="24"/>
          <w:highlight w:val="none"/>
          <w:lang w:val="en-US" w:eastAsia="zh-CN" w:bidi="ar-SA"/>
        </w:rPr>
        <w:t>7</w:t>
      </w:r>
      <w:r>
        <w:rPr>
          <w:rFonts w:hint="default" w:ascii="Times New Roman" w:hAnsi="Times New Roman" w:eastAsia="宋体" w:cs="Times New Roman"/>
          <w:color w:val="auto"/>
          <w:kern w:val="0"/>
          <w:sz w:val="24"/>
          <w:szCs w:val="24"/>
          <w:highlight w:val="none"/>
          <w:lang w:val="en-US" w:eastAsia="zh-CN" w:bidi="ar-SA"/>
        </w:rPr>
        <w:t>m，利用地温保证池内常温发酵；池壁加厚，保温效果良好；同时进料管道及收集池均采用地下结构，保证进料温度；同时黑膜材质自带吸收阳光功能，增温保温效果好</w:t>
      </w:r>
      <w:r>
        <w:rPr>
          <w:rFonts w:hint="eastAsia" w:ascii="Times New Roman" w:hAnsi="Times New Roman" w:cs="Times New Roman"/>
          <w:color w:val="auto"/>
          <w:kern w:val="0"/>
          <w:sz w:val="24"/>
          <w:szCs w:val="24"/>
          <w:highlight w:val="none"/>
          <w:lang w:val="en-US" w:eastAsia="zh-CN" w:bidi="ar-SA"/>
        </w:rPr>
        <w:t>。</w:t>
      </w:r>
    </w:p>
    <w:p w14:paraId="5E3890B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④防渗系数高：池中安装的防膜具有普通防水材料所无法比拟的防渗效果，不会污染地下水，具有高强抗拉伸机械性能，优良的弹性和变形能力使其非常适用于膨胀和收缩基面，可有效克服基面的不均匀沉降。</w:t>
      </w:r>
    </w:p>
    <w:p w14:paraId="1AAE8CD7">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⑤</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存储方便，自动水渣分离。粪污可以随时存储，存储周期可以根据施肥周期及粪污熟化期要求确定，粪便可以方便存取和使用；利用池中气压，水压将底层沼渣压出沼气池，上层沼液进入后排出系统。</w:t>
      </w:r>
    </w:p>
    <w:p w14:paraId="59E989EA">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⑥黑膜（HDPE膜）厌氧池厌氧发酵容积大、污水滞留期长、沼气产生量大、运行处理费低。</w:t>
      </w:r>
    </w:p>
    <w:p w14:paraId="47DC7E08">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⑦</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防渗膜具有优秀的抗老化、抗紫外线、抗分解，可裸露在外使用；具有优异的抗穿刺能力，可以抵抗大部分植物根系，避免对防渗膜的损害，保证防渗膜的使用年限和功能发挥；易操作，易维修。池体坚固不易塌方，薄膜破损容易修补。</w:t>
      </w:r>
    </w:p>
    <w:p w14:paraId="2DC758BE">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⑧</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发酵完全，产气量大。污水在沼气池中停留时间长，池内温度可保持20度左右，经沼气池处理的污水COD可降低89%以上。</w:t>
      </w:r>
    </w:p>
    <w:p w14:paraId="1C81DF62">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⑨</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运营成本低。沼气池常规运作费用仅为抽污耗电费用，出水，出渣，出气可通过沼气池系统自身完成。</w:t>
      </w:r>
    </w:p>
    <w:p w14:paraId="3FBC620C">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⑩容量大、负荷高：粪污容量大，进水水质要求不高。沼液有机物含量低，有效去除臭味，遏制了蚊虫滋生和病菌的传播。</w:t>
      </w:r>
    </w:p>
    <w:p w14:paraId="41CFBF8D">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实际过程中</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底部会用沙袋固定在底部，固定底膜，避免底膜浮起。液面上会在固定区域（泵）放置漂浮物避免泵运行过程中接触底部对膜有破坏作用，同时也会防止上方的黑膜与液面接触。黑膜厌氧池平面见图3-4-3。</w:t>
      </w:r>
    </w:p>
    <w:p w14:paraId="09BE9C81">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drawing>
          <wp:inline distT="0" distB="0" distL="0" distR="0">
            <wp:extent cx="5026025" cy="2155825"/>
            <wp:effectExtent l="0" t="0" r="3175" b="158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026025" cy="2155825"/>
                    </a:xfrm>
                    <a:prstGeom prst="rect">
                      <a:avLst/>
                    </a:prstGeom>
                    <a:noFill/>
                    <a:ln>
                      <a:noFill/>
                    </a:ln>
                  </pic:spPr>
                </pic:pic>
              </a:graphicData>
            </a:graphic>
          </wp:inline>
        </w:drawing>
      </w:r>
    </w:p>
    <w:p w14:paraId="1C67753B">
      <w:pPr>
        <w:pStyle w:val="216"/>
        <w:rPr>
          <w:rFonts w:hint="default" w:ascii="Times New Roman" w:hAnsi="Times New Roman" w:eastAsia="宋体" w:cs="Times New Roman"/>
          <w:color w:val="auto"/>
          <w:highlight w:val="none"/>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w:t>
      </w:r>
      <w:r>
        <w:rPr>
          <w:rFonts w:hint="eastAsia" w:ascii="Times New Roman" w:hAnsi="Times New Roman" w:eastAsia="黑体" w:cs="Times New Roman"/>
          <w:b w:val="0"/>
          <w:bCs/>
          <w:smallCaps w:val="0"/>
          <w:snapToGrid/>
          <w:color w:val="auto"/>
          <w:kern w:val="2"/>
          <w:sz w:val="21"/>
          <w:szCs w:val="24"/>
          <w:highlight w:val="none"/>
          <w:lang w:val="en-US" w:eastAsia="zh-CN" w:bidi="ar-SA"/>
        </w:rPr>
        <w:t>3.4</w:t>
      </w:r>
      <w:r>
        <w:rPr>
          <w:rFonts w:hint="default" w:ascii="Times New Roman" w:hAnsi="Times New Roman" w:eastAsia="黑体" w:cs="Times New Roman"/>
          <w:b w:val="0"/>
          <w:bCs/>
          <w:smallCaps w:val="0"/>
          <w:snapToGrid/>
          <w:color w:val="auto"/>
          <w:kern w:val="2"/>
          <w:sz w:val="21"/>
          <w:szCs w:val="24"/>
          <w:highlight w:val="none"/>
          <w:lang w:val="en-US" w:eastAsia="zh-CN" w:bidi="ar-SA"/>
        </w:rPr>
        <w:t>-</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黑膜厌氧池平面布置图</w:t>
      </w:r>
    </w:p>
    <w:p w14:paraId="1F0F15E0">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废水属于高浓度有机废水，经过厌氧无害化处理后的沼液，不仅含有农作物所需的氮、磷、钾等大量元素，还含有硼、铜、铁、锰、钙、锌等丰富的中微量元素，以及大量的有机质、多种氨基酸、维生素、赤霉素、生长素、水解酶、有机酸和腐植酸等生物活性物质，是一种非常理想的液态肥料。</w:t>
      </w:r>
    </w:p>
    <w:p w14:paraId="2B53832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为了最大</w:t>
      </w:r>
      <w:r>
        <w:rPr>
          <w:rFonts w:hint="default" w:ascii="Times New Roman" w:hAnsi="Times New Roman" w:eastAsia="宋体" w:cs="Times New Roman"/>
          <w:color w:val="auto"/>
          <w:highlight w:val="none"/>
          <w:lang w:eastAsia="zh-CN"/>
        </w:rPr>
        <w:t>限度地将沼</w:t>
      </w:r>
      <w:r>
        <w:rPr>
          <w:rFonts w:hint="default" w:ascii="Times New Roman" w:hAnsi="Times New Roman" w:eastAsia="宋体" w:cs="Times New Roman"/>
          <w:color w:val="auto"/>
          <w:highlight w:val="none"/>
        </w:rPr>
        <w:t>液进行农田资源化利用，同时结合《畜禽规模养殖污染防治条例》关于“防治畜禽养殖污染，推进畜禽养殖废弃物的综合利用和无害化处理”的目的，以及第十六条“国家鼓励和支持采取种植和养殖相结合的方式消纳利用畜禽养殖废弃物，促进畜禽粪便、污水等废弃物就地就近利用”在遵循“推动畜禽养殖业污染物的减量化、无害化和资源化”的根本原则下，通过“源头控制、过程处理、末端综合利用”等一系列措施，来达到粪污的资源化利用。</w:t>
      </w:r>
    </w:p>
    <w:p w14:paraId="29D4E44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厌氧过程中不再简单追求COD、氨氮的去除效率，而是在厌氧无害化消除病菌的基础上，尽量保留废水中的有机质、氨氮等农业所需养分，以保证后续农肥利用的持续、高效。因此，结合公司工艺路线及生产实际，同时通过对其他同类采用工艺的企业进行考察，并请教相关专家，多次研究后确定本次选取既能保证厌氧无害化消除病原菌，又对运行人员操作技能要求较低的</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w:t>
      </w:r>
    </w:p>
    <w:p w14:paraId="386949C5">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集发酵、贮气于一体，采用防渗膜材料将整个厌氧塘进行全封闭，具有施工简单方便、快速、造价低，工艺流程简单、运行维护方便，污水滞留时间长、消化充分、密封性能好、日产沼气量多，防渗膜材料抗拉强度高、抗老化及耐腐蚀性能强、防渗效果好，利用吸收阳光、增温保温效果好，池底设自动排沼渣装置、池内沼渣量少等优点。同时，</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还能很好地解决混凝土沼气工程因温度变化而产生收缩、胀裂引起的渗水、漏水、漏气问题以及地面式钢板沼气工程的钢板易腐蚀、管道易堵塞、设备易损坏、运行费用高等问题。</w:t>
      </w:r>
    </w:p>
    <w:p w14:paraId="3472E6C3">
      <w:pPr>
        <w:pStyle w:val="7"/>
        <w:bidi w:val="0"/>
        <w:rPr>
          <w:rFonts w:hint="default"/>
          <w:highlight w:val="none"/>
        </w:rPr>
      </w:pPr>
      <w:bookmarkStart w:id="431" w:name="_Toc8215"/>
      <w:bookmarkStart w:id="432" w:name="_Toc14471"/>
      <w:bookmarkStart w:id="433" w:name="_Toc28181"/>
      <w:bookmarkStart w:id="434" w:name="_Toc29345"/>
      <w:r>
        <w:rPr>
          <w:rFonts w:hint="default"/>
          <w:highlight w:val="none"/>
        </w:rPr>
        <w:t>3.</w:t>
      </w:r>
      <w:r>
        <w:rPr>
          <w:rFonts w:hint="eastAsia"/>
          <w:highlight w:val="none"/>
          <w:lang w:val="en-US" w:eastAsia="zh-CN"/>
        </w:rPr>
        <w:t>4</w:t>
      </w:r>
      <w:r>
        <w:rPr>
          <w:rFonts w:hint="default"/>
          <w:highlight w:val="none"/>
        </w:rPr>
        <w:t>.</w:t>
      </w:r>
      <w:r>
        <w:rPr>
          <w:rFonts w:hint="eastAsia"/>
          <w:highlight w:val="none"/>
          <w:lang w:val="en-US" w:eastAsia="zh-CN"/>
        </w:rPr>
        <w:t>5</w:t>
      </w:r>
      <w:r>
        <w:rPr>
          <w:rFonts w:hint="default"/>
          <w:highlight w:val="none"/>
        </w:rPr>
        <w:t>固液分离间及</w:t>
      </w:r>
      <w:r>
        <w:rPr>
          <w:rFonts w:hint="eastAsia"/>
          <w:highlight w:val="none"/>
          <w:lang w:eastAsia="zh-CN"/>
        </w:rPr>
        <w:t>干粪堆积场</w:t>
      </w:r>
      <w:r>
        <w:rPr>
          <w:rFonts w:hint="default"/>
          <w:highlight w:val="none"/>
        </w:rPr>
        <w:t>恶臭净化工程</w:t>
      </w:r>
      <w:bookmarkEnd w:id="431"/>
      <w:bookmarkEnd w:id="432"/>
      <w:bookmarkEnd w:id="433"/>
      <w:bookmarkEnd w:id="434"/>
    </w:p>
    <w:p w14:paraId="1DB681CE">
      <w:pPr>
        <w:pStyle w:val="94"/>
        <w:ind w:firstLine="480"/>
        <w:rPr>
          <w:rFonts w:hint="default" w:ascii="Times New Roman" w:hAnsi="Times New Roman" w:cs="Times New Roman"/>
          <w:snapToGrid w:val="0"/>
          <w:color w:val="auto"/>
          <w:highlight w:val="none"/>
        </w:rPr>
      </w:pPr>
      <w:bookmarkStart w:id="435" w:name="_Toc9767"/>
      <w:bookmarkStart w:id="436" w:name="_Toc9855"/>
      <w:bookmarkStart w:id="437" w:name="_Toc13329"/>
      <w:bookmarkStart w:id="438" w:name="_Toc18851"/>
      <w:r>
        <w:rPr>
          <w:rFonts w:hint="default" w:ascii="Times New Roman" w:hAnsi="Times New Roman" w:cs="Times New Roman"/>
          <w:snapToGrid w:val="0"/>
          <w:color w:val="auto"/>
          <w:highlight w:val="none"/>
        </w:rPr>
        <w:t>固液分离间对处理设施进行封闭，定期喷洒除臭剂</w:t>
      </w:r>
      <w:r>
        <w:rPr>
          <w:rFonts w:hint="default"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定期喷洒除臭剂，及时清运固体粪污；采用好氧堆肥方式；恶臭废气采取负压收集后进入活性炭吸附装置净化处理后经15米高排气筒排放。</w:t>
      </w:r>
    </w:p>
    <w:p w14:paraId="5B258D56">
      <w:pPr>
        <w:pStyle w:val="7"/>
        <w:bidi w:val="0"/>
        <w:rPr>
          <w:rFonts w:hint="default"/>
          <w:highlight w:val="none"/>
        </w:rPr>
      </w:pPr>
      <w:r>
        <w:rPr>
          <w:rFonts w:hint="default"/>
          <w:highlight w:val="none"/>
        </w:rPr>
        <w:t>3.</w:t>
      </w:r>
      <w:r>
        <w:rPr>
          <w:rFonts w:hint="eastAsia"/>
          <w:highlight w:val="none"/>
          <w:lang w:val="en-US" w:eastAsia="zh-CN"/>
        </w:rPr>
        <w:t>4</w:t>
      </w:r>
      <w:r>
        <w:rPr>
          <w:rFonts w:hint="default"/>
          <w:highlight w:val="none"/>
        </w:rPr>
        <w:t>.</w:t>
      </w:r>
      <w:r>
        <w:rPr>
          <w:rFonts w:hint="eastAsia"/>
          <w:highlight w:val="none"/>
          <w:lang w:val="en-US" w:eastAsia="zh-CN"/>
        </w:rPr>
        <w:t>6</w:t>
      </w:r>
      <w:r>
        <w:rPr>
          <w:rFonts w:hint="default"/>
          <w:highlight w:val="none"/>
        </w:rPr>
        <w:t>粪便处理</w:t>
      </w:r>
      <w:bookmarkEnd w:id="435"/>
      <w:bookmarkEnd w:id="436"/>
      <w:bookmarkEnd w:id="437"/>
      <w:bookmarkEnd w:id="438"/>
    </w:p>
    <w:p w14:paraId="4952BDC9">
      <w:pPr>
        <w:pStyle w:val="94"/>
        <w:ind w:firstLine="480"/>
        <w:rPr>
          <w:rFonts w:hint="eastAsia"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本项目猪舍固液分离出来的固体粪便、以及</w:t>
      </w:r>
      <w:r>
        <w:rPr>
          <w:rFonts w:hint="default" w:ascii="Times New Roman" w:hAnsi="Times New Roman" w:cs="Times New Roman"/>
          <w:snapToGrid w:val="0"/>
          <w:color w:val="auto"/>
          <w:highlight w:val="none"/>
          <w:lang w:val="en-US" w:eastAsia="zh-CN"/>
        </w:rPr>
        <w:t>黑膜厌氧池</w:t>
      </w:r>
      <w:r>
        <w:rPr>
          <w:rFonts w:hint="default" w:ascii="Times New Roman" w:hAnsi="Times New Roman" w:eastAsia="宋体" w:cs="Times New Roman"/>
          <w:snapToGrid w:val="0"/>
          <w:color w:val="auto"/>
          <w:highlight w:val="none"/>
        </w:rPr>
        <w:t>产生的沼渣采用好氧发酵工艺进行堆肥产生固体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。将</w:t>
      </w:r>
      <w:r>
        <w:rPr>
          <w:rFonts w:hint="eastAsia" w:ascii="Times New Roman" w:hAnsi="Times New Roman" w:cs="Times New Roman"/>
          <w:snapToGrid w:val="0"/>
          <w:color w:val="auto"/>
          <w:highlight w:val="none"/>
          <w:lang w:eastAsia="zh-CN"/>
        </w:rPr>
        <w:t>干粪</w:t>
      </w:r>
      <w:r>
        <w:rPr>
          <w:rFonts w:hint="default" w:ascii="Times New Roman" w:hAnsi="Times New Roman" w:eastAsia="宋体" w:cs="Times New Roman"/>
          <w:snapToGrid w:val="0"/>
          <w:color w:val="auto"/>
          <w:highlight w:val="none"/>
        </w:rPr>
        <w:t>、沼渣和微生物菌剂等均匀混合铺入</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，定期翻转，发酵过程中对温度、湿度进行监控，并根据要求进行适当调节。好氧发酵时间一般为</w:t>
      </w:r>
      <w:r>
        <w:rPr>
          <w:rFonts w:hint="eastAsia" w:ascii="Times New Roman" w:hAnsi="Times New Roman" w:cs="Times New Roman"/>
          <w:snapToGrid w:val="0"/>
          <w:color w:val="auto"/>
          <w:highlight w:val="none"/>
          <w:lang w:val="en-US" w:eastAsia="zh-CN"/>
        </w:rPr>
        <w:t>20</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30</w:t>
      </w:r>
      <w:r>
        <w:rPr>
          <w:rFonts w:hint="default" w:ascii="Times New Roman" w:hAnsi="Times New Roman" w:eastAsia="宋体" w:cs="Times New Roman"/>
          <w:snapToGrid w:val="0"/>
          <w:color w:val="auto"/>
          <w:highlight w:val="none"/>
        </w:rPr>
        <w:t>天，平均</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天采用翻堆机翻堆一次，在翻堆过程中边打散，边翻堆、边加微生物菌剂。发酵过程中堆体温度迅速升高并进入高温分解阶段，微生物消耗有机物和养分而大量繁殖，有机质在氧气充足的条件下强烈分解。堆体温度在55℃的条件下即可杀灭堆料中所含的致病微生物，实现无害化处理。发酵过程中微生物菌群以辅料为载体与粪便组成复杂而稳定的微生态系统，能够快速使粪污及沼渣制成肥料，定期外运。项目设置一处</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w:t>
      </w:r>
    </w:p>
    <w:p w14:paraId="34873232">
      <w:pPr>
        <w:pStyle w:val="94"/>
        <w:ind w:firstLine="48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根据</w:t>
      </w:r>
      <w:r>
        <w:rPr>
          <w:rFonts w:hint="default" w:ascii="Times New Roman" w:hAnsi="Times New Roman" w:cs="Times New Roman"/>
          <w:snapToGrid w:val="0"/>
          <w:color w:val="auto"/>
          <w:highlight w:val="none"/>
          <w:lang w:val="en-US" w:eastAsia="zh-CN"/>
        </w:rPr>
        <w:t>农业农村部办公厅 生态环境部办公厅关于印发《畜禽养殖场（户）粪污处理设施建设技术指南》的通知5.4畜禽粪污暂存设施</w:t>
      </w:r>
      <w:r>
        <w:rPr>
          <w:rFonts w:hint="eastAsia"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lang w:val="en-US" w:eastAsia="zh-CN"/>
        </w:rPr>
        <w:t>畜禽养殖场（户）建设畜禽粪污暂存池（场）的，液体粪污暂存池容积不小于单位畜禽液体粪污日产生量（立方米/天·头、只、羽）×暂存周期（天）×设计存栏量（头、只、羽），固体粪污暂存场容积不小于单位畜禽固体粪污日产生量（立方米/天·头、只、羽）×暂存周期（天）×设计存栏量（头、只、羽），暂存周期按转运处理最大时间间隔确定。鼓励采取加盖等措施，减少恶臭气体排放和雨水进入</w:t>
      </w:r>
      <w:r>
        <w:rPr>
          <w:rFonts w:hint="eastAsia" w:ascii="Times New Roman" w:hAnsi="Times New Roman" w:cs="Times New Roman"/>
          <w:snapToGrid w:val="0"/>
          <w:color w:val="auto"/>
          <w:highlight w:val="none"/>
          <w:lang w:val="en-US" w:eastAsia="zh-CN"/>
        </w:rPr>
        <w:t>。</w:t>
      </w:r>
    </w:p>
    <w:p w14:paraId="1C41E4F4">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项目采取</w:t>
      </w:r>
      <w:r>
        <w:rPr>
          <w:rFonts w:hint="eastAsia" w:ascii="Times New Roman" w:hAnsi="Times New Roman" w:cs="Times New Roman"/>
          <w:snapToGrid w:val="0"/>
          <w:color w:val="auto"/>
          <w:kern w:val="0"/>
          <w:sz w:val="24"/>
          <w:szCs w:val="24"/>
          <w:highlight w:val="none"/>
          <w:lang w:val="en-US" w:eastAsia="zh-CN" w:bidi="ar-SA"/>
        </w:rPr>
        <w:t>尿泡粪—干清粪</w:t>
      </w:r>
      <w:r>
        <w:rPr>
          <w:rFonts w:hint="default" w:ascii="Times New Roman" w:hAnsi="Times New Roman" w:eastAsia="宋体" w:cs="Times New Roman"/>
          <w:snapToGrid w:val="0"/>
          <w:color w:val="auto"/>
          <w:kern w:val="0"/>
          <w:sz w:val="24"/>
          <w:szCs w:val="24"/>
          <w:highlight w:val="none"/>
          <w:lang w:val="en-US" w:eastAsia="zh-CN" w:bidi="ar-SA"/>
        </w:rPr>
        <w:t>方式进行清粪，</w:t>
      </w:r>
      <w:r>
        <w:rPr>
          <w:rFonts w:hint="eastAsia" w:ascii="Times New Roman" w:hAnsi="Times New Roman" w:cs="Times New Roman"/>
          <w:snapToGrid w:val="0"/>
          <w:color w:val="auto"/>
          <w:kern w:val="0"/>
          <w:sz w:val="24"/>
          <w:szCs w:val="24"/>
          <w:highlight w:val="none"/>
          <w:lang w:val="en-US" w:eastAsia="zh-CN" w:bidi="ar-SA"/>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w:t>
      </w:r>
      <w:r>
        <w:rPr>
          <w:rFonts w:hint="eastAsia" w:ascii="Times New Roman" w:hAnsi="Times New Roman" w:eastAsia="宋体" w:cs="Times New Roman"/>
          <w:snapToGrid w:val="0"/>
          <w:color w:val="auto"/>
          <w:kern w:val="0"/>
          <w:sz w:val="24"/>
          <w:szCs w:val="24"/>
          <w:highlight w:val="none"/>
          <w:lang w:val="en-US" w:eastAsia="zh-CN" w:bidi="ar-SA"/>
        </w:rPr>
        <w:t>。根据《畜禽养殖业污染治理工程技术规范》的资料性附录 A“畜禽养殖废水水质和粪污产生量”猪粪量为398kg/头▪a，本项目常年存栏量8000头，产粪量总计8.723t/d、3184t/a。</w:t>
      </w:r>
    </w:p>
    <w:p w14:paraId="598D079D">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则干粪</w:t>
      </w:r>
      <w:r>
        <w:rPr>
          <w:rFonts w:hint="default" w:ascii="Times New Roman" w:hAnsi="Times New Roman" w:cs="Times New Roman"/>
          <w:snapToGrid w:val="0"/>
          <w:color w:val="auto"/>
          <w:highlight w:val="none"/>
          <w:lang w:eastAsia="zh-CN"/>
        </w:rPr>
        <w:t>产生量为</w:t>
      </w:r>
      <w:r>
        <w:rPr>
          <w:rFonts w:hint="eastAsia" w:ascii="Times New Roman" w:hAnsi="Times New Roman" w:cs="Times New Roman"/>
          <w:snapToGrid w:val="0"/>
          <w:color w:val="auto"/>
          <w:highlight w:val="none"/>
          <w:lang w:val="en-US" w:eastAsia="zh-CN"/>
        </w:rPr>
        <w:t>1.7446t/d、636.779t/a</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可作为肥料施用于项目周边区域的农</w:t>
      </w:r>
      <w:r>
        <w:rPr>
          <w:rFonts w:hint="default" w:ascii="Times New Roman" w:hAnsi="Times New Roman" w:eastAsia="宋体" w:cs="Times New Roman"/>
          <w:snapToGrid w:val="0"/>
          <w:color w:val="auto"/>
          <w:highlight w:val="none"/>
        </w:rPr>
        <w:t>田。</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尿泡粪—干清粪</w:t>
      </w:r>
      <w:r>
        <w:rPr>
          <w:rFonts w:hint="default" w:ascii="Times New Roman" w:hAnsi="Times New Roman" w:cs="Times New Roman"/>
          <w:color w:val="auto"/>
          <w:highlight w:val="none"/>
          <w:lang w:val="en-US" w:eastAsia="zh-CN"/>
        </w:rPr>
        <w:t>后猪粪（</w:t>
      </w:r>
      <w:r>
        <w:rPr>
          <w:rFonts w:hint="eastAsia" w:ascii="Times New Roman" w:hAnsi="Times New Roman" w:cs="Times New Roman"/>
          <w:color w:val="auto"/>
          <w:highlight w:val="none"/>
          <w:lang w:val="en-US" w:eastAsia="zh-CN"/>
        </w:rPr>
        <w:t>3184</w:t>
      </w:r>
      <w:r>
        <w:rPr>
          <w:rFonts w:hint="default" w:ascii="Times New Roman" w:hAnsi="Times New Roman" w:cs="Times New Roman"/>
          <w:color w:val="auto"/>
          <w:highlight w:val="none"/>
          <w:lang w:val="en-US" w:eastAsia="zh-CN"/>
        </w:rPr>
        <w:t>t/a）随尿液进入固液分离间，粪便和废水经固液分离后的干物质（</w:t>
      </w:r>
      <w:r>
        <w:rPr>
          <w:rFonts w:hint="eastAsia" w:ascii="Times New Roman" w:hAnsi="Times New Roman" w:cs="Times New Roman"/>
          <w:color w:val="auto"/>
          <w:highlight w:val="none"/>
          <w:lang w:val="en-US" w:eastAsia="zh-CN"/>
        </w:rPr>
        <w:t>636.779t/a</w:t>
      </w:r>
      <w:r>
        <w:rPr>
          <w:rFonts w:hint="default" w:ascii="Times New Roman" w:hAnsi="Times New Roman" w:cs="Times New Roman"/>
          <w:color w:val="auto"/>
          <w:highlight w:val="none"/>
          <w:lang w:val="en-US" w:eastAsia="zh-CN"/>
        </w:rPr>
        <w:t>）被分离出来变成</w:t>
      </w:r>
      <w:r>
        <w:rPr>
          <w:rFonts w:hint="eastAsia" w:ascii="Times New Roman" w:hAnsi="Times New Roman" w:cs="Times New Roman"/>
          <w:color w:val="auto"/>
          <w:highlight w:val="none"/>
          <w:lang w:val="en-US" w:eastAsia="zh-CN"/>
        </w:rPr>
        <w:t>干粪</w:t>
      </w:r>
      <w:r>
        <w:rPr>
          <w:rFonts w:hint="default" w:ascii="Times New Roman" w:hAnsi="Times New Roman" w:cs="Times New Roman"/>
          <w:color w:val="auto"/>
          <w:highlight w:val="none"/>
          <w:lang w:val="en-US" w:eastAsia="zh-CN"/>
        </w:rPr>
        <w:t>，剩余物质（</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进入黑膜厌氧反应池进行厌氧反应，经过厌氧发酵后，60%的干物质被分解，40%的干物质生成沼渣</w:t>
      </w:r>
      <w:r>
        <w:rPr>
          <w:rFonts w:hint="default" w:ascii="Times New Roman" w:hAnsi="Times New Roman" w:cs="Times New Roman"/>
          <w:color w:val="auto"/>
          <w:highlight w:val="none"/>
          <w:lang w:eastAsia="zh-CN"/>
        </w:rPr>
        <w:t>。沼渣含水率为65%，则沼渣产生量约为</w:t>
      </w:r>
      <w:r>
        <w:rPr>
          <w:rFonts w:hint="eastAsia" w:ascii="Times New Roman" w:hAnsi="Times New Roman" w:cs="Times New Roman"/>
          <w:color w:val="auto"/>
          <w:highlight w:val="none"/>
          <w:lang w:val="en-US" w:eastAsia="zh-CN"/>
        </w:rPr>
        <w:t>0.977</w:t>
      </w:r>
      <w:r>
        <w:rPr>
          <w:rFonts w:hint="default" w:ascii="Times New Roman" w:hAnsi="Times New Roman" w:cs="Times New Roman"/>
          <w:color w:val="auto"/>
          <w:highlight w:val="none"/>
          <w:lang w:eastAsia="zh-CN"/>
        </w:rPr>
        <w:t>t/d（即</w:t>
      </w:r>
      <w:r>
        <w:rPr>
          <w:rFonts w:hint="eastAsia" w:ascii="Times New Roman" w:hAnsi="Times New Roman" w:cs="Times New Roman"/>
          <w:color w:val="auto"/>
          <w:highlight w:val="none"/>
          <w:lang w:val="en-US" w:eastAsia="zh-CN"/>
        </w:rPr>
        <w:t>356.608</w:t>
      </w:r>
      <w:r>
        <w:rPr>
          <w:rFonts w:hint="default" w:ascii="Times New Roman" w:hAnsi="Times New Roman" w:cs="Times New Roman"/>
          <w:color w:val="auto"/>
          <w:highlight w:val="none"/>
          <w:lang w:eastAsia="zh-CN"/>
        </w:rPr>
        <w:t>t/a）。</w:t>
      </w:r>
    </w:p>
    <w:p w14:paraId="43CC9E43">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固体粪污暂存场容积不小于</w:t>
      </w:r>
      <w:r>
        <w:rPr>
          <w:rFonts w:hint="eastAsia" w:ascii="Times New Roman" w:hAnsi="Times New Roman" w:cs="Times New Roman"/>
          <w:snapToGrid w:val="0"/>
          <w:color w:val="auto"/>
          <w:highlight w:val="none"/>
          <w:lang w:val="en-US" w:eastAsia="zh-CN"/>
        </w:rPr>
        <w:t>本</w:t>
      </w:r>
      <w:r>
        <w:rPr>
          <w:rFonts w:hint="default" w:ascii="Times New Roman" w:hAnsi="Times New Roman" w:cs="Times New Roman"/>
          <w:snapToGrid w:val="0"/>
          <w:color w:val="auto"/>
          <w:highlight w:val="none"/>
          <w:lang w:val="en-US" w:eastAsia="zh-CN"/>
        </w:rPr>
        <w:t>单位畜禽固体粪污日产生量（立方米/天·头、只、羽）×暂存周期（天）×设计存栏量（头、只、羽）</w:t>
      </w:r>
      <w:r>
        <w:rPr>
          <w:rFonts w:hint="eastAsia" w:ascii="Times New Roman" w:hAnsi="Times New Roman" w:cs="Times New Roman"/>
          <w:snapToGrid w:val="0"/>
          <w:color w:val="auto"/>
          <w:highlight w:val="none"/>
          <w:lang w:val="en-US" w:eastAsia="zh-CN"/>
        </w:rPr>
        <w:t>=489.888</w:t>
      </w:r>
      <w:r>
        <w:rPr>
          <w:rFonts w:hint="default" w:ascii="Times New Roman" w:hAnsi="Times New Roman" w:cs="Times New Roman"/>
          <w:snapToGrid w:val="0"/>
          <w:color w:val="auto"/>
          <w:highlight w:val="none"/>
          <w:lang w:val="en-US" w:eastAsia="zh-CN"/>
        </w:rPr>
        <w:t>立方米</w:t>
      </w:r>
      <w:r>
        <w:rPr>
          <w:rFonts w:hint="eastAsia" w:ascii="Times New Roman" w:hAnsi="Times New Roman" w:cs="Times New Roman"/>
          <w:snapToGrid w:val="0"/>
          <w:color w:val="auto"/>
          <w:highlight w:val="none"/>
          <w:lang w:val="en-US" w:eastAsia="zh-CN"/>
        </w:rPr>
        <w:t>。</w:t>
      </w:r>
    </w:p>
    <w:p w14:paraId="73DAAEDF">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本项目干粪堆积场建筑面积450m</w:t>
      </w:r>
      <w:r>
        <w:rPr>
          <w:rFonts w:hint="eastAsia" w:ascii="Times New Roman" w:hAnsi="Times New Roman" w:cs="Times New Roman"/>
          <w:snapToGrid w:val="0"/>
          <w:color w:val="auto"/>
          <w:highlight w:val="none"/>
          <w:vertAlign w:val="superscript"/>
          <w:lang w:val="en-US" w:eastAsia="zh-CN"/>
        </w:rPr>
        <w:t>2</w:t>
      </w:r>
      <w:r>
        <w:rPr>
          <w:rFonts w:hint="eastAsia" w:ascii="Times New Roman" w:hAnsi="Times New Roman" w:cs="Times New Roman"/>
          <w:snapToGrid w:val="0"/>
          <w:color w:val="auto"/>
          <w:highlight w:val="none"/>
          <w:lang w:val="en-US" w:eastAsia="zh-CN"/>
        </w:rPr>
        <w:t>，容积900m</w:t>
      </w:r>
      <w:r>
        <w:rPr>
          <w:rFonts w:hint="eastAsia" w:ascii="Times New Roman" w:hAnsi="Times New Roman"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w:t>
      </w:r>
      <w:r>
        <w:rPr>
          <w:rFonts w:hint="eastAsia" w:ascii="Times New Roman" w:hAnsi="Times New Roman" w:cs="Times New Roman"/>
          <w:snapToGrid w:val="0"/>
          <w:color w:val="auto"/>
          <w:highlight w:val="none"/>
          <w:lang w:val="en-US" w:eastAsia="zh-CN"/>
        </w:rPr>
        <w:t>489.888m</w:t>
      </w:r>
      <w:r>
        <w:rPr>
          <w:rFonts w:hint="eastAsia" w:ascii="Times New Roman" w:hAnsi="Times New Roman"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lang w:val="en-US" w:eastAsia="zh-CN"/>
        </w:rPr>
        <w:t>，本项目干粪堆积场容积满足</w:t>
      </w:r>
      <w:r>
        <w:rPr>
          <w:rFonts w:hint="default" w:ascii="Times New Roman" w:hAnsi="Times New Roman" w:cs="Times New Roman"/>
          <w:snapToGrid w:val="0"/>
          <w:color w:val="auto"/>
          <w:highlight w:val="none"/>
          <w:lang w:val="en-US" w:eastAsia="zh-CN"/>
        </w:rPr>
        <w:t>农业农村部办公厅 生态环境部办公厅关于印发《畜禽养殖场（户）粪污处理设施建设技术指南》的通知</w:t>
      </w:r>
      <w:r>
        <w:rPr>
          <w:rFonts w:hint="eastAsia" w:ascii="Times New Roman" w:hAnsi="Times New Roman" w:cs="Times New Roman"/>
          <w:snapToGrid w:val="0"/>
          <w:color w:val="auto"/>
          <w:highlight w:val="none"/>
          <w:lang w:val="en-US" w:eastAsia="zh-CN"/>
        </w:rPr>
        <w:t>堆肥要求</w:t>
      </w:r>
      <w:r>
        <w:rPr>
          <w:rFonts w:hint="default" w:ascii="Times New Roman" w:hAnsi="Times New Roman" w:cs="Times New Roman"/>
          <w:snapToGrid w:val="0"/>
          <w:color w:val="auto"/>
          <w:highlight w:val="none"/>
          <w:lang w:val="en-US" w:eastAsia="zh-CN"/>
        </w:rPr>
        <w:t>5.4畜禽粪污暂存设施固体粪污暂存场容积</w:t>
      </w:r>
      <w:r>
        <w:rPr>
          <w:rFonts w:hint="eastAsia" w:ascii="Times New Roman" w:hAnsi="Times New Roman" w:cs="Times New Roman"/>
          <w:snapToGrid w:val="0"/>
          <w:color w:val="auto"/>
          <w:highlight w:val="none"/>
          <w:lang w:val="en-US" w:eastAsia="zh-CN"/>
        </w:rPr>
        <w:t>。</w:t>
      </w:r>
    </w:p>
    <w:p w14:paraId="5D0305AF">
      <w:pPr>
        <w:pStyle w:val="7"/>
        <w:bidi w:val="0"/>
        <w:rPr>
          <w:rFonts w:hint="default"/>
          <w:highlight w:val="none"/>
        </w:rPr>
      </w:pPr>
      <w:bookmarkStart w:id="439" w:name="_Toc503196972"/>
      <w:bookmarkStart w:id="440" w:name="_Toc506120804"/>
      <w:bookmarkStart w:id="441" w:name="_Toc5903"/>
      <w:bookmarkStart w:id="442" w:name="_Toc5073"/>
      <w:bookmarkStart w:id="443" w:name="_Toc18053"/>
      <w:bookmarkStart w:id="444" w:name="_Toc32016"/>
      <w:bookmarkStart w:id="445" w:name="_Toc529346462"/>
      <w:bookmarkStart w:id="446" w:name="_Hlk505523198"/>
      <w:bookmarkStart w:id="447" w:name="_Hlk517784032"/>
      <w:bookmarkStart w:id="448" w:name="_Toc480447664"/>
      <w:bookmarkStart w:id="449" w:name="_Toc277178428"/>
      <w:bookmarkStart w:id="450" w:name="_Toc255202294"/>
      <w:r>
        <w:rPr>
          <w:rFonts w:hint="default"/>
          <w:highlight w:val="none"/>
        </w:rPr>
        <w:t>3.</w:t>
      </w:r>
      <w:r>
        <w:rPr>
          <w:rFonts w:hint="eastAsia"/>
          <w:highlight w:val="none"/>
          <w:lang w:val="en-US" w:eastAsia="zh-CN"/>
        </w:rPr>
        <w:t>4</w:t>
      </w:r>
      <w:r>
        <w:rPr>
          <w:rFonts w:hint="default"/>
          <w:highlight w:val="none"/>
        </w:rPr>
        <w:t>.</w:t>
      </w:r>
      <w:r>
        <w:rPr>
          <w:rFonts w:hint="eastAsia"/>
          <w:highlight w:val="none"/>
          <w:lang w:val="en-US" w:eastAsia="zh-CN"/>
        </w:rPr>
        <w:t>7</w:t>
      </w:r>
      <w:r>
        <w:rPr>
          <w:rFonts w:hint="default"/>
          <w:highlight w:val="none"/>
        </w:rPr>
        <w:t>消毒和防疫</w:t>
      </w:r>
      <w:bookmarkEnd w:id="439"/>
      <w:bookmarkEnd w:id="440"/>
      <w:bookmarkEnd w:id="441"/>
      <w:bookmarkEnd w:id="442"/>
      <w:bookmarkEnd w:id="443"/>
      <w:bookmarkEnd w:id="444"/>
      <w:bookmarkEnd w:id="445"/>
    </w:p>
    <w:p w14:paraId="5CD957B9">
      <w:pPr>
        <w:pStyle w:val="94"/>
        <w:ind w:firstLine="480"/>
        <w:rPr>
          <w:rFonts w:hint="default" w:ascii="Times New Roman" w:hAnsi="Times New Roman" w:eastAsia="宋体" w:cs="Times New Roman"/>
          <w:snapToGrid w:val="0"/>
          <w:color w:val="auto"/>
          <w:highlight w:val="none"/>
        </w:rPr>
      </w:pPr>
      <w:bookmarkStart w:id="451" w:name="_Hlk525223286"/>
      <w:r>
        <w:rPr>
          <w:rFonts w:hint="default" w:ascii="Times New Roman" w:hAnsi="Times New Roman" w:eastAsia="宋体" w:cs="Times New Roman"/>
          <w:snapToGrid w:val="0"/>
          <w:color w:val="auto"/>
          <w:highlight w:val="none"/>
        </w:rPr>
        <w:t>①消毒系统：生产区设</w:t>
      </w:r>
      <w:r>
        <w:rPr>
          <w:rFonts w:hint="default" w:ascii="Times New Roman" w:hAnsi="Times New Roman" w:eastAsia="宋体" w:cs="Times New Roman"/>
          <w:snapToGrid w:val="0"/>
          <w:color w:val="auto"/>
          <w:highlight w:val="none"/>
          <w:lang w:val="en-US" w:eastAsia="zh-CN"/>
        </w:rPr>
        <w:t>洗消车间</w:t>
      </w:r>
      <w:r>
        <w:rPr>
          <w:rFonts w:hint="default" w:ascii="Times New Roman" w:hAnsi="Times New Roman" w:eastAsia="宋体" w:cs="Times New Roman"/>
          <w:snapToGrid w:val="0"/>
          <w:color w:val="auto"/>
          <w:highlight w:val="none"/>
        </w:rPr>
        <w:t>，来往人员</w:t>
      </w:r>
      <w:r>
        <w:rPr>
          <w:rFonts w:hint="eastAsia" w:ascii="Times New Roman" w:hAnsi="Times New Roman" w:cs="Times New Roman"/>
          <w:snapToGrid w:val="0"/>
          <w:color w:val="auto"/>
          <w:highlight w:val="none"/>
          <w:lang w:val="en-US" w:eastAsia="zh-CN"/>
        </w:rPr>
        <w:t>需进入洗消车间消毒</w:t>
      </w:r>
      <w:r>
        <w:rPr>
          <w:rFonts w:hint="default" w:ascii="Times New Roman" w:hAnsi="Times New Roman" w:eastAsia="宋体" w:cs="Times New Roman"/>
          <w:snapToGrid w:val="0"/>
          <w:color w:val="auto"/>
          <w:highlight w:val="none"/>
        </w:rPr>
        <w:t>。外来人员及非生产人员不得进入生产区，工作人员和饲养人员入生产区前，必须</w:t>
      </w:r>
      <w:r>
        <w:rPr>
          <w:rFonts w:hint="eastAsia" w:ascii="Times New Roman" w:hAnsi="Times New Roman" w:cs="Times New Roman"/>
          <w:snapToGrid w:val="0"/>
          <w:color w:val="auto"/>
          <w:highlight w:val="none"/>
          <w:lang w:val="en-US" w:eastAsia="zh-CN"/>
        </w:rPr>
        <w:t>进入</w:t>
      </w:r>
      <w:r>
        <w:rPr>
          <w:rFonts w:hint="default" w:ascii="Times New Roman" w:hAnsi="Times New Roman" w:eastAsia="宋体" w:cs="Times New Roman"/>
          <w:snapToGrid w:val="0"/>
          <w:color w:val="auto"/>
          <w:highlight w:val="none"/>
          <w:lang w:val="en-US" w:eastAsia="zh-CN"/>
        </w:rPr>
        <w:t>洗消车间</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更换工作服后，再经消毒后入猪舍。</w:t>
      </w:r>
    </w:p>
    <w:p w14:paraId="64B1EB0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所有与外界接触进出口均设有消毒池（消毒剂：</w:t>
      </w:r>
      <w:r>
        <w:rPr>
          <w:rFonts w:hint="default" w:ascii="Times New Roman" w:hAnsi="Times New Roman" w:eastAsia="宋体" w:cs="Times New Roman"/>
          <w:snapToGrid w:val="0"/>
          <w:color w:val="auto"/>
          <w:highlight w:val="none"/>
          <w:lang w:eastAsia="zh-CN"/>
        </w:rPr>
        <w:t>戊二醛</w:t>
      </w:r>
      <w:r>
        <w:rPr>
          <w:rFonts w:hint="default" w:ascii="Times New Roman" w:hAnsi="Times New Roman" w:eastAsia="宋体" w:cs="Times New Roman"/>
          <w:snapToGrid w:val="0"/>
          <w:color w:val="auto"/>
          <w:highlight w:val="none"/>
        </w:rPr>
        <w:t>），运送饲料的车辆进入时先经过消毒后，再用高压水龙头清洗消毒。人员进入要进入更衣室洗手、更换外套、戴上防护帽及口罩并套上一次性鞋套。每周对养殖区进行一次消毒。</w:t>
      </w:r>
    </w:p>
    <w:p w14:paraId="2D007C67">
      <w:pPr>
        <w:pStyle w:val="94"/>
        <w:ind w:firstLine="480"/>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snapToGrid w:val="0"/>
          <w:color w:val="auto"/>
          <w:highlight w:val="none"/>
        </w:rPr>
        <w:t>②卫生防疫系统：项目制定猪的饲养的卫生与防疫制度，各种疫苗的注射密度必须按要求达到100%。做到场有防疫站、兽医院。同时，依托地方分局动物检疫站，充分发挥各居民组防疫站的作用。如发现传染疫情，对猪群实施严格的隔离、扑杀措施并追踪调查病猪的亲代和子代，对猪群实施清群和净化措施</w:t>
      </w:r>
      <w:bookmarkEnd w:id="446"/>
      <w:r>
        <w:rPr>
          <w:rFonts w:hint="default" w:ascii="Times New Roman" w:hAnsi="Times New Roman" w:eastAsia="宋体" w:cs="Times New Roman"/>
          <w:snapToGrid w:val="0"/>
          <w:color w:val="auto"/>
          <w:highlight w:val="none"/>
        </w:rPr>
        <w:t>。</w:t>
      </w:r>
      <w:bookmarkEnd w:id="451"/>
    </w:p>
    <w:bookmarkEnd w:id="447"/>
    <w:p w14:paraId="4BDCF829">
      <w:pPr>
        <w:pStyle w:val="7"/>
        <w:bidi w:val="0"/>
        <w:rPr>
          <w:rFonts w:hint="eastAsia"/>
          <w:highlight w:val="none"/>
          <w:lang w:eastAsia="zh-CN"/>
        </w:rPr>
      </w:pPr>
      <w:bookmarkStart w:id="452" w:name="_Toc20211"/>
      <w:bookmarkStart w:id="453" w:name="_Toc15266"/>
      <w:bookmarkStart w:id="454" w:name="_Toc32743"/>
      <w:bookmarkStart w:id="455" w:name="_Toc18783"/>
      <w:r>
        <w:rPr>
          <w:rFonts w:hint="default"/>
          <w:highlight w:val="none"/>
        </w:rPr>
        <w:t>3.</w:t>
      </w:r>
      <w:r>
        <w:rPr>
          <w:rFonts w:hint="eastAsia"/>
          <w:highlight w:val="none"/>
          <w:lang w:val="en-US" w:eastAsia="zh-CN"/>
        </w:rPr>
        <w:t>4</w:t>
      </w:r>
      <w:r>
        <w:rPr>
          <w:rFonts w:hint="default"/>
          <w:highlight w:val="none"/>
        </w:rPr>
        <w:t>.</w:t>
      </w:r>
      <w:bookmarkEnd w:id="452"/>
      <w:bookmarkEnd w:id="453"/>
      <w:bookmarkEnd w:id="454"/>
      <w:bookmarkEnd w:id="455"/>
      <w:r>
        <w:rPr>
          <w:rFonts w:hint="eastAsia"/>
          <w:highlight w:val="none"/>
          <w:lang w:val="en-US" w:eastAsia="zh-CN"/>
        </w:rPr>
        <w:t>8</w:t>
      </w:r>
      <w:r>
        <w:rPr>
          <w:rFonts w:hint="eastAsia"/>
          <w:highlight w:val="none"/>
          <w:lang w:eastAsia="zh-CN"/>
        </w:rPr>
        <w:t>沼气燃烧处置</w:t>
      </w:r>
    </w:p>
    <w:p w14:paraId="3159E9A6">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沼气是高湿度气体，H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S平均含量为0.034%，需要进行脱水脱硫处理，以防止对沼气输送管道的腐蚀影响。经采用专用沼气脱硫剂脱硫后，硫去除率可达到95%以上，经核算沼气净化后H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S含量不高于20mg/m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w:t>
      </w:r>
    </w:p>
    <w:p w14:paraId="07D8F20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本工程采用干法脱硫。干法脱硫是在圆柱状脱硫装置内装填一定高度的脱硫剂，沼气自下而上通过脱硫剂，H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S被去除，实现脱硫过程。一般干法脱硫常用的脱硫剂为氧化铁，其粒状为颗粒状。氧化铁干法脱硫的原理分为氧化反应和还原再生反应两部分，具体如下：</w:t>
      </w:r>
    </w:p>
    <w:p w14:paraId="42D632A7">
      <w:pPr>
        <w:spacing w:line="360" w:lineRule="auto"/>
        <w:ind w:firstLine="480" w:firstLineChars="200"/>
        <w:jc w:val="center"/>
        <w:rPr>
          <w:rFonts w:hint="default" w:ascii="Times New Roman" w:hAnsi="Times New Roman" w:cs="Times New Roman"/>
          <w:sz w:val="24"/>
          <w:highlight w:val="none"/>
        </w:rPr>
      </w:pPr>
      <w:r>
        <w:rPr>
          <w:rFonts w:hint="default" w:ascii="Times New Roman" w:hAnsi="Times New Roman" w:cs="Times New Roman"/>
          <w:sz w:val="24"/>
          <w:highlight w:val="none"/>
        </w:rPr>
        <w:t>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O+3H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O+3H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p>
    <w:p w14:paraId="5453946C">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由上面的反应方程式可以看出，Fe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S变成Fe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，随着沼气的不断产生，氧化铁吸收H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S，当吸收H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S达到一定的量，H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S的去除率将大大降低，直至失效。Fe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是可以还原再生的，与O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和H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O发生化学反应可还原为Fe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，原理如下：</w:t>
      </w:r>
    </w:p>
    <w:p w14:paraId="566536C2">
      <w:pPr>
        <w:spacing w:line="360" w:lineRule="auto"/>
        <w:ind w:firstLine="480" w:firstLineChars="200"/>
        <w:jc w:val="center"/>
        <w:rPr>
          <w:rFonts w:hint="default" w:ascii="Times New Roman" w:hAnsi="Times New Roman" w:cs="Times New Roman"/>
          <w:sz w:val="24"/>
          <w:highlight w:val="none"/>
        </w:rPr>
      </w:pPr>
      <w:r>
        <w:rPr>
          <w:rFonts w:hint="default" w:ascii="Times New Roman" w:hAnsi="Times New Roman" w:cs="Times New Roman"/>
          <w:sz w:val="24"/>
          <w:highlight w:val="none"/>
        </w:rPr>
        <w:t>2Fe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O+3O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＝2Fe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O+6S</w:t>
      </w:r>
    </w:p>
    <w:p w14:paraId="7F83CD7C">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综合以上两反应式，沼气脱硫反应式如下：</w:t>
      </w:r>
    </w:p>
    <w:p w14:paraId="4A22C9AB">
      <w:pPr>
        <w:spacing w:line="360" w:lineRule="auto"/>
        <w:ind w:firstLine="480" w:firstLineChars="200"/>
        <w:jc w:val="center"/>
        <w:rPr>
          <w:rFonts w:hint="default" w:ascii="Times New Roman" w:hAnsi="Times New Roman" w:cs="Times New Roman"/>
          <w:sz w:val="24"/>
          <w:highlight w:val="none"/>
        </w:rPr>
      </w:pP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S+1/2O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O（反应条件是Fe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p>
    <w:p w14:paraId="28245CE4">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由以上化学反应方程式可以看出，Fe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S变成Fe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要还原成Fe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，需要O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，通过鼓风机在脱硫装置之前向沼气中投加空气即可满足脱硫剂还原对O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的要求。</w:t>
      </w:r>
    </w:p>
    <w:p w14:paraId="7E2865E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因此，在沼气进入脱硫装置通过脱硫剂时，同时鼓入空气，脱硫剂吸收H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S失效，空气中的O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将失效的脱硫剂还原再生成Fe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，此工艺即为沼气干法脱硫的连续再生工艺。</w:t>
      </w:r>
    </w:p>
    <w:p w14:paraId="2F0FD9D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脱硫剂为圆形颗粒结构固体，对H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S能进行快速的不可逆化学吸附，数秒内可将H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S脱除到1×10</w:t>
      </w:r>
      <w:r>
        <w:rPr>
          <w:rFonts w:hint="default" w:ascii="Times New Roman" w:hAnsi="Times New Roman" w:cs="Times New Roman"/>
          <w:sz w:val="24"/>
          <w:highlight w:val="none"/>
          <w:vertAlign w:val="superscript"/>
        </w:rPr>
        <w:t>- 6</w:t>
      </w:r>
      <w:r>
        <w:rPr>
          <w:rFonts w:hint="default" w:ascii="Times New Roman" w:hAnsi="Times New Roman" w:cs="Times New Roman"/>
          <w:sz w:val="24"/>
          <w:highlight w:val="none"/>
        </w:rPr>
        <w:t>以下。脱硫剂工作一定时间后，其活性会逐渐下降，脱硫效果逐渐变差。当脱硫装置出口沼气中H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S的含量超过20mg/m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时，就需要对脱硫剂进行处理。当脱硫剂中硫未达到30%时，脱硫剂可进行再生；若脱硫剂硫容超过30%时，就要更新脱硫剂。项目一年更换一次脱硫剂。</w:t>
      </w:r>
    </w:p>
    <w:p w14:paraId="2E83BC52">
      <w:pPr>
        <w:adjustRightInd w:val="0"/>
        <w:snapToGrid w:val="0"/>
        <w:spacing w:line="360" w:lineRule="auto"/>
        <w:ind w:firstLine="480"/>
        <w:rPr>
          <w:rFonts w:hint="default" w:ascii="Times New Roman" w:hAnsi="Times New Roman" w:cs="Times New Roman"/>
          <w:sz w:val="24"/>
          <w:highlight w:val="none"/>
        </w:rPr>
      </w:pPr>
      <w:r>
        <w:rPr>
          <w:rFonts w:hint="default" w:ascii="Times New Roman" w:hAnsi="Times New Roman" w:cs="Times New Roman"/>
          <w:sz w:val="24"/>
          <w:highlight w:val="none"/>
        </w:rPr>
        <w:t>干法脱硫装置包括要包括主体钢结构、脱硫剂填料、观察窗、压力表、温度表等组件。项目干法脱硫装置设计规模为30m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/h，操作压力≤15kpa，阻力≤15kpa，净化率≥95%。</w:t>
      </w:r>
    </w:p>
    <w:p w14:paraId="797FA1C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沼气宜作为燃料直接利用。</w:t>
      </w:r>
      <w:r>
        <w:rPr>
          <w:rFonts w:hint="default" w:ascii="Times New Roman" w:hAnsi="Times New Roman" w:eastAsia="宋体" w:cs="Times New Roman"/>
          <w:snapToGrid w:val="0"/>
          <w:color w:val="auto"/>
          <w:highlight w:val="none"/>
          <w:lang w:val="en-US" w:eastAsia="zh-CN"/>
        </w:rPr>
        <w:t>本项目</w:t>
      </w:r>
      <w:r>
        <w:rPr>
          <w:rFonts w:hint="default" w:ascii="Times New Roman" w:hAnsi="Times New Roman" w:eastAsia="宋体" w:cs="Times New Roman"/>
          <w:snapToGrid w:val="0"/>
          <w:color w:val="auto"/>
          <w:highlight w:val="none"/>
        </w:rPr>
        <w:t>火炬燃烧。</w:t>
      </w:r>
      <w:r>
        <w:rPr>
          <w:rFonts w:hint="eastAsia" w:ascii="Times New Roman" w:hAnsi="Times New Roman" w:cs="Times New Roman"/>
          <w:snapToGrid w:val="0"/>
          <w:color w:val="auto"/>
          <w:highlight w:val="none"/>
          <w:lang w:eastAsia="zh-CN"/>
        </w:rPr>
        <w:t>沼气燃烧处置</w:t>
      </w:r>
      <w:r>
        <w:rPr>
          <w:rFonts w:hint="default" w:ascii="Times New Roman" w:hAnsi="Times New Roman" w:eastAsia="宋体" w:cs="Times New Roman"/>
          <w:snapToGrid w:val="0"/>
          <w:color w:val="auto"/>
          <w:highlight w:val="none"/>
        </w:rPr>
        <w:t>前所采取的措施见图3</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p>
    <w:p w14:paraId="71BF121A">
      <w:pPr>
        <w:pStyle w:val="21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4841240" cy="727075"/>
            <wp:effectExtent l="0" t="0" r="16510" b="15875"/>
            <wp:docPr id="9" name="图片 9" descr="bb0b83df088b23e2748f26c0322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bb0b83df088b23e2748f26c03221284"/>
                    <pic:cNvPicPr>
                      <a:picLocks noChangeAspect="1"/>
                    </pic:cNvPicPr>
                  </pic:nvPicPr>
                  <pic:blipFill>
                    <a:blip r:embed="rId59"/>
                    <a:srcRect r="15277"/>
                    <a:stretch>
                      <a:fillRect/>
                    </a:stretch>
                  </pic:blipFill>
                  <pic:spPr>
                    <a:xfrm>
                      <a:off x="0" y="0"/>
                      <a:ext cx="4841240" cy="727075"/>
                    </a:xfrm>
                    <a:prstGeom prst="rect">
                      <a:avLst/>
                    </a:prstGeom>
                  </pic:spPr>
                </pic:pic>
              </a:graphicData>
            </a:graphic>
          </wp:inline>
        </w:drawing>
      </w:r>
    </w:p>
    <w:p w14:paraId="4C288C82">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6</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沼气</w:t>
      </w:r>
      <w:r>
        <w:rPr>
          <w:rFonts w:hint="eastAsia" w:ascii="Times New Roman" w:hAnsi="Times New Roman" w:eastAsia="黑体" w:cs="Times New Roman"/>
          <w:b w:val="0"/>
          <w:bCs/>
          <w:smallCaps w:val="0"/>
          <w:snapToGrid/>
          <w:kern w:val="2"/>
          <w:sz w:val="21"/>
          <w:szCs w:val="24"/>
          <w:highlight w:val="none"/>
          <w:lang w:val="en-US" w:eastAsia="zh-CN" w:bidi="ar-SA"/>
        </w:rPr>
        <w:t>燃烧</w:t>
      </w:r>
      <w:r>
        <w:rPr>
          <w:rFonts w:hint="default" w:ascii="Times New Roman" w:hAnsi="Times New Roman" w:eastAsia="黑体" w:cs="Times New Roman"/>
          <w:b w:val="0"/>
          <w:bCs/>
          <w:smallCaps w:val="0"/>
          <w:snapToGrid/>
          <w:kern w:val="2"/>
          <w:sz w:val="21"/>
          <w:szCs w:val="24"/>
          <w:highlight w:val="none"/>
          <w:lang w:val="zh-CN" w:eastAsia="zh-CN" w:bidi="ar-SA"/>
        </w:rPr>
        <w:t>处理工艺流程及产污图</w:t>
      </w:r>
    </w:p>
    <w:p w14:paraId="441711FF">
      <w:pPr>
        <w:pStyle w:val="7"/>
        <w:bidi w:val="0"/>
        <w:rPr>
          <w:rFonts w:hint="eastAsia"/>
          <w:highlight w:val="none"/>
          <w:lang w:eastAsia="zh-CN"/>
        </w:rPr>
      </w:pPr>
      <w:r>
        <w:rPr>
          <w:rFonts w:hint="default"/>
          <w:highlight w:val="none"/>
        </w:rPr>
        <w:t>3.</w:t>
      </w:r>
      <w:r>
        <w:rPr>
          <w:rFonts w:hint="eastAsia"/>
          <w:highlight w:val="none"/>
          <w:lang w:val="en-US" w:eastAsia="zh-CN"/>
        </w:rPr>
        <w:t>4</w:t>
      </w:r>
      <w:r>
        <w:rPr>
          <w:rFonts w:hint="default"/>
          <w:highlight w:val="none"/>
        </w:rPr>
        <w:t>.</w:t>
      </w:r>
      <w:r>
        <w:rPr>
          <w:rFonts w:hint="eastAsia"/>
          <w:highlight w:val="none"/>
          <w:lang w:val="en-US" w:eastAsia="zh-CN"/>
        </w:rPr>
        <w:t>9饲料</w:t>
      </w:r>
    </w:p>
    <w:p w14:paraId="5AA21F73">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snapToGrid w:val="0"/>
          <w:color w:val="auto"/>
          <w:highlight w:val="none"/>
          <w:lang w:val="en-US" w:eastAsia="zh-CN"/>
        </w:rPr>
        <w:t>本项目外购全价饲料，外购饲料直接管道密闭输送至饲料塔，饲料投料采用密闭管道投加，无粉尘排放</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厂区内设置饲料塔7座，饲料储量为130t，满负荷运行情况能够满足15天饲料用量，厂区内不设饲料储存区及饲料加工区</w:t>
      </w:r>
      <w:r>
        <w:rPr>
          <w:rFonts w:hint="default" w:ascii="Times New Roman" w:hAnsi="Times New Roman" w:eastAsia="宋体" w:cs="Times New Roman"/>
          <w:color w:val="auto"/>
          <w:highlight w:val="none"/>
        </w:rPr>
        <w:t>。</w:t>
      </w:r>
    </w:p>
    <w:p w14:paraId="77FAAC82">
      <w:pPr>
        <w:pStyle w:val="5"/>
        <w:bidi w:val="0"/>
        <w:rPr>
          <w:rFonts w:hint="default"/>
          <w:highlight w:val="none"/>
        </w:rPr>
      </w:pPr>
      <w:bookmarkStart w:id="456" w:name="_Toc21074"/>
      <w:bookmarkStart w:id="457" w:name="_Toc23254"/>
      <w:bookmarkStart w:id="458" w:name="_Toc24497"/>
      <w:bookmarkStart w:id="459" w:name="_Toc7137"/>
      <w:bookmarkStart w:id="460" w:name="_Toc22058"/>
      <w:r>
        <w:rPr>
          <w:rFonts w:hint="default"/>
          <w:highlight w:val="none"/>
        </w:rPr>
        <w:t>3.</w:t>
      </w:r>
      <w:r>
        <w:rPr>
          <w:rFonts w:hint="eastAsia"/>
          <w:highlight w:val="none"/>
          <w:lang w:val="en-US" w:eastAsia="zh-CN"/>
        </w:rPr>
        <w:t>5</w:t>
      </w:r>
      <w:r>
        <w:rPr>
          <w:rFonts w:hint="default"/>
          <w:highlight w:val="none"/>
        </w:rPr>
        <w:t>工程污染源强分析</w:t>
      </w:r>
      <w:bookmarkEnd w:id="448"/>
      <w:bookmarkEnd w:id="449"/>
      <w:bookmarkEnd w:id="450"/>
      <w:bookmarkEnd w:id="456"/>
      <w:bookmarkEnd w:id="457"/>
      <w:bookmarkEnd w:id="458"/>
      <w:bookmarkEnd w:id="459"/>
      <w:bookmarkEnd w:id="460"/>
    </w:p>
    <w:p w14:paraId="131306D0">
      <w:pPr>
        <w:pStyle w:val="7"/>
        <w:bidi w:val="0"/>
        <w:rPr>
          <w:rFonts w:hint="default"/>
          <w:highlight w:val="none"/>
        </w:rPr>
      </w:pPr>
      <w:bookmarkStart w:id="461" w:name="_Toc15962"/>
      <w:bookmarkStart w:id="462" w:name="_Toc17584"/>
      <w:bookmarkStart w:id="463" w:name="_Toc11515"/>
      <w:bookmarkStart w:id="464" w:name="_Toc31777"/>
      <w:r>
        <w:rPr>
          <w:rFonts w:hint="default"/>
          <w:highlight w:val="none"/>
        </w:rPr>
        <w:t>3.</w:t>
      </w:r>
      <w:r>
        <w:rPr>
          <w:rFonts w:hint="eastAsia"/>
          <w:highlight w:val="none"/>
          <w:lang w:val="en-US" w:eastAsia="zh-CN"/>
        </w:rPr>
        <w:t>5</w:t>
      </w:r>
      <w:r>
        <w:rPr>
          <w:rFonts w:hint="default"/>
          <w:highlight w:val="none"/>
        </w:rPr>
        <w:t>.1施工期污染源及源强分析</w:t>
      </w:r>
      <w:bookmarkEnd w:id="461"/>
      <w:bookmarkEnd w:id="462"/>
      <w:bookmarkEnd w:id="463"/>
      <w:bookmarkEnd w:id="464"/>
    </w:p>
    <w:p w14:paraId="7A61188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snapToGrid w:val="0"/>
          <w:color w:val="auto"/>
          <w:highlight w:val="none"/>
        </w:rPr>
        <w:t>施工活动的工程内容主要为：平整土地、管线铺设</w:t>
      </w:r>
      <w:r>
        <w:rPr>
          <w:rFonts w:hint="eastAsia" w:ascii="Times New Roman" w:hAnsi="Times New Roman" w:cs="Times New Roman"/>
          <w:snapToGrid w:val="0"/>
          <w:color w:val="auto"/>
          <w:highlight w:val="none"/>
          <w:lang w:val="en-US" w:eastAsia="zh-CN"/>
        </w:rPr>
        <w:t>和</w:t>
      </w:r>
      <w:r>
        <w:rPr>
          <w:rFonts w:hint="default" w:ascii="Times New Roman" w:hAnsi="Times New Roman" w:eastAsia="宋体" w:cs="Times New Roman"/>
          <w:snapToGrid w:val="0"/>
          <w:color w:val="auto"/>
          <w:highlight w:val="none"/>
        </w:rPr>
        <w:t>设备安装，主要影响范围为项目场区区域，施工过程将产生施工扬尘、施工废水、施工噪声、施工固废及生活垃圾等污染物，主要环境影响因子包括环境空气、水环境、声环境、人群健康、生态环境等，并新增少量水土流失。</w:t>
      </w:r>
    </w:p>
    <w:p w14:paraId="2D67BADA">
      <w:pPr>
        <w:pStyle w:val="8"/>
        <w:bidi w:val="0"/>
        <w:rPr>
          <w:rFonts w:hint="default" w:ascii="Times New Roman" w:hAnsi="Times New Roman" w:eastAsia="宋体" w:cs="Times New Roman"/>
          <w:snapToGrid w:val="0"/>
          <w:color w:val="auto"/>
          <w:highlight w:val="none"/>
        </w:rPr>
      </w:pPr>
      <w:bookmarkStart w:id="465" w:name="_Toc4282"/>
      <w:bookmarkStart w:id="466" w:name="_Toc27261"/>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.1.1废水</w:t>
      </w:r>
      <w:bookmarkEnd w:id="465"/>
      <w:bookmarkEnd w:id="466"/>
    </w:p>
    <w:p w14:paraId="341FCCE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项目施工期对水环境造成的影响主要有施工废水和生活污水。施工场地堆放的土石方被雨水冲刷易对地面径流产生污染。施工机械不在现场维修和冲洗，施工废水主要污染因子为COD、BOD</w:t>
      </w:r>
      <w:r>
        <w:rPr>
          <w:rFonts w:hint="default" w:ascii="Times New Roman" w:hAnsi="Times New Roman" w:eastAsia="宋体" w:cs="Times New Roman"/>
          <w:snapToGrid w:val="0"/>
          <w:color w:val="auto"/>
          <w:highlight w:val="none"/>
          <w:vertAlign w:val="subscript"/>
        </w:rPr>
        <w:t>5</w:t>
      </w:r>
      <w:r>
        <w:rPr>
          <w:rFonts w:hint="default" w:ascii="Times New Roman" w:hAnsi="Times New Roman" w:eastAsia="宋体" w:cs="Times New Roman"/>
          <w:snapToGrid w:val="0"/>
          <w:color w:val="auto"/>
          <w:highlight w:val="none"/>
        </w:rPr>
        <w:t>、氨氮、SS、石油类。施工现场设置临时沉淀池，施工废水经沉淀后上清液用于施工场地和道路洒水降尘。</w:t>
      </w:r>
    </w:p>
    <w:p w14:paraId="7B94FCB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施工现场高峰期人数约为</w:t>
      </w:r>
      <w:r>
        <w:rPr>
          <w:rFonts w:hint="default" w:ascii="Times New Roman" w:hAnsi="Times New Roman" w:eastAsia="宋体" w:cs="Times New Roman"/>
          <w:snapToGrid w:val="0"/>
          <w:color w:val="auto"/>
          <w:highlight w:val="none"/>
          <w:lang w:eastAsia="zh-CN"/>
        </w:rPr>
        <w:t>10人</w:t>
      </w:r>
      <w:r>
        <w:rPr>
          <w:rFonts w:hint="default" w:ascii="Times New Roman" w:hAnsi="Times New Roman" w:eastAsia="宋体" w:cs="Times New Roman"/>
          <w:snapToGrid w:val="0"/>
          <w:color w:val="auto"/>
          <w:highlight w:val="none"/>
        </w:rPr>
        <w:t>，按照《建筑给水排水设计标准》（GB50015-2019）规定的办公用水量，施工营地施工人员人均用水量约</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0L/人·天，废水排放系数按0.8计算，每天排放生活污水约</w:t>
      </w:r>
      <w:r>
        <w:rPr>
          <w:rFonts w:hint="default" w:ascii="Times New Roman" w:hAnsi="Times New Roman" w:eastAsia="宋体" w:cs="Times New Roman"/>
          <w:snapToGrid w:val="0"/>
          <w:color w:val="auto"/>
          <w:highlight w:val="none"/>
          <w:lang w:val="en-US" w:eastAsia="zh-CN"/>
        </w:rPr>
        <w:t>0.32</w:t>
      </w:r>
      <w:r>
        <w:rPr>
          <w:rFonts w:hint="default" w:ascii="Times New Roman" w:hAnsi="Times New Roman" w:eastAsia="宋体" w:cs="Times New Roman"/>
          <w:snapToGrid w:val="0"/>
          <w:color w:val="auto"/>
          <w:highlight w:val="none"/>
        </w:rPr>
        <w:t>t/d，污染物产生情况见下表3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-1。施工场地不设置食堂。</w:t>
      </w:r>
      <w:r>
        <w:rPr>
          <w:rFonts w:hint="default" w:ascii="Times New Roman" w:hAnsi="Times New Roman" w:eastAsia="宋体" w:cs="Times New Roman"/>
          <w:color w:val="auto"/>
          <w:sz w:val="24"/>
          <w:szCs w:val="24"/>
          <w:highlight w:val="none"/>
        </w:rPr>
        <w:t>生活污水</w:t>
      </w:r>
      <w:r>
        <w:rPr>
          <w:rFonts w:hint="default" w:ascii="Times New Roman" w:hAnsi="Times New Roman" w:cs="Times New Roman"/>
          <w:snapToGrid w:val="0"/>
          <w:color w:val="auto"/>
          <w:highlight w:val="none"/>
          <w:lang w:val="en-US" w:eastAsia="zh-CN"/>
        </w:rPr>
        <w:t>排入黑膜厌氧池</w:t>
      </w:r>
      <w:r>
        <w:rPr>
          <w:rFonts w:hint="default" w:ascii="Times New Roman" w:hAnsi="Times New Roman" w:eastAsia="宋体" w:cs="Times New Roman"/>
          <w:color w:val="auto"/>
          <w:sz w:val="24"/>
          <w:szCs w:val="24"/>
          <w:highlight w:val="none"/>
        </w:rPr>
        <w:t>，不外排</w:t>
      </w:r>
      <w:r>
        <w:rPr>
          <w:rFonts w:hint="default" w:ascii="Times New Roman" w:hAnsi="Times New Roman" w:eastAsia="宋体" w:cs="Times New Roman"/>
          <w:snapToGrid w:val="0"/>
          <w:color w:val="auto"/>
          <w:highlight w:val="none"/>
        </w:rPr>
        <w:t>。</w:t>
      </w:r>
    </w:p>
    <w:p w14:paraId="670AEE0F">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施工期生活污水排放情况表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2062"/>
        <w:gridCol w:w="858"/>
        <w:gridCol w:w="1080"/>
        <w:gridCol w:w="1080"/>
        <w:gridCol w:w="1080"/>
        <w:gridCol w:w="1080"/>
      </w:tblGrid>
      <w:tr w14:paraId="45223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2" w:type="pct"/>
            <w:vAlign w:val="center"/>
          </w:tcPr>
          <w:p w14:paraId="38B1F3B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废水量（t/d）</w:t>
            </w:r>
          </w:p>
        </w:tc>
        <w:tc>
          <w:tcPr>
            <w:tcW w:w="1209" w:type="pct"/>
            <w:vAlign w:val="center"/>
          </w:tcPr>
          <w:p w14:paraId="7033913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水质</w:t>
            </w:r>
          </w:p>
        </w:tc>
        <w:tc>
          <w:tcPr>
            <w:tcW w:w="503" w:type="pct"/>
            <w:vAlign w:val="center"/>
          </w:tcPr>
          <w:p w14:paraId="3A236BB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r>
              <w:rPr>
                <w:rFonts w:hint="default" w:ascii="Times New Roman" w:hAnsi="Times New Roman" w:eastAsia="宋体" w:cs="Times New Roman"/>
                <w:snapToGrid w:val="0"/>
                <w:color w:val="auto"/>
                <w:highlight w:val="none"/>
                <w:vertAlign w:val="subscript"/>
              </w:rPr>
              <w:t>cr</w:t>
            </w:r>
          </w:p>
        </w:tc>
        <w:tc>
          <w:tcPr>
            <w:tcW w:w="633" w:type="pct"/>
            <w:vAlign w:val="center"/>
          </w:tcPr>
          <w:p w14:paraId="520C667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BOD</w:t>
            </w:r>
            <w:r>
              <w:rPr>
                <w:rFonts w:hint="default" w:ascii="Times New Roman" w:hAnsi="Times New Roman" w:eastAsia="宋体" w:cs="Times New Roman"/>
                <w:snapToGrid w:val="0"/>
                <w:color w:val="auto"/>
                <w:highlight w:val="none"/>
                <w:vertAlign w:val="subscript"/>
              </w:rPr>
              <w:t>5</w:t>
            </w:r>
          </w:p>
        </w:tc>
        <w:tc>
          <w:tcPr>
            <w:tcW w:w="633" w:type="pct"/>
            <w:vAlign w:val="center"/>
          </w:tcPr>
          <w:p w14:paraId="1AB9A82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SS</w:t>
            </w:r>
          </w:p>
        </w:tc>
        <w:tc>
          <w:tcPr>
            <w:tcW w:w="633" w:type="pct"/>
            <w:vAlign w:val="center"/>
          </w:tcPr>
          <w:p w14:paraId="1A981EA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633" w:type="pct"/>
            <w:vAlign w:val="center"/>
          </w:tcPr>
          <w:p w14:paraId="2DEE695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植物油</w:t>
            </w:r>
          </w:p>
        </w:tc>
      </w:tr>
      <w:tr w14:paraId="42EDB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2" w:type="pct"/>
            <w:vMerge w:val="restart"/>
            <w:vAlign w:val="center"/>
          </w:tcPr>
          <w:p w14:paraId="77E64949">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0.</w:t>
            </w:r>
            <w:r>
              <w:rPr>
                <w:rFonts w:hint="default" w:ascii="Times New Roman" w:hAnsi="Times New Roman" w:eastAsia="宋体" w:cs="Times New Roman"/>
                <w:snapToGrid w:val="0"/>
                <w:color w:val="auto"/>
                <w:highlight w:val="none"/>
                <w:lang w:val="en-US" w:eastAsia="zh-CN"/>
              </w:rPr>
              <w:t>32</w:t>
            </w:r>
          </w:p>
        </w:tc>
        <w:tc>
          <w:tcPr>
            <w:tcW w:w="1209" w:type="pct"/>
            <w:vAlign w:val="center"/>
          </w:tcPr>
          <w:p w14:paraId="6235550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产生浓度（mg/L）</w:t>
            </w:r>
          </w:p>
        </w:tc>
        <w:tc>
          <w:tcPr>
            <w:tcW w:w="503" w:type="pct"/>
            <w:vAlign w:val="center"/>
          </w:tcPr>
          <w:p w14:paraId="5CB002E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300</w:t>
            </w:r>
          </w:p>
        </w:tc>
        <w:tc>
          <w:tcPr>
            <w:tcW w:w="633" w:type="pct"/>
            <w:vAlign w:val="center"/>
          </w:tcPr>
          <w:p w14:paraId="017AE0E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633" w:type="pct"/>
            <w:vAlign w:val="center"/>
          </w:tcPr>
          <w:p w14:paraId="5785373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633" w:type="pct"/>
            <w:vAlign w:val="center"/>
          </w:tcPr>
          <w:p w14:paraId="37D4D31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c>
          <w:tcPr>
            <w:tcW w:w="633" w:type="pct"/>
            <w:vAlign w:val="center"/>
          </w:tcPr>
          <w:p w14:paraId="60602F7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w:t>
            </w:r>
          </w:p>
        </w:tc>
      </w:tr>
      <w:tr w14:paraId="731C12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14:paraId="310B8EEB">
            <w:pPr>
              <w:pStyle w:val="152"/>
              <w:adjustRightInd w:val="0"/>
              <w:snapToGrid w:val="0"/>
              <w:rPr>
                <w:rFonts w:hint="default" w:ascii="Times New Roman" w:hAnsi="Times New Roman" w:eastAsia="宋体" w:cs="Times New Roman"/>
                <w:snapToGrid w:val="0"/>
                <w:color w:val="auto"/>
                <w:highlight w:val="none"/>
              </w:rPr>
            </w:pPr>
          </w:p>
        </w:tc>
        <w:tc>
          <w:tcPr>
            <w:tcW w:w="1209" w:type="pct"/>
            <w:vAlign w:val="center"/>
          </w:tcPr>
          <w:p w14:paraId="2C478BA0">
            <w:pPr>
              <w:pStyle w:val="152"/>
              <w:adjustRightInd w:val="0"/>
              <w:snapToGrid w:val="0"/>
              <w:rPr>
                <w:rFonts w:hint="default" w:ascii="Times New Roman" w:hAnsi="Times New Roman" w:eastAsia="宋体" w:cs="Times New Roman"/>
                <w:b/>
                <w:snapToGrid w:val="0"/>
                <w:color w:val="auto"/>
                <w:highlight w:val="none"/>
              </w:rPr>
            </w:pPr>
            <w:r>
              <w:rPr>
                <w:rFonts w:hint="default" w:ascii="Times New Roman" w:hAnsi="Times New Roman" w:eastAsia="宋体" w:cs="Times New Roman"/>
                <w:snapToGrid w:val="0"/>
                <w:color w:val="auto"/>
                <w:highlight w:val="none"/>
              </w:rPr>
              <w:t>产生量（kg/d）</w:t>
            </w:r>
          </w:p>
        </w:tc>
        <w:tc>
          <w:tcPr>
            <w:tcW w:w="503" w:type="pct"/>
            <w:vAlign w:val="center"/>
          </w:tcPr>
          <w:p w14:paraId="08133EAB">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0.096</w:t>
            </w:r>
          </w:p>
        </w:tc>
        <w:tc>
          <w:tcPr>
            <w:tcW w:w="633" w:type="pct"/>
            <w:vAlign w:val="center"/>
          </w:tcPr>
          <w:p w14:paraId="07D59EFE">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0.064</w:t>
            </w:r>
          </w:p>
        </w:tc>
        <w:tc>
          <w:tcPr>
            <w:tcW w:w="633" w:type="pct"/>
            <w:vAlign w:val="center"/>
          </w:tcPr>
          <w:p w14:paraId="4A2A0A8B">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0.064</w:t>
            </w:r>
          </w:p>
        </w:tc>
        <w:tc>
          <w:tcPr>
            <w:tcW w:w="633" w:type="pct"/>
            <w:vAlign w:val="center"/>
          </w:tcPr>
          <w:p w14:paraId="4CF83DF8">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0.0096</w:t>
            </w:r>
          </w:p>
        </w:tc>
        <w:tc>
          <w:tcPr>
            <w:tcW w:w="633" w:type="pct"/>
            <w:vAlign w:val="center"/>
          </w:tcPr>
          <w:p w14:paraId="1B62179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0.008</w:t>
            </w:r>
          </w:p>
        </w:tc>
      </w:tr>
    </w:tbl>
    <w:p w14:paraId="4FAFC86A">
      <w:pPr>
        <w:pStyle w:val="8"/>
        <w:bidi w:val="0"/>
        <w:rPr>
          <w:rFonts w:hint="default" w:ascii="Times New Roman" w:hAnsi="Times New Roman" w:eastAsia="宋体" w:cs="Times New Roman"/>
          <w:snapToGrid w:val="0"/>
          <w:color w:val="auto"/>
          <w:highlight w:val="none"/>
        </w:rPr>
      </w:pPr>
      <w:bookmarkStart w:id="467" w:name="_Toc31719"/>
      <w:bookmarkStart w:id="468" w:name="_Toc14714"/>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.1.2废气</w:t>
      </w:r>
      <w:bookmarkEnd w:id="467"/>
      <w:bookmarkEnd w:id="468"/>
    </w:p>
    <w:p w14:paraId="1B38501B">
      <w:pPr>
        <w:pStyle w:val="94"/>
        <w:ind w:firstLine="480"/>
        <w:rPr>
          <w:rFonts w:hint="default" w:ascii="Times New Roman" w:hAnsi="Times New Roman" w:eastAsia="宋体" w:cs="Times New Roman"/>
          <w:snapToGrid w:val="0"/>
          <w:color w:val="auto"/>
          <w:szCs w:val="20"/>
          <w:highlight w:val="none"/>
        </w:rPr>
      </w:pPr>
      <w:r>
        <w:rPr>
          <w:rFonts w:hint="default" w:ascii="Times New Roman" w:hAnsi="Times New Roman" w:eastAsia="宋体" w:cs="Times New Roman"/>
          <w:snapToGrid w:val="0"/>
          <w:color w:val="auto"/>
          <w:highlight w:val="none"/>
        </w:rPr>
        <w:t>施工期大气污染物主要为施工机械、运输车辆尾气，施工环节产生的扬尘。施工期扬尘主要产生于土方挖掘、平整土地、建材装卸以及车辆行使等作业环节。根据类比调查，施工作业场地近地面扬尘浓度可达1.5mg/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～30mg/m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，将对养殖项目周边产生一定的不利影响。考虑到施工期产生扬尘颗粒粒径较大，受自然沉降作用明显。由于施工机械数量少且较分散，施工期不长，其污染程度相对较轻</w:t>
      </w:r>
      <w:r>
        <w:rPr>
          <w:rFonts w:hint="default" w:ascii="Times New Roman" w:hAnsi="Times New Roman" w:eastAsia="宋体" w:cs="Times New Roman"/>
          <w:snapToGrid w:val="0"/>
          <w:color w:val="auto"/>
          <w:szCs w:val="20"/>
          <w:highlight w:val="none"/>
        </w:rPr>
        <w:t>。</w:t>
      </w:r>
    </w:p>
    <w:p w14:paraId="78277FB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有关资料显示，施工现场扬尘的另一个主要来源是车辆运输造成的，约占扬尘总量的60%。扬尘量的大小与天气干燥程度、道路路况、车辆行驶速度、风速大小等有关。一般情况下，在自然风作用下道路扬尘影响范围在100m以内，在大风天气，扬尘量及影响范围将有所扩大。对于施工中的挖方、填方作业及施工场地，采用洒水降尘的湿法作业抑制扬尘，以降低对大气环境影响。</w:t>
      </w:r>
    </w:p>
    <w:p w14:paraId="1578CEC3">
      <w:pPr>
        <w:pStyle w:val="8"/>
        <w:bidi w:val="0"/>
        <w:rPr>
          <w:rFonts w:hint="default" w:ascii="Times New Roman" w:hAnsi="Times New Roman" w:eastAsia="宋体" w:cs="Times New Roman"/>
          <w:snapToGrid w:val="0"/>
          <w:color w:val="auto"/>
          <w:highlight w:val="none"/>
        </w:rPr>
      </w:pPr>
      <w:bookmarkStart w:id="469" w:name="_Toc24277"/>
      <w:bookmarkStart w:id="470" w:name="_Toc30874"/>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.1.3噪声</w:t>
      </w:r>
      <w:bookmarkEnd w:id="469"/>
      <w:bookmarkEnd w:id="470"/>
    </w:p>
    <w:p w14:paraId="278CF7D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施工期的噪声主要来源于施工机械，如推土机、装载机、挖掘机等，这些突发性非稳态声源将对施工人员和施工沿线声环境产生不利影响。</w:t>
      </w:r>
    </w:p>
    <w:p w14:paraId="148E9BE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不同施工阶段的噪声源和物性不同可分为：</w:t>
      </w:r>
    </w:p>
    <w:p w14:paraId="541F9A9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①基础施工阶段：主要噪声源是各种装载机、挖掘机、推土机等，大部分为移动声源。该阶段占整个施工期比例较小，但噪声大；</w:t>
      </w:r>
    </w:p>
    <w:p w14:paraId="56842D6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②建筑结构施工阶段：主要噪声源是塔式起重机、钢筋调直机、电渣焊机、电焊机、石料切割机、机械振捣器和电锯等等，此阶段占整个施工期比例最大。声源有固定的也有移动的；</w:t>
      </w:r>
    </w:p>
    <w:p w14:paraId="46F5283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③设备安装阶段：主要噪声源有电锯、电锤等。此阶段占施工期的比例也较大，但大部分在房间内部使用，对环境影响不大。</w:t>
      </w:r>
    </w:p>
    <w:p w14:paraId="2706E2F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施工阶段主要噪声源强详见表3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-2。</w:t>
      </w:r>
    </w:p>
    <w:p w14:paraId="199E5A56">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w:t>
      </w:r>
      <w:r>
        <w:rPr>
          <w:rFonts w:hint="default" w:ascii="Times New Roman" w:hAnsi="Times New Roman" w:eastAsia="黑体" w:cs="Times New Roman"/>
          <w:b w:val="0"/>
          <w:bCs/>
          <w:smallCaps w:val="0"/>
          <w:snapToGrid/>
          <w:kern w:val="2"/>
          <w:sz w:val="21"/>
          <w:szCs w:val="24"/>
          <w:highlight w:val="none"/>
          <w:lang w:val="zh-CN" w:eastAsia="zh-CN" w:bidi="ar-SA"/>
        </w:rPr>
        <w:t>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zh-CN" w:eastAsia="zh-CN" w:bidi="ar-SA"/>
        </w:rPr>
        <w:t>-2</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各施工阶段主要噪声源强</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79"/>
        <w:gridCol w:w="2019"/>
        <w:gridCol w:w="3924"/>
      </w:tblGrid>
      <w:tr w14:paraId="38A6C8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45611F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声源</w:t>
            </w:r>
          </w:p>
        </w:tc>
        <w:tc>
          <w:tcPr>
            <w:tcW w:w="0" w:type="auto"/>
            <w:vAlign w:val="center"/>
          </w:tcPr>
          <w:p w14:paraId="327A8AA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型号规格</w:t>
            </w:r>
          </w:p>
        </w:tc>
        <w:tc>
          <w:tcPr>
            <w:tcW w:w="0" w:type="auto"/>
            <w:vAlign w:val="center"/>
          </w:tcPr>
          <w:p w14:paraId="716B2B1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噪声源强dB（A）</w:t>
            </w:r>
          </w:p>
        </w:tc>
      </w:tr>
      <w:tr w14:paraId="4FD30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6DDE29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装载机</w:t>
            </w:r>
          </w:p>
        </w:tc>
        <w:tc>
          <w:tcPr>
            <w:tcW w:w="2019" w:type="dxa"/>
            <w:vAlign w:val="center"/>
          </w:tcPr>
          <w:p w14:paraId="396332B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545E17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30C38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0F3AE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挖掘机</w:t>
            </w:r>
          </w:p>
        </w:tc>
        <w:tc>
          <w:tcPr>
            <w:tcW w:w="2019" w:type="dxa"/>
            <w:vAlign w:val="center"/>
          </w:tcPr>
          <w:p w14:paraId="2C3D9C2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25836D3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4506B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9A89B6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推土机</w:t>
            </w:r>
          </w:p>
        </w:tc>
        <w:tc>
          <w:tcPr>
            <w:tcW w:w="2019" w:type="dxa"/>
            <w:vAlign w:val="center"/>
          </w:tcPr>
          <w:p w14:paraId="7D9C86C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0593555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031DC4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C22E55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塔式起重机</w:t>
            </w:r>
          </w:p>
        </w:tc>
        <w:tc>
          <w:tcPr>
            <w:tcW w:w="2019" w:type="dxa"/>
            <w:vAlign w:val="center"/>
          </w:tcPr>
          <w:p w14:paraId="32DAAEB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8178F0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5DDB75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0DCE40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钢筋调直机</w:t>
            </w:r>
          </w:p>
        </w:tc>
        <w:tc>
          <w:tcPr>
            <w:tcW w:w="2019" w:type="dxa"/>
            <w:vAlign w:val="center"/>
          </w:tcPr>
          <w:p w14:paraId="2C1B6E7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2EDA1E5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14255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03348A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电渣焊机</w:t>
            </w:r>
          </w:p>
        </w:tc>
        <w:tc>
          <w:tcPr>
            <w:tcW w:w="2019" w:type="dxa"/>
            <w:vAlign w:val="center"/>
          </w:tcPr>
          <w:p w14:paraId="607E018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A84BC4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6CB08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0CD98F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交流电焊机</w:t>
            </w:r>
          </w:p>
        </w:tc>
        <w:tc>
          <w:tcPr>
            <w:tcW w:w="2019" w:type="dxa"/>
            <w:vAlign w:val="center"/>
          </w:tcPr>
          <w:p w14:paraId="716BE9D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5016BB5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3C94A7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46D528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直流电焊机</w:t>
            </w:r>
          </w:p>
        </w:tc>
        <w:tc>
          <w:tcPr>
            <w:tcW w:w="2019" w:type="dxa"/>
            <w:vAlign w:val="center"/>
          </w:tcPr>
          <w:p w14:paraId="2FDEDF9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8D3C60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52510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C73C70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石料切割机</w:t>
            </w:r>
          </w:p>
        </w:tc>
        <w:tc>
          <w:tcPr>
            <w:tcW w:w="2019" w:type="dxa"/>
            <w:vAlign w:val="center"/>
          </w:tcPr>
          <w:p w14:paraId="53B2373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0D4FC2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1B901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A3BC16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机械振捣器</w:t>
            </w:r>
          </w:p>
        </w:tc>
        <w:tc>
          <w:tcPr>
            <w:tcW w:w="2019" w:type="dxa"/>
            <w:vAlign w:val="center"/>
          </w:tcPr>
          <w:p w14:paraId="02BD2EE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C7E194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75</w:t>
            </w:r>
          </w:p>
        </w:tc>
      </w:tr>
      <w:tr w14:paraId="0B5AFA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BF7463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电锯</w:t>
            </w:r>
          </w:p>
        </w:tc>
        <w:tc>
          <w:tcPr>
            <w:tcW w:w="2019" w:type="dxa"/>
            <w:vAlign w:val="center"/>
          </w:tcPr>
          <w:p w14:paraId="77F7B6A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C762F5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7B66B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42D43B4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电锤</w:t>
            </w:r>
          </w:p>
        </w:tc>
        <w:tc>
          <w:tcPr>
            <w:tcW w:w="0" w:type="auto"/>
            <w:vAlign w:val="center"/>
          </w:tcPr>
          <w:p w14:paraId="5CFE65E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3034A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1505BD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FBA0D0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电刨</w:t>
            </w:r>
          </w:p>
        </w:tc>
        <w:tc>
          <w:tcPr>
            <w:tcW w:w="0" w:type="auto"/>
            <w:vAlign w:val="center"/>
          </w:tcPr>
          <w:p w14:paraId="1139762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111FA27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bl>
    <w:p w14:paraId="453F7EC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此外，由于施工期运输车辆增加，会增加评价区内公路沿线地区的交通噪声污染。</w:t>
      </w:r>
    </w:p>
    <w:p w14:paraId="406334A7">
      <w:pPr>
        <w:pStyle w:val="8"/>
        <w:bidi w:val="0"/>
        <w:rPr>
          <w:rFonts w:hint="default" w:ascii="Times New Roman" w:hAnsi="Times New Roman" w:eastAsia="宋体" w:cs="Times New Roman"/>
          <w:snapToGrid w:val="0"/>
          <w:color w:val="auto"/>
          <w:highlight w:val="none"/>
        </w:rPr>
      </w:pPr>
      <w:bookmarkStart w:id="471" w:name="_Toc32095"/>
      <w:bookmarkStart w:id="472" w:name="_Toc23640"/>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.1.4固体废物</w:t>
      </w:r>
      <w:bookmarkEnd w:id="471"/>
      <w:bookmarkEnd w:id="472"/>
    </w:p>
    <w:p w14:paraId="5AA5EB5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Cs w:val="20"/>
          <w:highlight w:val="none"/>
        </w:rPr>
        <w:t>施工期固体废物主要包括建筑垃圾、施工弃土弃渣和生活垃圾。</w:t>
      </w:r>
      <w:r>
        <w:rPr>
          <w:rFonts w:hint="default" w:ascii="Times New Roman" w:hAnsi="Times New Roman" w:eastAsia="宋体" w:cs="Times New Roman"/>
          <w:snapToGrid w:val="0"/>
          <w:color w:val="auto"/>
          <w:highlight w:val="none"/>
        </w:rPr>
        <w:t>建筑垃圾有废建材、废钢材、包装袋等。对可再利用的建筑废料，应进行回收利用，以节省资源。多余废弃的砂、砾石可结合修路利用；</w:t>
      </w:r>
      <w:r>
        <w:rPr>
          <w:rFonts w:hint="default" w:ascii="Times New Roman" w:hAnsi="Times New Roman" w:eastAsia="宋体" w:cs="Times New Roman"/>
          <w:snapToGrid w:val="0"/>
          <w:color w:val="auto"/>
          <w:szCs w:val="20"/>
          <w:highlight w:val="none"/>
        </w:rPr>
        <w:t>除可回收利用外建筑垃圾应运输到环境保护管理部门指定的地点进行填埋，最大程度减小对环境的影响。</w:t>
      </w:r>
      <w:r>
        <w:rPr>
          <w:rFonts w:hint="default" w:ascii="Times New Roman" w:hAnsi="Times New Roman" w:eastAsia="宋体" w:cs="Times New Roman"/>
          <w:snapToGrid w:val="0"/>
          <w:color w:val="auto"/>
          <w:highlight w:val="none"/>
        </w:rPr>
        <w:t>本项目产生的土方主要为土地平整及挖地基时产生的少许土方，回填外平整场地，无弃土产生。</w:t>
      </w:r>
    </w:p>
    <w:p w14:paraId="723B6E3D">
      <w:pPr>
        <w:pStyle w:val="94"/>
        <w:ind w:firstLine="480"/>
        <w:rPr>
          <w:rFonts w:hint="default" w:ascii="Times New Roman" w:hAnsi="Times New Roman" w:eastAsia="宋体" w:cs="Times New Roman"/>
          <w:snapToGrid w:val="0"/>
          <w:color w:val="auto"/>
          <w:szCs w:val="20"/>
          <w:highlight w:val="none"/>
        </w:rPr>
      </w:pPr>
      <w:r>
        <w:rPr>
          <w:rFonts w:hint="default" w:ascii="Times New Roman" w:hAnsi="Times New Roman" w:eastAsia="宋体" w:cs="Times New Roman"/>
          <w:snapToGrid w:val="0"/>
          <w:color w:val="auto"/>
          <w:szCs w:val="20"/>
          <w:highlight w:val="none"/>
        </w:rPr>
        <w:t>施工期生活垃圾按照每天每人产生0.5kg固体废物计算，预计一天产生</w:t>
      </w:r>
      <w:r>
        <w:rPr>
          <w:rFonts w:hint="eastAsia" w:ascii="Times New Roman" w:hAnsi="Times New Roman" w:cs="Times New Roman"/>
          <w:snapToGrid w:val="0"/>
          <w:color w:val="auto"/>
          <w:szCs w:val="20"/>
          <w:highlight w:val="none"/>
          <w:lang w:val="en-US" w:eastAsia="zh-CN"/>
        </w:rPr>
        <w:t>5</w:t>
      </w:r>
      <w:r>
        <w:rPr>
          <w:rFonts w:hint="default" w:ascii="Times New Roman" w:hAnsi="Times New Roman" w:eastAsia="宋体" w:cs="Times New Roman"/>
          <w:snapToGrid w:val="0"/>
          <w:color w:val="auto"/>
          <w:szCs w:val="20"/>
          <w:highlight w:val="none"/>
        </w:rPr>
        <w:t>kg固体废物。施工人员产生的生活垃圾若随意堆放，不仅影响施工区环境景观，而且影响施工区环境卫生。在施工现场设置垃圾收集箱，集中收集后应由市政环卫部门统一清运处置。</w:t>
      </w:r>
    </w:p>
    <w:p w14:paraId="412F6C50">
      <w:pPr>
        <w:pStyle w:val="8"/>
        <w:bidi w:val="0"/>
        <w:rPr>
          <w:rFonts w:hint="default" w:ascii="Times New Roman" w:hAnsi="Times New Roman" w:eastAsia="宋体" w:cs="Times New Roman"/>
          <w:snapToGrid w:val="0"/>
          <w:color w:val="auto"/>
          <w:highlight w:val="none"/>
        </w:rPr>
      </w:pPr>
      <w:bookmarkStart w:id="473" w:name="_Toc28066"/>
      <w:bookmarkStart w:id="474" w:name="_Toc7565"/>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.1.5生态环境</w:t>
      </w:r>
      <w:bookmarkEnd w:id="473"/>
      <w:bookmarkEnd w:id="474"/>
    </w:p>
    <w:p w14:paraId="401B883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工程施工的生产活动扰动了局部原生地貌，破坏原有的地表植被，使局部生态环境遭受一定的影响。</w:t>
      </w:r>
    </w:p>
    <w:p w14:paraId="43023D1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工程施工过程中的挖方、填方等施工活动，将会在短期内加大水土流失量。施工场地土方的临时堆放、开挖面的裸露，土质松散，遇到降雨影响，如果防护不当，将使水土流失现象加剧。</w:t>
      </w:r>
    </w:p>
    <w:p w14:paraId="0784CC3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项目总占地面积</w:t>
      </w:r>
      <w:r>
        <w:rPr>
          <w:rFonts w:hint="eastAsia" w:ascii="Times New Roman" w:hAnsi="Times New Roman" w:cs="Times New Roman"/>
          <w:snapToGrid w:val="0"/>
          <w:color w:val="auto"/>
          <w:highlight w:val="none"/>
          <w:lang w:eastAsia="zh-CN"/>
        </w:rPr>
        <w:t>27000</w:t>
      </w:r>
      <w:r>
        <w:rPr>
          <w:rFonts w:hint="default" w:ascii="Times New Roman" w:hAnsi="Times New Roman" w:eastAsia="宋体" w:cs="Times New Roman"/>
          <w:snapToGrid w:val="0"/>
          <w:color w:val="auto"/>
          <w:highlight w:val="none"/>
        </w:rPr>
        <w:t>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，占地类型为</w:t>
      </w:r>
      <w:r>
        <w:rPr>
          <w:rFonts w:hint="eastAsia" w:ascii="Times New Roman" w:hAnsi="Times New Roman" w:cs="Times New Roman"/>
          <w:snapToGrid w:val="0"/>
          <w:color w:val="auto"/>
          <w:highlight w:val="none"/>
          <w:lang w:eastAsia="zh-CN"/>
        </w:rPr>
        <w:t>设施农用地</w:t>
      </w:r>
      <w:r>
        <w:rPr>
          <w:rFonts w:hint="default" w:ascii="Times New Roman" w:hAnsi="Times New Roman" w:eastAsia="宋体" w:cs="Times New Roman"/>
          <w:snapToGrid w:val="0"/>
          <w:color w:val="auto"/>
          <w:highlight w:val="none"/>
        </w:rPr>
        <w:t>，占地内无国家和地方保护物种。</w:t>
      </w:r>
    </w:p>
    <w:p w14:paraId="4A1340F4">
      <w:pPr>
        <w:pStyle w:val="7"/>
        <w:bidi w:val="0"/>
        <w:rPr>
          <w:rFonts w:hint="default"/>
          <w:highlight w:val="none"/>
        </w:rPr>
      </w:pPr>
      <w:bookmarkStart w:id="475" w:name="_Toc26321"/>
      <w:bookmarkStart w:id="476" w:name="_Toc4645"/>
      <w:bookmarkStart w:id="477" w:name="_Toc9587"/>
      <w:bookmarkStart w:id="478" w:name="_Toc18280"/>
      <w:r>
        <w:rPr>
          <w:rFonts w:hint="default"/>
          <w:highlight w:val="none"/>
        </w:rPr>
        <w:t>3.</w:t>
      </w:r>
      <w:r>
        <w:rPr>
          <w:rFonts w:hint="eastAsia"/>
          <w:highlight w:val="none"/>
          <w:lang w:val="en-US" w:eastAsia="zh-CN"/>
        </w:rPr>
        <w:t>5</w:t>
      </w:r>
      <w:r>
        <w:rPr>
          <w:rFonts w:hint="default"/>
          <w:highlight w:val="none"/>
        </w:rPr>
        <w:t>.2运营期污染源及源强分析</w:t>
      </w:r>
      <w:bookmarkEnd w:id="475"/>
      <w:bookmarkEnd w:id="476"/>
      <w:bookmarkEnd w:id="477"/>
      <w:bookmarkEnd w:id="478"/>
    </w:p>
    <w:p w14:paraId="3465B3E5">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运营期污染主要来源于养殖过程中产生的恶臭气体、养殖废水与生活污水、猪粪与其他</w:t>
      </w:r>
      <w:r>
        <w:rPr>
          <w:rFonts w:hint="default" w:ascii="Times New Roman" w:hAnsi="Times New Roman" w:eastAsia="宋体" w:cs="Times New Roman"/>
          <w:snapToGrid w:val="0"/>
          <w:color w:val="auto"/>
          <w:sz w:val="24"/>
          <w:szCs w:val="24"/>
          <w:highlight w:val="none"/>
        </w:rPr>
        <w:t>固体废物等。本项目养殖场建成后</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eastAsia="zh-CN"/>
        </w:rPr>
        <w:t>存栏规模为</w:t>
      </w:r>
      <w:r>
        <w:rPr>
          <w:rFonts w:hint="eastAsia" w:ascii="Times New Roman" w:hAnsi="Times New Roman" w:cs="Times New Roman"/>
          <w:color w:val="auto"/>
          <w:highlight w:val="none"/>
          <w:lang w:val="en-US" w:eastAsia="zh-CN"/>
        </w:rPr>
        <w:t>8000</w:t>
      </w:r>
      <w:r>
        <w:rPr>
          <w:rFonts w:hint="default" w:ascii="Times New Roman" w:hAnsi="Times New Roman" w:eastAsia="宋体" w:cs="Times New Roman"/>
          <w:color w:val="auto"/>
          <w:highlight w:val="none"/>
          <w:lang w:eastAsia="zh-CN"/>
        </w:rPr>
        <w:t>头，年出栏</w:t>
      </w:r>
      <w:r>
        <w:rPr>
          <w:rFonts w:hint="eastAsia" w:ascii="Times New Roman" w:hAnsi="Times New Roman" w:cs="Times New Roman"/>
          <w:color w:val="auto"/>
          <w:highlight w:val="none"/>
          <w:lang w:eastAsia="zh-CN"/>
        </w:rPr>
        <w:t>商品猪（仔猪）</w:t>
      </w:r>
      <w:r>
        <w:rPr>
          <w:rFonts w:hint="eastAsia" w:ascii="Times New Roman" w:hAnsi="Times New Roman" w:cs="Times New Roman"/>
          <w:color w:val="auto"/>
          <w:highlight w:val="none"/>
          <w:lang w:val="en-US" w:eastAsia="zh-CN"/>
        </w:rPr>
        <w:t>16000</w:t>
      </w:r>
      <w:r>
        <w:rPr>
          <w:rFonts w:hint="default" w:ascii="Times New Roman" w:hAnsi="Times New Roman" w:eastAsia="宋体" w:cs="Times New Roman"/>
          <w:color w:val="auto"/>
          <w:highlight w:val="none"/>
          <w:lang w:eastAsia="zh-CN"/>
        </w:rPr>
        <w:t>头</w:t>
      </w:r>
      <w:r>
        <w:rPr>
          <w:rFonts w:hint="default" w:ascii="Times New Roman" w:hAnsi="Times New Roman" w:eastAsia="宋体" w:cs="Times New Roman"/>
          <w:snapToGrid w:val="0"/>
          <w:color w:val="auto"/>
          <w:highlight w:val="none"/>
          <w:lang w:eastAsia="zh-CN"/>
        </w:rPr>
        <w:t>。</w:t>
      </w:r>
    </w:p>
    <w:p w14:paraId="705E8113">
      <w:pPr>
        <w:pStyle w:val="8"/>
        <w:bidi w:val="0"/>
        <w:rPr>
          <w:rFonts w:hint="default" w:ascii="Times New Roman" w:hAnsi="Times New Roman" w:eastAsia="宋体" w:cs="Times New Roman"/>
          <w:snapToGrid w:val="0"/>
          <w:color w:val="auto"/>
          <w:highlight w:val="none"/>
        </w:rPr>
      </w:pPr>
      <w:bookmarkStart w:id="479" w:name="_Toc31210"/>
      <w:bookmarkStart w:id="480" w:name="_Toc11723"/>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2.1废气</w:t>
      </w:r>
      <w:bookmarkEnd w:id="479"/>
      <w:bookmarkEnd w:id="480"/>
    </w:p>
    <w:p w14:paraId="3ED6362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eastAsia="zh-CN"/>
        </w:rPr>
        <w:t>本项目</w:t>
      </w:r>
      <w:r>
        <w:rPr>
          <w:rFonts w:hint="default" w:ascii="Times New Roman" w:hAnsi="Times New Roman" w:eastAsia="宋体" w:cs="Times New Roman"/>
          <w:snapToGrid w:val="0"/>
          <w:color w:val="auto"/>
          <w:highlight w:val="none"/>
        </w:rPr>
        <w:t>采用尿泡粪—干清粪方式进行清粪，粪便在粪沟内浸泡稀释成粪液，储存一定时间后，粪液顺粪沟进入集粪池。粪液在集粪池内达到一定量时，经污水泵进入固液分离机，经固液分离后，含水率降至20%，分离出的干物质送至干粪堆积场堆肥，施肥季节用于配套消纳地进行施肥，非施肥季节储存于干粪堆积场内；固液分离出来的液体进入黑膜厌氧池中发酵，发酵成的沼液于</w:t>
      </w:r>
      <w:r>
        <w:rPr>
          <w:rFonts w:hint="default" w:ascii="Times New Roman" w:hAnsi="Times New Roman" w:eastAsia="宋体" w:cs="Times New Roman"/>
          <w:snapToGrid w:val="0"/>
          <w:color w:val="auto"/>
          <w:highlight w:val="none"/>
          <w:lang w:val="en-US" w:eastAsia="zh-CN"/>
        </w:rPr>
        <w:t>沼液贮存池</w:t>
      </w:r>
      <w:r>
        <w:rPr>
          <w:rFonts w:hint="default" w:ascii="Times New Roman" w:hAnsi="Times New Roman" w:eastAsia="宋体" w:cs="Times New Roman"/>
          <w:snapToGrid w:val="0"/>
          <w:color w:val="auto"/>
          <w:highlight w:val="none"/>
        </w:rPr>
        <w:t>中储存，施肥季节用于配套用于周围土地消纳，非施肥季节储存于</w:t>
      </w:r>
      <w:r>
        <w:rPr>
          <w:rFonts w:hint="default" w:ascii="Times New Roman" w:hAnsi="Times New Roman" w:eastAsia="宋体" w:cs="Times New Roman"/>
          <w:snapToGrid w:val="0"/>
          <w:color w:val="auto"/>
          <w:highlight w:val="none"/>
          <w:lang w:val="en-US" w:eastAsia="zh-CN"/>
        </w:rPr>
        <w:t>沼液贮存池</w:t>
      </w:r>
      <w:r>
        <w:rPr>
          <w:rFonts w:hint="default" w:ascii="Times New Roman" w:hAnsi="Times New Roman" w:eastAsia="宋体" w:cs="Times New Roman"/>
          <w:snapToGrid w:val="0"/>
          <w:color w:val="auto"/>
          <w:highlight w:val="none"/>
        </w:rPr>
        <w:t>中储存</w:t>
      </w:r>
      <w:r>
        <w:rPr>
          <w:rFonts w:hint="eastAsia"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不排入地表水体。</w:t>
      </w:r>
      <w:r>
        <w:rPr>
          <w:rFonts w:hint="eastAsia" w:ascii="Times New Roman" w:hAnsi="Times New Roman" w:cs="Times New Roman"/>
          <w:snapToGrid w:val="0"/>
          <w:color w:val="auto"/>
          <w:highlight w:val="none"/>
          <w:lang w:eastAsia="zh-CN"/>
        </w:rPr>
        <w:t>其中产生的沼气经过脱水脱硫后经沼气燃烧系统进行燃烧后产生废气通过10m高排气筒排放，沼渣用于堆肥。</w:t>
      </w:r>
      <w:r>
        <w:rPr>
          <w:rFonts w:hint="default" w:ascii="Times New Roman" w:hAnsi="Times New Roman" w:eastAsia="宋体" w:cs="Times New Roman"/>
          <w:snapToGrid w:val="0"/>
          <w:color w:val="auto"/>
          <w:highlight w:val="none"/>
        </w:rPr>
        <w:t>故厂区恶臭主要来自养殖区（猪舍）、</w:t>
      </w:r>
      <w:r>
        <w:rPr>
          <w:rFonts w:hint="eastAsia" w:ascii="Times New Roman" w:hAnsi="Times New Roman" w:cs="Times New Roman"/>
          <w:snapToGrid w:val="0"/>
          <w:color w:val="auto"/>
          <w:highlight w:val="none"/>
          <w:lang w:val="en-US" w:eastAsia="zh-CN"/>
        </w:rPr>
        <w:t>粪沟</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rPr>
        <w:t>等恶臭，恶臭气体主要为氨、硫化氢；项目沼气排空燃烧产生一定的废气。</w:t>
      </w:r>
    </w:p>
    <w:p w14:paraId="5FDDB4D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综上所述，本项目废气主要为恶臭、沼气燃烧废气，项目废气产生及排放情况分析如下：</w:t>
      </w:r>
    </w:p>
    <w:p w14:paraId="0D58108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（1）恶臭</w:t>
      </w:r>
    </w:p>
    <w:p w14:paraId="2B65258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本项目恶臭主要来源固液分离车间、猪舍，成分包括NH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和H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S、胺甲基硫醇、二甲基二硫醚、甲硫醚、二甲胺等恶臭有害气体。结合本项目的实际情况，本次环评主要考虑恶臭气体中的NH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和H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p w14:paraId="52A4239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根据本项目总体布局，将本项目恶臭气体污染源分为二个区域，分别为养殖区及粪污治理区。养殖区包括</w:t>
      </w:r>
      <w:r>
        <w:rPr>
          <w:rFonts w:hint="eastAsia" w:ascii="Times New Roman" w:hAnsi="Times New Roman" w:cs="Times New Roman"/>
          <w:snapToGrid w:val="0"/>
          <w:color w:val="auto"/>
          <w:highlight w:val="none"/>
          <w:lang w:val="en-US" w:eastAsia="zh-CN"/>
        </w:rPr>
        <w:t>猪舍（配种舍、分娩舍、保育舍、后备舍）</w:t>
      </w:r>
      <w:r>
        <w:rPr>
          <w:rFonts w:hint="default" w:ascii="Times New Roman" w:hAnsi="Times New Roman" w:eastAsia="宋体" w:cs="Times New Roman"/>
          <w:snapToGrid w:val="0"/>
          <w:color w:val="auto"/>
          <w:highlight w:val="none"/>
        </w:rPr>
        <w:t>以及其他相应配套设施。粪污治理区包括</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黑膜厌氧池、沼液贮存池</w:t>
      </w:r>
      <w:r>
        <w:rPr>
          <w:rFonts w:hint="default" w:ascii="Times New Roman" w:hAnsi="Times New Roman" w:eastAsia="宋体" w:cs="Times New Roman"/>
          <w:snapToGrid w:val="0"/>
          <w:color w:val="auto"/>
          <w:highlight w:val="none"/>
        </w:rPr>
        <w:t>。</w:t>
      </w:r>
    </w:p>
    <w:p w14:paraId="56306D14">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A、</w:t>
      </w:r>
      <w:r>
        <w:rPr>
          <w:rFonts w:hint="default" w:ascii="Times New Roman" w:hAnsi="Times New Roman" w:eastAsia="宋体" w:cs="Times New Roman"/>
          <w:snapToGrid w:val="0"/>
          <w:color w:val="auto"/>
          <w:highlight w:val="none"/>
        </w:rPr>
        <w:t>养殖区</w:t>
      </w:r>
      <w:r>
        <w:rPr>
          <w:rFonts w:hint="eastAsia"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猪舍</w:t>
      </w:r>
      <w:r>
        <w:rPr>
          <w:rFonts w:hint="eastAsia"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恶臭源强</w:t>
      </w:r>
    </w:p>
    <w:p w14:paraId="5754C164">
      <w:pPr>
        <w:pStyle w:val="94"/>
        <w:ind w:firstLine="480"/>
        <w:rPr>
          <w:rFonts w:hint="default" w:ascii="Times New Roman" w:hAnsi="Times New Roman" w:eastAsia="宋体" w:cs="Times New Roman"/>
          <w:color w:val="auto"/>
          <w:highlight w:val="none"/>
        </w:rPr>
      </w:pPr>
      <w:bookmarkStart w:id="481" w:name="_Hlk480432498"/>
      <w:r>
        <w:rPr>
          <w:rFonts w:hint="default" w:ascii="Times New Roman" w:hAnsi="Times New Roman" w:eastAsia="宋体" w:cs="Times New Roman"/>
          <w:color w:val="auto"/>
          <w:highlight w:val="none"/>
        </w:rPr>
        <w:t>a.恶臭源强</w:t>
      </w:r>
    </w:p>
    <w:p w14:paraId="6BBFABC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根据《养殖场恶臭影响量化分析及控制对策研究》（孙艳青、张潞、李万庆，中国环境科学学会学术年会，2010），猪舍不同种群结构NH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S的排放量见下表：</w:t>
      </w:r>
    </w:p>
    <w:p w14:paraId="67D045DF">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-3</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en-US" w:eastAsia="zh-CN" w:bidi="ar-SA"/>
        </w:rPr>
        <w:t>猪舍恶臭源强统计</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1"/>
        <w:gridCol w:w="1666"/>
        <w:gridCol w:w="1092"/>
        <w:gridCol w:w="692"/>
        <w:gridCol w:w="1062"/>
        <w:gridCol w:w="957"/>
        <w:gridCol w:w="1084"/>
        <w:gridCol w:w="988"/>
      </w:tblGrid>
      <w:tr w14:paraId="3C7A8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Align w:val="center"/>
          </w:tcPr>
          <w:p w14:paraId="4EE0812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977" w:type="pct"/>
            <w:vAlign w:val="center"/>
          </w:tcPr>
          <w:p w14:paraId="7924AA14">
            <w:pPr>
              <w:pStyle w:val="152"/>
              <w:spacing w:line="240" w:lineRule="auto"/>
              <w:rPr>
                <w:rFonts w:hint="default" w:ascii="Times New Roman" w:hAnsi="Times New Roman" w:eastAsia="宋体" w:cs="Times New Roman"/>
                <w:color w:val="auto"/>
                <w:spacing w:val="-6"/>
                <w:highlight w:val="none"/>
              </w:rPr>
            </w:pPr>
            <w:r>
              <w:rPr>
                <w:rFonts w:hint="default" w:ascii="Times New Roman" w:hAnsi="Times New Roman" w:eastAsia="宋体" w:cs="Times New Roman"/>
                <w:color w:val="auto"/>
                <w:highlight w:val="none"/>
              </w:rPr>
              <w:t>污染源类型</w:t>
            </w:r>
          </w:p>
        </w:tc>
        <w:tc>
          <w:tcPr>
            <w:tcW w:w="640" w:type="pct"/>
            <w:vAlign w:val="center"/>
          </w:tcPr>
          <w:p w14:paraId="2F754004">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种类</w:t>
            </w:r>
          </w:p>
        </w:tc>
        <w:tc>
          <w:tcPr>
            <w:tcW w:w="406" w:type="pct"/>
            <w:vAlign w:val="center"/>
          </w:tcPr>
          <w:p w14:paraId="58761DDF">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头数</w:t>
            </w:r>
          </w:p>
        </w:tc>
        <w:tc>
          <w:tcPr>
            <w:tcW w:w="623" w:type="pct"/>
            <w:vAlign w:val="center"/>
          </w:tcPr>
          <w:p w14:paraId="0CCD7179">
            <w:pPr>
              <w:pStyle w:val="152"/>
              <w:spacing w:line="240" w:lineRule="auto"/>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p w14:paraId="41AD1844">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排放强度</w:t>
            </w:r>
          </w:p>
          <w:p w14:paraId="3E6B0EB7">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[g/头﹒d]</w:t>
            </w:r>
          </w:p>
        </w:tc>
        <w:tc>
          <w:tcPr>
            <w:tcW w:w="562" w:type="pct"/>
            <w:vAlign w:val="center"/>
          </w:tcPr>
          <w:p w14:paraId="7AF26F15">
            <w:pPr>
              <w:pStyle w:val="152"/>
              <w:spacing w:line="240" w:lineRule="auto"/>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p w14:paraId="7F9EBA59">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产生量（kg/h）</w:t>
            </w:r>
          </w:p>
        </w:tc>
        <w:tc>
          <w:tcPr>
            <w:tcW w:w="636" w:type="pct"/>
            <w:vAlign w:val="center"/>
          </w:tcPr>
          <w:p w14:paraId="6E387B60">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p w14:paraId="79AF6C60">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排放强度</w:t>
            </w:r>
          </w:p>
          <w:p w14:paraId="24F9AAA8">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[g/头﹒d]</w:t>
            </w:r>
          </w:p>
        </w:tc>
        <w:tc>
          <w:tcPr>
            <w:tcW w:w="579" w:type="pct"/>
            <w:vAlign w:val="center"/>
          </w:tcPr>
          <w:p w14:paraId="4FACEBBF">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p w14:paraId="3709AEBF">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产生量（kg/h）</w:t>
            </w:r>
          </w:p>
        </w:tc>
      </w:tr>
      <w:tr w14:paraId="7578A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74" w:type="pct"/>
            <w:vMerge w:val="restart"/>
            <w:vAlign w:val="center"/>
          </w:tcPr>
          <w:p w14:paraId="75DA0A39">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猪舍</w:t>
            </w:r>
          </w:p>
        </w:tc>
        <w:tc>
          <w:tcPr>
            <w:tcW w:w="977" w:type="pct"/>
            <w:vMerge w:val="restart"/>
            <w:vAlign w:val="center"/>
          </w:tcPr>
          <w:p w14:paraId="28481E4F">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snapToGrid w:val="0"/>
                <w:color w:val="auto"/>
                <w:szCs w:val="21"/>
                <w:highlight w:val="none"/>
                <w:lang w:val="en-US" w:eastAsia="zh-CN"/>
              </w:rPr>
              <w:t>猪舍</w:t>
            </w:r>
          </w:p>
        </w:tc>
        <w:tc>
          <w:tcPr>
            <w:tcW w:w="640" w:type="pct"/>
            <w:vAlign w:val="center"/>
          </w:tcPr>
          <w:p w14:paraId="3AE0C08B">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母猪</w:t>
            </w:r>
          </w:p>
        </w:tc>
        <w:tc>
          <w:tcPr>
            <w:tcW w:w="406" w:type="pct"/>
            <w:vAlign w:val="center"/>
          </w:tcPr>
          <w:p w14:paraId="52D7C7B9">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950</w:t>
            </w:r>
          </w:p>
        </w:tc>
        <w:tc>
          <w:tcPr>
            <w:tcW w:w="623" w:type="pct"/>
            <w:vAlign w:val="center"/>
          </w:tcPr>
          <w:p w14:paraId="06EAC6FD">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5.3</w:t>
            </w:r>
          </w:p>
        </w:tc>
        <w:tc>
          <w:tcPr>
            <w:tcW w:w="562" w:type="pct"/>
            <w:vAlign w:val="center"/>
          </w:tcPr>
          <w:p w14:paraId="682FDF4B">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0.21</w:t>
            </w:r>
          </w:p>
        </w:tc>
        <w:tc>
          <w:tcPr>
            <w:tcW w:w="636" w:type="pct"/>
            <w:vAlign w:val="center"/>
          </w:tcPr>
          <w:p w14:paraId="134F9351">
            <w:pPr>
              <w:pStyle w:val="152"/>
              <w:rPr>
                <w:rFonts w:hint="default" w:ascii="Times New Roman" w:hAnsi="Times New Roman" w:eastAsia="宋体" w:cs="Times New Roman"/>
                <w:color w:val="auto"/>
                <w:kern w:val="0"/>
                <w:sz w:val="21"/>
                <w:szCs w:val="24"/>
                <w:highlight w:val="none"/>
                <w:lang w:val="zh-CN" w:eastAsia="zh-CN" w:bidi="ar-SA"/>
              </w:rPr>
            </w:pPr>
            <w:r>
              <w:rPr>
                <w:rFonts w:hint="default" w:ascii="Times New Roman" w:hAnsi="Times New Roman" w:eastAsia="宋体" w:cs="Times New Roman"/>
                <w:color w:val="auto"/>
                <w:highlight w:val="none"/>
                <w:lang w:val="en-US" w:eastAsia="zh-CN"/>
              </w:rPr>
              <w:t>0.8</w:t>
            </w:r>
          </w:p>
        </w:tc>
        <w:tc>
          <w:tcPr>
            <w:tcW w:w="579" w:type="pct"/>
            <w:vAlign w:val="center"/>
          </w:tcPr>
          <w:p w14:paraId="00CA32D7">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0.032</w:t>
            </w:r>
          </w:p>
        </w:tc>
      </w:tr>
      <w:tr w14:paraId="64A51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Merge w:val="continue"/>
            <w:vAlign w:val="center"/>
          </w:tcPr>
          <w:p w14:paraId="18F4AECE">
            <w:pPr>
              <w:pStyle w:val="152"/>
              <w:rPr>
                <w:rFonts w:hint="default" w:ascii="Times New Roman" w:hAnsi="Times New Roman" w:eastAsia="宋体" w:cs="Times New Roman"/>
                <w:color w:val="auto"/>
                <w:sz w:val="21"/>
                <w:szCs w:val="21"/>
                <w:highlight w:val="none"/>
              </w:rPr>
            </w:pPr>
          </w:p>
        </w:tc>
        <w:tc>
          <w:tcPr>
            <w:tcW w:w="977" w:type="pct"/>
            <w:vMerge w:val="continue"/>
            <w:vAlign w:val="center"/>
          </w:tcPr>
          <w:p w14:paraId="311B1252">
            <w:pPr>
              <w:pStyle w:val="152"/>
              <w:rPr>
                <w:rFonts w:hint="default" w:ascii="Times New Roman" w:hAnsi="Times New Roman" w:eastAsia="宋体" w:cs="Times New Roman"/>
                <w:color w:val="auto"/>
                <w:kern w:val="0"/>
                <w:sz w:val="21"/>
                <w:szCs w:val="24"/>
                <w:highlight w:val="none"/>
                <w:lang w:val="en-US" w:eastAsia="zh-CN" w:bidi="ar-SA"/>
              </w:rPr>
            </w:pPr>
          </w:p>
        </w:tc>
        <w:tc>
          <w:tcPr>
            <w:tcW w:w="640" w:type="pct"/>
            <w:vAlign w:val="center"/>
          </w:tcPr>
          <w:p w14:paraId="5761B27E">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哺乳仔猪</w:t>
            </w:r>
          </w:p>
        </w:tc>
        <w:tc>
          <w:tcPr>
            <w:tcW w:w="406" w:type="pct"/>
            <w:vAlign w:val="center"/>
          </w:tcPr>
          <w:p w14:paraId="36DA7452">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1700</w:t>
            </w:r>
          </w:p>
        </w:tc>
        <w:tc>
          <w:tcPr>
            <w:tcW w:w="623" w:type="pct"/>
            <w:vAlign w:val="center"/>
          </w:tcPr>
          <w:p w14:paraId="566DADD3">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0.7</w:t>
            </w:r>
          </w:p>
        </w:tc>
        <w:tc>
          <w:tcPr>
            <w:tcW w:w="562" w:type="pct"/>
            <w:vAlign w:val="center"/>
          </w:tcPr>
          <w:p w14:paraId="5A809C32">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0.05</w:t>
            </w:r>
          </w:p>
        </w:tc>
        <w:tc>
          <w:tcPr>
            <w:tcW w:w="636" w:type="pct"/>
            <w:vAlign w:val="center"/>
          </w:tcPr>
          <w:p w14:paraId="24D5AB35">
            <w:pPr>
              <w:pStyle w:val="152"/>
              <w:rPr>
                <w:rFonts w:hint="default" w:ascii="Times New Roman" w:hAnsi="Times New Roman" w:eastAsia="宋体" w:cs="Times New Roman"/>
                <w:color w:val="auto"/>
                <w:kern w:val="0"/>
                <w:sz w:val="21"/>
                <w:szCs w:val="24"/>
                <w:highlight w:val="none"/>
                <w:lang w:val="zh-CN" w:eastAsia="zh-CN" w:bidi="ar-SA"/>
              </w:rPr>
            </w:pPr>
            <w:r>
              <w:rPr>
                <w:rFonts w:hint="default" w:ascii="Times New Roman" w:hAnsi="Times New Roman" w:eastAsia="宋体" w:cs="Times New Roman"/>
                <w:color w:val="auto"/>
                <w:highlight w:val="none"/>
                <w:lang w:val="en-US" w:eastAsia="zh-CN"/>
              </w:rPr>
              <w:t>0.2</w:t>
            </w:r>
          </w:p>
        </w:tc>
        <w:tc>
          <w:tcPr>
            <w:tcW w:w="579" w:type="pct"/>
            <w:vAlign w:val="center"/>
          </w:tcPr>
          <w:p w14:paraId="26870226">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0.014</w:t>
            </w:r>
          </w:p>
        </w:tc>
      </w:tr>
      <w:tr w14:paraId="174C60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Merge w:val="continue"/>
            <w:vAlign w:val="center"/>
          </w:tcPr>
          <w:p w14:paraId="250D7806">
            <w:pPr>
              <w:pStyle w:val="152"/>
              <w:rPr>
                <w:rFonts w:hint="default" w:ascii="Times New Roman" w:hAnsi="Times New Roman" w:eastAsia="宋体" w:cs="Times New Roman"/>
                <w:color w:val="auto"/>
                <w:sz w:val="21"/>
                <w:szCs w:val="21"/>
                <w:highlight w:val="none"/>
              </w:rPr>
            </w:pPr>
          </w:p>
        </w:tc>
        <w:tc>
          <w:tcPr>
            <w:tcW w:w="977" w:type="pct"/>
            <w:vMerge w:val="continue"/>
            <w:vAlign w:val="center"/>
          </w:tcPr>
          <w:p w14:paraId="40BD7991">
            <w:pPr>
              <w:pStyle w:val="152"/>
              <w:rPr>
                <w:rFonts w:hint="default" w:ascii="Times New Roman" w:hAnsi="Times New Roman" w:eastAsia="宋体" w:cs="Times New Roman"/>
                <w:color w:val="auto"/>
                <w:kern w:val="0"/>
                <w:sz w:val="21"/>
                <w:szCs w:val="24"/>
                <w:highlight w:val="none"/>
                <w:lang w:val="en-US" w:eastAsia="zh-CN" w:bidi="ar-SA"/>
              </w:rPr>
            </w:pPr>
          </w:p>
        </w:tc>
        <w:tc>
          <w:tcPr>
            <w:tcW w:w="640" w:type="pct"/>
            <w:vAlign w:val="center"/>
          </w:tcPr>
          <w:p w14:paraId="2A9050BE">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公猪</w:t>
            </w:r>
          </w:p>
        </w:tc>
        <w:tc>
          <w:tcPr>
            <w:tcW w:w="406" w:type="pct"/>
            <w:vAlign w:val="center"/>
          </w:tcPr>
          <w:p w14:paraId="50964614">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50</w:t>
            </w:r>
          </w:p>
        </w:tc>
        <w:tc>
          <w:tcPr>
            <w:tcW w:w="623" w:type="pct"/>
            <w:vAlign w:val="center"/>
          </w:tcPr>
          <w:p w14:paraId="0D5F2A6A">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5.3</w:t>
            </w:r>
          </w:p>
        </w:tc>
        <w:tc>
          <w:tcPr>
            <w:tcW w:w="562" w:type="pct"/>
            <w:vAlign w:val="center"/>
          </w:tcPr>
          <w:p w14:paraId="778B1DDE">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0.01</w:t>
            </w:r>
          </w:p>
        </w:tc>
        <w:tc>
          <w:tcPr>
            <w:tcW w:w="636" w:type="pct"/>
            <w:vAlign w:val="center"/>
          </w:tcPr>
          <w:p w14:paraId="6C538543">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0.5</w:t>
            </w:r>
          </w:p>
        </w:tc>
        <w:tc>
          <w:tcPr>
            <w:tcW w:w="579" w:type="pct"/>
            <w:vAlign w:val="center"/>
          </w:tcPr>
          <w:p w14:paraId="1E518B15">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0.001</w:t>
            </w:r>
          </w:p>
        </w:tc>
      </w:tr>
      <w:tr w14:paraId="441D12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Merge w:val="continue"/>
            <w:vAlign w:val="center"/>
          </w:tcPr>
          <w:p w14:paraId="10DAE749">
            <w:pPr>
              <w:pStyle w:val="152"/>
              <w:rPr>
                <w:rFonts w:hint="default" w:ascii="Times New Roman" w:hAnsi="Times New Roman" w:eastAsia="宋体" w:cs="Times New Roman"/>
                <w:color w:val="auto"/>
                <w:sz w:val="21"/>
                <w:szCs w:val="21"/>
                <w:highlight w:val="none"/>
              </w:rPr>
            </w:pPr>
          </w:p>
        </w:tc>
        <w:tc>
          <w:tcPr>
            <w:tcW w:w="977" w:type="pct"/>
            <w:vMerge w:val="continue"/>
            <w:vAlign w:val="center"/>
          </w:tcPr>
          <w:p w14:paraId="4A1AEDA8">
            <w:pPr>
              <w:pStyle w:val="152"/>
              <w:rPr>
                <w:rFonts w:hint="default" w:ascii="Times New Roman" w:hAnsi="Times New Roman" w:eastAsia="宋体" w:cs="Times New Roman"/>
                <w:color w:val="auto"/>
                <w:kern w:val="0"/>
                <w:sz w:val="21"/>
                <w:szCs w:val="24"/>
                <w:highlight w:val="none"/>
                <w:lang w:val="en-US" w:eastAsia="zh-CN" w:bidi="ar-SA"/>
              </w:rPr>
            </w:pPr>
          </w:p>
        </w:tc>
        <w:tc>
          <w:tcPr>
            <w:tcW w:w="640" w:type="pct"/>
            <w:vAlign w:val="center"/>
          </w:tcPr>
          <w:p w14:paraId="3F81AD4F">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eastAsia="zh-CN"/>
              </w:rPr>
              <w:t>保育猪</w:t>
            </w:r>
          </w:p>
        </w:tc>
        <w:tc>
          <w:tcPr>
            <w:tcW w:w="406" w:type="pct"/>
            <w:vAlign w:val="center"/>
          </w:tcPr>
          <w:p w14:paraId="27366C7A">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3300</w:t>
            </w:r>
          </w:p>
        </w:tc>
        <w:tc>
          <w:tcPr>
            <w:tcW w:w="623" w:type="pct"/>
            <w:vAlign w:val="center"/>
          </w:tcPr>
          <w:p w14:paraId="6A1376E3">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0.95</w:t>
            </w:r>
          </w:p>
        </w:tc>
        <w:tc>
          <w:tcPr>
            <w:tcW w:w="562" w:type="pct"/>
            <w:vAlign w:val="center"/>
          </w:tcPr>
          <w:p w14:paraId="72AB4704">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0.13</w:t>
            </w:r>
          </w:p>
        </w:tc>
        <w:tc>
          <w:tcPr>
            <w:tcW w:w="636" w:type="pct"/>
            <w:vAlign w:val="center"/>
          </w:tcPr>
          <w:p w14:paraId="3F9F8AE2">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0.25</w:t>
            </w:r>
          </w:p>
        </w:tc>
        <w:tc>
          <w:tcPr>
            <w:tcW w:w="579" w:type="pct"/>
            <w:vAlign w:val="center"/>
          </w:tcPr>
          <w:p w14:paraId="22FC324C">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0.034</w:t>
            </w:r>
          </w:p>
        </w:tc>
      </w:tr>
      <w:tr w14:paraId="1890A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Merge w:val="continue"/>
            <w:vAlign w:val="center"/>
          </w:tcPr>
          <w:p w14:paraId="19C5BE4A">
            <w:pPr>
              <w:pStyle w:val="152"/>
              <w:rPr>
                <w:rFonts w:hint="default" w:ascii="Times New Roman" w:hAnsi="Times New Roman" w:eastAsia="宋体" w:cs="Times New Roman"/>
                <w:color w:val="auto"/>
                <w:highlight w:val="none"/>
              </w:rPr>
            </w:pPr>
          </w:p>
        </w:tc>
        <w:tc>
          <w:tcPr>
            <w:tcW w:w="977" w:type="pct"/>
            <w:vMerge w:val="continue"/>
            <w:vAlign w:val="center"/>
          </w:tcPr>
          <w:p w14:paraId="1ABCA710">
            <w:pPr>
              <w:pStyle w:val="152"/>
              <w:rPr>
                <w:rFonts w:hint="default" w:ascii="Times New Roman" w:hAnsi="Times New Roman" w:eastAsia="宋体" w:cs="Times New Roman"/>
                <w:color w:val="auto"/>
                <w:highlight w:val="none"/>
                <w:lang w:val="en-US" w:eastAsia="zh-CN"/>
              </w:rPr>
            </w:pPr>
          </w:p>
        </w:tc>
        <w:tc>
          <w:tcPr>
            <w:tcW w:w="640" w:type="pct"/>
            <w:vAlign w:val="center"/>
          </w:tcPr>
          <w:p w14:paraId="578C9662">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大猪</w:t>
            </w:r>
          </w:p>
        </w:tc>
        <w:tc>
          <w:tcPr>
            <w:tcW w:w="406" w:type="pct"/>
            <w:vAlign w:val="center"/>
          </w:tcPr>
          <w:p w14:paraId="1397F125">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2000</w:t>
            </w:r>
          </w:p>
        </w:tc>
        <w:tc>
          <w:tcPr>
            <w:tcW w:w="623" w:type="pct"/>
            <w:vAlign w:val="center"/>
          </w:tcPr>
          <w:p w14:paraId="77D0188D">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5.65</w:t>
            </w:r>
          </w:p>
        </w:tc>
        <w:tc>
          <w:tcPr>
            <w:tcW w:w="562" w:type="pct"/>
            <w:vAlign w:val="center"/>
          </w:tcPr>
          <w:p w14:paraId="15A6F686">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0.47</w:t>
            </w:r>
          </w:p>
        </w:tc>
        <w:tc>
          <w:tcPr>
            <w:tcW w:w="636" w:type="pct"/>
            <w:vAlign w:val="center"/>
          </w:tcPr>
          <w:p w14:paraId="5093DA56">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0.5</w:t>
            </w:r>
          </w:p>
        </w:tc>
        <w:tc>
          <w:tcPr>
            <w:tcW w:w="579" w:type="pct"/>
            <w:vAlign w:val="center"/>
          </w:tcPr>
          <w:p w14:paraId="0AB4AE58">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0.042</w:t>
            </w:r>
          </w:p>
        </w:tc>
      </w:tr>
      <w:tr w14:paraId="51E60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52" w:type="pct"/>
            <w:gridSpan w:val="2"/>
            <w:vAlign w:val="center"/>
          </w:tcPr>
          <w:p w14:paraId="16D4F2B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合计</w:t>
            </w:r>
          </w:p>
        </w:tc>
        <w:tc>
          <w:tcPr>
            <w:tcW w:w="640" w:type="pct"/>
            <w:vAlign w:val="center"/>
          </w:tcPr>
          <w:p w14:paraId="38B93D8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406" w:type="pct"/>
            <w:vAlign w:val="center"/>
          </w:tcPr>
          <w:p w14:paraId="12AA9493">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8000</w:t>
            </w:r>
          </w:p>
        </w:tc>
        <w:tc>
          <w:tcPr>
            <w:tcW w:w="623" w:type="pct"/>
            <w:vAlign w:val="center"/>
          </w:tcPr>
          <w:p w14:paraId="0F5CD49B">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62" w:type="pct"/>
            <w:vAlign w:val="center"/>
          </w:tcPr>
          <w:p w14:paraId="0E477872">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0.87</w:t>
            </w:r>
          </w:p>
        </w:tc>
        <w:tc>
          <w:tcPr>
            <w:tcW w:w="636" w:type="pct"/>
            <w:vAlign w:val="center"/>
          </w:tcPr>
          <w:p w14:paraId="036C464A">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79" w:type="pct"/>
            <w:vAlign w:val="center"/>
          </w:tcPr>
          <w:p w14:paraId="12A214A1">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0.123</w:t>
            </w:r>
          </w:p>
        </w:tc>
      </w:tr>
    </w:tbl>
    <w:p w14:paraId="74F6682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b.恶臭处置措施</w:t>
      </w:r>
    </w:p>
    <w:p w14:paraId="2859A4F8">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bookmarkStart w:id="482" w:name="_Hlk147565415"/>
      <w:r>
        <w:rPr>
          <w:rFonts w:hint="default" w:ascii="Times New Roman" w:hAnsi="Times New Roman" w:eastAsia="宋体" w:cs="Times New Roman"/>
          <w:color w:val="auto"/>
          <w:kern w:val="2"/>
          <w:sz w:val="24"/>
          <w:szCs w:val="24"/>
          <w:highlight w:val="none"/>
          <w:lang w:val="en-US" w:eastAsia="zh-CN" w:bidi="ar-SA"/>
        </w:rPr>
        <w:t>生物除臭剂（如万洁芬）对人体及动物无害，对环境不会造成二次污染，消除异味效果显著，根据《自然科学》现代化农业，2011年第6期（总第383期）“微生物除臭剂研究进展”（赵晓峰，隋文志）的资料，经国家环境分析测试中心和陕西环境监测中心测试万洁芬对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和H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S的去除效率分别为92.6%和89%。</w:t>
      </w:r>
    </w:p>
    <w:bookmarkEnd w:id="482"/>
    <w:p w14:paraId="09C8325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eastAsia="zh-CN"/>
        </w:rPr>
      </w:pPr>
      <w:r>
        <w:rPr>
          <w:rFonts w:hint="default" w:ascii="Times New Roman" w:hAnsi="Times New Roman" w:eastAsia="宋体" w:cs="Times New Roman"/>
          <w:color w:val="auto"/>
          <w:kern w:val="2"/>
          <w:sz w:val="24"/>
          <w:highlight w:val="none"/>
        </w:rPr>
        <w:t>通过在源头控制养殖区恶臭气体产生采取日粮中添加EM菌，NH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的去除率为72.5%，H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S的去除率为81.5%，NH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产生速率为</w:t>
      </w:r>
      <w:r>
        <w:rPr>
          <w:rFonts w:hint="eastAsia" w:ascii="Times New Roman" w:hAnsi="Times New Roman" w:eastAsia="宋体" w:cs="Times New Roman"/>
          <w:color w:val="auto"/>
          <w:kern w:val="2"/>
          <w:sz w:val="24"/>
          <w:highlight w:val="none"/>
          <w:lang w:val="en-US" w:eastAsia="zh-CN"/>
        </w:rPr>
        <w:t>0.87</w:t>
      </w:r>
      <w:r>
        <w:rPr>
          <w:rFonts w:hint="default" w:ascii="Times New Roman" w:hAnsi="Times New Roman" w:eastAsia="宋体" w:cs="Times New Roman"/>
          <w:color w:val="auto"/>
          <w:kern w:val="2"/>
          <w:sz w:val="24"/>
          <w:highlight w:val="none"/>
        </w:rPr>
        <w:t>kg/h，H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S产生速率为</w:t>
      </w:r>
      <w:r>
        <w:rPr>
          <w:rFonts w:hint="eastAsia" w:ascii="Times New Roman" w:hAnsi="Times New Roman" w:eastAsia="宋体" w:cs="Times New Roman"/>
          <w:color w:val="auto"/>
          <w:kern w:val="2"/>
          <w:sz w:val="24"/>
          <w:highlight w:val="none"/>
          <w:lang w:val="en-US" w:eastAsia="zh-CN"/>
        </w:rPr>
        <w:t>0.123</w:t>
      </w:r>
      <w:r>
        <w:rPr>
          <w:rFonts w:hint="default" w:ascii="Times New Roman" w:hAnsi="Times New Roman" w:eastAsia="宋体" w:cs="Times New Roman"/>
          <w:color w:val="auto"/>
          <w:kern w:val="2"/>
          <w:sz w:val="24"/>
          <w:highlight w:val="none"/>
        </w:rPr>
        <w:t>kg/h</w:t>
      </w:r>
      <w:r>
        <w:rPr>
          <w:rFonts w:hint="default" w:ascii="Times New Roman" w:hAnsi="Times New Roman" w:eastAsia="宋体" w:cs="Times New Roman"/>
          <w:color w:val="auto"/>
          <w:kern w:val="2"/>
          <w:sz w:val="24"/>
          <w:highlight w:val="none"/>
          <w:lang w:eastAsia="zh-CN"/>
        </w:rPr>
        <w:t>。</w:t>
      </w:r>
    </w:p>
    <w:p w14:paraId="34F4A62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kern w:val="2"/>
          <w:sz w:val="24"/>
          <w:highlight w:val="none"/>
          <w:lang w:val="en-US" w:eastAsia="zh-CN"/>
        </w:rPr>
        <w:t>通过</w:t>
      </w:r>
      <w:r>
        <w:rPr>
          <w:rFonts w:hint="default" w:ascii="Times New Roman" w:hAnsi="Times New Roman" w:eastAsia="宋体" w:cs="Times New Roman"/>
          <w:color w:val="auto"/>
          <w:kern w:val="2"/>
          <w:sz w:val="24"/>
          <w:highlight w:val="none"/>
        </w:rPr>
        <w:t>在日粮中添加EM菌</w:t>
      </w:r>
      <w:r>
        <w:rPr>
          <w:rFonts w:hint="default" w:ascii="Times New Roman" w:hAnsi="Times New Roman" w:eastAsia="宋体" w:cs="Times New Roman"/>
          <w:color w:val="auto"/>
          <w:kern w:val="2"/>
          <w:sz w:val="24"/>
          <w:highlight w:val="none"/>
          <w:lang w:eastAsia="zh-CN"/>
        </w:rPr>
        <w:t>，</w:t>
      </w:r>
      <w:r>
        <w:rPr>
          <w:rFonts w:hint="default" w:ascii="Times New Roman" w:hAnsi="Times New Roman" w:eastAsia="宋体" w:cs="Times New Roman"/>
          <w:color w:val="auto"/>
          <w:kern w:val="2"/>
          <w:sz w:val="24"/>
          <w:highlight w:val="none"/>
          <w:lang w:val="en-US" w:eastAsia="zh-CN"/>
        </w:rPr>
        <w:t>猪</w:t>
      </w:r>
      <w:r>
        <w:rPr>
          <w:rFonts w:hint="default" w:ascii="Times New Roman" w:hAnsi="Times New Roman" w:eastAsia="宋体" w:cs="Times New Roman"/>
          <w:color w:val="auto"/>
          <w:kern w:val="2"/>
          <w:sz w:val="24"/>
          <w:highlight w:val="none"/>
        </w:rPr>
        <w:t>舍喷洒植物除臭剂等措施，</w:t>
      </w:r>
      <w:r>
        <w:rPr>
          <w:rFonts w:hint="default" w:ascii="Times New Roman" w:hAnsi="Times New Roman" w:eastAsia="宋体" w:cs="Times New Roman"/>
          <w:color w:val="auto"/>
          <w:kern w:val="2"/>
          <w:sz w:val="24"/>
          <w:highlight w:val="none"/>
          <w:lang w:val="en-US" w:eastAsia="zh-CN"/>
        </w:rPr>
        <w:t>猪</w:t>
      </w:r>
      <w:r>
        <w:rPr>
          <w:rFonts w:hint="default" w:ascii="Times New Roman" w:hAnsi="Times New Roman" w:eastAsia="宋体" w:cs="Times New Roman"/>
          <w:color w:val="auto"/>
          <w:kern w:val="2"/>
          <w:sz w:val="24"/>
          <w:highlight w:val="none"/>
        </w:rPr>
        <w:t>舍中NH</w:t>
      </w:r>
      <w:r>
        <w:rPr>
          <w:rFonts w:hint="default" w:ascii="Times New Roman" w:hAnsi="Times New Roman" w:eastAsia="宋体" w:cs="Times New Roman"/>
          <w:color w:val="auto"/>
          <w:kern w:val="2"/>
          <w:sz w:val="24"/>
          <w:highlight w:val="none"/>
          <w:vertAlign w:val="subscript"/>
        </w:rPr>
        <w:t>3</w:t>
      </w:r>
      <w:r>
        <w:rPr>
          <w:rFonts w:hint="default" w:ascii="Times New Roman" w:hAnsi="Times New Roman" w:eastAsia="宋体" w:cs="Times New Roman"/>
          <w:color w:val="auto"/>
          <w:kern w:val="2"/>
          <w:sz w:val="24"/>
          <w:highlight w:val="none"/>
        </w:rPr>
        <w:t>、H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S的</w:t>
      </w:r>
      <w:r>
        <w:rPr>
          <w:rFonts w:hint="default" w:ascii="Times New Roman" w:hAnsi="Times New Roman" w:eastAsia="宋体" w:cs="Times New Roman"/>
          <w:color w:val="auto"/>
          <w:kern w:val="2"/>
          <w:sz w:val="24"/>
          <w:highlight w:val="none"/>
          <w:lang w:val="en-US" w:eastAsia="zh-CN"/>
        </w:rPr>
        <w:t>产</w:t>
      </w:r>
      <w:r>
        <w:rPr>
          <w:rFonts w:hint="default" w:ascii="Times New Roman" w:hAnsi="Times New Roman" w:eastAsia="宋体" w:cs="Times New Roman"/>
          <w:color w:val="auto"/>
          <w:kern w:val="2"/>
          <w:sz w:val="24"/>
          <w:highlight w:val="none"/>
        </w:rPr>
        <w:t>排放量如下表所示</w:t>
      </w:r>
      <w:r>
        <w:rPr>
          <w:rFonts w:hint="default" w:ascii="Times New Roman" w:hAnsi="Times New Roman" w:eastAsia="宋体" w:cs="Times New Roman"/>
          <w:snapToGrid w:val="0"/>
          <w:color w:val="auto"/>
          <w:highlight w:val="none"/>
        </w:rPr>
        <w:t>：</w:t>
      </w:r>
    </w:p>
    <w:p w14:paraId="16D53B22">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-4  猪舍恶臭气体排放量统计</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3"/>
        <w:gridCol w:w="437"/>
        <w:gridCol w:w="633"/>
        <w:gridCol w:w="696"/>
        <w:gridCol w:w="913"/>
        <w:gridCol w:w="1801"/>
        <w:gridCol w:w="887"/>
        <w:gridCol w:w="537"/>
        <w:gridCol w:w="932"/>
        <w:gridCol w:w="814"/>
      </w:tblGrid>
      <w:tr w14:paraId="4076B8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restart"/>
            <w:vAlign w:val="center"/>
          </w:tcPr>
          <w:p w14:paraId="04A500F0">
            <w:pPr>
              <w:pStyle w:val="152"/>
              <w:spacing w:line="240" w:lineRule="auto"/>
              <w:rPr>
                <w:rFonts w:hint="default" w:ascii="Times New Roman" w:hAnsi="Times New Roman" w:eastAsia="宋体" w:cs="Times New Roman"/>
                <w:color w:val="auto"/>
                <w:sz w:val="21"/>
                <w:szCs w:val="21"/>
                <w:highlight w:val="none"/>
              </w:rPr>
            </w:pPr>
            <w:bookmarkStart w:id="483" w:name="_Hlk523068031"/>
            <w:r>
              <w:rPr>
                <w:rFonts w:hint="default" w:ascii="Times New Roman" w:hAnsi="Times New Roman" w:eastAsia="宋体" w:cs="Times New Roman"/>
                <w:color w:val="auto"/>
                <w:sz w:val="21"/>
                <w:szCs w:val="21"/>
                <w:highlight w:val="none"/>
              </w:rPr>
              <w:t>工序/生产线</w:t>
            </w:r>
          </w:p>
        </w:tc>
        <w:tc>
          <w:tcPr>
            <w:tcW w:w="437" w:type="dxa"/>
            <w:vMerge w:val="restart"/>
            <w:vAlign w:val="center"/>
          </w:tcPr>
          <w:p w14:paraId="02E1C9CE">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633" w:type="dxa"/>
            <w:vMerge w:val="restart"/>
            <w:vAlign w:val="center"/>
          </w:tcPr>
          <w:p w14:paraId="6DC79E65">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609" w:type="dxa"/>
            <w:gridSpan w:val="2"/>
            <w:vAlign w:val="center"/>
          </w:tcPr>
          <w:p w14:paraId="00E752F2">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w:t>
            </w:r>
          </w:p>
        </w:tc>
        <w:tc>
          <w:tcPr>
            <w:tcW w:w="2688" w:type="dxa"/>
            <w:gridSpan w:val="2"/>
            <w:vAlign w:val="center"/>
          </w:tcPr>
          <w:p w14:paraId="085CC7C5">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469" w:type="dxa"/>
            <w:gridSpan w:val="2"/>
            <w:vAlign w:val="center"/>
          </w:tcPr>
          <w:p w14:paraId="595344AD">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w:t>
            </w:r>
          </w:p>
        </w:tc>
        <w:tc>
          <w:tcPr>
            <w:tcW w:w="814" w:type="dxa"/>
            <w:vMerge w:val="restart"/>
            <w:vAlign w:val="center"/>
          </w:tcPr>
          <w:p w14:paraId="665484F4">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排放时间</w:t>
            </w:r>
          </w:p>
        </w:tc>
      </w:tr>
      <w:tr w14:paraId="747B7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5B52CFC9">
            <w:pPr>
              <w:pStyle w:val="152"/>
              <w:spacing w:line="240" w:lineRule="auto"/>
              <w:rPr>
                <w:rFonts w:hint="default" w:ascii="Times New Roman" w:hAnsi="Times New Roman" w:eastAsia="宋体" w:cs="Times New Roman"/>
                <w:color w:val="auto"/>
                <w:sz w:val="21"/>
                <w:szCs w:val="21"/>
                <w:highlight w:val="none"/>
              </w:rPr>
            </w:pPr>
          </w:p>
        </w:tc>
        <w:tc>
          <w:tcPr>
            <w:tcW w:w="437" w:type="dxa"/>
            <w:vMerge w:val="continue"/>
            <w:vAlign w:val="center"/>
          </w:tcPr>
          <w:p w14:paraId="6C8A63D0">
            <w:pPr>
              <w:pStyle w:val="152"/>
              <w:spacing w:line="240" w:lineRule="auto"/>
              <w:rPr>
                <w:rFonts w:hint="default" w:ascii="Times New Roman" w:hAnsi="Times New Roman" w:eastAsia="宋体" w:cs="Times New Roman"/>
                <w:color w:val="auto"/>
                <w:sz w:val="21"/>
                <w:szCs w:val="21"/>
                <w:highlight w:val="none"/>
              </w:rPr>
            </w:pPr>
          </w:p>
        </w:tc>
        <w:tc>
          <w:tcPr>
            <w:tcW w:w="633" w:type="dxa"/>
            <w:vMerge w:val="continue"/>
            <w:vAlign w:val="center"/>
          </w:tcPr>
          <w:p w14:paraId="0B069EFC">
            <w:pPr>
              <w:pStyle w:val="152"/>
              <w:spacing w:line="240" w:lineRule="auto"/>
              <w:rPr>
                <w:rFonts w:hint="default" w:ascii="Times New Roman" w:hAnsi="Times New Roman" w:eastAsia="宋体" w:cs="Times New Roman"/>
                <w:color w:val="auto"/>
                <w:sz w:val="21"/>
                <w:szCs w:val="21"/>
                <w:highlight w:val="none"/>
              </w:rPr>
            </w:pPr>
          </w:p>
        </w:tc>
        <w:tc>
          <w:tcPr>
            <w:tcW w:w="696" w:type="dxa"/>
            <w:vAlign w:val="center"/>
          </w:tcPr>
          <w:p w14:paraId="2157F74C">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913" w:type="dxa"/>
            <w:vAlign w:val="center"/>
          </w:tcPr>
          <w:p w14:paraId="0999B61D">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废气产生量kg/h</w:t>
            </w:r>
          </w:p>
        </w:tc>
        <w:tc>
          <w:tcPr>
            <w:tcW w:w="1801" w:type="dxa"/>
            <w:vAlign w:val="center"/>
          </w:tcPr>
          <w:p w14:paraId="48DC6BE6">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887" w:type="dxa"/>
            <w:vAlign w:val="center"/>
          </w:tcPr>
          <w:p w14:paraId="49E40C69">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tc>
        <w:tc>
          <w:tcPr>
            <w:tcW w:w="537" w:type="dxa"/>
            <w:vAlign w:val="center"/>
          </w:tcPr>
          <w:p w14:paraId="095423C0">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932" w:type="dxa"/>
            <w:vAlign w:val="center"/>
          </w:tcPr>
          <w:p w14:paraId="4E9F44C8">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w:t>
            </w:r>
          </w:p>
          <w:p w14:paraId="09025362">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c>
          <w:tcPr>
            <w:tcW w:w="814" w:type="dxa"/>
            <w:vMerge w:val="continue"/>
            <w:vAlign w:val="center"/>
          </w:tcPr>
          <w:p w14:paraId="35CA03C7">
            <w:pPr>
              <w:pStyle w:val="152"/>
              <w:rPr>
                <w:rFonts w:hint="default" w:ascii="Times New Roman" w:hAnsi="Times New Roman" w:eastAsia="宋体" w:cs="Times New Roman"/>
                <w:color w:val="auto"/>
                <w:sz w:val="21"/>
                <w:szCs w:val="21"/>
                <w:highlight w:val="none"/>
              </w:rPr>
            </w:pPr>
          </w:p>
        </w:tc>
      </w:tr>
      <w:bookmarkEnd w:id="483"/>
      <w:tr w14:paraId="16B1E3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restart"/>
            <w:vAlign w:val="center"/>
          </w:tcPr>
          <w:p w14:paraId="1E9FE96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养殖区（猪舍）</w:t>
            </w:r>
          </w:p>
        </w:tc>
        <w:tc>
          <w:tcPr>
            <w:tcW w:w="437" w:type="dxa"/>
            <w:vMerge w:val="restart"/>
            <w:vAlign w:val="center"/>
          </w:tcPr>
          <w:p w14:paraId="120615AF">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w:t>
            </w:r>
          </w:p>
        </w:tc>
        <w:tc>
          <w:tcPr>
            <w:tcW w:w="633" w:type="dxa"/>
            <w:vMerge w:val="restart"/>
            <w:vAlign w:val="center"/>
          </w:tcPr>
          <w:p w14:paraId="0F0070E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696" w:type="dxa"/>
            <w:vMerge w:val="restart"/>
            <w:vAlign w:val="center"/>
          </w:tcPr>
          <w:p w14:paraId="61F023E3">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类比法</w:t>
            </w:r>
          </w:p>
        </w:tc>
        <w:tc>
          <w:tcPr>
            <w:tcW w:w="913" w:type="dxa"/>
            <w:vMerge w:val="restart"/>
            <w:vAlign w:val="center"/>
          </w:tcPr>
          <w:p w14:paraId="39067774">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0.87</w:t>
            </w:r>
          </w:p>
        </w:tc>
        <w:tc>
          <w:tcPr>
            <w:tcW w:w="1801" w:type="dxa"/>
            <w:vAlign w:val="center"/>
          </w:tcPr>
          <w:p w14:paraId="6D4C2FF4">
            <w:pPr>
              <w:pStyle w:val="152"/>
              <w:keepNext w:val="0"/>
              <w:keepLines w:val="0"/>
              <w:pageBreakBefore w:val="0"/>
              <w:widowControl/>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在日粮中添加EM菌。</w:t>
            </w:r>
          </w:p>
        </w:tc>
        <w:tc>
          <w:tcPr>
            <w:tcW w:w="887" w:type="dxa"/>
            <w:vAlign w:val="center"/>
          </w:tcPr>
          <w:p w14:paraId="42F773A3">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72.5%</w:t>
            </w:r>
          </w:p>
        </w:tc>
        <w:tc>
          <w:tcPr>
            <w:tcW w:w="537" w:type="dxa"/>
            <w:vMerge w:val="restart"/>
            <w:vAlign w:val="center"/>
          </w:tcPr>
          <w:p w14:paraId="42C2774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类比法</w:t>
            </w:r>
          </w:p>
        </w:tc>
        <w:tc>
          <w:tcPr>
            <w:tcW w:w="932" w:type="dxa"/>
            <w:vMerge w:val="restart"/>
            <w:vAlign w:val="center"/>
          </w:tcPr>
          <w:p w14:paraId="270240E0">
            <w:pPr>
              <w:pStyle w:val="152"/>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0.0177</w:t>
            </w:r>
          </w:p>
        </w:tc>
        <w:tc>
          <w:tcPr>
            <w:tcW w:w="814" w:type="dxa"/>
            <w:vMerge w:val="restart"/>
            <w:vAlign w:val="center"/>
          </w:tcPr>
          <w:p w14:paraId="4C706BFD">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8760h</w:t>
            </w:r>
          </w:p>
        </w:tc>
      </w:tr>
      <w:tr w14:paraId="4BB27F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34C2B29F">
            <w:pPr>
              <w:pStyle w:val="152"/>
              <w:rPr>
                <w:rFonts w:hint="default" w:ascii="Times New Roman" w:hAnsi="Times New Roman" w:eastAsia="宋体" w:cs="Times New Roman"/>
                <w:color w:val="auto"/>
                <w:sz w:val="21"/>
                <w:szCs w:val="21"/>
                <w:highlight w:val="none"/>
              </w:rPr>
            </w:pPr>
          </w:p>
        </w:tc>
        <w:tc>
          <w:tcPr>
            <w:tcW w:w="437" w:type="dxa"/>
            <w:vMerge w:val="continue"/>
            <w:vAlign w:val="center"/>
          </w:tcPr>
          <w:p w14:paraId="68A11245">
            <w:pPr>
              <w:pStyle w:val="152"/>
              <w:rPr>
                <w:rFonts w:hint="default" w:ascii="Times New Roman" w:hAnsi="Times New Roman" w:eastAsia="宋体" w:cs="Times New Roman"/>
                <w:color w:val="auto"/>
                <w:sz w:val="21"/>
                <w:szCs w:val="21"/>
                <w:highlight w:val="none"/>
              </w:rPr>
            </w:pPr>
          </w:p>
        </w:tc>
        <w:tc>
          <w:tcPr>
            <w:tcW w:w="633" w:type="dxa"/>
            <w:vMerge w:val="continue"/>
            <w:vAlign w:val="center"/>
          </w:tcPr>
          <w:p w14:paraId="12050B47">
            <w:pPr>
              <w:pStyle w:val="152"/>
              <w:rPr>
                <w:rFonts w:hint="default" w:ascii="Times New Roman" w:hAnsi="Times New Roman" w:eastAsia="宋体" w:cs="Times New Roman"/>
                <w:color w:val="auto"/>
                <w:sz w:val="21"/>
                <w:szCs w:val="21"/>
                <w:highlight w:val="none"/>
              </w:rPr>
            </w:pPr>
          </w:p>
        </w:tc>
        <w:tc>
          <w:tcPr>
            <w:tcW w:w="696" w:type="dxa"/>
            <w:vMerge w:val="continue"/>
            <w:vAlign w:val="center"/>
          </w:tcPr>
          <w:p w14:paraId="3CF7C2A5">
            <w:pPr>
              <w:pStyle w:val="152"/>
              <w:rPr>
                <w:rFonts w:hint="default" w:ascii="Times New Roman" w:hAnsi="Times New Roman" w:eastAsia="宋体" w:cs="Times New Roman"/>
                <w:color w:val="auto"/>
                <w:sz w:val="21"/>
                <w:szCs w:val="21"/>
                <w:highlight w:val="none"/>
              </w:rPr>
            </w:pPr>
          </w:p>
        </w:tc>
        <w:tc>
          <w:tcPr>
            <w:tcW w:w="913" w:type="dxa"/>
            <w:vMerge w:val="continue"/>
            <w:vAlign w:val="center"/>
          </w:tcPr>
          <w:p w14:paraId="06A9E258">
            <w:pPr>
              <w:pStyle w:val="152"/>
              <w:rPr>
                <w:rFonts w:hint="default" w:ascii="Times New Roman" w:hAnsi="Times New Roman" w:eastAsia="宋体" w:cs="Times New Roman"/>
                <w:color w:val="auto"/>
                <w:sz w:val="21"/>
                <w:szCs w:val="21"/>
                <w:highlight w:val="none"/>
              </w:rPr>
            </w:pPr>
          </w:p>
        </w:tc>
        <w:tc>
          <w:tcPr>
            <w:tcW w:w="1801" w:type="dxa"/>
            <w:vAlign w:val="center"/>
          </w:tcPr>
          <w:p w14:paraId="69CF3509">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喷洒除臭剂</w:t>
            </w:r>
          </w:p>
        </w:tc>
        <w:tc>
          <w:tcPr>
            <w:tcW w:w="887" w:type="dxa"/>
            <w:vAlign w:val="center"/>
          </w:tcPr>
          <w:p w14:paraId="17129585">
            <w:pPr>
              <w:pStyle w:val="152"/>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92.6</w:t>
            </w:r>
            <w:r>
              <w:rPr>
                <w:rFonts w:hint="default" w:ascii="Times New Roman" w:hAnsi="Times New Roman" w:eastAsia="宋体" w:cs="Times New Roman"/>
                <w:color w:val="auto"/>
                <w:sz w:val="21"/>
                <w:szCs w:val="21"/>
                <w:highlight w:val="none"/>
              </w:rPr>
              <w:t>%</w:t>
            </w:r>
          </w:p>
        </w:tc>
        <w:tc>
          <w:tcPr>
            <w:tcW w:w="537" w:type="dxa"/>
            <w:vMerge w:val="continue"/>
            <w:vAlign w:val="center"/>
          </w:tcPr>
          <w:p w14:paraId="063F6035">
            <w:pPr>
              <w:pStyle w:val="152"/>
              <w:rPr>
                <w:rFonts w:hint="default" w:ascii="Times New Roman" w:hAnsi="Times New Roman" w:eastAsia="宋体" w:cs="Times New Roman"/>
                <w:color w:val="auto"/>
                <w:sz w:val="21"/>
                <w:szCs w:val="21"/>
                <w:highlight w:val="none"/>
              </w:rPr>
            </w:pPr>
          </w:p>
        </w:tc>
        <w:tc>
          <w:tcPr>
            <w:tcW w:w="932" w:type="dxa"/>
            <w:vMerge w:val="continue"/>
            <w:vAlign w:val="center"/>
          </w:tcPr>
          <w:p w14:paraId="6CB2DC42">
            <w:pPr>
              <w:pStyle w:val="152"/>
              <w:jc w:val="center"/>
              <w:rPr>
                <w:rFonts w:hint="default" w:ascii="Times New Roman" w:hAnsi="Times New Roman" w:eastAsia="宋体" w:cs="Times New Roman"/>
                <w:color w:val="auto"/>
                <w:sz w:val="21"/>
                <w:szCs w:val="21"/>
                <w:highlight w:val="none"/>
              </w:rPr>
            </w:pPr>
          </w:p>
        </w:tc>
        <w:tc>
          <w:tcPr>
            <w:tcW w:w="814" w:type="dxa"/>
            <w:vMerge w:val="continue"/>
            <w:vAlign w:val="center"/>
          </w:tcPr>
          <w:p w14:paraId="6F58220A">
            <w:pPr>
              <w:pStyle w:val="152"/>
              <w:rPr>
                <w:rFonts w:hint="default" w:ascii="Times New Roman" w:hAnsi="Times New Roman" w:eastAsia="宋体" w:cs="Times New Roman"/>
                <w:color w:val="auto"/>
                <w:sz w:val="21"/>
                <w:szCs w:val="21"/>
                <w:highlight w:val="none"/>
              </w:rPr>
            </w:pPr>
          </w:p>
        </w:tc>
      </w:tr>
      <w:tr w14:paraId="5FB6B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2D97047E">
            <w:pPr>
              <w:pStyle w:val="152"/>
              <w:rPr>
                <w:rFonts w:hint="default" w:ascii="Times New Roman" w:hAnsi="Times New Roman" w:eastAsia="宋体" w:cs="Times New Roman"/>
                <w:color w:val="auto"/>
                <w:sz w:val="21"/>
                <w:szCs w:val="21"/>
                <w:highlight w:val="none"/>
              </w:rPr>
            </w:pPr>
          </w:p>
        </w:tc>
        <w:tc>
          <w:tcPr>
            <w:tcW w:w="437" w:type="dxa"/>
            <w:vMerge w:val="continue"/>
            <w:vAlign w:val="center"/>
          </w:tcPr>
          <w:p w14:paraId="4A3302B7">
            <w:pPr>
              <w:pStyle w:val="152"/>
              <w:rPr>
                <w:rFonts w:hint="default" w:ascii="Times New Roman" w:hAnsi="Times New Roman" w:eastAsia="宋体" w:cs="Times New Roman"/>
                <w:color w:val="auto"/>
                <w:sz w:val="21"/>
                <w:szCs w:val="21"/>
                <w:highlight w:val="none"/>
              </w:rPr>
            </w:pPr>
          </w:p>
        </w:tc>
        <w:tc>
          <w:tcPr>
            <w:tcW w:w="633" w:type="dxa"/>
            <w:vMerge w:val="restart"/>
            <w:vAlign w:val="center"/>
          </w:tcPr>
          <w:p w14:paraId="69288577">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696" w:type="dxa"/>
            <w:vMerge w:val="continue"/>
            <w:vAlign w:val="center"/>
          </w:tcPr>
          <w:p w14:paraId="7CD4D6E1">
            <w:pPr>
              <w:pStyle w:val="152"/>
              <w:rPr>
                <w:rFonts w:hint="default" w:ascii="Times New Roman" w:hAnsi="Times New Roman" w:eastAsia="宋体" w:cs="Times New Roman"/>
                <w:color w:val="auto"/>
                <w:sz w:val="21"/>
                <w:szCs w:val="21"/>
                <w:highlight w:val="none"/>
              </w:rPr>
            </w:pPr>
          </w:p>
        </w:tc>
        <w:tc>
          <w:tcPr>
            <w:tcW w:w="913" w:type="dxa"/>
            <w:vMerge w:val="restart"/>
            <w:vAlign w:val="center"/>
          </w:tcPr>
          <w:p w14:paraId="066D43F7">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0.123</w:t>
            </w:r>
          </w:p>
        </w:tc>
        <w:tc>
          <w:tcPr>
            <w:tcW w:w="1801" w:type="dxa"/>
            <w:vAlign w:val="center"/>
          </w:tcPr>
          <w:p w14:paraId="74D814DE">
            <w:pPr>
              <w:pStyle w:val="152"/>
              <w:keepNext w:val="0"/>
              <w:keepLines w:val="0"/>
              <w:pageBreakBefore w:val="0"/>
              <w:widowControl/>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在日粮中添加EM菌。</w:t>
            </w:r>
          </w:p>
        </w:tc>
        <w:tc>
          <w:tcPr>
            <w:tcW w:w="887" w:type="dxa"/>
            <w:vAlign w:val="center"/>
          </w:tcPr>
          <w:p w14:paraId="1F795176">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81.5%</w:t>
            </w:r>
          </w:p>
        </w:tc>
        <w:tc>
          <w:tcPr>
            <w:tcW w:w="537" w:type="dxa"/>
            <w:vMerge w:val="continue"/>
            <w:vAlign w:val="center"/>
          </w:tcPr>
          <w:p w14:paraId="09F79272">
            <w:pPr>
              <w:pStyle w:val="152"/>
              <w:rPr>
                <w:rFonts w:hint="default" w:ascii="Times New Roman" w:hAnsi="Times New Roman" w:eastAsia="宋体" w:cs="Times New Roman"/>
                <w:color w:val="auto"/>
                <w:sz w:val="21"/>
                <w:szCs w:val="21"/>
                <w:highlight w:val="none"/>
              </w:rPr>
            </w:pPr>
          </w:p>
        </w:tc>
        <w:tc>
          <w:tcPr>
            <w:tcW w:w="932" w:type="dxa"/>
            <w:vMerge w:val="restart"/>
            <w:vAlign w:val="center"/>
          </w:tcPr>
          <w:p w14:paraId="797B384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0.0025</w:t>
            </w:r>
          </w:p>
        </w:tc>
        <w:tc>
          <w:tcPr>
            <w:tcW w:w="814" w:type="dxa"/>
            <w:vMerge w:val="continue"/>
            <w:vAlign w:val="center"/>
          </w:tcPr>
          <w:p w14:paraId="2FDF7F45">
            <w:pPr>
              <w:pStyle w:val="152"/>
              <w:rPr>
                <w:rFonts w:hint="default" w:ascii="Times New Roman" w:hAnsi="Times New Roman" w:eastAsia="宋体" w:cs="Times New Roman"/>
                <w:color w:val="auto"/>
                <w:kern w:val="0"/>
                <w:sz w:val="21"/>
                <w:szCs w:val="21"/>
                <w:highlight w:val="none"/>
                <w:lang w:val="zh-CN" w:eastAsia="zh-CN" w:bidi="ar-SA"/>
              </w:rPr>
            </w:pPr>
          </w:p>
        </w:tc>
      </w:tr>
      <w:tr w14:paraId="4C6D0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7A1C679B">
            <w:pPr>
              <w:pStyle w:val="152"/>
              <w:rPr>
                <w:rFonts w:hint="default" w:ascii="Times New Roman" w:hAnsi="Times New Roman" w:eastAsia="宋体" w:cs="Times New Roman"/>
                <w:color w:val="auto"/>
                <w:sz w:val="21"/>
                <w:szCs w:val="21"/>
                <w:highlight w:val="none"/>
              </w:rPr>
            </w:pPr>
          </w:p>
        </w:tc>
        <w:tc>
          <w:tcPr>
            <w:tcW w:w="437" w:type="dxa"/>
            <w:vMerge w:val="continue"/>
            <w:vAlign w:val="center"/>
          </w:tcPr>
          <w:p w14:paraId="72DE632B">
            <w:pPr>
              <w:pStyle w:val="152"/>
              <w:rPr>
                <w:rFonts w:hint="default" w:ascii="Times New Roman" w:hAnsi="Times New Roman" w:eastAsia="宋体" w:cs="Times New Roman"/>
                <w:color w:val="auto"/>
                <w:sz w:val="21"/>
                <w:szCs w:val="21"/>
                <w:highlight w:val="none"/>
              </w:rPr>
            </w:pPr>
          </w:p>
        </w:tc>
        <w:tc>
          <w:tcPr>
            <w:tcW w:w="633" w:type="dxa"/>
            <w:vMerge w:val="continue"/>
            <w:vAlign w:val="center"/>
          </w:tcPr>
          <w:p w14:paraId="6FBE3095">
            <w:pPr>
              <w:pStyle w:val="152"/>
              <w:rPr>
                <w:rFonts w:hint="default" w:ascii="Times New Roman" w:hAnsi="Times New Roman" w:eastAsia="宋体" w:cs="Times New Roman"/>
                <w:color w:val="auto"/>
                <w:sz w:val="21"/>
                <w:szCs w:val="21"/>
                <w:highlight w:val="none"/>
              </w:rPr>
            </w:pPr>
          </w:p>
        </w:tc>
        <w:tc>
          <w:tcPr>
            <w:tcW w:w="696" w:type="dxa"/>
            <w:vMerge w:val="continue"/>
            <w:vAlign w:val="center"/>
          </w:tcPr>
          <w:p w14:paraId="2041C301">
            <w:pPr>
              <w:pStyle w:val="152"/>
              <w:rPr>
                <w:rFonts w:hint="default" w:ascii="Times New Roman" w:hAnsi="Times New Roman" w:eastAsia="宋体" w:cs="Times New Roman"/>
                <w:color w:val="auto"/>
                <w:sz w:val="21"/>
                <w:szCs w:val="21"/>
                <w:highlight w:val="none"/>
              </w:rPr>
            </w:pPr>
          </w:p>
        </w:tc>
        <w:tc>
          <w:tcPr>
            <w:tcW w:w="913" w:type="dxa"/>
            <w:vMerge w:val="continue"/>
            <w:vAlign w:val="center"/>
          </w:tcPr>
          <w:p w14:paraId="181F12B6">
            <w:pPr>
              <w:pStyle w:val="152"/>
              <w:rPr>
                <w:rFonts w:hint="default" w:ascii="Times New Roman" w:hAnsi="Times New Roman" w:eastAsia="宋体" w:cs="Times New Roman"/>
                <w:color w:val="auto"/>
                <w:sz w:val="21"/>
                <w:szCs w:val="21"/>
                <w:highlight w:val="none"/>
              </w:rPr>
            </w:pPr>
          </w:p>
        </w:tc>
        <w:tc>
          <w:tcPr>
            <w:tcW w:w="1801" w:type="dxa"/>
            <w:vAlign w:val="center"/>
          </w:tcPr>
          <w:p w14:paraId="52352B01">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喷洒除臭剂</w:t>
            </w:r>
          </w:p>
        </w:tc>
        <w:tc>
          <w:tcPr>
            <w:tcW w:w="887" w:type="dxa"/>
            <w:vAlign w:val="center"/>
          </w:tcPr>
          <w:p w14:paraId="18ED43AD">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rPr>
              <w:t>%</w:t>
            </w:r>
          </w:p>
        </w:tc>
        <w:tc>
          <w:tcPr>
            <w:tcW w:w="537" w:type="dxa"/>
            <w:vMerge w:val="continue"/>
            <w:vAlign w:val="center"/>
          </w:tcPr>
          <w:p w14:paraId="31E3626C">
            <w:pPr>
              <w:pStyle w:val="152"/>
              <w:rPr>
                <w:rFonts w:hint="default" w:ascii="Times New Roman" w:hAnsi="Times New Roman" w:eastAsia="宋体" w:cs="Times New Roman"/>
                <w:color w:val="auto"/>
                <w:sz w:val="21"/>
                <w:szCs w:val="21"/>
                <w:highlight w:val="none"/>
              </w:rPr>
            </w:pPr>
          </w:p>
        </w:tc>
        <w:tc>
          <w:tcPr>
            <w:tcW w:w="932" w:type="dxa"/>
            <w:vMerge w:val="continue"/>
            <w:vAlign w:val="center"/>
          </w:tcPr>
          <w:p w14:paraId="3CF096E8">
            <w:pPr>
              <w:pStyle w:val="152"/>
              <w:jc w:val="center"/>
              <w:rPr>
                <w:rFonts w:hint="default" w:ascii="Times New Roman" w:hAnsi="Times New Roman" w:eastAsia="宋体" w:cs="Times New Roman"/>
                <w:color w:val="auto"/>
                <w:sz w:val="21"/>
                <w:szCs w:val="21"/>
                <w:highlight w:val="none"/>
              </w:rPr>
            </w:pPr>
          </w:p>
        </w:tc>
        <w:tc>
          <w:tcPr>
            <w:tcW w:w="814" w:type="dxa"/>
            <w:vMerge w:val="continue"/>
            <w:vAlign w:val="center"/>
          </w:tcPr>
          <w:p w14:paraId="4D363C92">
            <w:pPr>
              <w:pStyle w:val="152"/>
              <w:rPr>
                <w:rFonts w:hint="default" w:ascii="Times New Roman" w:hAnsi="Times New Roman" w:eastAsia="宋体" w:cs="Times New Roman"/>
                <w:color w:val="auto"/>
                <w:sz w:val="21"/>
                <w:szCs w:val="21"/>
                <w:highlight w:val="none"/>
              </w:rPr>
            </w:pPr>
          </w:p>
        </w:tc>
      </w:tr>
      <w:bookmarkEnd w:id="481"/>
    </w:tbl>
    <w:p w14:paraId="39A92D08">
      <w:pPr>
        <w:pStyle w:val="94"/>
        <w:ind w:firstLine="480"/>
        <w:rPr>
          <w:rFonts w:hint="default" w:ascii="Times New Roman" w:hAnsi="Times New Roman" w:eastAsia="宋体" w:cs="Times New Roman"/>
          <w:snapToGrid w:val="0"/>
          <w:color w:val="auto"/>
          <w:highlight w:val="none"/>
          <w:vertAlign w:val="baseline"/>
          <w:lang w:val="en-US" w:eastAsia="zh-CN"/>
        </w:rPr>
      </w:pPr>
      <w:r>
        <w:rPr>
          <w:rFonts w:hint="default" w:ascii="Times New Roman" w:hAnsi="Times New Roman" w:eastAsia="宋体" w:cs="Times New Roman"/>
          <w:snapToGrid w:val="0"/>
          <w:color w:val="auto"/>
          <w:highlight w:val="none"/>
        </w:rPr>
        <w:t>养殖区</w:t>
      </w:r>
      <w:r>
        <w:rPr>
          <w:rFonts w:hint="eastAsia"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猪舍</w:t>
      </w:r>
      <w:r>
        <w:rPr>
          <w:rFonts w:hint="eastAsia"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lang w:val="en-US" w:eastAsia="zh-CN"/>
        </w:rPr>
        <w:t>无</w:t>
      </w:r>
      <w:r>
        <w:rPr>
          <w:rFonts w:hint="default" w:ascii="Times New Roman" w:hAnsi="Times New Roman" w:eastAsia="宋体" w:cs="Times New Roman"/>
          <w:snapToGrid w:val="0"/>
          <w:color w:val="auto"/>
          <w:highlight w:val="none"/>
          <w:lang w:val="en-US" w:eastAsia="zh-CN"/>
        </w:rPr>
        <w:t>组织废气</w:t>
      </w:r>
      <w:r>
        <w:rPr>
          <w:rFonts w:hint="default" w:ascii="Times New Roman" w:hAnsi="Times New Roman" w:eastAsia="宋体" w:cs="Times New Roman"/>
          <w:color w:val="auto"/>
          <w:highlight w:val="none"/>
        </w:rPr>
        <w:t>面源</w:t>
      </w:r>
      <w:r>
        <w:rPr>
          <w:rFonts w:hint="default" w:ascii="Times New Roman" w:hAnsi="Times New Roman" w:eastAsia="宋体" w:cs="Times New Roman"/>
          <w:snapToGrid w:val="0"/>
          <w:color w:val="auto"/>
          <w:highlight w:val="none"/>
          <w:lang w:val="en-US" w:eastAsia="zh-CN"/>
        </w:rPr>
        <w:t>排放量NH</w:t>
      </w:r>
      <w:r>
        <w:rPr>
          <w:rFonts w:hint="default" w:ascii="Times New Roman" w:hAnsi="Times New Roman" w:eastAsia="宋体" w:cs="Times New Roman"/>
          <w:snapToGrid w:val="0"/>
          <w:color w:val="auto"/>
          <w:highlight w:val="none"/>
          <w:vertAlign w:val="subscript"/>
          <w:lang w:val="en-US" w:eastAsia="zh-CN"/>
        </w:rPr>
        <w:t>3</w:t>
      </w:r>
      <w:r>
        <w:rPr>
          <w:rFonts w:hint="default" w:ascii="Times New Roman" w:hAnsi="Times New Roman" w:eastAsia="宋体" w:cs="Times New Roman"/>
          <w:snapToGrid w:val="0"/>
          <w:color w:val="auto"/>
          <w:highlight w:val="none"/>
          <w:vertAlign w:val="baseline"/>
          <w:lang w:val="en-US" w:eastAsia="zh-CN"/>
        </w:rPr>
        <w:t>为</w:t>
      </w:r>
      <w:r>
        <w:rPr>
          <w:rFonts w:hint="eastAsia" w:ascii="Times New Roman" w:hAnsi="Times New Roman" w:cs="Times New Roman"/>
          <w:snapToGrid w:val="0"/>
          <w:color w:val="auto"/>
          <w:highlight w:val="none"/>
          <w:vertAlign w:val="baseline"/>
          <w:lang w:val="en-US" w:eastAsia="zh-CN"/>
        </w:rPr>
        <w:t>0.0177</w:t>
      </w:r>
      <w:r>
        <w:rPr>
          <w:rFonts w:hint="default" w:ascii="Times New Roman" w:hAnsi="Times New Roman" w:eastAsia="宋体" w:cs="Times New Roman"/>
          <w:snapToGrid w:val="0"/>
          <w:color w:val="auto"/>
          <w:highlight w:val="none"/>
          <w:vertAlign w:val="baseline"/>
          <w:lang w:val="en-US" w:eastAsia="zh-CN"/>
        </w:rPr>
        <w:t>kg/h（</w:t>
      </w:r>
      <w:r>
        <w:rPr>
          <w:rFonts w:hint="eastAsia" w:ascii="Times New Roman" w:hAnsi="Times New Roman" w:cs="Times New Roman"/>
          <w:snapToGrid w:val="0"/>
          <w:color w:val="auto"/>
          <w:highlight w:val="none"/>
          <w:vertAlign w:val="baseline"/>
          <w:lang w:val="en-US" w:eastAsia="zh-CN"/>
        </w:rPr>
        <w:t>0.155</w:t>
      </w:r>
      <w:r>
        <w:rPr>
          <w:rFonts w:hint="default" w:ascii="Times New Roman" w:hAnsi="Times New Roman" w:eastAsia="宋体" w:cs="Times New Roman"/>
          <w:snapToGrid w:val="0"/>
          <w:color w:val="auto"/>
          <w:highlight w:val="none"/>
          <w:vertAlign w:val="baseline"/>
          <w:lang w:val="en-US" w:eastAsia="zh-CN"/>
        </w:rPr>
        <w:t>t/a），H</w:t>
      </w:r>
      <w:r>
        <w:rPr>
          <w:rFonts w:hint="default" w:ascii="Times New Roman" w:hAnsi="Times New Roman" w:eastAsia="宋体" w:cs="Times New Roman"/>
          <w:snapToGrid w:val="0"/>
          <w:color w:val="auto"/>
          <w:highlight w:val="none"/>
          <w:vertAlign w:val="subscript"/>
          <w:lang w:val="en-US" w:eastAsia="zh-CN"/>
        </w:rPr>
        <w:t>2</w:t>
      </w:r>
      <w:r>
        <w:rPr>
          <w:rFonts w:hint="default" w:ascii="Times New Roman" w:hAnsi="Times New Roman" w:eastAsia="宋体" w:cs="Times New Roman"/>
          <w:snapToGrid w:val="0"/>
          <w:color w:val="auto"/>
          <w:highlight w:val="none"/>
          <w:vertAlign w:val="baseline"/>
          <w:lang w:val="en-US" w:eastAsia="zh-CN"/>
        </w:rPr>
        <w:t>S为</w:t>
      </w:r>
      <w:r>
        <w:rPr>
          <w:rFonts w:hint="eastAsia" w:ascii="Times New Roman" w:hAnsi="Times New Roman" w:cs="Times New Roman"/>
          <w:snapToGrid w:val="0"/>
          <w:color w:val="auto"/>
          <w:highlight w:val="none"/>
          <w:vertAlign w:val="baseline"/>
          <w:lang w:val="en-US" w:eastAsia="zh-CN"/>
        </w:rPr>
        <w:t>0.0025</w:t>
      </w:r>
      <w:r>
        <w:rPr>
          <w:rFonts w:hint="default" w:ascii="Times New Roman" w:hAnsi="Times New Roman" w:eastAsia="宋体" w:cs="Times New Roman"/>
          <w:snapToGrid w:val="0"/>
          <w:color w:val="auto"/>
          <w:highlight w:val="none"/>
          <w:vertAlign w:val="baseline"/>
          <w:lang w:val="en-US" w:eastAsia="zh-CN"/>
        </w:rPr>
        <w:t>kg/h（</w:t>
      </w:r>
      <w:r>
        <w:rPr>
          <w:rFonts w:hint="eastAsia" w:ascii="Times New Roman" w:hAnsi="Times New Roman" w:cs="Times New Roman"/>
          <w:snapToGrid w:val="0"/>
          <w:color w:val="auto"/>
          <w:highlight w:val="none"/>
          <w:vertAlign w:val="baseline"/>
          <w:lang w:val="en-US" w:eastAsia="zh-CN"/>
        </w:rPr>
        <w:t>0.0219</w:t>
      </w:r>
      <w:r>
        <w:rPr>
          <w:rFonts w:hint="default" w:ascii="Times New Roman" w:hAnsi="Times New Roman" w:eastAsia="宋体" w:cs="Times New Roman"/>
          <w:snapToGrid w:val="0"/>
          <w:color w:val="auto"/>
          <w:highlight w:val="none"/>
          <w:vertAlign w:val="baseline"/>
          <w:lang w:val="en-US" w:eastAsia="zh-CN"/>
        </w:rPr>
        <w:t>t/a）。</w:t>
      </w:r>
    </w:p>
    <w:p w14:paraId="5B4FC104">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养殖区</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猪舍</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的恶臭从预防和污染控制两方面来减少影响，常以如下几种方式：</w:t>
      </w:r>
    </w:p>
    <w:p w14:paraId="16318FD7">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合理选址</w:t>
      </w:r>
    </w:p>
    <w:p w14:paraId="7E34F3BE">
      <w:pPr>
        <w:pStyle w:val="453"/>
        <w:ind w:firstLine="480"/>
        <w:rPr>
          <w:rFonts w:hint="default" w:ascii="Times New Roman" w:hAnsi="Times New Roman" w:eastAsia="宋体" w:cs="Times New Roman"/>
          <w:color w:val="auto"/>
          <w:kern w:val="0"/>
          <w:szCs w:val="24"/>
          <w:highlight w:val="none"/>
          <w:lang w:val="en-US" w:eastAsia="zh-CN" w:bidi="ar"/>
        </w:rPr>
      </w:pPr>
      <w:r>
        <w:rPr>
          <w:rFonts w:hint="default" w:ascii="Times New Roman" w:hAnsi="Times New Roman" w:eastAsia="宋体" w:cs="Times New Roman"/>
          <w:color w:val="auto"/>
          <w:kern w:val="0"/>
          <w:szCs w:val="24"/>
          <w:highlight w:val="none"/>
          <w:lang w:bidi="ar"/>
        </w:rPr>
        <w:t>2018年2月26日中华人民共和国环境保护部网站环境保护部部长信箱中《关于畜禽养殖业选址问题的回复》的答复，“《畜禽养殖业污染防治技术规范》（HJ/T81-2001）属于推荐性的环境保护技术规范类标准，该技术规范3.1.2规定：禁止在城市和城镇居民区，包括文教科研区、医疗区、商业区、工业区、游览区等人口集中地区建设畜禽养殖场。村屯居民区不属于城市和城镇居民区。因此，不属于该技术规范3.1.2规定的人口集中区。对于养殖场与农村居民区之间的距离，养殖场在建设时应开展环境影响评价，根据当地的地理、环境及气象等因素确定与居民区之间的距离。在确定距离时，该技术规范中的要求可作为一项参考依据。”</w:t>
      </w:r>
      <w:r>
        <w:rPr>
          <w:rFonts w:hint="default" w:ascii="Times New Roman" w:hAnsi="Times New Roman" w:eastAsia="宋体" w:cs="Times New Roman"/>
          <w:color w:val="auto"/>
          <w:kern w:val="0"/>
          <w:szCs w:val="24"/>
          <w:highlight w:val="none"/>
          <w:lang w:val="en-US" w:eastAsia="zh-CN" w:bidi="ar"/>
        </w:rPr>
        <w:t>距本项目周围500m范围内无</w:t>
      </w:r>
      <w:r>
        <w:rPr>
          <w:rFonts w:hint="default" w:ascii="Times New Roman" w:hAnsi="Times New Roman" w:eastAsia="宋体" w:cs="Times New Roman"/>
          <w:color w:val="auto"/>
          <w:highlight w:val="none"/>
          <w:lang w:val="en-US" w:eastAsia="zh-CN"/>
        </w:rPr>
        <w:t>禁建区</w:t>
      </w:r>
      <w:r>
        <w:rPr>
          <w:rFonts w:hint="default" w:ascii="Times New Roman" w:hAnsi="Times New Roman" w:eastAsia="宋体" w:cs="Times New Roman"/>
          <w:color w:val="auto"/>
          <w:kern w:val="0"/>
          <w:szCs w:val="24"/>
          <w:highlight w:val="none"/>
          <w:lang w:eastAsia="zh-CN" w:bidi="ar"/>
        </w:rPr>
        <w:t>。</w:t>
      </w:r>
    </w:p>
    <w:p w14:paraId="4B30933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（2）合理布局</w:t>
      </w:r>
    </w:p>
    <w:p w14:paraId="2DEA547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平面布置应将易产生恶臭的建构筑物设置在下风向，生产区和办公区分开，生产、生活区之间设有</w:t>
      </w:r>
      <w:r>
        <w:rPr>
          <w:rFonts w:hint="eastAsia" w:ascii="Times New Roman" w:hAnsi="Times New Roman" w:eastAsia="宋体" w:cs="Times New Roman"/>
          <w:color w:val="auto"/>
          <w:sz w:val="24"/>
          <w:highlight w:val="none"/>
          <w:lang w:val="en-US" w:eastAsia="zh-CN"/>
        </w:rPr>
        <w:t>间隔</w:t>
      </w:r>
      <w:r>
        <w:rPr>
          <w:rFonts w:hint="default" w:ascii="Times New Roman" w:hAnsi="Times New Roman" w:eastAsia="宋体" w:cs="Times New Roman"/>
          <w:color w:val="auto"/>
          <w:sz w:val="24"/>
          <w:highlight w:val="none"/>
        </w:rPr>
        <w:t>，以减小恶臭对办公区的影响。</w:t>
      </w:r>
    </w:p>
    <w:p w14:paraId="4096C79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（3）正确的猪舍设计</w:t>
      </w:r>
    </w:p>
    <w:p w14:paraId="0A0602B9">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①应加强通风</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猪舍内设有通风装置</w:t>
      </w:r>
      <w:r>
        <w:rPr>
          <w:rFonts w:hint="default" w:ascii="Times New Roman" w:hAnsi="Times New Roman" w:eastAsia="宋体" w:cs="Times New Roman"/>
          <w:color w:val="auto"/>
          <w:sz w:val="24"/>
          <w:highlight w:val="none"/>
        </w:rPr>
        <w:t>。</w:t>
      </w:r>
    </w:p>
    <w:p w14:paraId="61D8BD2C">
      <w:pPr>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②注意防潮保持舍内合适湿度，减少舍内粉尘、微生物。</w:t>
      </w:r>
    </w:p>
    <w:p w14:paraId="0C97E4A4">
      <w:pPr>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③采用尿泡粪—干清粪工艺。</w:t>
      </w:r>
    </w:p>
    <w:p w14:paraId="528F5FF6">
      <w:pPr>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④饲料中</w:t>
      </w:r>
      <w:r>
        <w:rPr>
          <w:rFonts w:hint="default" w:ascii="Times New Roman" w:hAnsi="Times New Roman" w:eastAsia="宋体" w:cs="Times New Roman"/>
          <w:color w:val="auto"/>
          <w:sz w:val="24"/>
          <w:highlight w:val="none"/>
          <w:lang w:eastAsia="zh-CN"/>
        </w:rPr>
        <w:t>添加</w:t>
      </w:r>
      <w:r>
        <w:rPr>
          <w:rFonts w:hint="default" w:ascii="Times New Roman" w:hAnsi="Times New Roman" w:eastAsia="宋体" w:cs="Times New Roman"/>
          <w:color w:val="auto"/>
          <w:sz w:val="24"/>
          <w:highlight w:val="none"/>
        </w:rPr>
        <w:t>剂，猪食用后，能减少氮的排放量和粪便的产生量，从而减少污染物的排放和恶臭气体的产生。</w:t>
      </w:r>
    </w:p>
    <w:p w14:paraId="48FB2BDF">
      <w:pPr>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（4）选用先进的生产工艺</w:t>
      </w:r>
    </w:p>
    <w:p w14:paraId="12AF7E73">
      <w:pPr>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①设计日粮组成提高饲料利用率，尤其是氮的利用率，同时可降低猪排泄物中氮的含量及恶臭气体的排放。</w:t>
      </w:r>
    </w:p>
    <w:p w14:paraId="39C35DF8">
      <w:pPr>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②氨基酸平衡，选择低的蛋白质日粮，补充合成氨基酸，提高蛋白质及其他营养的吸收效率，减少氨气排放量和粪便的产生量。</w:t>
      </w:r>
    </w:p>
    <w:p w14:paraId="12B53AA2">
      <w:pPr>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③加强对猪舍的清洁卫生管理和通风措施。</w:t>
      </w:r>
    </w:p>
    <w:p w14:paraId="42F9048A">
      <w:pPr>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 4 \* GB3 \* MERGEFORMAT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sz w:val="24"/>
          <w:highlight w:val="none"/>
        </w:rPr>
        <w:t>④</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在项目建成正常运行后，对职工要进行事故处置培训；对设定的各种监控仪器要定期维护，使其正常运行，起到对恶臭的监测和控制作用。</w:t>
      </w:r>
    </w:p>
    <w:p w14:paraId="77ECD830">
      <w:pPr>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（5）工程抑臭措施</w:t>
      </w:r>
    </w:p>
    <w:p w14:paraId="05380433">
      <w:pPr>
        <w:pStyle w:val="94"/>
        <w:ind w:firstLine="480"/>
        <w:rPr>
          <w:rFonts w:hint="default" w:ascii="Times New Roman" w:hAnsi="Times New Roman" w:eastAsia="宋体" w:cs="Times New Roman"/>
          <w:snapToGrid w:val="0"/>
          <w:color w:val="auto"/>
          <w:highlight w:val="none"/>
          <w:vertAlign w:val="baseline"/>
          <w:lang w:val="en-US" w:eastAsia="zh-CN"/>
        </w:rPr>
      </w:pPr>
      <w:r>
        <w:rPr>
          <w:rFonts w:hint="default" w:ascii="Times New Roman" w:hAnsi="Times New Roman" w:eastAsia="宋体" w:cs="Times New Roman"/>
          <w:color w:val="auto"/>
          <w:sz w:val="24"/>
          <w:highlight w:val="none"/>
        </w:rPr>
        <w:t>合理控制饲养密度，及时清理猪舍内的粪便、饲料残渣及污水等，控制恶臭污染源头；做好猪舍内的通风换气工作，使猪舍内的恶臭气体及时排出，防止蓄积。本项目拟采用除臭剂去除猪舍的恶臭，将除臭剂按使用方法进行稀释后对猪舍进行喷洒，以降低恶臭污染的影响程度。</w:t>
      </w:r>
    </w:p>
    <w:p w14:paraId="7655FB49">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B、</w:t>
      </w:r>
      <w:r>
        <w:rPr>
          <w:rFonts w:hint="default" w:ascii="Times New Roman" w:hAnsi="Times New Roman" w:eastAsia="宋体" w:cs="Times New Roman"/>
          <w:snapToGrid w:val="0"/>
          <w:color w:val="auto"/>
          <w:highlight w:val="none"/>
        </w:rPr>
        <w:t>粪污治理区恶臭源强</w:t>
      </w:r>
    </w:p>
    <w:p w14:paraId="590DA592">
      <w:pPr>
        <w:keepNext w:val="0"/>
        <w:keepLines w:val="0"/>
        <w:pageBreakBefore w:val="0"/>
        <w:widowControl/>
        <w:kinsoku/>
        <w:wordWrap/>
        <w:overflowPunct/>
        <w:topLinePunct w:val="0"/>
        <w:autoSpaceDE/>
        <w:autoSpaceDN/>
        <w:bidi w:val="0"/>
        <w:spacing w:after="0"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粪污治理区设施主要包括干粪堆积场、黑膜厌氧池</w:t>
      </w:r>
      <w:r>
        <w:rPr>
          <w:rFonts w:hint="eastAsia" w:ascii="Times New Roman" w:hAnsi="Times New Roman" w:cs="Times New Roman"/>
          <w:color w:val="auto"/>
          <w:kern w:val="0"/>
          <w:sz w:val="24"/>
          <w:szCs w:val="24"/>
          <w:highlight w:val="none"/>
          <w:lang w:val="en-US" w:eastAsia="zh-CN" w:bidi="ar-SA"/>
        </w:rPr>
        <w:t>、沼液贮存池</w:t>
      </w:r>
      <w:r>
        <w:rPr>
          <w:rFonts w:hint="default" w:ascii="Times New Roman" w:hAnsi="Times New Roman" w:eastAsia="宋体" w:cs="Times New Roman"/>
          <w:color w:val="auto"/>
          <w:kern w:val="0"/>
          <w:sz w:val="24"/>
          <w:szCs w:val="24"/>
          <w:highlight w:val="none"/>
          <w:lang w:val="en-US" w:eastAsia="zh-CN" w:bidi="ar-SA"/>
        </w:rPr>
        <w:t>。</w:t>
      </w:r>
    </w:p>
    <w:p w14:paraId="2C3275B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①</w:t>
      </w:r>
      <w:r>
        <w:rPr>
          <w:rFonts w:hint="eastAsia" w:ascii="Times New Roman" w:hAnsi="Times New Roman" w:cs="Times New Roman"/>
          <w:color w:val="auto"/>
          <w:kern w:val="0"/>
          <w:sz w:val="24"/>
          <w:szCs w:val="24"/>
          <w:highlight w:val="none"/>
          <w:lang w:val="en-US" w:eastAsia="zh-CN" w:bidi="ar-SA"/>
        </w:rPr>
        <w:t>集粪池</w:t>
      </w:r>
      <w:r>
        <w:rPr>
          <w:rFonts w:hint="default" w:ascii="Times New Roman" w:hAnsi="Times New Roman" w:eastAsia="宋体" w:cs="Times New Roman"/>
          <w:color w:val="auto"/>
          <w:kern w:val="0"/>
          <w:sz w:val="24"/>
          <w:szCs w:val="24"/>
          <w:highlight w:val="none"/>
          <w:lang w:val="en-US" w:eastAsia="zh-CN" w:bidi="ar-SA"/>
        </w:rPr>
        <w:t>为地下建筑，均为全封闭结构；黑膜厌氧池为密闭囊式结构，全封闭</w:t>
      </w:r>
      <w:r>
        <w:rPr>
          <w:rFonts w:hint="eastAsia"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沼液贮存池为半地下结构，顶部覆膜全封闭。贮存过程中可能产生少量恶臭，但恶臭浓度较小，在定期喷洒除臭剂，加强绿化的情况下，恶臭对周围环境影响较小。</w:t>
      </w:r>
    </w:p>
    <w:p w14:paraId="470CB564">
      <w:pPr>
        <w:keepNext w:val="0"/>
        <w:keepLines w:val="0"/>
        <w:pageBreakBefore w:val="0"/>
        <w:widowControl/>
        <w:kinsoku/>
        <w:wordWrap/>
        <w:overflowPunct/>
        <w:topLinePunct w:val="0"/>
        <w:autoSpaceDE/>
        <w:autoSpaceDN/>
        <w:bidi w:val="0"/>
        <w:spacing w:after="0"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因此集粪池、</w:t>
      </w:r>
      <w:r>
        <w:rPr>
          <w:rFonts w:hint="eastAsia" w:ascii="Times New Roman" w:hAnsi="Times New Roman" w:cs="Times New Roman"/>
          <w:color w:val="auto"/>
          <w:kern w:val="0"/>
          <w:sz w:val="24"/>
          <w:szCs w:val="24"/>
          <w:highlight w:val="none"/>
          <w:lang w:val="en-US" w:eastAsia="zh-CN" w:bidi="ar-SA"/>
        </w:rPr>
        <w:t>黑膜厌氧池、沼液贮存池</w:t>
      </w:r>
      <w:r>
        <w:rPr>
          <w:rFonts w:hint="default" w:ascii="Times New Roman" w:hAnsi="Times New Roman" w:eastAsia="宋体" w:cs="Times New Roman"/>
          <w:color w:val="auto"/>
          <w:kern w:val="0"/>
          <w:sz w:val="24"/>
          <w:szCs w:val="24"/>
          <w:highlight w:val="none"/>
          <w:lang w:val="en-US" w:eastAsia="zh-CN" w:bidi="ar-SA"/>
        </w:rPr>
        <w:t>仅有少量的恶臭气体排入大气，故该部分恶臭不进行核算。</w:t>
      </w:r>
    </w:p>
    <w:p w14:paraId="3B8F865F">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kern w:val="2"/>
          <w:sz w:val="24"/>
          <w:highlight w:val="none"/>
          <w:lang w:eastAsia="zh-CN"/>
        </w:rPr>
      </w:pPr>
      <w:r>
        <w:rPr>
          <w:rFonts w:hint="default" w:ascii="Times New Roman" w:hAnsi="Times New Roman" w:eastAsia="宋体" w:cs="Times New Roman"/>
          <w:color w:val="auto"/>
          <w:kern w:val="2"/>
          <w:sz w:val="24"/>
          <w:highlight w:val="none"/>
        </w:rPr>
        <w:t>②项目猪粪污经固液分离产生的固态物质和</w:t>
      </w:r>
      <w:r>
        <w:rPr>
          <w:rFonts w:hint="default" w:ascii="Times New Roman" w:hAnsi="Times New Roman" w:eastAsia="宋体" w:cs="Times New Roman"/>
          <w:color w:val="auto"/>
          <w:kern w:val="2"/>
          <w:sz w:val="24"/>
          <w:highlight w:val="none"/>
          <w:lang w:val="en-US" w:eastAsia="zh-CN"/>
        </w:rPr>
        <w:t>黑膜厌氧池</w:t>
      </w:r>
      <w:r>
        <w:rPr>
          <w:rFonts w:hint="default" w:ascii="Times New Roman" w:hAnsi="Times New Roman" w:eastAsia="宋体" w:cs="Times New Roman"/>
          <w:color w:val="auto"/>
          <w:kern w:val="2"/>
          <w:sz w:val="24"/>
          <w:highlight w:val="none"/>
        </w:rPr>
        <w:t>产生的沼渣收集后送至干粪堆积场堆肥，施肥季节用于配套消纳地进行施肥，非施肥季节储存于干粪堆积场内</w:t>
      </w:r>
      <w:r>
        <w:rPr>
          <w:rFonts w:hint="default" w:ascii="Times New Roman" w:hAnsi="Times New Roman" w:eastAsia="宋体" w:cs="Times New Roman"/>
          <w:color w:val="auto"/>
          <w:kern w:val="2"/>
          <w:sz w:val="24"/>
          <w:highlight w:val="none"/>
          <w:lang w:val="en-US" w:eastAsia="zh-CN"/>
        </w:rPr>
        <w:t>。</w:t>
      </w:r>
      <w:r>
        <w:rPr>
          <w:rFonts w:hint="default" w:ascii="Times New Roman" w:hAnsi="Times New Roman" w:eastAsia="宋体" w:cs="Times New Roman"/>
          <w:color w:val="auto"/>
          <w:kern w:val="2"/>
          <w:sz w:val="24"/>
          <w:highlight w:val="none"/>
        </w:rPr>
        <w:t>本项目猪粪</w:t>
      </w:r>
      <w:r>
        <w:rPr>
          <w:rFonts w:hint="default" w:ascii="Times New Roman" w:hAnsi="Times New Roman" w:eastAsia="宋体" w:cs="Times New Roman"/>
          <w:color w:val="auto"/>
          <w:kern w:val="2"/>
          <w:sz w:val="24"/>
          <w:highlight w:val="none"/>
          <w:lang w:eastAsia="zh-CN"/>
        </w:rPr>
        <w:t>（</w:t>
      </w:r>
      <w:r>
        <w:rPr>
          <w:rFonts w:hint="default" w:ascii="Times New Roman" w:hAnsi="Times New Roman" w:eastAsia="宋体" w:cs="Times New Roman"/>
          <w:color w:val="auto"/>
          <w:kern w:val="2"/>
          <w:sz w:val="24"/>
          <w:highlight w:val="none"/>
          <w:lang w:val="en-US" w:eastAsia="zh-CN"/>
        </w:rPr>
        <w:t>636.779t/a）</w:t>
      </w:r>
      <w:r>
        <w:rPr>
          <w:rFonts w:hint="default" w:ascii="Times New Roman" w:hAnsi="Times New Roman" w:eastAsia="宋体" w:cs="Times New Roman"/>
          <w:color w:val="auto"/>
          <w:kern w:val="2"/>
          <w:sz w:val="24"/>
          <w:highlight w:val="none"/>
        </w:rPr>
        <w:t>与沼渣</w:t>
      </w:r>
      <w:r>
        <w:rPr>
          <w:rFonts w:hint="default" w:ascii="Times New Roman" w:hAnsi="Times New Roman" w:eastAsia="宋体" w:cs="Times New Roman"/>
          <w:color w:val="auto"/>
          <w:kern w:val="2"/>
          <w:sz w:val="24"/>
          <w:highlight w:val="none"/>
          <w:lang w:eastAsia="zh-CN"/>
        </w:rPr>
        <w:t>（</w:t>
      </w:r>
      <w:r>
        <w:rPr>
          <w:rFonts w:hint="default" w:ascii="Times New Roman" w:hAnsi="Times New Roman" w:eastAsia="宋体" w:cs="Times New Roman"/>
          <w:color w:val="auto"/>
          <w:kern w:val="2"/>
          <w:sz w:val="24"/>
          <w:highlight w:val="none"/>
          <w:lang w:val="en-US" w:eastAsia="zh-CN"/>
        </w:rPr>
        <w:t>356.608</w:t>
      </w:r>
      <w:r>
        <w:rPr>
          <w:rFonts w:hint="default" w:ascii="Times New Roman" w:hAnsi="Times New Roman" w:eastAsia="宋体" w:cs="Times New Roman"/>
          <w:color w:val="auto"/>
          <w:kern w:val="2"/>
          <w:sz w:val="24"/>
          <w:highlight w:val="none"/>
          <w:lang w:eastAsia="zh-CN"/>
        </w:rPr>
        <w:t>t/a）</w:t>
      </w:r>
      <w:r>
        <w:rPr>
          <w:rFonts w:hint="default" w:ascii="Times New Roman" w:hAnsi="Times New Roman" w:eastAsia="宋体" w:cs="Times New Roman"/>
          <w:color w:val="auto"/>
          <w:kern w:val="2"/>
          <w:sz w:val="24"/>
          <w:highlight w:val="none"/>
        </w:rPr>
        <w:t>合计的总量为</w:t>
      </w:r>
      <w:r>
        <w:rPr>
          <w:rFonts w:hint="eastAsia" w:ascii="Times New Roman" w:hAnsi="Times New Roman" w:cs="Times New Roman"/>
          <w:color w:val="auto"/>
          <w:kern w:val="2"/>
          <w:sz w:val="24"/>
          <w:highlight w:val="none"/>
          <w:lang w:val="en-US" w:eastAsia="zh-CN"/>
        </w:rPr>
        <w:t>993.459</w:t>
      </w:r>
      <w:r>
        <w:rPr>
          <w:rFonts w:hint="default" w:ascii="Times New Roman" w:hAnsi="Times New Roman" w:eastAsia="宋体" w:cs="Times New Roman"/>
          <w:color w:val="auto"/>
          <w:kern w:val="2"/>
          <w:sz w:val="24"/>
          <w:highlight w:val="none"/>
        </w:rPr>
        <w:t>t/a。产生的沼肥施肥季节施用于</w:t>
      </w:r>
      <w:r>
        <w:rPr>
          <w:rFonts w:hint="eastAsia" w:ascii="Times New Roman" w:hAnsi="Times New Roman" w:cs="Times New Roman"/>
          <w:color w:val="auto"/>
          <w:kern w:val="2"/>
          <w:sz w:val="24"/>
          <w:highlight w:val="none"/>
          <w:lang w:val="en-US" w:eastAsia="zh-CN"/>
        </w:rPr>
        <w:t>周边农户</w:t>
      </w:r>
      <w:r>
        <w:rPr>
          <w:rFonts w:hint="default" w:ascii="Times New Roman" w:hAnsi="Times New Roman" w:eastAsia="宋体" w:cs="Times New Roman"/>
          <w:color w:val="auto"/>
          <w:kern w:val="2"/>
          <w:sz w:val="24"/>
          <w:highlight w:val="none"/>
        </w:rPr>
        <w:t>农田</w:t>
      </w:r>
      <w:r>
        <w:rPr>
          <w:rFonts w:hint="default" w:ascii="Times New Roman" w:hAnsi="Times New Roman" w:eastAsia="宋体" w:cs="Times New Roman"/>
          <w:color w:val="auto"/>
          <w:kern w:val="2"/>
          <w:sz w:val="24"/>
          <w:highlight w:val="none"/>
          <w:lang w:eastAsia="zh-CN"/>
        </w:rPr>
        <w:t>。</w:t>
      </w:r>
    </w:p>
    <w:p w14:paraId="35107B3C">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lang w:eastAsia="zh-CN"/>
        </w:rPr>
        <w:t>粪污贮存区</w:t>
      </w:r>
      <w:r>
        <w:rPr>
          <w:rFonts w:hint="default" w:ascii="Times New Roman" w:hAnsi="Times New Roman" w:eastAsia="宋体" w:cs="Times New Roman"/>
          <w:color w:val="auto"/>
          <w:kern w:val="2"/>
          <w:sz w:val="24"/>
          <w:highlight w:val="none"/>
        </w:rPr>
        <w:t>污染源源强核算如下：</w:t>
      </w:r>
    </w:p>
    <w:p w14:paraId="45DDEB86">
      <w:pPr>
        <w:widowControl w:val="0"/>
        <w:shd w:val="clear" w:color="auto" w:fill="auto"/>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highlight w:val="none"/>
          <w:u w:val="none" w:color="auto"/>
        </w:rPr>
      </w:pPr>
      <w:r>
        <w:rPr>
          <w:rFonts w:hint="default" w:ascii="Times New Roman" w:hAnsi="Times New Roman" w:eastAsia="宋体" w:cs="Times New Roman"/>
          <w:color w:val="auto"/>
          <w:kern w:val="2"/>
          <w:sz w:val="24"/>
          <w:highlight w:val="none"/>
          <w:u w:val="none" w:color="auto"/>
        </w:rPr>
        <w:t>参考文献《养猪场恶臭影响量化分析及控制对策研究》</w:t>
      </w:r>
      <w:r>
        <w:rPr>
          <w:rFonts w:hint="default" w:ascii="Times New Roman" w:hAnsi="Times New Roman" w:eastAsia="宋体" w:cs="Times New Roman"/>
          <w:color w:val="auto"/>
          <w:kern w:val="2"/>
          <w:sz w:val="24"/>
          <w:highlight w:val="none"/>
          <w:u w:val="none" w:color="auto"/>
          <w:lang w:eastAsia="zh-CN"/>
        </w:rPr>
        <w:t>（</w:t>
      </w:r>
      <w:r>
        <w:rPr>
          <w:rFonts w:hint="default" w:ascii="Times New Roman" w:hAnsi="Times New Roman" w:eastAsia="宋体" w:cs="Times New Roman"/>
          <w:color w:val="auto"/>
          <w:kern w:val="2"/>
          <w:sz w:val="24"/>
          <w:highlight w:val="none"/>
          <w:u w:val="none" w:color="auto"/>
        </w:rPr>
        <w:t>环境污染及技术研究与开发 天津环境影响评价中心，孙艳青等</w:t>
      </w:r>
      <w:r>
        <w:rPr>
          <w:rFonts w:hint="default" w:ascii="Times New Roman" w:hAnsi="Times New Roman" w:eastAsia="宋体" w:cs="Times New Roman"/>
          <w:color w:val="auto"/>
          <w:kern w:val="2"/>
          <w:sz w:val="24"/>
          <w:highlight w:val="none"/>
          <w:u w:val="none" w:color="auto"/>
          <w:lang w:eastAsia="zh-CN"/>
        </w:rPr>
        <w:t>）</w:t>
      </w:r>
      <w:r>
        <w:rPr>
          <w:rFonts w:hint="default" w:ascii="Times New Roman" w:hAnsi="Times New Roman" w:eastAsia="宋体" w:cs="Times New Roman"/>
          <w:color w:val="auto"/>
          <w:kern w:val="2"/>
          <w:sz w:val="24"/>
          <w:highlight w:val="none"/>
          <w:u w:val="none" w:color="auto"/>
        </w:rPr>
        <w:t>，</w:t>
      </w:r>
      <w:bookmarkStart w:id="484" w:name="_Hlk121238304"/>
      <w:r>
        <w:rPr>
          <w:rFonts w:hint="default" w:ascii="Times New Roman" w:hAnsi="Times New Roman" w:eastAsia="宋体" w:cs="Times New Roman"/>
          <w:color w:val="auto"/>
          <w:kern w:val="2"/>
          <w:sz w:val="24"/>
          <w:highlight w:val="none"/>
          <w:u w:val="none" w:color="auto"/>
          <w:lang w:val="en-US" w:eastAsia="zh-CN"/>
        </w:rPr>
        <w:t>养猪场猪粪堆场</w:t>
      </w:r>
      <w:r>
        <w:rPr>
          <w:rFonts w:hint="default" w:ascii="Times New Roman" w:hAnsi="Times New Roman" w:eastAsia="宋体" w:cs="Times New Roman"/>
          <w:color w:val="auto"/>
          <w:kern w:val="2"/>
          <w:sz w:val="24"/>
          <w:highlight w:val="none"/>
          <w:u w:val="none" w:color="auto"/>
        </w:rPr>
        <w:t>NH</w:t>
      </w:r>
      <w:r>
        <w:rPr>
          <w:rFonts w:hint="default" w:ascii="Times New Roman" w:hAnsi="Times New Roman" w:eastAsia="宋体" w:cs="Times New Roman"/>
          <w:color w:val="auto"/>
          <w:kern w:val="2"/>
          <w:sz w:val="24"/>
          <w:highlight w:val="none"/>
          <w:u w:val="none" w:color="auto"/>
          <w:vertAlign w:val="subscript"/>
        </w:rPr>
        <w:t>3</w:t>
      </w:r>
      <w:r>
        <w:rPr>
          <w:rFonts w:hint="default" w:ascii="Times New Roman" w:hAnsi="Times New Roman" w:eastAsia="宋体" w:cs="Times New Roman"/>
          <w:color w:val="auto"/>
          <w:kern w:val="2"/>
          <w:sz w:val="24"/>
          <w:highlight w:val="none"/>
          <w:u w:val="none" w:color="auto"/>
        </w:rPr>
        <w:t>的平均排放量</w:t>
      </w:r>
      <w:r>
        <w:rPr>
          <w:rFonts w:hint="default" w:ascii="Times New Roman" w:hAnsi="Times New Roman" w:eastAsia="宋体" w:cs="Times New Roman"/>
          <w:color w:val="auto"/>
          <w:kern w:val="2"/>
          <w:sz w:val="24"/>
          <w:highlight w:val="none"/>
          <w:u w:val="none" w:color="auto"/>
          <w:lang w:val="en-US" w:eastAsia="zh-CN"/>
        </w:rPr>
        <w:t>为</w:t>
      </w:r>
      <w:r>
        <w:rPr>
          <w:rFonts w:hint="default" w:ascii="Times New Roman" w:hAnsi="Times New Roman" w:eastAsia="宋体" w:cs="Times New Roman"/>
          <w:color w:val="auto"/>
          <w:kern w:val="2"/>
          <w:sz w:val="24"/>
          <w:highlight w:val="none"/>
          <w:u w:val="none" w:color="auto"/>
        </w:rPr>
        <w:t>4.35gNH</w:t>
      </w:r>
      <w:r>
        <w:rPr>
          <w:rFonts w:hint="default" w:ascii="Times New Roman" w:hAnsi="Times New Roman" w:eastAsia="宋体" w:cs="Times New Roman"/>
          <w:color w:val="auto"/>
          <w:kern w:val="2"/>
          <w:sz w:val="24"/>
          <w:highlight w:val="none"/>
          <w:u w:val="none" w:color="auto"/>
          <w:vertAlign w:val="subscript"/>
        </w:rPr>
        <w:t>3</w:t>
      </w:r>
      <w:r>
        <w:rPr>
          <w:rFonts w:hint="default" w:ascii="Times New Roman" w:hAnsi="Times New Roman" w:eastAsia="宋体" w:cs="Times New Roman"/>
          <w:color w:val="auto"/>
          <w:kern w:val="2"/>
          <w:sz w:val="24"/>
          <w:highlight w:val="none"/>
          <w:u w:val="none" w:color="auto"/>
        </w:rPr>
        <w:t>/(m</w:t>
      </w:r>
      <w:r>
        <w:rPr>
          <w:rFonts w:hint="default" w:ascii="Times New Roman" w:hAnsi="Times New Roman" w:eastAsia="宋体" w:cs="Times New Roman"/>
          <w:color w:val="auto"/>
          <w:kern w:val="2"/>
          <w:sz w:val="24"/>
          <w:highlight w:val="none"/>
          <w:u w:val="none" w:color="auto"/>
          <w:vertAlign w:val="superscript"/>
        </w:rPr>
        <w:t>2</w:t>
      </w:r>
      <w:r>
        <w:rPr>
          <w:rFonts w:hint="default" w:ascii="Times New Roman" w:hAnsi="Times New Roman" w:eastAsia="宋体" w:cs="Times New Roman"/>
          <w:color w:val="auto"/>
          <w:kern w:val="2"/>
          <w:sz w:val="24"/>
          <w:highlight w:val="none"/>
          <w:u w:val="none" w:color="auto"/>
        </w:rPr>
        <w:t>·d)，H</w:t>
      </w:r>
      <w:r>
        <w:rPr>
          <w:rFonts w:hint="default" w:ascii="Times New Roman" w:hAnsi="Times New Roman" w:eastAsia="宋体" w:cs="Times New Roman"/>
          <w:color w:val="auto"/>
          <w:kern w:val="2"/>
          <w:sz w:val="24"/>
          <w:highlight w:val="none"/>
          <w:u w:val="none" w:color="auto"/>
          <w:vertAlign w:val="subscript"/>
        </w:rPr>
        <w:t>2</w:t>
      </w:r>
      <w:r>
        <w:rPr>
          <w:rFonts w:hint="default" w:ascii="Times New Roman" w:hAnsi="Times New Roman" w:eastAsia="宋体" w:cs="Times New Roman"/>
          <w:color w:val="auto"/>
          <w:kern w:val="2"/>
          <w:sz w:val="24"/>
          <w:highlight w:val="none"/>
          <w:u w:val="none" w:color="auto"/>
        </w:rPr>
        <w:t>S产生量一般为NH</w:t>
      </w:r>
      <w:r>
        <w:rPr>
          <w:rFonts w:hint="default" w:ascii="Times New Roman" w:hAnsi="Times New Roman" w:eastAsia="宋体" w:cs="Times New Roman"/>
          <w:color w:val="auto"/>
          <w:kern w:val="2"/>
          <w:sz w:val="24"/>
          <w:highlight w:val="none"/>
          <w:u w:val="none" w:color="auto"/>
          <w:vertAlign w:val="subscript"/>
        </w:rPr>
        <w:t>3</w:t>
      </w:r>
      <w:r>
        <w:rPr>
          <w:rFonts w:hint="default" w:ascii="Times New Roman" w:hAnsi="Times New Roman" w:eastAsia="宋体" w:cs="Times New Roman"/>
          <w:color w:val="auto"/>
          <w:kern w:val="2"/>
          <w:sz w:val="24"/>
          <w:highlight w:val="none"/>
          <w:u w:val="none" w:color="auto"/>
        </w:rPr>
        <w:t>的二十五分之一，即为0.174gNH</w:t>
      </w:r>
      <w:r>
        <w:rPr>
          <w:rFonts w:hint="default" w:ascii="Times New Roman" w:hAnsi="Times New Roman" w:eastAsia="宋体" w:cs="Times New Roman"/>
          <w:color w:val="auto"/>
          <w:kern w:val="2"/>
          <w:sz w:val="24"/>
          <w:highlight w:val="none"/>
          <w:u w:val="none" w:color="auto"/>
          <w:vertAlign w:val="subscript"/>
        </w:rPr>
        <w:t>3</w:t>
      </w:r>
      <w:r>
        <w:rPr>
          <w:rFonts w:hint="default" w:ascii="Times New Roman" w:hAnsi="Times New Roman" w:eastAsia="宋体" w:cs="Times New Roman"/>
          <w:color w:val="auto"/>
          <w:kern w:val="2"/>
          <w:sz w:val="24"/>
          <w:highlight w:val="none"/>
          <w:u w:val="none" w:color="auto"/>
        </w:rPr>
        <w:t>/(m</w:t>
      </w:r>
      <w:r>
        <w:rPr>
          <w:rFonts w:hint="default" w:ascii="Times New Roman" w:hAnsi="Times New Roman" w:eastAsia="宋体" w:cs="Times New Roman"/>
          <w:color w:val="auto"/>
          <w:kern w:val="2"/>
          <w:sz w:val="24"/>
          <w:highlight w:val="none"/>
          <w:u w:val="none" w:color="auto"/>
          <w:vertAlign w:val="superscript"/>
        </w:rPr>
        <w:t>2</w:t>
      </w:r>
      <w:r>
        <w:rPr>
          <w:rFonts w:hint="default" w:ascii="Times New Roman" w:hAnsi="Times New Roman" w:eastAsia="宋体" w:cs="Times New Roman"/>
          <w:color w:val="auto"/>
          <w:kern w:val="2"/>
          <w:sz w:val="24"/>
          <w:highlight w:val="none"/>
          <w:u w:val="none" w:color="auto"/>
        </w:rPr>
        <w:t>·d)。</w:t>
      </w:r>
      <w:bookmarkEnd w:id="484"/>
      <w:r>
        <w:rPr>
          <w:rFonts w:hint="default" w:ascii="Times New Roman" w:hAnsi="Times New Roman" w:eastAsia="宋体" w:cs="Times New Roman"/>
          <w:color w:val="auto"/>
          <w:kern w:val="2"/>
          <w:sz w:val="24"/>
          <w:highlight w:val="none"/>
          <w:u w:val="none" w:color="auto"/>
        </w:rPr>
        <w:t>根据项目设计，项目干粪堆积场区域面积为</w:t>
      </w:r>
      <w:r>
        <w:rPr>
          <w:rFonts w:hint="eastAsia" w:ascii="Times New Roman" w:hAnsi="Times New Roman" w:eastAsia="宋体" w:cs="Times New Roman"/>
          <w:color w:val="auto"/>
          <w:kern w:val="2"/>
          <w:sz w:val="24"/>
          <w:highlight w:val="none"/>
          <w:u w:val="none" w:color="auto"/>
          <w:lang w:val="en-US" w:eastAsia="zh-CN"/>
        </w:rPr>
        <w:t>450</w:t>
      </w:r>
      <w:r>
        <w:rPr>
          <w:rFonts w:hint="default" w:ascii="Times New Roman" w:hAnsi="Times New Roman" w:eastAsia="宋体" w:cs="Times New Roman"/>
          <w:color w:val="auto"/>
          <w:kern w:val="2"/>
          <w:sz w:val="24"/>
          <w:highlight w:val="none"/>
          <w:u w:val="none" w:color="auto"/>
        </w:rPr>
        <w:t>m</w:t>
      </w:r>
      <w:r>
        <w:rPr>
          <w:rFonts w:hint="default" w:ascii="Times New Roman" w:hAnsi="Times New Roman" w:eastAsia="宋体" w:cs="Times New Roman"/>
          <w:color w:val="auto"/>
          <w:kern w:val="2"/>
          <w:sz w:val="24"/>
          <w:highlight w:val="none"/>
          <w:u w:val="none" w:color="auto"/>
          <w:vertAlign w:val="superscript"/>
        </w:rPr>
        <w:t>2</w:t>
      </w:r>
      <w:r>
        <w:rPr>
          <w:rFonts w:hint="default" w:ascii="Times New Roman" w:hAnsi="Times New Roman" w:eastAsia="宋体" w:cs="Times New Roman"/>
          <w:color w:val="auto"/>
          <w:kern w:val="2"/>
          <w:sz w:val="24"/>
          <w:highlight w:val="none"/>
          <w:u w:val="none" w:color="auto"/>
        </w:rPr>
        <w:t>，</w:t>
      </w:r>
      <w:bookmarkStart w:id="485" w:name="_Hlk121392960"/>
      <w:bookmarkStart w:id="486" w:name="_Hlk121238374"/>
      <w:r>
        <w:rPr>
          <w:rFonts w:hint="default" w:ascii="Times New Roman" w:hAnsi="Times New Roman" w:eastAsia="宋体" w:cs="Times New Roman"/>
          <w:color w:val="auto"/>
          <w:kern w:val="2"/>
          <w:sz w:val="24"/>
          <w:highlight w:val="none"/>
          <w:u w:val="none" w:color="auto"/>
        </w:rPr>
        <w:t>则干粪堆积场NH</w:t>
      </w:r>
      <w:r>
        <w:rPr>
          <w:rFonts w:hint="default" w:ascii="Times New Roman" w:hAnsi="Times New Roman" w:eastAsia="宋体" w:cs="Times New Roman"/>
          <w:color w:val="auto"/>
          <w:kern w:val="2"/>
          <w:sz w:val="24"/>
          <w:highlight w:val="none"/>
          <w:u w:val="none" w:color="auto"/>
          <w:vertAlign w:val="subscript"/>
        </w:rPr>
        <w:t>3</w:t>
      </w:r>
      <w:r>
        <w:rPr>
          <w:rFonts w:hint="default" w:ascii="Times New Roman" w:hAnsi="Times New Roman" w:eastAsia="宋体" w:cs="Times New Roman"/>
          <w:color w:val="auto"/>
          <w:kern w:val="2"/>
          <w:sz w:val="24"/>
          <w:highlight w:val="none"/>
          <w:u w:val="none" w:color="auto"/>
        </w:rPr>
        <w:t>产生量为</w:t>
      </w:r>
      <w:r>
        <w:rPr>
          <w:rFonts w:hint="default" w:ascii="Times New Roman" w:hAnsi="Times New Roman" w:eastAsia="宋体" w:cs="Times New Roman"/>
          <w:color w:val="auto"/>
          <w:kern w:val="2"/>
          <w:sz w:val="24"/>
          <w:highlight w:val="none"/>
          <w:u w:val="none" w:color="auto"/>
          <w:lang w:val="en-US" w:eastAsia="zh-CN"/>
        </w:rPr>
        <w:t>0.0</w:t>
      </w:r>
      <w:r>
        <w:rPr>
          <w:rFonts w:hint="eastAsia" w:ascii="Times New Roman" w:hAnsi="Times New Roman" w:eastAsia="宋体" w:cs="Times New Roman"/>
          <w:color w:val="auto"/>
          <w:kern w:val="2"/>
          <w:sz w:val="24"/>
          <w:highlight w:val="none"/>
          <w:u w:val="none" w:color="auto"/>
          <w:lang w:val="en-US" w:eastAsia="zh-CN"/>
        </w:rPr>
        <w:t>82</w:t>
      </w:r>
      <w:r>
        <w:rPr>
          <w:rFonts w:hint="default" w:ascii="Times New Roman" w:hAnsi="Times New Roman" w:eastAsia="宋体" w:cs="Times New Roman"/>
          <w:color w:val="auto"/>
          <w:kern w:val="2"/>
          <w:sz w:val="24"/>
          <w:highlight w:val="none"/>
          <w:u w:val="none" w:color="auto"/>
          <w:lang w:val="en-US" w:eastAsia="zh-CN"/>
        </w:rPr>
        <w:t>kg/h，1.</w:t>
      </w:r>
      <w:r>
        <w:rPr>
          <w:rFonts w:hint="eastAsia" w:ascii="Times New Roman" w:hAnsi="Times New Roman" w:eastAsia="宋体" w:cs="Times New Roman"/>
          <w:color w:val="auto"/>
          <w:kern w:val="2"/>
          <w:sz w:val="24"/>
          <w:highlight w:val="none"/>
          <w:u w:val="none" w:color="auto"/>
          <w:lang w:val="en-US" w:eastAsia="zh-CN"/>
        </w:rPr>
        <w:t>96</w:t>
      </w:r>
      <w:r>
        <w:rPr>
          <w:rFonts w:hint="default" w:ascii="Times New Roman" w:hAnsi="Times New Roman" w:eastAsia="宋体" w:cs="Times New Roman"/>
          <w:color w:val="auto"/>
          <w:kern w:val="2"/>
          <w:sz w:val="24"/>
          <w:highlight w:val="none"/>
          <w:u w:val="none" w:color="auto"/>
        </w:rPr>
        <w:t>kg/d，</w:t>
      </w:r>
      <w:r>
        <w:rPr>
          <w:rFonts w:hint="eastAsia" w:ascii="Times New Roman" w:hAnsi="Times New Roman" w:eastAsia="宋体" w:cs="Times New Roman"/>
          <w:color w:val="auto"/>
          <w:kern w:val="2"/>
          <w:sz w:val="24"/>
          <w:highlight w:val="none"/>
          <w:u w:val="none" w:color="auto"/>
          <w:lang w:val="en-US" w:eastAsia="zh-CN"/>
        </w:rPr>
        <w:t>715.4</w:t>
      </w:r>
      <w:r>
        <w:rPr>
          <w:rFonts w:hint="default" w:ascii="Times New Roman" w:hAnsi="Times New Roman" w:eastAsia="宋体" w:cs="Times New Roman"/>
          <w:color w:val="auto"/>
          <w:kern w:val="2"/>
          <w:sz w:val="24"/>
          <w:highlight w:val="none"/>
          <w:u w:val="none" w:color="auto"/>
        </w:rPr>
        <w:t>kg/a</w:t>
      </w:r>
      <w:r>
        <w:rPr>
          <w:rFonts w:hint="default" w:ascii="Times New Roman" w:hAnsi="Times New Roman" w:eastAsia="宋体" w:cs="Times New Roman"/>
          <w:color w:val="auto"/>
          <w:kern w:val="2"/>
          <w:sz w:val="24"/>
          <w:highlight w:val="none"/>
          <w:u w:val="none" w:color="auto"/>
          <w:lang w:eastAsia="zh-CN"/>
        </w:rPr>
        <w:t>；</w:t>
      </w:r>
      <w:r>
        <w:rPr>
          <w:rFonts w:hint="default" w:ascii="Times New Roman" w:hAnsi="Times New Roman" w:eastAsia="宋体" w:cs="Times New Roman"/>
          <w:color w:val="auto"/>
          <w:kern w:val="2"/>
          <w:sz w:val="24"/>
          <w:highlight w:val="none"/>
          <w:u w:val="none" w:color="auto"/>
        </w:rPr>
        <w:t>H</w:t>
      </w:r>
      <w:r>
        <w:rPr>
          <w:rFonts w:hint="default" w:ascii="Times New Roman" w:hAnsi="Times New Roman" w:eastAsia="宋体" w:cs="Times New Roman"/>
          <w:color w:val="auto"/>
          <w:kern w:val="2"/>
          <w:sz w:val="24"/>
          <w:highlight w:val="none"/>
          <w:u w:val="none" w:color="auto"/>
          <w:vertAlign w:val="subscript"/>
        </w:rPr>
        <w:t>2</w:t>
      </w:r>
      <w:r>
        <w:rPr>
          <w:rFonts w:hint="default" w:ascii="Times New Roman" w:hAnsi="Times New Roman" w:eastAsia="宋体" w:cs="Times New Roman"/>
          <w:color w:val="auto"/>
          <w:kern w:val="2"/>
          <w:sz w:val="24"/>
          <w:highlight w:val="none"/>
          <w:u w:val="none" w:color="auto"/>
        </w:rPr>
        <w:t>S产生量为</w:t>
      </w:r>
      <w:r>
        <w:rPr>
          <w:rFonts w:hint="default" w:ascii="Times New Roman" w:hAnsi="Times New Roman" w:eastAsia="宋体" w:cs="Times New Roman"/>
          <w:color w:val="auto"/>
          <w:kern w:val="2"/>
          <w:sz w:val="24"/>
          <w:highlight w:val="none"/>
          <w:u w:val="none" w:color="auto"/>
          <w:lang w:val="en-US" w:eastAsia="zh-CN"/>
        </w:rPr>
        <w:t>0.00</w:t>
      </w:r>
      <w:r>
        <w:rPr>
          <w:rFonts w:hint="eastAsia" w:ascii="Times New Roman" w:hAnsi="Times New Roman" w:eastAsia="宋体" w:cs="Times New Roman"/>
          <w:color w:val="auto"/>
          <w:kern w:val="2"/>
          <w:sz w:val="24"/>
          <w:highlight w:val="none"/>
          <w:u w:val="none" w:color="auto"/>
          <w:lang w:val="en-US" w:eastAsia="zh-CN"/>
        </w:rPr>
        <w:t>32</w:t>
      </w:r>
      <w:r>
        <w:rPr>
          <w:rFonts w:hint="default" w:ascii="Times New Roman" w:hAnsi="Times New Roman" w:eastAsia="宋体" w:cs="Times New Roman"/>
          <w:color w:val="auto"/>
          <w:kern w:val="2"/>
          <w:sz w:val="24"/>
          <w:highlight w:val="none"/>
          <w:u w:val="none" w:color="auto"/>
          <w:lang w:val="en-US" w:eastAsia="zh-CN"/>
        </w:rPr>
        <w:t>kg/h，</w:t>
      </w:r>
      <w:r>
        <w:rPr>
          <w:rFonts w:hint="default" w:ascii="Times New Roman" w:hAnsi="Times New Roman" w:eastAsia="宋体" w:cs="Times New Roman"/>
          <w:color w:val="auto"/>
          <w:kern w:val="2"/>
          <w:sz w:val="24"/>
          <w:highlight w:val="none"/>
          <w:u w:val="none" w:color="auto"/>
          <w:lang w:eastAsia="zh-CN"/>
        </w:rPr>
        <w:t>0.</w:t>
      </w:r>
      <w:r>
        <w:rPr>
          <w:rFonts w:hint="default" w:ascii="Times New Roman" w:hAnsi="Times New Roman" w:eastAsia="宋体" w:cs="Times New Roman"/>
          <w:color w:val="auto"/>
          <w:kern w:val="2"/>
          <w:sz w:val="24"/>
          <w:highlight w:val="none"/>
          <w:u w:val="none" w:color="auto"/>
          <w:lang w:val="en-US" w:eastAsia="zh-CN"/>
        </w:rPr>
        <w:t>0</w:t>
      </w:r>
      <w:r>
        <w:rPr>
          <w:rFonts w:hint="eastAsia" w:ascii="Times New Roman" w:hAnsi="Times New Roman" w:eastAsia="宋体" w:cs="Times New Roman"/>
          <w:color w:val="auto"/>
          <w:kern w:val="2"/>
          <w:sz w:val="24"/>
          <w:highlight w:val="none"/>
          <w:u w:val="none" w:color="auto"/>
          <w:lang w:val="en-US" w:eastAsia="zh-CN"/>
        </w:rPr>
        <w:t>78</w:t>
      </w:r>
      <w:r>
        <w:rPr>
          <w:rFonts w:hint="default" w:ascii="Times New Roman" w:hAnsi="Times New Roman" w:eastAsia="宋体" w:cs="Times New Roman"/>
          <w:color w:val="auto"/>
          <w:kern w:val="2"/>
          <w:sz w:val="24"/>
          <w:highlight w:val="none"/>
          <w:u w:val="none" w:color="auto"/>
        </w:rPr>
        <w:t>kg/d，</w:t>
      </w:r>
      <w:r>
        <w:rPr>
          <w:rFonts w:hint="eastAsia" w:ascii="Times New Roman" w:hAnsi="Times New Roman" w:eastAsia="宋体" w:cs="Times New Roman"/>
          <w:color w:val="auto"/>
          <w:kern w:val="2"/>
          <w:sz w:val="24"/>
          <w:highlight w:val="none"/>
          <w:u w:val="none" w:color="auto"/>
          <w:lang w:val="en-US" w:eastAsia="zh-CN"/>
        </w:rPr>
        <w:t>28.47</w:t>
      </w:r>
      <w:r>
        <w:rPr>
          <w:rFonts w:hint="default" w:ascii="Times New Roman" w:hAnsi="Times New Roman" w:eastAsia="宋体" w:cs="Times New Roman"/>
          <w:color w:val="auto"/>
          <w:kern w:val="2"/>
          <w:sz w:val="24"/>
          <w:highlight w:val="none"/>
          <w:u w:val="none" w:color="auto"/>
        </w:rPr>
        <w:t>kg/a</w:t>
      </w:r>
      <w:bookmarkEnd w:id="485"/>
      <w:r>
        <w:rPr>
          <w:rFonts w:hint="default" w:ascii="Times New Roman" w:hAnsi="Times New Roman" w:eastAsia="宋体" w:cs="Times New Roman"/>
          <w:color w:val="auto"/>
          <w:kern w:val="2"/>
          <w:sz w:val="24"/>
          <w:highlight w:val="none"/>
          <w:u w:val="none" w:color="auto"/>
        </w:rPr>
        <w:t>。</w:t>
      </w:r>
      <w:bookmarkEnd w:id="486"/>
    </w:p>
    <w:p w14:paraId="5CBA5AF8">
      <w:pPr>
        <w:widowControl w:val="0"/>
        <w:shd w:val="clear" w:color="auto" w:fill="auto"/>
        <w:autoSpaceDE w:val="0"/>
        <w:autoSpaceDN w:val="0"/>
        <w:adjustRightInd w:val="0"/>
        <w:spacing w:line="360" w:lineRule="auto"/>
        <w:ind w:firstLine="480" w:firstLineChars="200"/>
        <w:jc w:val="both"/>
        <w:rPr>
          <w:rFonts w:hint="eastAsia" w:ascii="Times New Roman" w:hAnsi="Times New Roman" w:eastAsia="宋体" w:cs="Times New Roman"/>
          <w:color w:val="auto"/>
          <w:kern w:val="2"/>
          <w:sz w:val="24"/>
          <w:highlight w:val="none"/>
          <w:u w:val="none" w:color="auto"/>
          <w:lang w:eastAsia="zh-CN"/>
        </w:rPr>
      </w:pPr>
      <w:r>
        <w:rPr>
          <w:rFonts w:hint="default" w:ascii="Times New Roman" w:hAnsi="Times New Roman" w:eastAsia="宋体" w:cs="Times New Roman"/>
          <w:color w:val="auto"/>
          <w:kern w:val="2"/>
          <w:sz w:val="24"/>
          <w:highlight w:val="none"/>
        </w:rPr>
        <w:t>恶臭采用负压收集后（收集效率90%）进入活性炭吸附装置净化处理后（处理效率90%）经15米高排气筒排放，废气量为</w:t>
      </w:r>
      <w:r>
        <w:rPr>
          <w:rFonts w:hint="eastAsia" w:ascii="Times New Roman" w:hAnsi="Times New Roman" w:cs="Times New Roman"/>
          <w:color w:val="auto"/>
          <w:kern w:val="2"/>
          <w:sz w:val="24"/>
          <w:highlight w:val="none"/>
          <w:lang w:eastAsia="zh-CN"/>
        </w:rPr>
        <w:t>5000</w:t>
      </w:r>
      <w:r>
        <w:rPr>
          <w:rFonts w:hint="default" w:ascii="Times New Roman" w:hAnsi="Times New Roman" w:eastAsia="宋体" w:cs="Times New Roman"/>
          <w:color w:val="auto"/>
          <w:kern w:val="2"/>
          <w:sz w:val="24"/>
          <w:highlight w:val="none"/>
        </w:rPr>
        <w:t>m</w:t>
      </w:r>
      <w:r>
        <w:rPr>
          <w:rFonts w:hint="default" w:ascii="Times New Roman" w:hAnsi="Times New Roman" w:eastAsia="宋体" w:cs="Times New Roman"/>
          <w:color w:val="auto"/>
          <w:kern w:val="2"/>
          <w:sz w:val="24"/>
          <w:highlight w:val="none"/>
          <w:vertAlign w:val="superscript"/>
        </w:rPr>
        <w:t>3</w:t>
      </w:r>
      <w:r>
        <w:rPr>
          <w:rFonts w:hint="default" w:ascii="Times New Roman" w:hAnsi="Times New Roman" w:eastAsia="宋体" w:cs="Times New Roman"/>
          <w:color w:val="auto"/>
          <w:kern w:val="2"/>
          <w:sz w:val="24"/>
          <w:highlight w:val="none"/>
        </w:rPr>
        <w:t>/h</w:t>
      </w:r>
      <w:r>
        <w:rPr>
          <w:rFonts w:hint="default" w:ascii="Times New Roman" w:hAnsi="Times New Roman" w:eastAsia="宋体" w:cs="Times New Roman"/>
          <w:color w:val="auto"/>
          <w:kern w:val="2"/>
          <w:sz w:val="24"/>
          <w:highlight w:val="none"/>
          <w:lang w:eastAsia="zh-CN"/>
        </w:rPr>
        <w:t>，</w:t>
      </w:r>
      <w:r>
        <w:rPr>
          <w:rFonts w:hint="default" w:ascii="Times New Roman" w:hAnsi="Times New Roman" w:eastAsia="宋体" w:cs="Times New Roman"/>
          <w:color w:val="auto"/>
          <w:kern w:val="2"/>
          <w:sz w:val="24"/>
          <w:highlight w:val="none"/>
        </w:rPr>
        <w:t>减少恶臭气体对周围环境的影响</w:t>
      </w:r>
      <w:r>
        <w:rPr>
          <w:rFonts w:hint="eastAsia" w:ascii="Times New Roman" w:hAnsi="Times New Roman" w:cs="Times New Roman"/>
          <w:color w:val="auto"/>
          <w:kern w:val="2"/>
          <w:sz w:val="24"/>
          <w:highlight w:val="none"/>
          <w:lang w:eastAsia="zh-CN"/>
        </w:rPr>
        <w:t>。</w:t>
      </w:r>
    </w:p>
    <w:p w14:paraId="5F1AA385">
      <w:pPr>
        <w:widowControl w:val="0"/>
        <w:shd w:val="clear" w:color="auto" w:fill="auto"/>
        <w:autoSpaceDE w:val="0"/>
        <w:autoSpaceDN w:val="0"/>
        <w:adjustRightInd w:val="0"/>
        <w:spacing w:line="360" w:lineRule="auto"/>
        <w:ind w:firstLine="480" w:firstLineChars="200"/>
        <w:jc w:val="both"/>
        <w:rPr>
          <w:rFonts w:hint="default" w:ascii="Times New Roman" w:hAnsi="Times New Roman" w:eastAsia="宋体" w:cs="Times New Roman"/>
          <w:b/>
          <w:bCs/>
          <w:color w:val="auto"/>
          <w:kern w:val="2"/>
          <w:sz w:val="24"/>
          <w:szCs w:val="32"/>
          <w:highlight w:val="none"/>
        </w:rPr>
      </w:pPr>
      <w:r>
        <w:rPr>
          <w:rFonts w:hint="default" w:ascii="Times New Roman" w:hAnsi="Times New Roman" w:eastAsia="宋体" w:cs="Times New Roman"/>
          <w:color w:val="auto"/>
          <w:kern w:val="2"/>
          <w:sz w:val="24"/>
          <w:szCs w:val="32"/>
          <w:highlight w:val="none"/>
          <w:lang w:eastAsia="zh-CN"/>
        </w:rPr>
        <w:t>粪污贮存区</w:t>
      </w:r>
      <w:r>
        <w:rPr>
          <w:rFonts w:hint="default" w:ascii="Times New Roman" w:hAnsi="Times New Roman" w:eastAsia="宋体" w:cs="Times New Roman"/>
          <w:color w:val="auto"/>
          <w:kern w:val="2"/>
          <w:sz w:val="24"/>
          <w:szCs w:val="32"/>
          <w:highlight w:val="none"/>
          <w:lang w:val="en-US" w:eastAsia="zh-CN"/>
        </w:rPr>
        <w:t>及周边</w:t>
      </w:r>
      <w:r>
        <w:rPr>
          <w:rFonts w:hint="default" w:ascii="Times New Roman" w:hAnsi="Times New Roman" w:eastAsia="宋体" w:cs="Times New Roman"/>
          <w:color w:val="auto"/>
          <w:kern w:val="2"/>
          <w:sz w:val="24"/>
          <w:highlight w:val="none"/>
          <w:u w:val="none" w:color="auto"/>
        </w:rPr>
        <w:t>定期喷洒生物除臭剂，</w:t>
      </w:r>
      <w:r>
        <w:rPr>
          <w:rFonts w:hint="default" w:ascii="Times New Roman" w:hAnsi="Times New Roman" w:eastAsia="宋体" w:cs="Times New Roman"/>
          <w:color w:val="auto"/>
          <w:kern w:val="2"/>
          <w:sz w:val="24"/>
          <w:szCs w:val="24"/>
          <w:highlight w:val="none"/>
          <w:lang w:val="en-US" w:eastAsia="zh-CN" w:bidi="ar-SA"/>
        </w:rPr>
        <w:t>对NH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和H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S的去除效率分别为92.6%和89%</w:t>
      </w:r>
      <w:r>
        <w:rPr>
          <w:rFonts w:hint="default" w:ascii="Times New Roman" w:hAnsi="Times New Roman" w:eastAsia="宋体" w:cs="Times New Roman"/>
          <w:color w:val="auto"/>
          <w:kern w:val="2"/>
          <w:sz w:val="24"/>
          <w:highlight w:val="none"/>
          <w:u w:val="none" w:color="auto"/>
        </w:rPr>
        <w:t>，</w:t>
      </w:r>
      <w:r>
        <w:rPr>
          <w:rFonts w:hint="default" w:ascii="Times New Roman" w:hAnsi="Times New Roman" w:eastAsia="宋体" w:cs="Times New Roman"/>
          <w:color w:val="auto"/>
          <w:kern w:val="2"/>
          <w:sz w:val="24"/>
          <w:szCs w:val="24"/>
          <w:highlight w:val="none"/>
          <w:lang w:eastAsia="zh-CN"/>
        </w:rPr>
        <w:t>本项目粪污治理区恶臭产生情况见表3.5-</w:t>
      </w:r>
      <w:r>
        <w:rPr>
          <w:rFonts w:hint="eastAsia" w:ascii="Times New Roman" w:hAnsi="Times New Roman" w:cs="Times New Roman"/>
          <w:color w:val="auto"/>
          <w:kern w:val="2"/>
          <w:sz w:val="24"/>
          <w:szCs w:val="24"/>
          <w:highlight w:val="none"/>
          <w:vertAlign w:val="baseline"/>
          <w:lang w:val="en-US" w:eastAsia="zh-CN"/>
        </w:rPr>
        <w:t>5</w:t>
      </w:r>
      <w:r>
        <w:rPr>
          <w:rFonts w:hint="default" w:ascii="Times New Roman" w:hAnsi="Times New Roman" w:eastAsia="宋体" w:cs="Times New Roman"/>
          <w:color w:val="auto"/>
          <w:kern w:val="2"/>
          <w:sz w:val="24"/>
          <w:szCs w:val="24"/>
          <w:highlight w:val="none"/>
          <w:lang w:eastAsia="zh-CN"/>
        </w:rPr>
        <w:t>：</w:t>
      </w:r>
    </w:p>
    <w:p w14:paraId="7CE835C6">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表3.5-</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 xml:space="preserve">  项目粪污贮存区恶臭气体产生量一览表</w:t>
      </w:r>
    </w:p>
    <w:tbl>
      <w:tblPr>
        <w:tblStyle w:val="48"/>
        <w:tblW w:w="4998"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88"/>
        <w:gridCol w:w="1638"/>
        <w:gridCol w:w="1773"/>
        <w:gridCol w:w="1611"/>
        <w:gridCol w:w="1609"/>
      </w:tblGrid>
      <w:tr w14:paraId="5836138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108" w:type="pct"/>
            <w:noWrap w:val="0"/>
            <w:vAlign w:val="center"/>
          </w:tcPr>
          <w:p w14:paraId="0D01A9D3">
            <w:pPr>
              <w:widowControl w:val="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面源</w:t>
            </w:r>
          </w:p>
        </w:tc>
        <w:tc>
          <w:tcPr>
            <w:tcW w:w="961" w:type="pct"/>
            <w:noWrap w:val="0"/>
            <w:vAlign w:val="center"/>
          </w:tcPr>
          <w:p w14:paraId="1DC20E8E">
            <w:pPr>
              <w:widowControl w:val="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NH</w:t>
            </w:r>
            <w:r>
              <w:rPr>
                <w:rFonts w:hint="default" w:ascii="Times New Roman" w:hAnsi="Times New Roman" w:eastAsia="宋体" w:cs="Times New Roman"/>
                <w:b/>
                <w:bCs/>
                <w:color w:val="auto"/>
                <w:kern w:val="2"/>
                <w:sz w:val="21"/>
                <w:szCs w:val="21"/>
                <w:highlight w:val="none"/>
                <w:vertAlign w:val="subscript"/>
              </w:rPr>
              <w:t>3</w:t>
            </w:r>
            <w:r>
              <w:rPr>
                <w:rFonts w:hint="default" w:ascii="Times New Roman" w:hAnsi="Times New Roman" w:eastAsia="宋体" w:cs="Times New Roman"/>
                <w:b/>
                <w:bCs/>
                <w:color w:val="auto"/>
                <w:kern w:val="2"/>
                <w:sz w:val="21"/>
                <w:szCs w:val="21"/>
                <w:highlight w:val="none"/>
              </w:rPr>
              <w:t>产生速率（kg/h）</w:t>
            </w:r>
          </w:p>
        </w:tc>
        <w:tc>
          <w:tcPr>
            <w:tcW w:w="1040" w:type="pct"/>
            <w:noWrap w:val="0"/>
            <w:vAlign w:val="center"/>
          </w:tcPr>
          <w:p w14:paraId="24841045">
            <w:pPr>
              <w:widowControl w:val="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NH</w:t>
            </w:r>
            <w:r>
              <w:rPr>
                <w:rFonts w:hint="default" w:ascii="Times New Roman" w:hAnsi="Times New Roman" w:eastAsia="宋体" w:cs="Times New Roman"/>
                <w:b/>
                <w:bCs/>
                <w:color w:val="auto"/>
                <w:kern w:val="2"/>
                <w:sz w:val="21"/>
                <w:szCs w:val="21"/>
                <w:highlight w:val="none"/>
                <w:vertAlign w:val="subscript"/>
              </w:rPr>
              <w:t>3</w:t>
            </w:r>
            <w:r>
              <w:rPr>
                <w:rFonts w:hint="default" w:ascii="Times New Roman" w:hAnsi="Times New Roman" w:eastAsia="宋体" w:cs="Times New Roman"/>
                <w:b/>
                <w:bCs/>
                <w:color w:val="auto"/>
                <w:kern w:val="2"/>
                <w:sz w:val="21"/>
                <w:szCs w:val="21"/>
                <w:highlight w:val="none"/>
              </w:rPr>
              <w:t>产生量</w:t>
            </w:r>
          </w:p>
          <w:p w14:paraId="6C41B2F0">
            <w:pPr>
              <w:widowControl w:val="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（t/a）</w:t>
            </w:r>
          </w:p>
        </w:tc>
        <w:tc>
          <w:tcPr>
            <w:tcW w:w="945" w:type="pct"/>
            <w:noWrap w:val="0"/>
            <w:vAlign w:val="center"/>
          </w:tcPr>
          <w:p w14:paraId="510BC903">
            <w:pPr>
              <w:widowControl w:val="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H</w:t>
            </w:r>
            <w:r>
              <w:rPr>
                <w:rFonts w:hint="default" w:ascii="Times New Roman" w:hAnsi="Times New Roman" w:eastAsia="宋体" w:cs="Times New Roman"/>
                <w:b/>
                <w:bCs/>
                <w:color w:val="auto"/>
                <w:kern w:val="2"/>
                <w:sz w:val="21"/>
                <w:szCs w:val="21"/>
                <w:highlight w:val="none"/>
                <w:vertAlign w:val="subscript"/>
              </w:rPr>
              <w:t>2</w:t>
            </w:r>
            <w:r>
              <w:rPr>
                <w:rFonts w:hint="default" w:ascii="Times New Roman" w:hAnsi="Times New Roman" w:eastAsia="宋体" w:cs="Times New Roman"/>
                <w:b/>
                <w:bCs/>
                <w:color w:val="auto"/>
                <w:kern w:val="2"/>
                <w:sz w:val="21"/>
                <w:szCs w:val="21"/>
                <w:highlight w:val="none"/>
              </w:rPr>
              <w:t>S产生速率（kg/h）</w:t>
            </w:r>
          </w:p>
        </w:tc>
        <w:tc>
          <w:tcPr>
            <w:tcW w:w="944" w:type="pct"/>
            <w:noWrap w:val="0"/>
            <w:vAlign w:val="center"/>
          </w:tcPr>
          <w:p w14:paraId="12EDE64B">
            <w:pPr>
              <w:widowControl w:val="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H</w:t>
            </w:r>
            <w:r>
              <w:rPr>
                <w:rFonts w:hint="default" w:ascii="Times New Roman" w:hAnsi="Times New Roman" w:eastAsia="宋体" w:cs="Times New Roman"/>
                <w:b/>
                <w:bCs/>
                <w:color w:val="auto"/>
                <w:kern w:val="2"/>
                <w:sz w:val="21"/>
                <w:szCs w:val="21"/>
                <w:highlight w:val="none"/>
                <w:vertAlign w:val="subscript"/>
              </w:rPr>
              <w:t>2</w:t>
            </w:r>
            <w:r>
              <w:rPr>
                <w:rFonts w:hint="default" w:ascii="Times New Roman" w:hAnsi="Times New Roman" w:eastAsia="宋体" w:cs="Times New Roman"/>
                <w:b/>
                <w:bCs/>
                <w:color w:val="auto"/>
                <w:kern w:val="2"/>
                <w:sz w:val="21"/>
                <w:szCs w:val="21"/>
                <w:highlight w:val="none"/>
              </w:rPr>
              <w:t>S产生量</w:t>
            </w:r>
          </w:p>
          <w:p w14:paraId="11CF40A5">
            <w:pPr>
              <w:widowControl w:val="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（t/a）</w:t>
            </w:r>
          </w:p>
        </w:tc>
      </w:tr>
      <w:tr w14:paraId="31356F03">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1108" w:type="pct"/>
            <w:noWrap w:val="0"/>
            <w:vAlign w:val="center"/>
          </w:tcPr>
          <w:p w14:paraId="6A6DBCE9">
            <w:pPr>
              <w:widowControl w:val="0"/>
              <w:tabs>
                <w:tab w:val="left" w:pos="1620"/>
              </w:tabs>
              <w:snapToGrid w:val="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粪污贮存区</w:t>
            </w:r>
          </w:p>
        </w:tc>
        <w:tc>
          <w:tcPr>
            <w:tcW w:w="961" w:type="pct"/>
            <w:noWrap w:val="0"/>
            <w:vAlign w:val="center"/>
          </w:tcPr>
          <w:p w14:paraId="34D01807">
            <w:pPr>
              <w:widowControl w:val="0"/>
              <w:tabs>
                <w:tab w:val="left" w:pos="1620"/>
              </w:tabs>
              <w:snapToGrid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0.082</w:t>
            </w:r>
          </w:p>
        </w:tc>
        <w:tc>
          <w:tcPr>
            <w:tcW w:w="1040" w:type="pct"/>
            <w:noWrap w:val="0"/>
            <w:vAlign w:val="center"/>
          </w:tcPr>
          <w:p w14:paraId="66A02D27">
            <w:pPr>
              <w:widowControl w:val="0"/>
              <w:snapToGrid w:val="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0.715</w:t>
            </w:r>
          </w:p>
        </w:tc>
        <w:tc>
          <w:tcPr>
            <w:tcW w:w="945" w:type="pct"/>
            <w:noWrap w:val="0"/>
            <w:vAlign w:val="center"/>
          </w:tcPr>
          <w:p w14:paraId="7F1542EE">
            <w:pPr>
              <w:widowControl w:val="0"/>
              <w:snapToGrid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0.003</w:t>
            </w:r>
            <w:r>
              <w:rPr>
                <w:rFonts w:hint="eastAsia" w:ascii="Times New Roman" w:hAnsi="Times New Roman" w:eastAsia="宋体" w:cs="Times New Roman"/>
                <w:color w:val="auto"/>
                <w:kern w:val="2"/>
                <w:sz w:val="21"/>
                <w:szCs w:val="21"/>
                <w:highlight w:val="none"/>
                <w:lang w:val="en-US" w:eastAsia="zh-CN"/>
              </w:rPr>
              <w:t>2</w:t>
            </w:r>
          </w:p>
        </w:tc>
        <w:tc>
          <w:tcPr>
            <w:tcW w:w="944" w:type="pct"/>
            <w:noWrap w:val="0"/>
            <w:vAlign w:val="center"/>
          </w:tcPr>
          <w:p w14:paraId="2F6F6C67">
            <w:pPr>
              <w:widowControl w:val="0"/>
              <w:snapToGrid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0.0</w:t>
            </w:r>
            <w:r>
              <w:rPr>
                <w:rFonts w:hint="eastAsia" w:ascii="Times New Roman" w:hAnsi="Times New Roman" w:eastAsia="宋体" w:cs="Times New Roman"/>
                <w:color w:val="auto"/>
                <w:kern w:val="2"/>
                <w:sz w:val="21"/>
                <w:szCs w:val="21"/>
                <w:highlight w:val="none"/>
                <w:lang w:val="en-US" w:eastAsia="zh-CN"/>
              </w:rPr>
              <w:t>28</w:t>
            </w:r>
          </w:p>
        </w:tc>
      </w:tr>
    </w:tbl>
    <w:p w14:paraId="1E2A0B1D">
      <w:pPr>
        <w:widowControl w:val="0"/>
        <w:spacing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环评要求建设单位必须采取除臭措施，措施如下：</w:t>
      </w:r>
    </w:p>
    <w:p w14:paraId="6C6B409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32"/>
          <w:highlight w:val="none"/>
          <w:lang w:eastAsia="zh-CN"/>
        </w:rPr>
      </w:pPr>
      <w:r>
        <w:rPr>
          <w:rFonts w:hint="default" w:ascii="Times New Roman" w:hAnsi="Times New Roman" w:eastAsia="宋体" w:cs="Times New Roman"/>
          <w:color w:val="auto"/>
          <w:kern w:val="2"/>
          <w:sz w:val="24"/>
          <w:szCs w:val="32"/>
          <w:highlight w:val="none"/>
        </w:rPr>
        <w:t>（1）</w:t>
      </w:r>
      <w:r>
        <w:rPr>
          <w:rFonts w:hint="default" w:ascii="Times New Roman" w:hAnsi="Times New Roman" w:eastAsia="宋体" w:cs="Times New Roman"/>
          <w:color w:val="auto"/>
          <w:kern w:val="2"/>
          <w:sz w:val="24"/>
          <w:szCs w:val="32"/>
          <w:highlight w:val="none"/>
          <w:lang w:eastAsia="zh-CN"/>
        </w:rPr>
        <w:t>粪污贮存区</w:t>
      </w:r>
      <w:r>
        <w:rPr>
          <w:rFonts w:hint="default" w:ascii="Times New Roman" w:hAnsi="Times New Roman" w:eastAsia="宋体" w:cs="Times New Roman"/>
          <w:color w:val="auto"/>
          <w:kern w:val="2"/>
          <w:sz w:val="24"/>
          <w:highlight w:val="none"/>
        </w:rPr>
        <w:t>应采取封闭管理，防止异味外泄和病原微生物的传播。通过在</w:t>
      </w:r>
      <w:r>
        <w:rPr>
          <w:rFonts w:hint="default" w:ascii="Times New Roman" w:hAnsi="Times New Roman" w:eastAsia="宋体" w:cs="Times New Roman"/>
          <w:color w:val="auto"/>
          <w:kern w:val="2"/>
          <w:sz w:val="24"/>
          <w:highlight w:val="none"/>
          <w:lang w:eastAsia="zh-CN"/>
        </w:rPr>
        <w:t>粪污贮存区</w:t>
      </w:r>
      <w:r>
        <w:rPr>
          <w:rFonts w:hint="default" w:ascii="Times New Roman" w:hAnsi="Times New Roman" w:eastAsia="宋体" w:cs="Times New Roman"/>
          <w:color w:val="auto"/>
          <w:kern w:val="2"/>
          <w:sz w:val="24"/>
          <w:highlight w:val="none"/>
        </w:rPr>
        <w:t>内安装负压风机和排气系统，确保处理区内空气压力低于外界，保持负压状态，防止</w:t>
      </w:r>
      <w:r>
        <w:rPr>
          <w:rFonts w:hint="default" w:ascii="Times New Roman" w:hAnsi="Times New Roman" w:eastAsia="宋体" w:cs="Times New Roman"/>
          <w:color w:val="auto"/>
          <w:kern w:val="2"/>
          <w:sz w:val="24"/>
          <w:highlight w:val="none"/>
          <w:lang w:val="en-US" w:eastAsia="zh-CN"/>
        </w:rPr>
        <w:t>恶臭</w:t>
      </w:r>
      <w:r>
        <w:rPr>
          <w:rFonts w:hint="default" w:ascii="Times New Roman" w:hAnsi="Times New Roman" w:eastAsia="宋体" w:cs="Times New Roman"/>
          <w:color w:val="auto"/>
          <w:kern w:val="2"/>
          <w:sz w:val="24"/>
          <w:highlight w:val="none"/>
        </w:rPr>
        <w:t>向外扩散‌</w:t>
      </w:r>
      <w:r>
        <w:rPr>
          <w:rFonts w:hint="default" w:ascii="Times New Roman" w:hAnsi="Times New Roman" w:eastAsia="宋体" w:cs="Times New Roman"/>
          <w:color w:val="auto"/>
          <w:kern w:val="2"/>
          <w:sz w:val="24"/>
          <w:highlight w:val="none"/>
          <w:lang w:eastAsia="zh-CN"/>
        </w:rPr>
        <w:t>；</w:t>
      </w:r>
    </w:p>
    <w:p w14:paraId="2628BB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（2）</w:t>
      </w:r>
      <w:r>
        <w:rPr>
          <w:rFonts w:hint="default" w:ascii="Times New Roman" w:hAnsi="Times New Roman" w:eastAsia="宋体" w:cs="Times New Roman"/>
          <w:color w:val="auto"/>
          <w:kern w:val="2"/>
          <w:sz w:val="24"/>
          <w:szCs w:val="32"/>
          <w:highlight w:val="none"/>
          <w:lang w:val="en-US" w:eastAsia="zh-CN"/>
        </w:rPr>
        <w:t>集粪池</w:t>
      </w:r>
      <w:r>
        <w:rPr>
          <w:rFonts w:hint="default" w:ascii="Times New Roman" w:hAnsi="Times New Roman" w:eastAsia="宋体" w:cs="Times New Roman"/>
          <w:color w:val="auto"/>
          <w:kern w:val="2"/>
          <w:sz w:val="24"/>
          <w:szCs w:val="32"/>
          <w:highlight w:val="none"/>
        </w:rPr>
        <w:t>全封闭；</w:t>
      </w:r>
    </w:p>
    <w:p w14:paraId="562BD15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4"/>
          <w:sz w:val="24"/>
          <w:szCs w:val="24"/>
          <w:highlight w:val="none"/>
          <w:lang w:val="en-US" w:eastAsia="zh-CN" w:bidi="ar-SA"/>
        </w:rPr>
      </w:pPr>
      <w:r>
        <w:rPr>
          <w:rFonts w:hint="default" w:ascii="Times New Roman" w:hAnsi="Times New Roman" w:eastAsia="宋体" w:cs="Times New Roman"/>
          <w:color w:val="auto"/>
          <w:kern w:val="2"/>
          <w:sz w:val="24"/>
          <w:szCs w:val="32"/>
          <w:highlight w:val="none"/>
        </w:rPr>
        <w:t>（3）</w:t>
      </w:r>
      <w:r>
        <w:rPr>
          <w:rFonts w:hint="default" w:ascii="Times New Roman" w:hAnsi="Times New Roman" w:eastAsia="宋体" w:cs="Times New Roman"/>
          <w:color w:val="auto"/>
          <w:kern w:val="24"/>
          <w:sz w:val="24"/>
          <w:szCs w:val="24"/>
          <w:highlight w:val="none"/>
          <w:lang w:val="en-US" w:eastAsia="zh-CN" w:bidi="ar-SA"/>
        </w:rPr>
        <w:t>猪舍、</w:t>
      </w:r>
      <w:r>
        <w:rPr>
          <w:rFonts w:hint="eastAsia" w:ascii="Times New Roman" w:hAnsi="Times New Roman" w:eastAsia="宋体" w:cs="Times New Roman"/>
          <w:color w:val="auto"/>
          <w:kern w:val="24"/>
          <w:sz w:val="24"/>
          <w:szCs w:val="24"/>
          <w:highlight w:val="none"/>
          <w:lang w:val="en-US" w:eastAsia="zh-CN" w:bidi="ar-SA"/>
        </w:rPr>
        <w:t>粪污</w:t>
      </w:r>
      <w:r>
        <w:rPr>
          <w:rFonts w:hint="default" w:ascii="Times New Roman" w:hAnsi="Times New Roman" w:eastAsia="宋体" w:cs="Times New Roman"/>
          <w:color w:val="auto"/>
          <w:kern w:val="24"/>
          <w:sz w:val="24"/>
          <w:szCs w:val="24"/>
          <w:highlight w:val="none"/>
          <w:lang w:val="en-US" w:eastAsia="zh-CN" w:bidi="ar-SA"/>
        </w:rPr>
        <w:t>区及时清理，同时猪舍定期喷洒植物除臭剂；集粪池、污水处理系统黑膜厌氧池位于半地下，池子上口再加盖HDPE防渗膜密封，四周锚固沟固定，形成一个密闭的厌氧发酵空间，沼气经管道引至沼气净化系统，并经火炬焚烧，无恶臭溢出；经管道引至</w:t>
      </w:r>
      <w:r>
        <w:rPr>
          <w:rFonts w:hint="eastAsia" w:ascii="Times New Roman" w:hAnsi="Times New Roman" w:eastAsia="宋体" w:cs="Times New Roman"/>
          <w:color w:val="auto"/>
          <w:kern w:val="24"/>
          <w:sz w:val="24"/>
          <w:szCs w:val="24"/>
          <w:highlight w:val="none"/>
          <w:lang w:val="en-US" w:eastAsia="zh-CN" w:bidi="ar-SA"/>
        </w:rPr>
        <w:t>10</w:t>
      </w:r>
      <w:r>
        <w:rPr>
          <w:rFonts w:hint="default" w:ascii="Times New Roman" w:hAnsi="Times New Roman" w:eastAsia="宋体" w:cs="Times New Roman"/>
          <w:color w:val="auto"/>
          <w:kern w:val="24"/>
          <w:sz w:val="24"/>
          <w:szCs w:val="24"/>
          <w:highlight w:val="none"/>
          <w:lang w:val="en-US" w:eastAsia="zh-CN" w:bidi="ar-SA"/>
        </w:rPr>
        <w:t>m高火炬燃烧，沼气净化后属清洁能源，燃烧产物主要为CO</w:t>
      </w:r>
      <w:r>
        <w:rPr>
          <w:rFonts w:hint="default" w:ascii="Times New Roman" w:hAnsi="Times New Roman" w:eastAsia="宋体" w:cs="Times New Roman"/>
          <w:color w:val="auto"/>
          <w:kern w:val="24"/>
          <w:sz w:val="24"/>
          <w:szCs w:val="24"/>
          <w:highlight w:val="none"/>
          <w:vertAlign w:val="subscript"/>
          <w:lang w:val="en-US" w:eastAsia="zh-CN" w:bidi="ar-SA"/>
        </w:rPr>
        <w:t>2</w:t>
      </w:r>
      <w:r>
        <w:rPr>
          <w:rFonts w:hint="default" w:ascii="Times New Roman" w:hAnsi="Times New Roman" w:eastAsia="宋体" w:cs="Times New Roman"/>
          <w:color w:val="auto"/>
          <w:kern w:val="24"/>
          <w:sz w:val="24"/>
          <w:szCs w:val="24"/>
          <w:highlight w:val="none"/>
          <w:lang w:val="en-US" w:eastAsia="zh-CN" w:bidi="ar-SA"/>
        </w:rPr>
        <w:t>和水，污染物产生量较小；干粪堆积场恶臭气体设置活性炭吸附装置经15m高排气筒排放。</w:t>
      </w:r>
    </w:p>
    <w:p w14:paraId="348DE5D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szCs w:val="32"/>
          <w:highlight w:val="none"/>
          <w:lang w:val="en-US" w:eastAsia="zh-CN"/>
        </w:rPr>
      </w:pPr>
      <w:r>
        <w:rPr>
          <w:rFonts w:hint="default" w:ascii="Times New Roman" w:hAnsi="Times New Roman" w:eastAsia="宋体" w:cs="Times New Roman"/>
          <w:color w:val="auto"/>
          <w:kern w:val="2"/>
          <w:sz w:val="24"/>
          <w:szCs w:val="32"/>
          <w:highlight w:val="none"/>
          <w:lang w:eastAsia="zh-CN"/>
        </w:rPr>
        <w:t>（</w:t>
      </w:r>
      <w:r>
        <w:rPr>
          <w:rFonts w:hint="default" w:ascii="Times New Roman" w:hAnsi="Times New Roman" w:eastAsia="宋体" w:cs="Times New Roman"/>
          <w:color w:val="auto"/>
          <w:kern w:val="2"/>
          <w:sz w:val="24"/>
          <w:szCs w:val="32"/>
          <w:highlight w:val="none"/>
          <w:lang w:val="en-US" w:eastAsia="zh-CN"/>
        </w:rPr>
        <w:t>4</w:t>
      </w:r>
      <w:r>
        <w:rPr>
          <w:rFonts w:hint="default" w:ascii="Times New Roman" w:hAnsi="Times New Roman" w:eastAsia="宋体" w:cs="Times New Roman"/>
          <w:color w:val="auto"/>
          <w:kern w:val="2"/>
          <w:sz w:val="24"/>
          <w:szCs w:val="32"/>
          <w:highlight w:val="none"/>
          <w:lang w:eastAsia="zh-CN"/>
        </w:rPr>
        <w:t>）</w:t>
      </w:r>
      <w:r>
        <w:rPr>
          <w:rFonts w:hint="default" w:ascii="Times New Roman" w:hAnsi="Times New Roman" w:eastAsia="宋体" w:cs="Times New Roman"/>
          <w:color w:val="auto"/>
          <w:kern w:val="2"/>
          <w:sz w:val="24"/>
          <w:szCs w:val="32"/>
          <w:highlight w:val="none"/>
        </w:rPr>
        <w:t>猪粪在运输过程中做好遮盖，防止在运输过程中洒落</w:t>
      </w:r>
      <w:r>
        <w:rPr>
          <w:rFonts w:hint="eastAsia" w:ascii="Times New Roman" w:hAnsi="Times New Roman" w:eastAsia="宋体" w:cs="Times New Roman"/>
          <w:color w:val="auto"/>
          <w:kern w:val="2"/>
          <w:sz w:val="24"/>
          <w:szCs w:val="32"/>
          <w:highlight w:val="none"/>
          <w:lang w:val="en-US" w:eastAsia="zh-CN"/>
        </w:rPr>
        <w:t>。</w:t>
      </w:r>
    </w:p>
    <w:p w14:paraId="3EE90F6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采取以上措施，</w:t>
      </w:r>
      <w:r>
        <w:rPr>
          <w:rFonts w:hint="default" w:ascii="Times New Roman" w:hAnsi="Times New Roman" w:eastAsia="宋体" w:cs="Times New Roman"/>
          <w:bCs/>
          <w:color w:val="auto"/>
          <w:kern w:val="2"/>
          <w:sz w:val="24"/>
          <w:highlight w:val="none"/>
        </w:rPr>
        <w:t>有组织</w:t>
      </w:r>
      <w:r>
        <w:rPr>
          <w:rFonts w:hint="default" w:ascii="Times New Roman" w:hAnsi="Times New Roman" w:eastAsia="宋体" w:cs="Times New Roman"/>
          <w:color w:val="auto"/>
          <w:kern w:val="2"/>
          <w:sz w:val="24"/>
          <w:highlight w:val="none"/>
        </w:rPr>
        <w:t>恶臭污染物排放标准执行《恶臭污染物排放标准》（GB14554-93）表2标准</w:t>
      </w:r>
      <w:r>
        <w:rPr>
          <w:rFonts w:hint="default" w:ascii="Times New Roman" w:hAnsi="Times New Roman" w:eastAsia="宋体" w:cs="Times New Roman"/>
          <w:bCs/>
          <w:color w:val="auto"/>
          <w:kern w:val="2"/>
          <w:sz w:val="24"/>
          <w:highlight w:val="none"/>
        </w:rPr>
        <w:t>。</w:t>
      </w:r>
      <w:r>
        <w:rPr>
          <w:rFonts w:hint="default" w:ascii="Times New Roman" w:hAnsi="Times New Roman" w:eastAsia="宋体" w:cs="Times New Roman"/>
          <w:color w:val="auto"/>
          <w:kern w:val="2"/>
          <w:sz w:val="24"/>
          <w:highlight w:val="none"/>
        </w:rPr>
        <w:t>无组织恶臭浓度满足《畜禽养殖业污染物排放标准》（GB18596-2001）表7标准要求，硫化氢、氨在厂界浓度满足《恶臭污染物排放标准》（GB14554-93）表1中二级新改扩建标准。</w:t>
      </w:r>
      <w:r>
        <w:rPr>
          <w:rFonts w:hint="default" w:ascii="Times New Roman" w:hAnsi="Times New Roman" w:eastAsia="宋体" w:cs="Times New Roman"/>
          <w:color w:val="auto"/>
          <w:kern w:val="2"/>
          <w:sz w:val="24"/>
          <w:szCs w:val="32"/>
          <w:highlight w:val="none"/>
        </w:rPr>
        <w:t>本项目</w:t>
      </w:r>
      <w:r>
        <w:rPr>
          <w:rFonts w:hint="default" w:ascii="Times New Roman" w:hAnsi="Times New Roman" w:eastAsia="宋体" w:cs="Times New Roman"/>
          <w:color w:val="auto"/>
          <w:kern w:val="2"/>
          <w:sz w:val="24"/>
          <w:szCs w:val="32"/>
          <w:highlight w:val="none"/>
          <w:lang w:val="en-US" w:eastAsia="zh-CN"/>
        </w:rPr>
        <w:t>猪舍和</w:t>
      </w:r>
      <w:r>
        <w:rPr>
          <w:rFonts w:hint="default" w:ascii="Times New Roman" w:hAnsi="Times New Roman" w:eastAsia="宋体" w:cs="Times New Roman"/>
          <w:color w:val="auto"/>
          <w:kern w:val="2"/>
          <w:sz w:val="24"/>
          <w:szCs w:val="32"/>
          <w:highlight w:val="none"/>
          <w:lang w:eastAsia="zh-CN"/>
        </w:rPr>
        <w:t>粪污贮存区</w:t>
      </w:r>
      <w:r>
        <w:rPr>
          <w:rFonts w:hint="default" w:ascii="Times New Roman" w:hAnsi="Times New Roman" w:eastAsia="宋体" w:cs="Times New Roman"/>
          <w:color w:val="auto"/>
          <w:kern w:val="2"/>
          <w:sz w:val="24"/>
          <w:szCs w:val="32"/>
          <w:highlight w:val="none"/>
        </w:rPr>
        <w:t>恶臭排放情况见表</w:t>
      </w:r>
      <w:r>
        <w:rPr>
          <w:rFonts w:hint="default" w:ascii="Times New Roman" w:hAnsi="Times New Roman" w:eastAsia="宋体" w:cs="Times New Roman"/>
          <w:color w:val="auto"/>
          <w:kern w:val="2"/>
          <w:sz w:val="24"/>
          <w:szCs w:val="32"/>
          <w:highlight w:val="none"/>
          <w:lang w:eastAsia="zh-CN"/>
        </w:rPr>
        <w:t>3.5</w:t>
      </w:r>
      <w:r>
        <w:rPr>
          <w:rFonts w:hint="default" w:ascii="Times New Roman" w:hAnsi="Times New Roman" w:eastAsia="宋体" w:cs="Times New Roman"/>
          <w:color w:val="auto"/>
          <w:kern w:val="2"/>
          <w:sz w:val="24"/>
          <w:szCs w:val="32"/>
          <w:highlight w:val="none"/>
        </w:rPr>
        <w:t>-</w:t>
      </w:r>
      <w:r>
        <w:rPr>
          <w:rFonts w:hint="eastAsia" w:ascii="Times New Roman" w:hAnsi="Times New Roman" w:cs="Times New Roman"/>
          <w:color w:val="auto"/>
          <w:kern w:val="2"/>
          <w:sz w:val="24"/>
          <w:szCs w:val="32"/>
          <w:highlight w:val="none"/>
          <w:lang w:val="en-US" w:eastAsia="zh-CN"/>
        </w:rPr>
        <w:t>6</w:t>
      </w:r>
      <w:r>
        <w:rPr>
          <w:rFonts w:hint="default" w:ascii="Times New Roman" w:hAnsi="Times New Roman" w:eastAsia="宋体" w:cs="Times New Roman"/>
          <w:color w:val="auto"/>
          <w:kern w:val="2"/>
          <w:sz w:val="24"/>
          <w:szCs w:val="32"/>
          <w:highlight w:val="none"/>
        </w:rPr>
        <w:t>。</w:t>
      </w:r>
    </w:p>
    <w:p w14:paraId="2D4DAECF">
      <w:pPr>
        <w:widowControl w:val="0"/>
        <w:adjustRightInd/>
        <w:snapToGrid/>
        <w:ind w:firstLine="0" w:firstLineChars="0"/>
        <w:jc w:val="center"/>
        <w:rPr>
          <w:rFonts w:hint="default" w:ascii="Times New Roman" w:hAnsi="Times New Roman" w:eastAsia="宋体" w:cs="Times New Roman"/>
          <w:b/>
          <w:color w:val="auto"/>
          <w:kern w:val="2"/>
          <w:sz w:val="24"/>
          <w:szCs w:val="32"/>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表3.5-</w:t>
      </w:r>
      <w:r>
        <w:rPr>
          <w:rFonts w:hint="eastAsia" w:ascii="Times New Roman" w:hAnsi="Times New Roman" w:eastAsia="黑体" w:cs="Times New Roman"/>
          <w:b w:val="0"/>
          <w:bCs/>
          <w:smallCaps w:val="0"/>
          <w:snapToGrid/>
          <w:kern w:val="2"/>
          <w:sz w:val="21"/>
          <w:szCs w:val="24"/>
          <w:highlight w:val="none"/>
          <w:lang w:val="en-US" w:eastAsia="zh-CN" w:bidi="ar-SA"/>
        </w:rPr>
        <w:t>6</w:t>
      </w:r>
      <w:r>
        <w:rPr>
          <w:rFonts w:hint="default" w:ascii="Times New Roman" w:hAnsi="Times New Roman" w:eastAsia="黑体" w:cs="Times New Roman"/>
          <w:b w:val="0"/>
          <w:bCs/>
          <w:smallCaps w:val="0"/>
          <w:snapToGrid/>
          <w:kern w:val="2"/>
          <w:sz w:val="21"/>
          <w:szCs w:val="24"/>
          <w:highlight w:val="none"/>
          <w:lang w:val="en-US" w:eastAsia="zh-CN" w:bidi="ar-SA"/>
        </w:rPr>
        <w:t xml:space="preserve">   项目猪舍及粪污贮存区恶臭气体排放量一览表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5"/>
        <w:gridCol w:w="863"/>
        <w:gridCol w:w="707"/>
        <w:gridCol w:w="450"/>
        <w:gridCol w:w="820"/>
        <w:gridCol w:w="820"/>
        <w:gridCol w:w="959"/>
        <w:gridCol w:w="804"/>
        <w:gridCol w:w="417"/>
        <w:gridCol w:w="928"/>
        <w:gridCol w:w="928"/>
        <w:gridCol w:w="331"/>
      </w:tblGrid>
      <w:tr w14:paraId="17543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vMerge w:val="restart"/>
            <w:noWrap w:val="0"/>
            <w:vAlign w:val="center"/>
          </w:tcPr>
          <w:p w14:paraId="4BABB53E">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bookmarkStart w:id="487" w:name="_Hlk147565443"/>
            <w:r>
              <w:rPr>
                <w:rFonts w:hint="default" w:ascii="Times New Roman" w:hAnsi="Times New Roman" w:eastAsia="宋体" w:cs="Times New Roman"/>
                <w:color w:val="auto"/>
                <w:kern w:val="0"/>
                <w:sz w:val="21"/>
                <w:szCs w:val="21"/>
                <w:highlight w:val="none"/>
                <w:lang w:val="en-US" w:eastAsia="zh-CN" w:bidi="ar-SA"/>
              </w:rPr>
              <w:t>工序/生产线</w:t>
            </w:r>
          </w:p>
        </w:tc>
        <w:tc>
          <w:tcPr>
            <w:tcW w:w="863" w:type="dxa"/>
            <w:vMerge w:val="restart"/>
            <w:noWrap w:val="0"/>
            <w:vAlign w:val="center"/>
          </w:tcPr>
          <w:p w14:paraId="1FC7433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污染源</w:t>
            </w:r>
          </w:p>
        </w:tc>
        <w:tc>
          <w:tcPr>
            <w:tcW w:w="707" w:type="dxa"/>
            <w:vMerge w:val="restart"/>
            <w:noWrap w:val="0"/>
            <w:vAlign w:val="center"/>
          </w:tcPr>
          <w:p w14:paraId="6D0A180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污染物</w:t>
            </w:r>
          </w:p>
        </w:tc>
        <w:tc>
          <w:tcPr>
            <w:tcW w:w="2090" w:type="dxa"/>
            <w:gridSpan w:val="3"/>
            <w:noWrap w:val="0"/>
            <w:vAlign w:val="center"/>
          </w:tcPr>
          <w:p w14:paraId="7DDBAF79">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污染物产生</w:t>
            </w:r>
          </w:p>
        </w:tc>
        <w:tc>
          <w:tcPr>
            <w:tcW w:w="1763" w:type="dxa"/>
            <w:gridSpan w:val="2"/>
            <w:noWrap w:val="0"/>
            <w:vAlign w:val="center"/>
          </w:tcPr>
          <w:p w14:paraId="456EB509">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治理措施</w:t>
            </w:r>
          </w:p>
        </w:tc>
        <w:tc>
          <w:tcPr>
            <w:tcW w:w="2273" w:type="dxa"/>
            <w:gridSpan w:val="3"/>
            <w:noWrap w:val="0"/>
            <w:vAlign w:val="center"/>
          </w:tcPr>
          <w:p w14:paraId="45A7ADFC">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污染物排放</w:t>
            </w:r>
          </w:p>
        </w:tc>
        <w:tc>
          <w:tcPr>
            <w:tcW w:w="331" w:type="dxa"/>
            <w:vMerge w:val="restart"/>
            <w:noWrap w:val="0"/>
            <w:vAlign w:val="center"/>
          </w:tcPr>
          <w:p w14:paraId="7074EB4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w:t>
            </w:r>
          </w:p>
          <w:p w14:paraId="659040F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时间/h</w:t>
            </w:r>
          </w:p>
        </w:tc>
      </w:tr>
      <w:tr w14:paraId="2D2C35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vMerge w:val="continue"/>
            <w:noWrap w:val="0"/>
            <w:vAlign w:val="center"/>
          </w:tcPr>
          <w:p w14:paraId="4F1572D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63" w:type="dxa"/>
            <w:vMerge w:val="continue"/>
            <w:noWrap w:val="0"/>
            <w:vAlign w:val="center"/>
          </w:tcPr>
          <w:p w14:paraId="0C44136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07" w:type="dxa"/>
            <w:vMerge w:val="continue"/>
            <w:noWrap w:val="0"/>
            <w:vAlign w:val="center"/>
          </w:tcPr>
          <w:p w14:paraId="2BC17C9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450" w:type="dxa"/>
            <w:noWrap w:val="0"/>
            <w:vAlign w:val="center"/>
          </w:tcPr>
          <w:p w14:paraId="34A1B72E">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核算</w:t>
            </w:r>
          </w:p>
          <w:p w14:paraId="649E78E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方法</w:t>
            </w:r>
          </w:p>
        </w:tc>
        <w:tc>
          <w:tcPr>
            <w:tcW w:w="820" w:type="dxa"/>
            <w:noWrap w:val="0"/>
            <w:vAlign w:val="center"/>
          </w:tcPr>
          <w:p w14:paraId="3512FD2D">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废气产生量t/a</w:t>
            </w:r>
          </w:p>
        </w:tc>
        <w:tc>
          <w:tcPr>
            <w:tcW w:w="820" w:type="dxa"/>
            <w:noWrap w:val="0"/>
            <w:vAlign w:val="center"/>
          </w:tcPr>
          <w:p w14:paraId="27C489D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废气产生量kg/h</w:t>
            </w:r>
          </w:p>
        </w:tc>
        <w:tc>
          <w:tcPr>
            <w:tcW w:w="959" w:type="dxa"/>
            <w:noWrap w:val="0"/>
            <w:vAlign w:val="center"/>
          </w:tcPr>
          <w:p w14:paraId="524553C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工艺</w:t>
            </w:r>
          </w:p>
        </w:tc>
        <w:tc>
          <w:tcPr>
            <w:tcW w:w="804" w:type="dxa"/>
            <w:noWrap w:val="0"/>
            <w:vAlign w:val="center"/>
          </w:tcPr>
          <w:p w14:paraId="086D2D93">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效率</w:t>
            </w:r>
          </w:p>
        </w:tc>
        <w:tc>
          <w:tcPr>
            <w:tcW w:w="417" w:type="dxa"/>
            <w:noWrap w:val="0"/>
            <w:vAlign w:val="center"/>
          </w:tcPr>
          <w:p w14:paraId="1DFD5D70">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核算方法</w:t>
            </w:r>
          </w:p>
        </w:tc>
        <w:tc>
          <w:tcPr>
            <w:tcW w:w="928" w:type="dxa"/>
            <w:noWrap w:val="0"/>
            <w:vAlign w:val="center"/>
          </w:tcPr>
          <w:p w14:paraId="032E198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排放量t/a</w:t>
            </w:r>
          </w:p>
        </w:tc>
        <w:tc>
          <w:tcPr>
            <w:tcW w:w="928" w:type="dxa"/>
            <w:noWrap w:val="0"/>
            <w:vAlign w:val="center"/>
          </w:tcPr>
          <w:p w14:paraId="7D082F57">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排放量</w:t>
            </w:r>
          </w:p>
          <w:p w14:paraId="22AF7BBC">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kg/h</w:t>
            </w:r>
          </w:p>
        </w:tc>
        <w:tc>
          <w:tcPr>
            <w:tcW w:w="331" w:type="dxa"/>
            <w:vMerge w:val="continue"/>
            <w:noWrap w:val="0"/>
            <w:vAlign w:val="center"/>
          </w:tcPr>
          <w:p w14:paraId="21DA6FE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r>
      <w:tr w14:paraId="189DD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495" w:type="dxa"/>
            <w:vMerge w:val="restart"/>
            <w:noWrap w:val="0"/>
            <w:vAlign w:val="center"/>
          </w:tcPr>
          <w:p w14:paraId="77CE9602">
            <w:pPr>
              <w:widowControl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生产</w:t>
            </w:r>
          </w:p>
          <w:p w14:paraId="57A0CFF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过程</w:t>
            </w:r>
          </w:p>
        </w:tc>
        <w:tc>
          <w:tcPr>
            <w:tcW w:w="863" w:type="dxa"/>
            <w:vMerge w:val="restart"/>
            <w:noWrap w:val="0"/>
            <w:vAlign w:val="center"/>
          </w:tcPr>
          <w:p w14:paraId="7CED5093">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猪舍</w:t>
            </w:r>
          </w:p>
        </w:tc>
        <w:tc>
          <w:tcPr>
            <w:tcW w:w="707" w:type="dxa"/>
            <w:vMerge w:val="restart"/>
            <w:noWrap w:val="0"/>
            <w:vAlign w:val="center"/>
          </w:tcPr>
          <w:p w14:paraId="1FBBBF7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NH</w:t>
            </w:r>
            <w:r>
              <w:rPr>
                <w:rFonts w:hint="default" w:ascii="Times New Roman" w:hAnsi="Times New Roman" w:eastAsia="宋体" w:cs="Times New Roman"/>
                <w:snapToGrid w:val="0"/>
                <w:color w:val="auto"/>
                <w:kern w:val="0"/>
                <w:sz w:val="21"/>
                <w:szCs w:val="21"/>
                <w:highlight w:val="none"/>
                <w:vertAlign w:val="subscript"/>
                <w:lang w:val="en-US" w:eastAsia="zh-CN" w:bidi="ar-SA"/>
              </w:rPr>
              <w:t>3</w:t>
            </w:r>
          </w:p>
        </w:tc>
        <w:tc>
          <w:tcPr>
            <w:tcW w:w="450" w:type="dxa"/>
            <w:vMerge w:val="restart"/>
            <w:noWrap w:val="0"/>
            <w:vAlign w:val="center"/>
          </w:tcPr>
          <w:p w14:paraId="0D90878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类比法</w:t>
            </w:r>
          </w:p>
        </w:tc>
        <w:tc>
          <w:tcPr>
            <w:tcW w:w="820" w:type="dxa"/>
            <w:vMerge w:val="restart"/>
            <w:noWrap w:val="0"/>
            <w:vAlign w:val="center"/>
          </w:tcPr>
          <w:p w14:paraId="76D50D8B">
            <w:pPr>
              <w:widowControl w:val="0"/>
              <w:adjustRightInd w:val="0"/>
              <w:snapToGrid w:val="0"/>
              <w:spacing w:line="240" w:lineRule="auto"/>
              <w:ind w:lef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7.62</w:t>
            </w:r>
          </w:p>
        </w:tc>
        <w:tc>
          <w:tcPr>
            <w:tcW w:w="820" w:type="dxa"/>
            <w:vMerge w:val="restart"/>
            <w:noWrap w:val="0"/>
            <w:vAlign w:val="center"/>
          </w:tcPr>
          <w:p w14:paraId="1A1BB662">
            <w:pPr>
              <w:pStyle w:val="152"/>
              <w:ind w:left="0" w:leftChars="0" w:firstLine="0" w:firstLineChars="0"/>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0.87</w:t>
            </w:r>
          </w:p>
        </w:tc>
        <w:tc>
          <w:tcPr>
            <w:tcW w:w="959" w:type="dxa"/>
            <w:vMerge w:val="restart"/>
            <w:noWrap w:val="0"/>
            <w:vAlign w:val="center"/>
          </w:tcPr>
          <w:p w14:paraId="41237B03">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在日粮中添加EM菌，喷洒生物除臭剂</w:t>
            </w:r>
          </w:p>
        </w:tc>
        <w:tc>
          <w:tcPr>
            <w:tcW w:w="804" w:type="dxa"/>
            <w:noWrap w:val="0"/>
            <w:vAlign w:val="center"/>
          </w:tcPr>
          <w:p w14:paraId="2CC00D15">
            <w:pPr>
              <w:pStyle w:val="152"/>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72.5%</w:t>
            </w:r>
          </w:p>
        </w:tc>
        <w:tc>
          <w:tcPr>
            <w:tcW w:w="417" w:type="dxa"/>
            <w:vMerge w:val="restart"/>
            <w:noWrap w:val="0"/>
            <w:vAlign w:val="center"/>
          </w:tcPr>
          <w:p w14:paraId="23929BF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类比法</w:t>
            </w:r>
          </w:p>
        </w:tc>
        <w:tc>
          <w:tcPr>
            <w:tcW w:w="928" w:type="dxa"/>
            <w:vMerge w:val="restart"/>
            <w:noWrap w:val="0"/>
            <w:vAlign w:val="center"/>
          </w:tcPr>
          <w:p w14:paraId="1FCC7E27">
            <w:pPr>
              <w:widowControl w:val="0"/>
              <w:adjustRightInd w:val="0"/>
              <w:snapToGrid w:val="0"/>
              <w:spacing w:line="240" w:lineRule="auto"/>
              <w:ind w:lef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0.155</w:t>
            </w:r>
          </w:p>
        </w:tc>
        <w:tc>
          <w:tcPr>
            <w:tcW w:w="928" w:type="dxa"/>
            <w:vMerge w:val="restart"/>
            <w:noWrap w:val="0"/>
            <w:vAlign w:val="center"/>
          </w:tcPr>
          <w:p w14:paraId="33E04A21">
            <w:pPr>
              <w:pStyle w:val="152"/>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0.0177</w:t>
            </w:r>
          </w:p>
        </w:tc>
        <w:tc>
          <w:tcPr>
            <w:tcW w:w="331" w:type="dxa"/>
            <w:vMerge w:val="restart"/>
            <w:noWrap w:val="0"/>
            <w:vAlign w:val="center"/>
          </w:tcPr>
          <w:p w14:paraId="670FD77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8760</w:t>
            </w:r>
          </w:p>
        </w:tc>
      </w:tr>
      <w:tr w14:paraId="3EB5D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495" w:type="dxa"/>
            <w:vMerge w:val="continue"/>
            <w:noWrap w:val="0"/>
            <w:vAlign w:val="center"/>
          </w:tcPr>
          <w:p w14:paraId="2A386C98">
            <w:pPr>
              <w:widowControl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863" w:type="dxa"/>
            <w:vMerge w:val="continue"/>
            <w:noWrap w:val="0"/>
            <w:vAlign w:val="center"/>
          </w:tcPr>
          <w:p w14:paraId="49842587">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07" w:type="dxa"/>
            <w:vMerge w:val="continue"/>
            <w:noWrap w:val="0"/>
            <w:vAlign w:val="center"/>
          </w:tcPr>
          <w:p w14:paraId="666EE33E">
            <w:pPr>
              <w:widowControl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450" w:type="dxa"/>
            <w:vMerge w:val="continue"/>
            <w:noWrap w:val="0"/>
            <w:vAlign w:val="center"/>
          </w:tcPr>
          <w:p w14:paraId="5FAF6473">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20" w:type="dxa"/>
            <w:vMerge w:val="continue"/>
            <w:noWrap w:val="0"/>
            <w:vAlign w:val="center"/>
          </w:tcPr>
          <w:p w14:paraId="21555385">
            <w:pPr>
              <w:widowControl w:val="0"/>
              <w:adjustRightInd w:val="0"/>
              <w:snapToGrid w:val="0"/>
              <w:spacing w:line="240" w:lineRule="auto"/>
              <w:ind w:left="0" w:firstLine="0" w:firstLineChars="0"/>
              <w:jc w:val="center"/>
              <w:rPr>
                <w:rFonts w:hint="default" w:ascii="Times New Roman" w:hAnsi="Times New Roman" w:eastAsia="宋体" w:cs="Times New Roman"/>
                <w:bCs/>
                <w:color w:val="auto"/>
                <w:kern w:val="0"/>
                <w:sz w:val="21"/>
                <w:szCs w:val="21"/>
                <w:highlight w:val="none"/>
                <w:lang w:val="en-US" w:eastAsia="zh-CN" w:bidi="ar-SA"/>
              </w:rPr>
            </w:pPr>
          </w:p>
        </w:tc>
        <w:tc>
          <w:tcPr>
            <w:tcW w:w="820" w:type="dxa"/>
            <w:vMerge w:val="continue"/>
            <w:noWrap w:val="0"/>
            <w:vAlign w:val="center"/>
          </w:tcPr>
          <w:p w14:paraId="47782362">
            <w:pPr>
              <w:widowControl w:val="0"/>
              <w:adjustRightInd w:val="0"/>
              <w:snapToGrid w:val="0"/>
              <w:spacing w:line="240" w:lineRule="auto"/>
              <w:ind w:left="0" w:firstLine="0" w:firstLineChars="0"/>
              <w:jc w:val="center"/>
              <w:rPr>
                <w:rFonts w:hint="default" w:ascii="Times New Roman" w:hAnsi="Times New Roman" w:eastAsia="宋体" w:cs="Times New Roman"/>
                <w:bCs/>
                <w:color w:val="auto"/>
                <w:kern w:val="0"/>
                <w:sz w:val="21"/>
                <w:szCs w:val="21"/>
                <w:highlight w:val="none"/>
                <w:lang w:val="en-US" w:eastAsia="zh-CN" w:bidi="ar-SA"/>
              </w:rPr>
            </w:pPr>
          </w:p>
        </w:tc>
        <w:tc>
          <w:tcPr>
            <w:tcW w:w="959" w:type="dxa"/>
            <w:vMerge w:val="continue"/>
            <w:noWrap w:val="0"/>
            <w:vAlign w:val="center"/>
          </w:tcPr>
          <w:p w14:paraId="59B26EF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04" w:type="dxa"/>
            <w:noWrap w:val="0"/>
            <w:vAlign w:val="center"/>
          </w:tcPr>
          <w:p w14:paraId="2F26BD76">
            <w:pPr>
              <w:pStyle w:val="152"/>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92.6</w:t>
            </w:r>
            <w:r>
              <w:rPr>
                <w:rFonts w:hint="default" w:ascii="Times New Roman" w:hAnsi="Times New Roman" w:eastAsia="宋体" w:cs="Times New Roman"/>
                <w:color w:val="auto"/>
                <w:sz w:val="21"/>
                <w:szCs w:val="21"/>
                <w:highlight w:val="none"/>
              </w:rPr>
              <w:t>%</w:t>
            </w:r>
          </w:p>
        </w:tc>
        <w:tc>
          <w:tcPr>
            <w:tcW w:w="417" w:type="dxa"/>
            <w:vMerge w:val="continue"/>
            <w:noWrap w:val="0"/>
            <w:vAlign w:val="center"/>
          </w:tcPr>
          <w:p w14:paraId="30F0BF83">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928" w:type="dxa"/>
            <w:vMerge w:val="continue"/>
            <w:noWrap w:val="0"/>
            <w:vAlign w:val="center"/>
          </w:tcPr>
          <w:p w14:paraId="12086A63">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928" w:type="dxa"/>
            <w:vMerge w:val="continue"/>
            <w:noWrap w:val="0"/>
            <w:vAlign w:val="center"/>
          </w:tcPr>
          <w:p w14:paraId="3817B767">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331" w:type="dxa"/>
            <w:vMerge w:val="continue"/>
            <w:noWrap w:val="0"/>
            <w:vAlign w:val="center"/>
          </w:tcPr>
          <w:p w14:paraId="5CB79E43">
            <w:pPr>
              <w:widowControl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r>
      <w:tr w14:paraId="251C7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95" w:type="dxa"/>
            <w:vMerge w:val="continue"/>
            <w:noWrap w:val="0"/>
            <w:vAlign w:val="center"/>
          </w:tcPr>
          <w:p w14:paraId="4D72AD0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63" w:type="dxa"/>
            <w:vMerge w:val="continue"/>
            <w:noWrap w:val="0"/>
            <w:vAlign w:val="center"/>
          </w:tcPr>
          <w:p w14:paraId="30E6948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07" w:type="dxa"/>
            <w:vMerge w:val="restart"/>
            <w:noWrap w:val="0"/>
            <w:vAlign w:val="center"/>
          </w:tcPr>
          <w:p w14:paraId="434D0907">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H</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S</w:t>
            </w:r>
          </w:p>
        </w:tc>
        <w:tc>
          <w:tcPr>
            <w:tcW w:w="450" w:type="dxa"/>
            <w:vMerge w:val="continue"/>
            <w:noWrap w:val="0"/>
            <w:vAlign w:val="center"/>
          </w:tcPr>
          <w:p w14:paraId="30E7CE5C">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20" w:type="dxa"/>
            <w:vMerge w:val="restart"/>
            <w:noWrap w:val="0"/>
            <w:vAlign w:val="center"/>
          </w:tcPr>
          <w:p w14:paraId="2895ABCC">
            <w:pPr>
              <w:widowControl/>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1.08</w:t>
            </w:r>
          </w:p>
        </w:tc>
        <w:tc>
          <w:tcPr>
            <w:tcW w:w="820" w:type="dxa"/>
            <w:vMerge w:val="restart"/>
            <w:noWrap w:val="0"/>
            <w:vAlign w:val="center"/>
          </w:tcPr>
          <w:p w14:paraId="7042195C">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0.123</w:t>
            </w:r>
          </w:p>
        </w:tc>
        <w:tc>
          <w:tcPr>
            <w:tcW w:w="959" w:type="dxa"/>
            <w:vMerge w:val="continue"/>
            <w:noWrap w:val="0"/>
            <w:vAlign w:val="center"/>
          </w:tcPr>
          <w:p w14:paraId="699219F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04" w:type="dxa"/>
            <w:noWrap w:val="0"/>
            <w:vAlign w:val="center"/>
          </w:tcPr>
          <w:p w14:paraId="0760F421">
            <w:pPr>
              <w:pStyle w:val="152"/>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81.5%</w:t>
            </w:r>
          </w:p>
        </w:tc>
        <w:tc>
          <w:tcPr>
            <w:tcW w:w="417" w:type="dxa"/>
            <w:vMerge w:val="continue"/>
            <w:noWrap w:val="0"/>
            <w:vAlign w:val="center"/>
          </w:tcPr>
          <w:p w14:paraId="3D94A13D">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928" w:type="dxa"/>
            <w:vMerge w:val="restart"/>
            <w:noWrap w:val="0"/>
            <w:vAlign w:val="center"/>
          </w:tcPr>
          <w:p w14:paraId="2EFEA242">
            <w:pPr>
              <w:widowControl w:val="0"/>
              <w:adjustRightInd w:val="0"/>
              <w:snapToGrid w:val="0"/>
              <w:spacing w:line="240" w:lineRule="auto"/>
              <w:ind w:lef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0.0219</w:t>
            </w:r>
          </w:p>
        </w:tc>
        <w:tc>
          <w:tcPr>
            <w:tcW w:w="928" w:type="dxa"/>
            <w:vMerge w:val="restart"/>
            <w:noWrap w:val="0"/>
            <w:vAlign w:val="center"/>
          </w:tcPr>
          <w:p w14:paraId="0AFCC73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0.0025</w:t>
            </w:r>
          </w:p>
        </w:tc>
        <w:tc>
          <w:tcPr>
            <w:tcW w:w="331" w:type="dxa"/>
            <w:vMerge w:val="continue"/>
            <w:noWrap w:val="0"/>
            <w:vAlign w:val="center"/>
          </w:tcPr>
          <w:p w14:paraId="352DC210">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r>
      <w:tr w14:paraId="490A0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495" w:type="dxa"/>
            <w:vMerge w:val="continue"/>
            <w:noWrap w:val="0"/>
            <w:vAlign w:val="center"/>
          </w:tcPr>
          <w:p w14:paraId="69C6B5E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63" w:type="dxa"/>
            <w:vMerge w:val="continue"/>
            <w:noWrap w:val="0"/>
            <w:vAlign w:val="center"/>
          </w:tcPr>
          <w:p w14:paraId="1207FF4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07" w:type="dxa"/>
            <w:vMerge w:val="continue"/>
            <w:noWrap w:val="0"/>
            <w:vAlign w:val="center"/>
          </w:tcPr>
          <w:p w14:paraId="163FD507">
            <w:pPr>
              <w:widowControl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450" w:type="dxa"/>
            <w:vMerge w:val="continue"/>
            <w:noWrap w:val="0"/>
            <w:vAlign w:val="center"/>
          </w:tcPr>
          <w:p w14:paraId="25704D0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20" w:type="dxa"/>
            <w:vMerge w:val="continue"/>
            <w:noWrap w:val="0"/>
            <w:vAlign w:val="center"/>
          </w:tcPr>
          <w:p w14:paraId="7E054785">
            <w:pPr>
              <w:widowControl/>
              <w:jc w:val="center"/>
              <w:rPr>
                <w:rFonts w:hint="default" w:ascii="Times New Roman" w:hAnsi="Times New Roman" w:eastAsia="宋体" w:cs="Times New Roman"/>
                <w:bCs/>
                <w:color w:val="auto"/>
                <w:kern w:val="2"/>
                <w:sz w:val="21"/>
                <w:szCs w:val="21"/>
                <w:highlight w:val="none"/>
              </w:rPr>
            </w:pPr>
          </w:p>
        </w:tc>
        <w:tc>
          <w:tcPr>
            <w:tcW w:w="820" w:type="dxa"/>
            <w:vMerge w:val="continue"/>
            <w:noWrap w:val="0"/>
            <w:vAlign w:val="center"/>
          </w:tcPr>
          <w:p w14:paraId="215CB40E">
            <w:pPr>
              <w:widowControl w:val="0"/>
              <w:adjustRightInd w:val="0"/>
              <w:snapToGrid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959" w:type="dxa"/>
            <w:vMerge w:val="continue"/>
            <w:noWrap w:val="0"/>
            <w:vAlign w:val="center"/>
          </w:tcPr>
          <w:p w14:paraId="36D4E73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04" w:type="dxa"/>
            <w:noWrap w:val="0"/>
            <w:vAlign w:val="center"/>
          </w:tcPr>
          <w:p w14:paraId="79A14170">
            <w:pPr>
              <w:pStyle w:val="152"/>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rPr>
              <w:t>%</w:t>
            </w:r>
          </w:p>
        </w:tc>
        <w:tc>
          <w:tcPr>
            <w:tcW w:w="417" w:type="dxa"/>
            <w:vMerge w:val="continue"/>
            <w:noWrap w:val="0"/>
            <w:vAlign w:val="center"/>
          </w:tcPr>
          <w:p w14:paraId="44A33DF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928" w:type="dxa"/>
            <w:vMerge w:val="continue"/>
            <w:noWrap w:val="0"/>
            <w:vAlign w:val="center"/>
          </w:tcPr>
          <w:p w14:paraId="4C182BDA">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928" w:type="dxa"/>
            <w:vMerge w:val="continue"/>
            <w:noWrap w:val="0"/>
            <w:vAlign w:val="center"/>
          </w:tcPr>
          <w:p w14:paraId="54D6BAFB">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331" w:type="dxa"/>
            <w:vMerge w:val="continue"/>
            <w:noWrap w:val="0"/>
            <w:vAlign w:val="center"/>
          </w:tcPr>
          <w:p w14:paraId="5715FDB9">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r>
      <w:tr w14:paraId="20C61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vMerge w:val="restart"/>
            <w:noWrap w:val="0"/>
            <w:vAlign w:val="center"/>
          </w:tcPr>
          <w:p w14:paraId="516D29D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粪污贮存区</w:t>
            </w:r>
          </w:p>
        </w:tc>
        <w:tc>
          <w:tcPr>
            <w:tcW w:w="863" w:type="dxa"/>
            <w:vMerge w:val="restart"/>
            <w:noWrap w:val="0"/>
            <w:vAlign w:val="center"/>
          </w:tcPr>
          <w:p w14:paraId="05DC5E7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有组织</w:t>
            </w:r>
          </w:p>
        </w:tc>
        <w:tc>
          <w:tcPr>
            <w:tcW w:w="707" w:type="dxa"/>
            <w:noWrap w:val="0"/>
            <w:vAlign w:val="center"/>
          </w:tcPr>
          <w:p w14:paraId="7AC7B53D">
            <w:pPr>
              <w:widowControl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NH</w:t>
            </w:r>
            <w:r>
              <w:rPr>
                <w:rFonts w:hint="default" w:ascii="Times New Roman" w:hAnsi="Times New Roman" w:eastAsia="宋体" w:cs="Times New Roman"/>
                <w:snapToGrid w:val="0"/>
                <w:color w:val="auto"/>
                <w:kern w:val="0"/>
                <w:sz w:val="21"/>
                <w:szCs w:val="21"/>
                <w:highlight w:val="none"/>
                <w:vertAlign w:val="subscript"/>
                <w:lang w:val="en-US" w:eastAsia="zh-CN" w:bidi="ar-SA"/>
              </w:rPr>
              <w:t>3</w:t>
            </w:r>
          </w:p>
        </w:tc>
        <w:tc>
          <w:tcPr>
            <w:tcW w:w="450" w:type="dxa"/>
            <w:vMerge w:val="continue"/>
            <w:noWrap w:val="0"/>
            <w:vAlign w:val="center"/>
          </w:tcPr>
          <w:p w14:paraId="16375F0B">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20" w:type="dxa"/>
            <w:noWrap w:val="0"/>
            <w:vAlign w:val="center"/>
          </w:tcPr>
          <w:p w14:paraId="58355E6C">
            <w:pPr>
              <w:widowControl w:val="0"/>
              <w:spacing w:line="240" w:lineRule="auto"/>
              <w:ind w:lef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0.6435</w:t>
            </w:r>
          </w:p>
        </w:tc>
        <w:tc>
          <w:tcPr>
            <w:tcW w:w="820" w:type="dxa"/>
            <w:noWrap w:val="0"/>
            <w:vAlign w:val="center"/>
          </w:tcPr>
          <w:p w14:paraId="7004EB9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0.0735</w:t>
            </w:r>
          </w:p>
        </w:tc>
        <w:tc>
          <w:tcPr>
            <w:tcW w:w="959" w:type="dxa"/>
            <w:vMerge w:val="restart"/>
            <w:noWrap w:val="0"/>
            <w:vAlign w:val="center"/>
          </w:tcPr>
          <w:p w14:paraId="0D7C5CF0">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活性炭吸附</w:t>
            </w:r>
          </w:p>
        </w:tc>
        <w:tc>
          <w:tcPr>
            <w:tcW w:w="804" w:type="dxa"/>
            <w:noWrap w:val="0"/>
            <w:vAlign w:val="center"/>
          </w:tcPr>
          <w:p w14:paraId="2FF3C10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90%</w:t>
            </w:r>
          </w:p>
        </w:tc>
        <w:tc>
          <w:tcPr>
            <w:tcW w:w="417" w:type="dxa"/>
            <w:vMerge w:val="continue"/>
            <w:noWrap w:val="0"/>
            <w:vAlign w:val="center"/>
          </w:tcPr>
          <w:p w14:paraId="2257008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928" w:type="dxa"/>
            <w:noWrap w:val="0"/>
            <w:vAlign w:val="center"/>
          </w:tcPr>
          <w:p w14:paraId="5B9EA226">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0.06435</w:t>
            </w:r>
          </w:p>
        </w:tc>
        <w:tc>
          <w:tcPr>
            <w:tcW w:w="928" w:type="dxa"/>
            <w:noWrap w:val="0"/>
            <w:vAlign w:val="center"/>
          </w:tcPr>
          <w:p w14:paraId="680B6440">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0.00735</w:t>
            </w:r>
          </w:p>
        </w:tc>
        <w:tc>
          <w:tcPr>
            <w:tcW w:w="331" w:type="dxa"/>
            <w:vMerge w:val="continue"/>
            <w:noWrap w:val="0"/>
            <w:vAlign w:val="center"/>
          </w:tcPr>
          <w:p w14:paraId="1F8E8430">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r>
      <w:tr w14:paraId="37344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vMerge w:val="continue"/>
            <w:noWrap w:val="0"/>
            <w:vAlign w:val="center"/>
          </w:tcPr>
          <w:p w14:paraId="61C13FE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63" w:type="dxa"/>
            <w:vMerge w:val="continue"/>
            <w:noWrap w:val="0"/>
            <w:vAlign w:val="center"/>
          </w:tcPr>
          <w:p w14:paraId="2400763F">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07" w:type="dxa"/>
            <w:noWrap w:val="0"/>
            <w:vAlign w:val="center"/>
          </w:tcPr>
          <w:p w14:paraId="60A76691">
            <w:pPr>
              <w:widowControl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H</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S</w:t>
            </w:r>
          </w:p>
        </w:tc>
        <w:tc>
          <w:tcPr>
            <w:tcW w:w="450" w:type="dxa"/>
            <w:vMerge w:val="continue"/>
            <w:noWrap w:val="0"/>
            <w:vAlign w:val="center"/>
          </w:tcPr>
          <w:p w14:paraId="6E6B5C9C">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20" w:type="dxa"/>
            <w:noWrap w:val="0"/>
            <w:vAlign w:val="center"/>
          </w:tcPr>
          <w:p w14:paraId="71278C50">
            <w:pPr>
              <w:widowControl w:val="0"/>
              <w:spacing w:line="240" w:lineRule="auto"/>
              <w:ind w:lef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0.0252</w:t>
            </w:r>
          </w:p>
        </w:tc>
        <w:tc>
          <w:tcPr>
            <w:tcW w:w="820" w:type="dxa"/>
            <w:noWrap w:val="0"/>
            <w:vAlign w:val="center"/>
          </w:tcPr>
          <w:p w14:paraId="2114ABC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0.00288</w:t>
            </w:r>
          </w:p>
        </w:tc>
        <w:tc>
          <w:tcPr>
            <w:tcW w:w="959" w:type="dxa"/>
            <w:vMerge w:val="continue"/>
            <w:noWrap w:val="0"/>
            <w:vAlign w:val="center"/>
          </w:tcPr>
          <w:p w14:paraId="5E5B711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04" w:type="dxa"/>
            <w:noWrap w:val="0"/>
            <w:vAlign w:val="center"/>
          </w:tcPr>
          <w:p w14:paraId="687F313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90%</w:t>
            </w:r>
          </w:p>
        </w:tc>
        <w:tc>
          <w:tcPr>
            <w:tcW w:w="417" w:type="dxa"/>
            <w:vMerge w:val="continue"/>
            <w:noWrap w:val="0"/>
            <w:vAlign w:val="center"/>
          </w:tcPr>
          <w:p w14:paraId="0E86C9C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928" w:type="dxa"/>
            <w:noWrap w:val="0"/>
            <w:vAlign w:val="center"/>
          </w:tcPr>
          <w:p w14:paraId="4AEF8573">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0.00252</w:t>
            </w:r>
          </w:p>
        </w:tc>
        <w:tc>
          <w:tcPr>
            <w:tcW w:w="928" w:type="dxa"/>
            <w:noWrap w:val="0"/>
            <w:vAlign w:val="center"/>
          </w:tcPr>
          <w:p w14:paraId="307E76F2">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0.000288</w:t>
            </w:r>
          </w:p>
        </w:tc>
        <w:tc>
          <w:tcPr>
            <w:tcW w:w="331" w:type="dxa"/>
            <w:vMerge w:val="continue"/>
            <w:noWrap w:val="0"/>
            <w:vAlign w:val="center"/>
          </w:tcPr>
          <w:p w14:paraId="3C9949C3">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r>
      <w:tr w14:paraId="43F44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495" w:type="dxa"/>
            <w:vMerge w:val="continue"/>
            <w:noWrap w:val="0"/>
            <w:vAlign w:val="center"/>
          </w:tcPr>
          <w:p w14:paraId="20CE67A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63" w:type="dxa"/>
            <w:vMerge w:val="restart"/>
            <w:noWrap w:val="0"/>
            <w:vAlign w:val="center"/>
          </w:tcPr>
          <w:p w14:paraId="68343BC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无组织</w:t>
            </w:r>
          </w:p>
        </w:tc>
        <w:tc>
          <w:tcPr>
            <w:tcW w:w="707" w:type="dxa"/>
            <w:noWrap w:val="0"/>
            <w:vAlign w:val="center"/>
          </w:tcPr>
          <w:p w14:paraId="6743F352">
            <w:pPr>
              <w:widowControl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NH</w:t>
            </w:r>
            <w:r>
              <w:rPr>
                <w:rFonts w:hint="default" w:ascii="Times New Roman" w:hAnsi="Times New Roman" w:eastAsia="宋体" w:cs="Times New Roman"/>
                <w:snapToGrid w:val="0"/>
                <w:color w:val="auto"/>
                <w:kern w:val="0"/>
                <w:sz w:val="21"/>
                <w:szCs w:val="21"/>
                <w:highlight w:val="none"/>
                <w:vertAlign w:val="subscript"/>
                <w:lang w:val="en-US" w:eastAsia="zh-CN" w:bidi="ar-SA"/>
              </w:rPr>
              <w:t>3</w:t>
            </w:r>
          </w:p>
        </w:tc>
        <w:tc>
          <w:tcPr>
            <w:tcW w:w="450" w:type="dxa"/>
            <w:vMerge w:val="continue"/>
            <w:noWrap w:val="0"/>
            <w:vAlign w:val="center"/>
          </w:tcPr>
          <w:p w14:paraId="7F1C76F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20" w:type="dxa"/>
            <w:noWrap w:val="0"/>
            <w:vAlign w:val="center"/>
          </w:tcPr>
          <w:p w14:paraId="454B5E35">
            <w:pPr>
              <w:widowControl w:val="0"/>
              <w:spacing w:line="240" w:lineRule="auto"/>
              <w:ind w:lef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0.0715</w:t>
            </w:r>
          </w:p>
        </w:tc>
        <w:tc>
          <w:tcPr>
            <w:tcW w:w="820" w:type="dxa"/>
            <w:noWrap w:val="0"/>
            <w:vAlign w:val="center"/>
          </w:tcPr>
          <w:p w14:paraId="0B85E31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0.0082</w:t>
            </w:r>
          </w:p>
        </w:tc>
        <w:tc>
          <w:tcPr>
            <w:tcW w:w="959" w:type="dxa"/>
            <w:vMerge w:val="restart"/>
            <w:noWrap w:val="0"/>
            <w:vAlign w:val="center"/>
          </w:tcPr>
          <w:p w14:paraId="6F77D1D7">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喷洒除臭剂</w:t>
            </w:r>
          </w:p>
        </w:tc>
        <w:tc>
          <w:tcPr>
            <w:tcW w:w="804" w:type="dxa"/>
            <w:noWrap w:val="0"/>
            <w:vAlign w:val="center"/>
          </w:tcPr>
          <w:p w14:paraId="3636DAD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92.6%</w:t>
            </w:r>
          </w:p>
        </w:tc>
        <w:tc>
          <w:tcPr>
            <w:tcW w:w="417" w:type="dxa"/>
            <w:vMerge w:val="continue"/>
            <w:noWrap w:val="0"/>
            <w:vAlign w:val="center"/>
          </w:tcPr>
          <w:p w14:paraId="7621D11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928" w:type="dxa"/>
            <w:noWrap w:val="0"/>
            <w:vAlign w:val="center"/>
          </w:tcPr>
          <w:p w14:paraId="166FB06E">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0.0053</w:t>
            </w:r>
          </w:p>
        </w:tc>
        <w:tc>
          <w:tcPr>
            <w:tcW w:w="928" w:type="dxa"/>
            <w:noWrap w:val="0"/>
            <w:vAlign w:val="center"/>
          </w:tcPr>
          <w:p w14:paraId="1EB77F94">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0.00061</w:t>
            </w:r>
          </w:p>
        </w:tc>
        <w:tc>
          <w:tcPr>
            <w:tcW w:w="331" w:type="dxa"/>
            <w:vMerge w:val="continue"/>
            <w:noWrap w:val="0"/>
            <w:vAlign w:val="center"/>
          </w:tcPr>
          <w:p w14:paraId="476FAA7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r>
      <w:tr w14:paraId="21B0A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vMerge w:val="continue"/>
            <w:noWrap w:val="0"/>
            <w:vAlign w:val="center"/>
          </w:tcPr>
          <w:p w14:paraId="2978F32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63" w:type="dxa"/>
            <w:vMerge w:val="continue"/>
            <w:noWrap w:val="0"/>
            <w:vAlign w:val="center"/>
          </w:tcPr>
          <w:p w14:paraId="17119BF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07" w:type="dxa"/>
            <w:noWrap w:val="0"/>
            <w:vAlign w:val="center"/>
          </w:tcPr>
          <w:p w14:paraId="0060A117">
            <w:pPr>
              <w:widowControl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H</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S</w:t>
            </w:r>
          </w:p>
        </w:tc>
        <w:tc>
          <w:tcPr>
            <w:tcW w:w="450" w:type="dxa"/>
            <w:vMerge w:val="continue"/>
            <w:noWrap w:val="0"/>
            <w:vAlign w:val="center"/>
          </w:tcPr>
          <w:p w14:paraId="3C1BB18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20" w:type="dxa"/>
            <w:noWrap w:val="0"/>
            <w:vAlign w:val="center"/>
          </w:tcPr>
          <w:p w14:paraId="5067E80F">
            <w:pPr>
              <w:widowControl w:val="0"/>
              <w:spacing w:line="240" w:lineRule="auto"/>
              <w:ind w:lef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0.0028</w:t>
            </w:r>
          </w:p>
        </w:tc>
        <w:tc>
          <w:tcPr>
            <w:tcW w:w="820" w:type="dxa"/>
            <w:noWrap w:val="0"/>
            <w:vAlign w:val="center"/>
          </w:tcPr>
          <w:p w14:paraId="45EF2DE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0.00032</w:t>
            </w:r>
          </w:p>
        </w:tc>
        <w:tc>
          <w:tcPr>
            <w:tcW w:w="959" w:type="dxa"/>
            <w:vMerge w:val="continue"/>
            <w:noWrap w:val="0"/>
            <w:vAlign w:val="center"/>
          </w:tcPr>
          <w:p w14:paraId="62032AB7">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04" w:type="dxa"/>
            <w:noWrap w:val="0"/>
            <w:vAlign w:val="center"/>
          </w:tcPr>
          <w:p w14:paraId="4A349F8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89%</w:t>
            </w:r>
          </w:p>
        </w:tc>
        <w:tc>
          <w:tcPr>
            <w:tcW w:w="417" w:type="dxa"/>
            <w:vMerge w:val="continue"/>
            <w:noWrap w:val="0"/>
            <w:vAlign w:val="center"/>
          </w:tcPr>
          <w:p w14:paraId="28EA4F0C">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928" w:type="dxa"/>
            <w:noWrap w:val="0"/>
            <w:vAlign w:val="center"/>
          </w:tcPr>
          <w:p w14:paraId="0333A7B1">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0.00031</w:t>
            </w:r>
          </w:p>
        </w:tc>
        <w:tc>
          <w:tcPr>
            <w:tcW w:w="928" w:type="dxa"/>
            <w:noWrap w:val="0"/>
            <w:vAlign w:val="center"/>
          </w:tcPr>
          <w:p w14:paraId="2D47B91C">
            <w:pPr>
              <w:widowControl w:val="0"/>
              <w:adjustRightInd w:val="0"/>
              <w:snapToGrid w:val="0"/>
              <w:spacing w:line="240" w:lineRule="auto"/>
              <w:ind w:left="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0.0000352</w:t>
            </w:r>
          </w:p>
        </w:tc>
        <w:tc>
          <w:tcPr>
            <w:tcW w:w="331" w:type="dxa"/>
            <w:vMerge w:val="continue"/>
            <w:noWrap w:val="0"/>
            <w:vAlign w:val="center"/>
          </w:tcPr>
          <w:p w14:paraId="152EA49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r>
      <w:bookmarkEnd w:id="487"/>
    </w:tbl>
    <w:p w14:paraId="02608DD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（2）沼气燃烧废气</w:t>
      </w:r>
    </w:p>
    <w:p w14:paraId="340D3BFD">
      <w:pPr>
        <w:widowControl w:val="0"/>
        <w:autoSpaceDN w:val="0"/>
        <w:spacing w:line="360" w:lineRule="auto"/>
        <w:ind w:firstLine="480" w:firstLineChars="200"/>
        <w:jc w:val="left"/>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4"/>
          <w:highlight w:val="none"/>
        </w:rPr>
        <w:t>沼气：本项目</w:t>
      </w:r>
      <w:r>
        <w:rPr>
          <w:rFonts w:hint="default" w:ascii="Times New Roman" w:hAnsi="Times New Roman" w:eastAsia="宋体" w:cs="Times New Roman"/>
          <w:color w:val="auto"/>
          <w:kern w:val="2"/>
          <w:sz w:val="24"/>
          <w:highlight w:val="none"/>
          <w:lang w:val="en-US" w:eastAsia="zh-CN"/>
        </w:rPr>
        <w:t>黑膜厌氧池</w:t>
      </w:r>
      <w:r>
        <w:rPr>
          <w:rFonts w:hint="default" w:ascii="Times New Roman" w:hAnsi="Times New Roman" w:eastAsia="宋体" w:cs="Times New Roman"/>
          <w:color w:val="auto"/>
          <w:kern w:val="2"/>
          <w:sz w:val="24"/>
          <w:highlight w:val="none"/>
        </w:rPr>
        <w:t>产生的沼气，</w:t>
      </w:r>
      <w:r>
        <w:rPr>
          <w:rFonts w:hint="default" w:ascii="Times New Roman" w:hAnsi="Times New Roman" w:eastAsia="宋体" w:cs="Times New Roman"/>
          <w:color w:val="auto"/>
          <w:kern w:val="2"/>
          <w:sz w:val="24"/>
          <w:highlight w:val="none"/>
          <w:lang w:bidi="ar"/>
        </w:rPr>
        <w:t>经过净化后排空燃烧</w:t>
      </w:r>
      <w:r>
        <w:rPr>
          <w:rFonts w:hint="default" w:ascii="Times New Roman" w:hAnsi="Times New Roman" w:eastAsia="宋体" w:cs="Times New Roman"/>
          <w:color w:val="auto"/>
          <w:kern w:val="2"/>
          <w:sz w:val="24"/>
          <w:highlight w:val="none"/>
        </w:rPr>
        <w:t>。根据《规模化沼气工程设计规范》，理论上每去除1kgCOD可产生0.35m</w:t>
      </w:r>
      <w:r>
        <w:rPr>
          <w:rFonts w:hint="default" w:ascii="Times New Roman" w:hAnsi="Times New Roman" w:eastAsia="宋体" w:cs="Times New Roman"/>
          <w:color w:val="auto"/>
          <w:kern w:val="2"/>
          <w:sz w:val="24"/>
          <w:highlight w:val="none"/>
          <w:vertAlign w:val="superscript"/>
        </w:rPr>
        <w:t>3</w:t>
      </w:r>
      <w:r>
        <w:rPr>
          <w:rFonts w:hint="default" w:ascii="Times New Roman" w:hAnsi="Times New Roman" w:eastAsia="宋体" w:cs="Times New Roman"/>
          <w:color w:val="auto"/>
          <w:kern w:val="2"/>
          <w:sz w:val="24"/>
          <w:highlight w:val="none"/>
        </w:rPr>
        <w:t>CH</w:t>
      </w:r>
      <w:r>
        <w:rPr>
          <w:rFonts w:hint="default" w:ascii="Times New Roman" w:hAnsi="Times New Roman" w:eastAsia="宋体" w:cs="Times New Roman"/>
          <w:color w:val="auto"/>
          <w:kern w:val="2"/>
          <w:sz w:val="24"/>
          <w:highlight w:val="none"/>
          <w:vertAlign w:val="subscript"/>
        </w:rPr>
        <w:t>4</w:t>
      </w:r>
      <w:r>
        <w:rPr>
          <w:rFonts w:hint="default" w:ascii="Times New Roman" w:hAnsi="Times New Roman" w:eastAsia="宋体" w:cs="Times New Roman"/>
          <w:color w:val="auto"/>
          <w:kern w:val="2"/>
          <w:sz w:val="24"/>
          <w:highlight w:val="none"/>
        </w:rPr>
        <w:t>，本项目固液分离后液态污染物产生的总COD为</w:t>
      </w:r>
      <w:r>
        <w:rPr>
          <w:rFonts w:hint="eastAsia" w:ascii="Times New Roman" w:hAnsi="Times New Roman" w:cs="Times New Roman"/>
          <w:color w:val="auto"/>
          <w:kern w:val="2"/>
          <w:sz w:val="24"/>
          <w:highlight w:val="none"/>
          <w:lang w:val="en-US" w:eastAsia="zh-CN"/>
        </w:rPr>
        <w:t>24.587</w:t>
      </w:r>
      <w:r>
        <w:rPr>
          <w:rFonts w:hint="default" w:ascii="Times New Roman" w:hAnsi="Times New Roman" w:eastAsia="宋体" w:cs="Times New Roman"/>
          <w:color w:val="auto"/>
          <w:kern w:val="2"/>
          <w:sz w:val="24"/>
          <w:highlight w:val="none"/>
        </w:rPr>
        <w:t>t/a，COD去除率约为80%，沼气中CH</w:t>
      </w:r>
      <w:r>
        <w:rPr>
          <w:rFonts w:hint="default" w:ascii="Times New Roman" w:hAnsi="Times New Roman" w:eastAsia="宋体" w:cs="Times New Roman"/>
          <w:color w:val="auto"/>
          <w:kern w:val="2"/>
          <w:sz w:val="24"/>
          <w:highlight w:val="none"/>
          <w:vertAlign w:val="subscript"/>
        </w:rPr>
        <w:t>4</w:t>
      </w:r>
      <w:r>
        <w:rPr>
          <w:rFonts w:hint="default" w:ascii="Times New Roman" w:hAnsi="Times New Roman" w:eastAsia="宋体" w:cs="Times New Roman"/>
          <w:color w:val="auto"/>
          <w:kern w:val="2"/>
          <w:sz w:val="24"/>
          <w:highlight w:val="none"/>
        </w:rPr>
        <w:t>含量为69%，则产生的沼气为</w:t>
      </w:r>
      <w:r>
        <w:rPr>
          <w:rFonts w:hint="eastAsia" w:ascii="Times New Roman" w:hAnsi="Times New Roman" w:cs="Times New Roman"/>
          <w:color w:val="auto"/>
          <w:kern w:val="2"/>
          <w:sz w:val="24"/>
          <w:highlight w:val="none"/>
          <w:lang w:val="en-US" w:eastAsia="zh-CN"/>
        </w:rPr>
        <w:t>24.587</w:t>
      </w:r>
      <w:r>
        <w:rPr>
          <w:rFonts w:hint="default" w:ascii="Times New Roman" w:hAnsi="Times New Roman" w:eastAsia="宋体" w:cs="Times New Roman"/>
          <w:color w:val="auto"/>
          <w:kern w:val="2"/>
          <w:sz w:val="24"/>
          <w:highlight w:val="none"/>
        </w:rPr>
        <w:t>×0.8×0.35×</w:t>
      </w:r>
      <w:r>
        <w:rPr>
          <w:rFonts w:hint="default" w:ascii="Times New Roman" w:hAnsi="Times New Roman" w:eastAsia="宋体" w:cs="Times New Roman"/>
          <w:color w:val="auto"/>
          <w:kern w:val="2"/>
          <w:sz w:val="24"/>
          <w:highlight w:val="none"/>
          <w:vertAlign w:val="baseline"/>
          <w:lang w:eastAsia="zh-CN"/>
        </w:rPr>
        <w:t>10</w:t>
      </w:r>
      <w:r>
        <w:rPr>
          <w:rFonts w:hint="default" w:ascii="Times New Roman" w:hAnsi="Times New Roman" w:eastAsia="宋体" w:cs="Times New Roman"/>
          <w:color w:val="auto"/>
          <w:kern w:val="2"/>
          <w:sz w:val="24"/>
          <w:highlight w:val="none"/>
        </w:rPr>
        <w:t>00/0.69=</w:t>
      </w:r>
      <w:r>
        <w:rPr>
          <w:rFonts w:hint="eastAsia" w:ascii="Times New Roman" w:hAnsi="Times New Roman" w:cs="Times New Roman"/>
          <w:color w:val="auto"/>
          <w:kern w:val="2"/>
          <w:sz w:val="24"/>
          <w:highlight w:val="none"/>
          <w:lang w:val="en-US" w:eastAsia="zh-CN"/>
        </w:rPr>
        <w:t>9977.33</w:t>
      </w:r>
      <w:r>
        <w:rPr>
          <w:rFonts w:hint="default" w:ascii="Times New Roman" w:hAnsi="Times New Roman" w:eastAsia="宋体" w:cs="Times New Roman"/>
          <w:color w:val="auto"/>
          <w:kern w:val="2"/>
          <w:sz w:val="24"/>
          <w:highlight w:val="none"/>
        </w:rPr>
        <w:t>m</w:t>
      </w:r>
      <w:r>
        <w:rPr>
          <w:rFonts w:hint="default" w:ascii="Times New Roman" w:hAnsi="Times New Roman" w:eastAsia="宋体" w:cs="Times New Roman"/>
          <w:color w:val="auto"/>
          <w:kern w:val="2"/>
          <w:sz w:val="24"/>
          <w:highlight w:val="none"/>
          <w:vertAlign w:val="superscript"/>
        </w:rPr>
        <w:t>3</w:t>
      </w:r>
      <w:r>
        <w:rPr>
          <w:rFonts w:hint="default" w:ascii="Times New Roman" w:hAnsi="Times New Roman" w:eastAsia="宋体" w:cs="Times New Roman"/>
          <w:color w:val="auto"/>
          <w:kern w:val="2"/>
          <w:sz w:val="24"/>
          <w:highlight w:val="none"/>
        </w:rPr>
        <w:t>/a，约</w:t>
      </w:r>
      <w:r>
        <w:rPr>
          <w:rFonts w:hint="eastAsia" w:ascii="Times New Roman" w:hAnsi="Times New Roman" w:cs="Times New Roman"/>
          <w:color w:val="auto"/>
          <w:kern w:val="2"/>
          <w:sz w:val="24"/>
          <w:highlight w:val="none"/>
          <w:lang w:val="en-US" w:eastAsia="zh-CN"/>
        </w:rPr>
        <w:t>27.34</w:t>
      </w:r>
      <w:r>
        <w:rPr>
          <w:rFonts w:hint="default" w:ascii="Times New Roman" w:hAnsi="Times New Roman" w:eastAsia="宋体" w:cs="Times New Roman"/>
          <w:color w:val="auto"/>
          <w:kern w:val="2"/>
          <w:sz w:val="24"/>
          <w:highlight w:val="none"/>
        </w:rPr>
        <w:t>m</w:t>
      </w:r>
      <w:r>
        <w:rPr>
          <w:rFonts w:hint="default" w:ascii="Times New Roman" w:hAnsi="Times New Roman" w:eastAsia="宋体" w:cs="Times New Roman"/>
          <w:color w:val="auto"/>
          <w:kern w:val="2"/>
          <w:sz w:val="24"/>
          <w:highlight w:val="none"/>
          <w:vertAlign w:val="superscript"/>
        </w:rPr>
        <w:t>3</w:t>
      </w:r>
      <w:r>
        <w:rPr>
          <w:rFonts w:hint="default" w:ascii="Times New Roman" w:hAnsi="Times New Roman" w:eastAsia="宋体" w:cs="Times New Roman"/>
          <w:color w:val="auto"/>
          <w:kern w:val="2"/>
          <w:sz w:val="24"/>
          <w:highlight w:val="none"/>
        </w:rPr>
        <w:t>/d</w:t>
      </w:r>
      <w:r>
        <w:rPr>
          <w:rFonts w:hint="default" w:ascii="Times New Roman" w:hAnsi="Times New Roman" w:eastAsia="宋体" w:cs="Times New Roman"/>
          <w:color w:val="auto"/>
          <w:kern w:val="2"/>
          <w:sz w:val="24"/>
          <w:highlight w:val="none"/>
          <w:lang w:eastAsia="zh-CN"/>
        </w:rPr>
        <w:t>。</w:t>
      </w:r>
      <w:r>
        <w:rPr>
          <w:rFonts w:hint="default" w:ascii="Times New Roman" w:hAnsi="Times New Roman" w:eastAsia="宋体" w:cs="Times New Roman"/>
          <w:color w:val="auto"/>
          <w:kern w:val="2"/>
          <w:sz w:val="24"/>
          <w:highlight w:val="none"/>
          <w:lang w:bidi="ar"/>
        </w:rPr>
        <w:t>项目产生的沼气经过净化后排空燃烧（排空燃烧总量约为</w:t>
      </w:r>
      <w:r>
        <w:rPr>
          <w:rFonts w:hint="default" w:ascii="Times New Roman" w:hAnsi="Times New Roman" w:eastAsia="宋体" w:cs="Times New Roman"/>
          <w:color w:val="auto"/>
          <w:kern w:val="2"/>
          <w:sz w:val="24"/>
          <w:highlight w:val="none"/>
          <w:lang w:val="en-US" w:eastAsia="zh-CN" w:bidi="ar"/>
        </w:rPr>
        <w:t>9977.33</w:t>
      </w:r>
      <w:r>
        <w:rPr>
          <w:rFonts w:hint="default" w:ascii="Times New Roman" w:hAnsi="Times New Roman" w:eastAsia="宋体" w:cs="Times New Roman"/>
          <w:color w:val="auto"/>
          <w:kern w:val="0"/>
          <w:sz w:val="24"/>
          <w:highlight w:val="none"/>
          <w:vertAlign w:val="baseline"/>
          <w:lang w:eastAsia="zh-CN" w:bidi="ar"/>
        </w:rPr>
        <w:t>m</w:t>
      </w:r>
      <w:r>
        <w:rPr>
          <w:rFonts w:hint="default" w:ascii="Times New Roman" w:hAnsi="Times New Roman" w:eastAsia="宋体" w:cs="Times New Roman"/>
          <w:color w:val="auto"/>
          <w:kern w:val="0"/>
          <w:sz w:val="24"/>
          <w:highlight w:val="none"/>
          <w:vertAlign w:val="superscript"/>
          <w:lang w:eastAsia="zh-CN" w:bidi="ar"/>
        </w:rPr>
        <w:t>3</w:t>
      </w:r>
      <w:r>
        <w:rPr>
          <w:rFonts w:hint="default" w:ascii="Times New Roman" w:hAnsi="Times New Roman" w:eastAsia="宋体" w:cs="Times New Roman"/>
          <w:color w:val="auto"/>
          <w:kern w:val="2"/>
          <w:sz w:val="24"/>
          <w:highlight w:val="none"/>
          <w:lang w:bidi="ar"/>
        </w:rPr>
        <w:t>）。</w:t>
      </w:r>
    </w:p>
    <w:p w14:paraId="28C812D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kern w:val="2"/>
          <w:sz w:val="24"/>
          <w:highlight w:val="none"/>
        </w:rPr>
        <w:t>项目产生的沼气通过气水分离、脱硫后H</w:t>
      </w:r>
      <w:r>
        <w:rPr>
          <w:rFonts w:hint="default" w:ascii="Times New Roman" w:hAnsi="Times New Roman" w:eastAsia="宋体" w:cs="Times New Roman"/>
          <w:color w:val="auto"/>
          <w:kern w:val="2"/>
          <w:sz w:val="24"/>
          <w:highlight w:val="none"/>
          <w:vertAlign w:val="subscript"/>
        </w:rPr>
        <w:t>2</w:t>
      </w:r>
      <w:r>
        <w:rPr>
          <w:rFonts w:hint="default" w:ascii="Times New Roman" w:hAnsi="Times New Roman" w:eastAsia="宋体" w:cs="Times New Roman"/>
          <w:color w:val="auto"/>
          <w:kern w:val="2"/>
          <w:sz w:val="24"/>
          <w:highlight w:val="none"/>
        </w:rPr>
        <w:t>S含量≤20</w:t>
      </w:r>
      <w:r>
        <w:rPr>
          <w:rFonts w:hint="default" w:ascii="Times New Roman" w:hAnsi="Times New Roman" w:eastAsia="宋体" w:cs="Times New Roman"/>
          <w:color w:val="auto"/>
          <w:kern w:val="2"/>
          <w:sz w:val="24"/>
          <w:highlight w:val="none"/>
          <w:lang w:eastAsia="zh-CN"/>
        </w:rPr>
        <w:t>m</w:t>
      </w:r>
      <w:r>
        <w:rPr>
          <w:rFonts w:hint="default" w:ascii="Times New Roman" w:hAnsi="Times New Roman" w:eastAsia="宋体" w:cs="Times New Roman"/>
          <w:color w:val="auto"/>
          <w:kern w:val="2"/>
          <w:sz w:val="24"/>
          <w:highlight w:val="none"/>
        </w:rPr>
        <w:t>g/</w:t>
      </w:r>
      <w:r>
        <w:rPr>
          <w:rFonts w:hint="default" w:ascii="Times New Roman" w:hAnsi="Times New Roman" w:eastAsia="宋体" w:cs="Times New Roman"/>
          <w:color w:val="auto"/>
          <w:kern w:val="2"/>
          <w:sz w:val="24"/>
          <w:highlight w:val="none"/>
          <w:vertAlign w:val="baseline"/>
          <w:lang w:eastAsia="zh-CN"/>
        </w:rPr>
        <w:t>m</w:t>
      </w:r>
      <w:r>
        <w:rPr>
          <w:rFonts w:hint="default" w:ascii="Times New Roman" w:hAnsi="Times New Roman" w:eastAsia="宋体" w:cs="Times New Roman"/>
          <w:color w:val="auto"/>
          <w:kern w:val="2"/>
          <w:sz w:val="24"/>
          <w:highlight w:val="none"/>
          <w:vertAlign w:val="superscript"/>
          <w:lang w:eastAsia="zh-CN"/>
        </w:rPr>
        <w:t>3</w:t>
      </w:r>
      <w:r>
        <w:rPr>
          <w:rFonts w:hint="default" w:ascii="Times New Roman" w:hAnsi="Times New Roman" w:eastAsia="宋体" w:cs="Times New Roman"/>
          <w:color w:val="auto"/>
          <w:kern w:val="2"/>
          <w:sz w:val="24"/>
          <w:highlight w:val="none"/>
        </w:rPr>
        <w:t>，</w:t>
      </w:r>
      <w:r>
        <w:rPr>
          <w:rFonts w:hint="eastAsia" w:ascii="Times New Roman" w:hAnsi="Times New Roman" w:cs="Times New Roman"/>
          <w:color w:val="auto"/>
          <w:kern w:val="2"/>
          <w:sz w:val="24"/>
          <w:highlight w:val="none"/>
          <w:lang w:val="en-US" w:eastAsia="zh-CN" w:bidi="ar"/>
        </w:rPr>
        <w:t>9977.33</w:t>
      </w:r>
      <w:r>
        <w:rPr>
          <w:rFonts w:hint="default" w:ascii="Times New Roman" w:hAnsi="Times New Roman" w:eastAsia="宋体" w:cs="Times New Roman"/>
          <w:color w:val="auto"/>
          <w:kern w:val="2"/>
          <w:sz w:val="24"/>
          <w:highlight w:val="none"/>
          <w:vertAlign w:val="baseline"/>
          <w:lang w:eastAsia="zh-CN"/>
        </w:rPr>
        <w:t>m</w:t>
      </w:r>
      <w:r>
        <w:rPr>
          <w:rFonts w:hint="default" w:ascii="Times New Roman" w:hAnsi="Times New Roman" w:eastAsia="宋体" w:cs="Times New Roman"/>
          <w:color w:val="auto"/>
          <w:kern w:val="2"/>
          <w:sz w:val="24"/>
          <w:highlight w:val="none"/>
          <w:vertAlign w:val="superscript"/>
          <w:lang w:eastAsia="zh-CN"/>
        </w:rPr>
        <w:t>3</w:t>
      </w:r>
      <w:r>
        <w:rPr>
          <w:rFonts w:hint="default" w:ascii="Times New Roman" w:hAnsi="Times New Roman" w:eastAsia="宋体" w:cs="Times New Roman"/>
          <w:color w:val="auto"/>
          <w:kern w:val="2"/>
          <w:sz w:val="24"/>
          <w:highlight w:val="none"/>
        </w:rPr>
        <w:t>经火炬燃烧器</w:t>
      </w:r>
      <w:r>
        <w:rPr>
          <w:rFonts w:hint="default" w:ascii="Times New Roman" w:hAnsi="Times New Roman" w:eastAsia="宋体" w:cs="Times New Roman"/>
          <w:color w:val="auto"/>
          <w:kern w:val="2"/>
          <w:sz w:val="24"/>
          <w:highlight w:val="none"/>
          <w:lang w:bidi="ar"/>
        </w:rPr>
        <w:t>排</w:t>
      </w:r>
      <w:r>
        <w:rPr>
          <w:rFonts w:hint="default" w:ascii="Times New Roman" w:hAnsi="Times New Roman" w:eastAsia="宋体" w:cs="Times New Roman"/>
          <w:color w:val="auto"/>
          <w:kern w:val="2"/>
          <w:sz w:val="24"/>
          <w:highlight w:val="none"/>
        </w:rPr>
        <w:t>空燃烧</w:t>
      </w:r>
      <w:r>
        <w:rPr>
          <w:rFonts w:hint="default" w:ascii="Times New Roman" w:hAnsi="Times New Roman" w:eastAsia="宋体" w:cs="Times New Roman"/>
          <w:snapToGrid w:val="0"/>
          <w:color w:val="auto"/>
          <w:highlight w:val="none"/>
        </w:rPr>
        <w:t>，排放污染物主要为颗粒物、SO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和NO</w:t>
      </w:r>
      <w:r>
        <w:rPr>
          <w:rFonts w:hint="default" w:ascii="Times New Roman" w:hAnsi="Times New Roman" w:eastAsia="宋体" w:cs="Times New Roman"/>
          <w:snapToGrid w:val="0"/>
          <w:color w:val="auto"/>
          <w:highlight w:val="none"/>
          <w:vertAlign w:val="subscript"/>
        </w:rPr>
        <w:t>x</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color w:val="auto"/>
          <w:kern w:val="0"/>
          <w:sz w:val="24"/>
          <w:szCs w:val="24"/>
          <w:highlight w:val="none"/>
          <w:lang w:val="en-US" w:eastAsia="zh-CN" w:bidi="ar"/>
        </w:rPr>
        <w:t>SO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NOx根据《排放源统计调查产排污核算方法和系数手册》中的《锅炉产排污量核算系数手册》4430工业锅炉（热力生产和供应行业）产排污系数表-燃气工业锅炉进行核算，颗粒物产生量参照《建设项目环境保护实用手册》（苏绍梅主编）计算，燃烧1万N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vertAlign w:val="baseline"/>
          <w:lang w:val="en-US" w:eastAsia="zh-CN" w:bidi="ar"/>
        </w:rPr>
        <w:t>沼气</w:t>
      </w:r>
      <w:r>
        <w:rPr>
          <w:rFonts w:hint="default" w:ascii="Times New Roman" w:hAnsi="Times New Roman" w:eastAsia="宋体" w:cs="Times New Roman"/>
          <w:color w:val="auto"/>
          <w:kern w:val="0"/>
          <w:sz w:val="24"/>
          <w:szCs w:val="24"/>
          <w:highlight w:val="none"/>
          <w:lang w:val="en-US" w:eastAsia="zh-CN" w:bidi="ar"/>
        </w:rPr>
        <w:t>产生0.8~2.4kg颗粒物，本项目取1.6kg。烟气排放情况见</w:t>
      </w:r>
      <w:r>
        <w:rPr>
          <w:rFonts w:hint="default" w:ascii="Times New Roman" w:hAnsi="Times New Roman" w:cs="Times New Roman"/>
          <w:color w:val="auto"/>
          <w:kern w:val="0"/>
          <w:sz w:val="24"/>
          <w:szCs w:val="24"/>
          <w:highlight w:val="none"/>
          <w:lang w:val="en-US" w:eastAsia="zh-CN" w:bidi="ar"/>
        </w:rPr>
        <w:t>下</w:t>
      </w:r>
      <w:r>
        <w:rPr>
          <w:rFonts w:hint="default" w:ascii="Times New Roman" w:hAnsi="Times New Roman" w:eastAsia="宋体" w:cs="Times New Roman"/>
          <w:color w:val="auto"/>
          <w:kern w:val="0"/>
          <w:sz w:val="24"/>
          <w:szCs w:val="24"/>
          <w:highlight w:val="none"/>
          <w:lang w:val="en-US" w:eastAsia="zh-CN" w:bidi="ar"/>
        </w:rPr>
        <w:t>表</w:t>
      </w:r>
      <w:r>
        <w:rPr>
          <w:rFonts w:hint="default" w:ascii="Times New Roman" w:hAnsi="Times New Roman" w:eastAsia="宋体" w:cs="Times New Roman"/>
          <w:snapToGrid w:val="0"/>
          <w:color w:val="auto"/>
          <w:highlight w:val="none"/>
        </w:rPr>
        <w:t>。</w:t>
      </w:r>
    </w:p>
    <w:p w14:paraId="7B85FB7B">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本项目沼气燃烧污染物产排系数见下表。</w:t>
      </w:r>
    </w:p>
    <w:p w14:paraId="5DB746C3">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7</w:t>
      </w:r>
      <w:r>
        <w:rPr>
          <w:rFonts w:hint="default" w:ascii="Times New Roman" w:hAnsi="Times New Roman" w:eastAsia="黑体" w:cs="Times New Roman"/>
          <w:b w:val="0"/>
          <w:bCs/>
          <w:smallCaps w:val="0"/>
          <w:snapToGrid/>
          <w:kern w:val="2"/>
          <w:sz w:val="21"/>
          <w:szCs w:val="24"/>
          <w:highlight w:val="none"/>
          <w:lang w:val="en-US" w:eastAsia="zh-CN" w:bidi="ar-SA"/>
        </w:rPr>
        <w:t xml:space="preserve">  工业锅炉（热力生产和供应行业）产污系数表-燃气工业锅炉</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12"/>
        <w:gridCol w:w="2929"/>
        <w:gridCol w:w="2662"/>
      </w:tblGrid>
      <w:tr w14:paraId="7B5F2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633" w:type="pct"/>
            <w:noWrap w:val="0"/>
            <w:tcMar>
              <w:top w:w="0" w:type="dxa"/>
              <w:left w:w="0" w:type="dxa"/>
              <w:bottom w:w="0" w:type="dxa"/>
              <w:right w:w="0" w:type="dxa"/>
            </w:tcMar>
            <w:vAlign w:val="center"/>
          </w:tcPr>
          <w:p w14:paraId="60490743">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污染物指标</w:t>
            </w:r>
          </w:p>
        </w:tc>
        <w:tc>
          <w:tcPr>
            <w:tcW w:w="1764" w:type="pct"/>
            <w:noWrap w:val="0"/>
            <w:tcMar>
              <w:top w:w="0" w:type="dxa"/>
              <w:left w:w="0" w:type="dxa"/>
              <w:bottom w:w="0" w:type="dxa"/>
              <w:right w:w="0" w:type="dxa"/>
            </w:tcMar>
            <w:vAlign w:val="center"/>
          </w:tcPr>
          <w:p w14:paraId="057D4490">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单位</w:t>
            </w:r>
          </w:p>
        </w:tc>
        <w:tc>
          <w:tcPr>
            <w:tcW w:w="1601" w:type="pct"/>
            <w:noWrap w:val="0"/>
            <w:tcMar>
              <w:top w:w="0" w:type="dxa"/>
              <w:left w:w="0" w:type="dxa"/>
              <w:bottom w:w="0" w:type="dxa"/>
              <w:right w:w="0" w:type="dxa"/>
            </w:tcMar>
            <w:vAlign w:val="center"/>
          </w:tcPr>
          <w:p w14:paraId="47C0FE31">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产污系数</w:t>
            </w:r>
          </w:p>
        </w:tc>
      </w:tr>
      <w:tr w14:paraId="56B21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633" w:type="pct"/>
            <w:noWrap w:val="0"/>
            <w:tcMar>
              <w:top w:w="0" w:type="dxa"/>
              <w:left w:w="0" w:type="dxa"/>
              <w:bottom w:w="0" w:type="dxa"/>
              <w:right w:w="0" w:type="dxa"/>
            </w:tcMar>
            <w:vAlign w:val="center"/>
          </w:tcPr>
          <w:p w14:paraId="2A8BA05C">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工业废气量（产生）</w:t>
            </w:r>
          </w:p>
        </w:tc>
        <w:tc>
          <w:tcPr>
            <w:tcW w:w="1764" w:type="pct"/>
            <w:noWrap w:val="0"/>
            <w:tcMar>
              <w:top w:w="0" w:type="dxa"/>
              <w:left w:w="0" w:type="dxa"/>
              <w:bottom w:w="0" w:type="dxa"/>
              <w:right w:w="0" w:type="dxa"/>
            </w:tcMar>
            <w:vAlign w:val="center"/>
          </w:tcPr>
          <w:p w14:paraId="7692504B">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标立方米/万立方米-原料</w:t>
            </w:r>
          </w:p>
        </w:tc>
        <w:tc>
          <w:tcPr>
            <w:tcW w:w="1601" w:type="pct"/>
            <w:noWrap w:val="0"/>
            <w:tcMar>
              <w:top w:w="0" w:type="dxa"/>
              <w:left w:w="0" w:type="dxa"/>
              <w:bottom w:w="0" w:type="dxa"/>
              <w:right w:w="0" w:type="dxa"/>
            </w:tcMar>
            <w:vAlign w:val="center"/>
          </w:tcPr>
          <w:p w14:paraId="0368CAAD">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107753</w:t>
            </w:r>
          </w:p>
        </w:tc>
      </w:tr>
      <w:tr w14:paraId="06110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633" w:type="pct"/>
            <w:noWrap w:val="0"/>
            <w:tcMar>
              <w:top w:w="0" w:type="dxa"/>
              <w:left w:w="0" w:type="dxa"/>
              <w:bottom w:w="0" w:type="dxa"/>
              <w:right w:w="0" w:type="dxa"/>
            </w:tcMar>
            <w:vAlign w:val="center"/>
          </w:tcPr>
          <w:p w14:paraId="115F6B92">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二氧化硫</w:t>
            </w:r>
          </w:p>
        </w:tc>
        <w:tc>
          <w:tcPr>
            <w:tcW w:w="1764" w:type="pct"/>
            <w:vMerge w:val="restart"/>
            <w:noWrap w:val="0"/>
            <w:tcMar>
              <w:top w:w="0" w:type="dxa"/>
              <w:left w:w="0" w:type="dxa"/>
              <w:bottom w:w="0" w:type="dxa"/>
              <w:right w:w="0" w:type="dxa"/>
            </w:tcMar>
            <w:vAlign w:val="center"/>
          </w:tcPr>
          <w:p w14:paraId="362867B3">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千克/万立方米-原料</w:t>
            </w:r>
          </w:p>
        </w:tc>
        <w:tc>
          <w:tcPr>
            <w:tcW w:w="1601" w:type="pct"/>
            <w:noWrap w:val="0"/>
            <w:tcMar>
              <w:top w:w="0" w:type="dxa"/>
              <w:left w:w="0" w:type="dxa"/>
              <w:bottom w:w="0" w:type="dxa"/>
              <w:right w:w="0" w:type="dxa"/>
            </w:tcMar>
            <w:vAlign w:val="center"/>
          </w:tcPr>
          <w:p w14:paraId="3E103EF8">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0.02S</w:t>
            </w:r>
          </w:p>
        </w:tc>
      </w:tr>
      <w:tr w14:paraId="32185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1633" w:type="pct"/>
            <w:noWrap w:val="0"/>
            <w:tcMar>
              <w:top w:w="0" w:type="dxa"/>
              <w:left w:w="0" w:type="dxa"/>
              <w:bottom w:w="0" w:type="dxa"/>
              <w:right w:w="0" w:type="dxa"/>
            </w:tcMar>
            <w:vAlign w:val="center"/>
          </w:tcPr>
          <w:p w14:paraId="13C22ACA">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氮氧化物</w:t>
            </w:r>
          </w:p>
        </w:tc>
        <w:tc>
          <w:tcPr>
            <w:tcW w:w="1764" w:type="pct"/>
            <w:vMerge w:val="continue"/>
            <w:noWrap w:val="0"/>
            <w:vAlign w:val="center"/>
          </w:tcPr>
          <w:p w14:paraId="42166860">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p>
        </w:tc>
        <w:tc>
          <w:tcPr>
            <w:tcW w:w="1601" w:type="pct"/>
            <w:noWrap w:val="0"/>
            <w:tcMar>
              <w:top w:w="0" w:type="dxa"/>
              <w:left w:w="0" w:type="dxa"/>
              <w:bottom w:w="0" w:type="dxa"/>
              <w:right w:w="0" w:type="dxa"/>
            </w:tcMar>
            <w:vAlign w:val="center"/>
          </w:tcPr>
          <w:p w14:paraId="487E4324">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15.87</w:t>
            </w:r>
          </w:p>
        </w:tc>
      </w:tr>
      <w:tr w14:paraId="4E713B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5000" w:type="pct"/>
            <w:gridSpan w:val="3"/>
            <w:noWrap w:val="0"/>
            <w:tcMar>
              <w:top w:w="0" w:type="dxa"/>
              <w:left w:w="0" w:type="dxa"/>
              <w:bottom w:w="0" w:type="dxa"/>
              <w:right w:w="0" w:type="dxa"/>
            </w:tcMar>
            <w:vAlign w:val="center"/>
          </w:tcPr>
          <w:p w14:paraId="2A1AA6CC">
            <w:pPr>
              <w:widowControl w:val="0"/>
              <w:snapToGrid/>
              <w:spacing w:line="240" w:lineRule="auto"/>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注：产污系数表中气体燃料的二氧化硫的产污系数是以含硫量（S）的形式表示的，其中含硫量（S）是指气体燃料中的硫含量，单位为毫克/立方米。例如燃料中含硫量（S）为200毫克/立方米，则S=200。根据前述，沼气干法脱硫后硫化氢含量小于20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，本项目以20mg/m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计，则沼气中含硫量为18.8mg/m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，S=18.8mg/m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r>
    </w:tbl>
    <w:p w14:paraId="5D13E74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经计算本项目</w:t>
      </w:r>
      <w:r>
        <w:rPr>
          <w:rFonts w:hint="default" w:ascii="Times New Roman" w:hAnsi="Times New Roman" w:eastAsia="宋体" w:cs="Times New Roman"/>
          <w:snapToGrid w:val="0"/>
          <w:color w:val="auto"/>
          <w:kern w:val="0"/>
          <w:sz w:val="24"/>
          <w:szCs w:val="24"/>
          <w:highlight w:val="none"/>
          <w:lang w:val="en-US" w:eastAsia="zh-CN" w:bidi="ar-SA"/>
        </w:rPr>
        <w:t>沼气燃烧</w:t>
      </w:r>
      <w:r>
        <w:rPr>
          <w:rFonts w:hint="default" w:ascii="Times New Roman" w:hAnsi="Times New Roman" w:eastAsia="宋体" w:cs="Times New Roman"/>
          <w:color w:val="auto"/>
          <w:kern w:val="0"/>
          <w:sz w:val="24"/>
          <w:szCs w:val="24"/>
          <w:highlight w:val="none"/>
          <w:lang w:val="en-US" w:eastAsia="zh-CN" w:bidi="ar"/>
        </w:rPr>
        <w:t>大气污染物产排情况如下：</w:t>
      </w:r>
    </w:p>
    <w:p w14:paraId="6D36BBB7">
      <w:pPr>
        <w:widowControl w:val="0"/>
        <w:adjustRightInd/>
        <w:snapToGrid/>
        <w:ind w:firstLine="0" w:firstLineChars="0"/>
        <w:jc w:val="center"/>
        <w:rPr>
          <w:rFonts w:hint="default" w:ascii="Times New Roman" w:hAnsi="Times New Roman" w:eastAsia="宋体" w:cs="Times New Roman"/>
          <w:b/>
          <w:bCs w:val="0"/>
          <w:color w:val="auto"/>
          <w:kern w:val="0"/>
          <w:sz w:val="24"/>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8</w:t>
      </w:r>
      <w:r>
        <w:rPr>
          <w:rFonts w:hint="default" w:ascii="Times New Roman" w:hAnsi="Times New Roman" w:eastAsia="黑体" w:cs="Times New Roman"/>
          <w:b w:val="0"/>
          <w:bCs/>
          <w:smallCaps w:val="0"/>
          <w:snapToGrid/>
          <w:kern w:val="2"/>
          <w:sz w:val="21"/>
          <w:szCs w:val="24"/>
          <w:highlight w:val="none"/>
          <w:lang w:val="en-US" w:eastAsia="zh-CN" w:bidi="ar-SA"/>
        </w:rPr>
        <w:t xml:space="preserve">  沼气燃烧大气污染物产排情况表</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2"/>
        <w:gridCol w:w="1340"/>
        <w:gridCol w:w="689"/>
        <w:gridCol w:w="1681"/>
        <w:gridCol w:w="1684"/>
        <w:gridCol w:w="2073"/>
      </w:tblGrid>
      <w:tr w14:paraId="2B5B92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8" w:type="pct"/>
            <w:tcBorders>
              <w:tl2br w:val="nil"/>
              <w:tr2bl w:val="nil"/>
            </w:tcBorders>
            <w:noWrap w:val="0"/>
            <w:vAlign w:val="center"/>
          </w:tcPr>
          <w:p w14:paraId="5A0D7BA9">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w:t>
            </w:r>
          </w:p>
        </w:tc>
        <w:tc>
          <w:tcPr>
            <w:tcW w:w="786" w:type="pct"/>
            <w:tcBorders>
              <w:tl2br w:val="nil"/>
              <w:tr2bl w:val="nil"/>
            </w:tcBorders>
            <w:noWrap w:val="0"/>
            <w:vAlign w:val="center"/>
          </w:tcPr>
          <w:p w14:paraId="0FC5CC79">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产生量</w:t>
            </w:r>
          </w:p>
        </w:tc>
        <w:tc>
          <w:tcPr>
            <w:tcW w:w="404" w:type="pct"/>
            <w:tcBorders>
              <w:tl2br w:val="nil"/>
              <w:tr2bl w:val="nil"/>
            </w:tcBorders>
            <w:noWrap w:val="0"/>
            <w:vAlign w:val="center"/>
          </w:tcPr>
          <w:p w14:paraId="51A599F9">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废气处理措施</w:t>
            </w:r>
          </w:p>
        </w:tc>
        <w:tc>
          <w:tcPr>
            <w:tcW w:w="1974" w:type="pct"/>
            <w:gridSpan w:val="2"/>
            <w:tcBorders>
              <w:tl2br w:val="nil"/>
              <w:tr2bl w:val="nil"/>
            </w:tcBorders>
            <w:noWrap w:val="0"/>
            <w:vAlign w:val="center"/>
          </w:tcPr>
          <w:p w14:paraId="23DA611E">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排放量</w:t>
            </w:r>
          </w:p>
        </w:tc>
        <w:tc>
          <w:tcPr>
            <w:tcW w:w="1216" w:type="pct"/>
            <w:tcBorders>
              <w:tl2br w:val="nil"/>
              <w:tr2bl w:val="nil"/>
            </w:tcBorders>
            <w:noWrap w:val="0"/>
            <w:vAlign w:val="center"/>
          </w:tcPr>
          <w:p w14:paraId="69602DAC">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排放时间/h</w:t>
            </w:r>
          </w:p>
        </w:tc>
      </w:tr>
      <w:tr w14:paraId="41A917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8" w:type="pct"/>
            <w:tcBorders>
              <w:tl2br w:val="nil"/>
              <w:tr2bl w:val="nil"/>
            </w:tcBorders>
            <w:noWrap w:val="0"/>
            <w:vAlign w:val="center"/>
          </w:tcPr>
          <w:p w14:paraId="38B3168D">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烟气量</w:t>
            </w:r>
          </w:p>
        </w:tc>
        <w:tc>
          <w:tcPr>
            <w:tcW w:w="786" w:type="pct"/>
            <w:tcBorders>
              <w:tl2br w:val="nil"/>
              <w:tr2bl w:val="nil"/>
            </w:tcBorders>
            <w:noWrap w:val="0"/>
            <w:vAlign w:val="center"/>
          </w:tcPr>
          <w:p w14:paraId="3010FE43">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107508.72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404" w:type="pct"/>
            <w:tcBorders>
              <w:tl2br w:val="nil"/>
              <w:tr2bl w:val="nil"/>
            </w:tcBorders>
            <w:noWrap w:val="0"/>
            <w:vAlign w:val="center"/>
          </w:tcPr>
          <w:p w14:paraId="5F6EA6A7">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w:t>
            </w:r>
          </w:p>
        </w:tc>
        <w:tc>
          <w:tcPr>
            <w:tcW w:w="986" w:type="pct"/>
            <w:tcBorders>
              <w:tl2br w:val="nil"/>
              <w:tr2bl w:val="nil"/>
            </w:tcBorders>
            <w:noWrap w:val="0"/>
            <w:vAlign w:val="center"/>
          </w:tcPr>
          <w:p w14:paraId="047C322B">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eastAsia" w:ascii="Times New Roman" w:hAnsi="Times New Roman" w:cs="Times New Roman"/>
                <w:color w:val="auto"/>
                <w:sz w:val="21"/>
                <w:szCs w:val="21"/>
                <w:highlight w:val="none"/>
                <w:lang w:val="en-US" w:eastAsia="zh-CN"/>
              </w:rPr>
              <w:t>107508.72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987" w:type="pct"/>
            <w:tcBorders>
              <w:tl2br w:val="nil"/>
              <w:tr2bl w:val="nil"/>
            </w:tcBorders>
            <w:noWrap w:val="0"/>
            <w:vAlign w:val="center"/>
          </w:tcPr>
          <w:p w14:paraId="1B6D50AA">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107508.72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1216" w:type="pct"/>
            <w:vMerge w:val="restart"/>
            <w:tcBorders>
              <w:tl2br w:val="nil"/>
              <w:tr2bl w:val="nil"/>
            </w:tcBorders>
            <w:noWrap w:val="0"/>
            <w:vAlign w:val="center"/>
          </w:tcPr>
          <w:p w14:paraId="2F91A5A3">
            <w:pPr>
              <w:widowControl w:val="0"/>
              <w:adjustRightInd w:val="0"/>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4380</w:t>
            </w:r>
          </w:p>
        </w:tc>
      </w:tr>
      <w:tr w14:paraId="0EEDC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18" w:type="pct"/>
            <w:tcBorders>
              <w:tl2br w:val="nil"/>
              <w:tr2bl w:val="nil"/>
            </w:tcBorders>
            <w:noWrap w:val="0"/>
            <w:vAlign w:val="center"/>
          </w:tcPr>
          <w:p w14:paraId="1CC76588">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颗粒物</w:t>
            </w:r>
          </w:p>
        </w:tc>
        <w:tc>
          <w:tcPr>
            <w:tcW w:w="786" w:type="pct"/>
            <w:tcBorders>
              <w:tl2br w:val="nil"/>
              <w:tr2bl w:val="nil"/>
            </w:tcBorders>
            <w:noWrap w:val="0"/>
            <w:vAlign w:val="center"/>
          </w:tcPr>
          <w:p w14:paraId="0CAFAC5C">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0.00160</w:t>
            </w:r>
            <w:r>
              <w:rPr>
                <w:rFonts w:hint="default" w:ascii="Times New Roman" w:hAnsi="Times New Roman" w:eastAsia="宋体" w:cs="Times New Roman"/>
                <w:color w:val="auto"/>
                <w:sz w:val="21"/>
                <w:szCs w:val="21"/>
                <w:highlight w:val="none"/>
                <w:lang w:val="zh-CN" w:eastAsia="zh-CN"/>
              </w:rPr>
              <w:t>t/a</w:t>
            </w:r>
          </w:p>
        </w:tc>
        <w:tc>
          <w:tcPr>
            <w:tcW w:w="404" w:type="pct"/>
            <w:tcBorders>
              <w:tl2br w:val="nil"/>
              <w:tr2bl w:val="nil"/>
            </w:tcBorders>
            <w:noWrap w:val="0"/>
            <w:vAlign w:val="center"/>
          </w:tcPr>
          <w:p w14:paraId="049A3858">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986" w:type="pct"/>
            <w:tcBorders>
              <w:tl2br w:val="nil"/>
              <w:tr2bl w:val="nil"/>
            </w:tcBorders>
            <w:noWrap w:val="0"/>
            <w:vAlign w:val="center"/>
          </w:tcPr>
          <w:p w14:paraId="4D535438">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0.00160</w:t>
            </w:r>
            <w:r>
              <w:rPr>
                <w:rFonts w:hint="default" w:ascii="Times New Roman" w:hAnsi="Times New Roman" w:eastAsia="宋体" w:cs="Times New Roman"/>
                <w:color w:val="auto"/>
                <w:sz w:val="21"/>
                <w:szCs w:val="21"/>
                <w:highlight w:val="none"/>
                <w:lang w:val="en-US" w:eastAsia="zh-CN"/>
              </w:rPr>
              <w:t>t/a</w:t>
            </w:r>
          </w:p>
        </w:tc>
        <w:tc>
          <w:tcPr>
            <w:tcW w:w="987" w:type="pct"/>
            <w:tcBorders>
              <w:tl2br w:val="nil"/>
              <w:tr2bl w:val="nil"/>
            </w:tcBorders>
            <w:noWrap w:val="0"/>
            <w:vAlign w:val="center"/>
          </w:tcPr>
          <w:p w14:paraId="029CC2AB">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0.00037</w:t>
            </w:r>
            <w:r>
              <w:rPr>
                <w:rFonts w:hint="default" w:ascii="Times New Roman" w:hAnsi="Times New Roman" w:eastAsia="宋体" w:cs="Times New Roman"/>
                <w:color w:val="auto"/>
                <w:sz w:val="21"/>
                <w:szCs w:val="21"/>
                <w:highlight w:val="none"/>
              </w:rPr>
              <w:t>kg/h</w:t>
            </w:r>
          </w:p>
        </w:tc>
        <w:tc>
          <w:tcPr>
            <w:tcW w:w="1216" w:type="pct"/>
            <w:vMerge w:val="continue"/>
            <w:tcBorders>
              <w:tl2br w:val="nil"/>
              <w:tr2bl w:val="nil"/>
            </w:tcBorders>
            <w:noWrap w:val="0"/>
            <w:vAlign w:val="center"/>
          </w:tcPr>
          <w:p w14:paraId="40004DDF">
            <w:pPr>
              <w:widowControl w:val="0"/>
              <w:adjustRightInd w:val="0"/>
              <w:snapToGrid/>
              <w:spacing w:line="240" w:lineRule="auto"/>
              <w:ind w:firstLine="0" w:firstLineChars="0"/>
              <w:jc w:val="center"/>
              <w:rPr>
                <w:rFonts w:hint="eastAsia" w:ascii="Times New Roman" w:hAnsi="Times New Roman" w:cs="Times New Roman"/>
                <w:color w:val="auto"/>
                <w:sz w:val="21"/>
                <w:szCs w:val="21"/>
                <w:highlight w:val="none"/>
                <w:lang w:val="en-US" w:eastAsia="zh-CN"/>
              </w:rPr>
            </w:pPr>
          </w:p>
        </w:tc>
      </w:tr>
      <w:tr w14:paraId="0F998E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18" w:type="pct"/>
            <w:tcBorders>
              <w:tl2br w:val="nil"/>
              <w:tr2bl w:val="nil"/>
            </w:tcBorders>
            <w:noWrap w:val="0"/>
            <w:vAlign w:val="center"/>
          </w:tcPr>
          <w:p w14:paraId="5B357565">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SO</w:t>
            </w:r>
            <w:r>
              <w:rPr>
                <w:rFonts w:hint="default" w:ascii="Times New Roman" w:hAnsi="Times New Roman" w:eastAsia="宋体" w:cs="Times New Roman"/>
                <w:color w:val="auto"/>
                <w:sz w:val="21"/>
                <w:szCs w:val="21"/>
                <w:highlight w:val="none"/>
                <w:vertAlign w:val="subscript"/>
                <w:lang w:val="zh-CN" w:eastAsia="zh-CN"/>
              </w:rPr>
              <w:t>2</w:t>
            </w:r>
          </w:p>
        </w:tc>
        <w:tc>
          <w:tcPr>
            <w:tcW w:w="786" w:type="pct"/>
            <w:tcBorders>
              <w:tl2br w:val="nil"/>
              <w:tr2bl w:val="nil"/>
            </w:tcBorders>
            <w:noWrap w:val="0"/>
            <w:vAlign w:val="center"/>
          </w:tcPr>
          <w:p w14:paraId="1C1D69A7">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0.00038</w:t>
            </w:r>
            <w:r>
              <w:rPr>
                <w:rFonts w:hint="default" w:ascii="Times New Roman" w:hAnsi="Times New Roman" w:eastAsia="宋体" w:cs="Times New Roman"/>
                <w:color w:val="auto"/>
                <w:sz w:val="21"/>
                <w:szCs w:val="21"/>
                <w:highlight w:val="none"/>
                <w:lang w:val="zh-CN" w:eastAsia="zh-CN"/>
              </w:rPr>
              <w:t>t/a</w:t>
            </w:r>
          </w:p>
        </w:tc>
        <w:tc>
          <w:tcPr>
            <w:tcW w:w="404" w:type="pct"/>
            <w:tcBorders>
              <w:tl2br w:val="nil"/>
              <w:tr2bl w:val="nil"/>
            </w:tcBorders>
            <w:noWrap w:val="0"/>
            <w:vAlign w:val="center"/>
          </w:tcPr>
          <w:p w14:paraId="4E1F830A">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986" w:type="pct"/>
            <w:tcBorders>
              <w:tl2br w:val="nil"/>
              <w:tr2bl w:val="nil"/>
            </w:tcBorders>
            <w:noWrap w:val="0"/>
            <w:vAlign w:val="center"/>
          </w:tcPr>
          <w:p w14:paraId="7322620D">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0.00038</w:t>
            </w:r>
            <w:r>
              <w:rPr>
                <w:rFonts w:hint="default" w:ascii="Times New Roman" w:hAnsi="Times New Roman" w:eastAsia="宋体" w:cs="Times New Roman"/>
                <w:color w:val="auto"/>
                <w:sz w:val="21"/>
                <w:szCs w:val="21"/>
                <w:highlight w:val="none"/>
                <w:lang w:val="zh-CN" w:eastAsia="zh-CN"/>
              </w:rPr>
              <w:t>t/a</w:t>
            </w:r>
          </w:p>
        </w:tc>
        <w:tc>
          <w:tcPr>
            <w:tcW w:w="987" w:type="pct"/>
            <w:tcBorders>
              <w:tl2br w:val="nil"/>
              <w:tr2bl w:val="nil"/>
            </w:tcBorders>
            <w:noWrap w:val="0"/>
            <w:vAlign w:val="center"/>
          </w:tcPr>
          <w:p w14:paraId="0BDBE351">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0.000087</w:t>
            </w:r>
            <w:r>
              <w:rPr>
                <w:rFonts w:hint="default" w:ascii="Times New Roman" w:hAnsi="Times New Roman" w:eastAsia="宋体" w:cs="Times New Roman"/>
                <w:color w:val="auto"/>
                <w:sz w:val="21"/>
                <w:szCs w:val="21"/>
                <w:highlight w:val="none"/>
              </w:rPr>
              <w:t>kg/h</w:t>
            </w:r>
          </w:p>
        </w:tc>
        <w:tc>
          <w:tcPr>
            <w:tcW w:w="1216" w:type="pct"/>
            <w:vMerge w:val="continue"/>
            <w:tcBorders>
              <w:tl2br w:val="nil"/>
              <w:tr2bl w:val="nil"/>
            </w:tcBorders>
            <w:noWrap w:val="0"/>
            <w:vAlign w:val="center"/>
          </w:tcPr>
          <w:p w14:paraId="1934A24F">
            <w:pPr>
              <w:widowControl w:val="0"/>
              <w:adjustRightInd w:val="0"/>
              <w:snapToGrid/>
              <w:spacing w:line="240" w:lineRule="auto"/>
              <w:ind w:firstLine="0" w:firstLineChars="0"/>
              <w:jc w:val="center"/>
              <w:rPr>
                <w:rFonts w:hint="eastAsia" w:ascii="Times New Roman" w:hAnsi="Times New Roman" w:cs="Times New Roman"/>
                <w:color w:val="auto"/>
                <w:sz w:val="21"/>
                <w:szCs w:val="21"/>
                <w:highlight w:val="none"/>
                <w:lang w:val="en-US" w:eastAsia="zh-CN"/>
              </w:rPr>
            </w:pPr>
          </w:p>
        </w:tc>
      </w:tr>
      <w:tr w14:paraId="4582D1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618" w:type="pct"/>
            <w:tcBorders>
              <w:tl2br w:val="nil"/>
              <w:tr2bl w:val="nil"/>
            </w:tcBorders>
            <w:noWrap w:val="0"/>
            <w:vAlign w:val="center"/>
          </w:tcPr>
          <w:p w14:paraId="05D54C77">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NO</w:t>
            </w:r>
            <w:r>
              <w:rPr>
                <w:rFonts w:hint="default" w:ascii="Times New Roman" w:hAnsi="Times New Roman" w:eastAsia="宋体" w:cs="Times New Roman"/>
                <w:color w:val="auto"/>
                <w:sz w:val="21"/>
                <w:szCs w:val="21"/>
                <w:highlight w:val="none"/>
                <w:vertAlign w:val="subscript"/>
                <w:lang w:val="zh-CN" w:eastAsia="zh-CN"/>
              </w:rPr>
              <w:t>X</w:t>
            </w:r>
          </w:p>
        </w:tc>
        <w:tc>
          <w:tcPr>
            <w:tcW w:w="786" w:type="pct"/>
            <w:tcBorders>
              <w:tl2br w:val="nil"/>
              <w:tr2bl w:val="nil"/>
            </w:tcBorders>
            <w:noWrap w:val="0"/>
            <w:vAlign w:val="center"/>
          </w:tcPr>
          <w:p w14:paraId="2C77AF97">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0.0158</w:t>
            </w:r>
            <w:r>
              <w:rPr>
                <w:rFonts w:hint="default" w:ascii="Times New Roman" w:hAnsi="Times New Roman" w:eastAsia="宋体" w:cs="Times New Roman"/>
                <w:color w:val="auto"/>
                <w:sz w:val="21"/>
                <w:szCs w:val="21"/>
                <w:highlight w:val="none"/>
                <w:lang w:val="zh-CN" w:eastAsia="zh-CN"/>
              </w:rPr>
              <w:t>t/a</w:t>
            </w:r>
          </w:p>
        </w:tc>
        <w:tc>
          <w:tcPr>
            <w:tcW w:w="404" w:type="pct"/>
            <w:tcBorders>
              <w:tl2br w:val="nil"/>
              <w:tr2bl w:val="nil"/>
            </w:tcBorders>
            <w:noWrap w:val="0"/>
            <w:vAlign w:val="center"/>
          </w:tcPr>
          <w:p w14:paraId="5AC675EB">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986" w:type="pct"/>
            <w:tcBorders>
              <w:tl2br w:val="nil"/>
              <w:tr2bl w:val="nil"/>
            </w:tcBorders>
            <w:noWrap w:val="0"/>
            <w:vAlign w:val="center"/>
          </w:tcPr>
          <w:p w14:paraId="6D7DC38C">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0.0158</w:t>
            </w:r>
            <w:r>
              <w:rPr>
                <w:rFonts w:hint="default" w:ascii="Times New Roman" w:hAnsi="Times New Roman" w:eastAsia="宋体" w:cs="Times New Roman"/>
                <w:color w:val="auto"/>
                <w:sz w:val="21"/>
                <w:szCs w:val="21"/>
                <w:highlight w:val="none"/>
                <w:lang w:val="zh-CN" w:eastAsia="zh-CN"/>
              </w:rPr>
              <w:t>t/a</w:t>
            </w:r>
          </w:p>
        </w:tc>
        <w:tc>
          <w:tcPr>
            <w:tcW w:w="987" w:type="pct"/>
            <w:tcBorders>
              <w:tl2br w:val="nil"/>
              <w:tr2bl w:val="nil"/>
            </w:tcBorders>
            <w:noWrap w:val="0"/>
            <w:vAlign w:val="center"/>
          </w:tcPr>
          <w:p w14:paraId="6643E0BA">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0.0036</w:t>
            </w:r>
            <w:r>
              <w:rPr>
                <w:rFonts w:hint="default" w:ascii="Times New Roman" w:hAnsi="Times New Roman" w:eastAsia="宋体" w:cs="Times New Roman"/>
                <w:color w:val="auto"/>
                <w:sz w:val="21"/>
                <w:szCs w:val="21"/>
                <w:highlight w:val="none"/>
              </w:rPr>
              <w:t>kg/h</w:t>
            </w:r>
          </w:p>
        </w:tc>
        <w:tc>
          <w:tcPr>
            <w:tcW w:w="1216" w:type="pct"/>
            <w:vMerge w:val="continue"/>
            <w:tcBorders>
              <w:tl2br w:val="nil"/>
              <w:tr2bl w:val="nil"/>
            </w:tcBorders>
            <w:noWrap w:val="0"/>
            <w:vAlign w:val="center"/>
          </w:tcPr>
          <w:p w14:paraId="04677D56">
            <w:pPr>
              <w:widowControl w:val="0"/>
              <w:adjustRightInd w:val="0"/>
              <w:snapToGrid/>
              <w:spacing w:line="240" w:lineRule="auto"/>
              <w:ind w:firstLine="0" w:firstLineChars="0"/>
              <w:jc w:val="center"/>
              <w:rPr>
                <w:rFonts w:hint="eastAsia" w:ascii="Times New Roman" w:hAnsi="Times New Roman" w:cs="Times New Roman"/>
                <w:color w:val="auto"/>
                <w:sz w:val="21"/>
                <w:szCs w:val="21"/>
                <w:highlight w:val="none"/>
                <w:lang w:val="en-US" w:eastAsia="zh-CN"/>
              </w:rPr>
            </w:pPr>
          </w:p>
        </w:tc>
      </w:tr>
    </w:tbl>
    <w:p w14:paraId="195B3121">
      <w:pPr>
        <w:pStyle w:val="94"/>
        <w:ind w:firstLine="480"/>
        <w:rPr>
          <w:rFonts w:hint="default" w:ascii="Times New Roman" w:hAnsi="Times New Roman" w:eastAsia="宋体" w:cs="Times New Roman"/>
          <w:b/>
          <w:bCs/>
          <w:color w:val="auto"/>
          <w:kern w:val="2"/>
          <w:sz w:val="24"/>
          <w:szCs w:val="24"/>
          <w:highlight w:val="none"/>
        </w:rPr>
      </w:pPr>
      <w:r>
        <w:rPr>
          <w:rFonts w:hint="default" w:ascii="Times New Roman" w:hAnsi="Times New Roman" w:eastAsia="宋体" w:cs="Times New Roman"/>
          <w:snapToGrid w:val="0"/>
          <w:color w:val="auto"/>
          <w:highlight w:val="none"/>
          <w:lang w:val="en-US" w:eastAsia="zh-CN"/>
        </w:rPr>
        <w:t>经计算，</w:t>
      </w:r>
      <w:r>
        <w:rPr>
          <w:rFonts w:hint="default" w:ascii="Times New Roman" w:hAnsi="Times New Roman" w:eastAsia="宋体" w:cs="Times New Roman"/>
          <w:snapToGrid w:val="0"/>
          <w:color w:val="auto"/>
          <w:highlight w:val="none"/>
        </w:rPr>
        <w:t>颗粒物产生量</w:t>
      </w:r>
      <w:r>
        <w:rPr>
          <w:rFonts w:hint="eastAsia" w:ascii="Times New Roman" w:hAnsi="Times New Roman" w:cs="Times New Roman"/>
          <w:snapToGrid w:val="0"/>
          <w:color w:val="auto"/>
          <w:highlight w:val="none"/>
          <w:lang w:val="en-US" w:eastAsia="zh-CN"/>
        </w:rPr>
        <w:t>0.00160</w:t>
      </w:r>
      <w:r>
        <w:rPr>
          <w:rFonts w:hint="default" w:ascii="Times New Roman" w:hAnsi="Times New Roman" w:eastAsia="宋体" w:cs="Times New Roman"/>
          <w:snapToGrid w:val="0"/>
          <w:color w:val="auto"/>
          <w:highlight w:val="none"/>
        </w:rPr>
        <w:t>t/a，SO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产生量</w:t>
      </w:r>
      <w:r>
        <w:rPr>
          <w:rFonts w:hint="eastAsia" w:ascii="Times New Roman" w:hAnsi="Times New Roman" w:cs="Times New Roman"/>
          <w:snapToGrid w:val="0"/>
          <w:color w:val="auto"/>
          <w:highlight w:val="none"/>
          <w:lang w:val="en-US" w:eastAsia="zh-CN"/>
        </w:rPr>
        <w:t>0.00038</w:t>
      </w:r>
      <w:r>
        <w:rPr>
          <w:rFonts w:hint="default" w:ascii="Times New Roman" w:hAnsi="Times New Roman" w:eastAsia="宋体" w:cs="Times New Roman"/>
          <w:snapToGrid w:val="0"/>
          <w:color w:val="auto"/>
          <w:highlight w:val="none"/>
        </w:rPr>
        <w:t>t/a，NO</w:t>
      </w:r>
      <w:r>
        <w:rPr>
          <w:rFonts w:hint="default" w:ascii="Times New Roman" w:hAnsi="Times New Roman" w:eastAsia="宋体" w:cs="Times New Roman"/>
          <w:snapToGrid w:val="0"/>
          <w:color w:val="auto"/>
          <w:highlight w:val="none"/>
          <w:vertAlign w:val="subscript"/>
        </w:rPr>
        <w:t>x</w:t>
      </w:r>
      <w:r>
        <w:rPr>
          <w:rFonts w:hint="default" w:ascii="Times New Roman" w:hAnsi="Times New Roman" w:eastAsia="宋体" w:cs="Times New Roman"/>
          <w:snapToGrid w:val="0"/>
          <w:color w:val="auto"/>
          <w:highlight w:val="none"/>
        </w:rPr>
        <w:t>产生量</w:t>
      </w:r>
      <w:r>
        <w:rPr>
          <w:rFonts w:hint="eastAsia" w:ascii="Times New Roman" w:hAnsi="Times New Roman" w:cs="Times New Roman"/>
          <w:snapToGrid w:val="0"/>
          <w:color w:val="auto"/>
          <w:highlight w:val="none"/>
          <w:lang w:eastAsia="zh-CN"/>
        </w:rPr>
        <w:t>0.0158</w:t>
      </w:r>
      <w:r>
        <w:rPr>
          <w:rFonts w:hint="default" w:ascii="Times New Roman" w:hAnsi="Times New Roman" w:eastAsia="宋体" w:cs="Times New Roman"/>
          <w:snapToGrid w:val="0"/>
          <w:color w:val="auto"/>
          <w:highlight w:val="none"/>
        </w:rPr>
        <w:t>t/a。沼气火炬燃烧排放的废气经火炬排放，沼气主要成分为甲烷，为清洁能源，沼气燃烧产生污染物排放量较少，对环境影响很小，可以被环境接受。</w:t>
      </w:r>
    </w:p>
    <w:p w14:paraId="209B6ECB">
      <w:pPr>
        <w:widowControl w:val="0"/>
        <w:numPr>
          <w:ilvl w:val="0"/>
          <w:numId w:val="0"/>
        </w:numPr>
        <w:tabs>
          <w:tab w:val="left" w:pos="864"/>
        </w:tabs>
        <w:spacing w:line="360" w:lineRule="auto"/>
        <w:ind w:leftChars="0" w:firstLine="480" w:firstLineChars="200"/>
        <w:jc w:val="both"/>
        <w:outlineLvl w:val="9"/>
        <w:rPr>
          <w:rFonts w:hint="default" w:ascii="Times New Roman" w:hAnsi="Times New Roman" w:eastAsia="宋体" w:cs="Times New Roman"/>
          <w:b w:val="0"/>
          <w:bCs w:val="0"/>
          <w:smallCaps/>
          <w:color w:val="auto"/>
          <w:kern w:val="2"/>
          <w:sz w:val="24"/>
          <w:szCs w:val="20"/>
          <w:highlight w:val="none"/>
          <w:lang w:val="en-US" w:eastAsia="zh-CN" w:bidi="ar-SA"/>
        </w:rPr>
      </w:pPr>
      <w:r>
        <w:rPr>
          <w:rFonts w:hint="default" w:ascii="Times New Roman" w:hAnsi="Times New Roman" w:eastAsia="宋体" w:cs="Times New Roman"/>
          <w:b w:val="0"/>
          <w:bCs w:val="0"/>
          <w:smallCaps/>
          <w:color w:val="auto"/>
          <w:kern w:val="2"/>
          <w:sz w:val="24"/>
          <w:szCs w:val="20"/>
          <w:highlight w:val="none"/>
          <w:lang w:val="en-US" w:eastAsia="zh-CN" w:bidi="ar-SA"/>
        </w:rPr>
        <w:t>（4）大气环境防护距离的确定</w:t>
      </w:r>
    </w:p>
    <w:p w14:paraId="3E01F41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根据《环境影响评价技术导则 大气环境》（HJ2.2-2018）中“评价等级判定及大气环境影响预测与评价”的要求，以项目排放的</w:t>
      </w:r>
      <w:r>
        <w:rPr>
          <w:rFonts w:hint="default" w:ascii="Times New Roman" w:hAnsi="Times New Roman" w:eastAsia="宋体" w:cs="Times New Roman"/>
          <w:color w:val="auto"/>
          <w:kern w:val="2"/>
          <w:sz w:val="24"/>
          <w:szCs w:val="24"/>
          <w:highlight w:val="none"/>
          <w:lang w:val="zh-CN"/>
        </w:rPr>
        <w:t>NH</w:t>
      </w:r>
      <w:r>
        <w:rPr>
          <w:rFonts w:hint="default" w:ascii="Times New Roman" w:hAnsi="Times New Roman" w:eastAsia="宋体" w:cs="Times New Roman"/>
          <w:color w:val="auto"/>
          <w:kern w:val="2"/>
          <w:sz w:val="24"/>
          <w:szCs w:val="24"/>
          <w:highlight w:val="none"/>
          <w:vertAlign w:val="subscript"/>
          <w:lang w:val="zh-CN"/>
        </w:rPr>
        <w:t>3</w:t>
      </w:r>
      <w:r>
        <w:rPr>
          <w:rFonts w:hint="default" w:ascii="Times New Roman" w:hAnsi="Times New Roman" w:eastAsia="宋体" w:cs="Times New Roman"/>
          <w:color w:val="auto"/>
          <w:kern w:val="2"/>
          <w:sz w:val="24"/>
          <w:szCs w:val="24"/>
          <w:highlight w:val="none"/>
          <w:lang w:val="zh-CN"/>
        </w:rPr>
        <w:t>、H</w:t>
      </w:r>
      <w:r>
        <w:rPr>
          <w:rFonts w:hint="default" w:ascii="Times New Roman" w:hAnsi="Times New Roman" w:eastAsia="宋体" w:cs="Times New Roman"/>
          <w:color w:val="auto"/>
          <w:kern w:val="2"/>
          <w:sz w:val="24"/>
          <w:szCs w:val="24"/>
          <w:highlight w:val="none"/>
          <w:vertAlign w:val="subscript"/>
          <w:lang w:val="zh-CN"/>
        </w:rPr>
        <w:t>2</w:t>
      </w:r>
      <w:r>
        <w:rPr>
          <w:rFonts w:hint="default" w:ascii="Times New Roman" w:hAnsi="Times New Roman" w:eastAsia="宋体" w:cs="Times New Roman"/>
          <w:color w:val="auto"/>
          <w:kern w:val="2"/>
          <w:sz w:val="24"/>
          <w:szCs w:val="24"/>
          <w:highlight w:val="none"/>
          <w:lang w:val="zh-CN"/>
        </w:rPr>
        <w:t>S</w:t>
      </w:r>
      <w:r>
        <w:rPr>
          <w:rFonts w:hint="default" w:ascii="Times New Roman" w:hAnsi="Times New Roman" w:eastAsia="宋体" w:cs="Times New Roman"/>
          <w:color w:val="auto"/>
          <w:kern w:val="2"/>
          <w:sz w:val="24"/>
          <w:szCs w:val="24"/>
          <w:highlight w:val="none"/>
        </w:rPr>
        <w:t>污染源，经估算模型计算结果，项目厂界外污染物NH</w:t>
      </w:r>
      <w:r>
        <w:rPr>
          <w:rFonts w:hint="default" w:ascii="Times New Roman" w:hAnsi="Times New Roman" w:eastAsia="宋体" w:cs="Times New Roman"/>
          <w:color w:val="auto"/>
          <w:kern w:val="2"/>
          <w:sz w:val="24"/>
          <w:szCs w:val="24"/>
          <w:highlight w:val="none"/>
          <w:vertAlign w:val="subscript"/>
        </w:rPr>
        <w:t>3</w:t>
      </w:r>
      <w:r>
        <w:rPr>
          <w:rFonts w:hint="default" w:ascii="Times New Roman" w:hAnsi="Times New Roman" w:eastAsia="宋体" w:cs="Times New Roman"/>
          <w:color w:val="auto"/>
          <w:kern w:val="2"/>
          <w:sz w:val="24"/>
          <w:szCs w:val="24"/>
          <w:highlight w:val="none"/>
        </w:rPr>
        <w:t>、H</w:t>
      </w:r>
      <w:r>
        <w:rPr>
          <w:rFonts w:hint="default" w:ascii="Times New Roman" w:hAnsi="Times New Roman" w:eastAsia="宋体" w:cs="Times New Roman"/>
          <w:color w:val="auto"/>
          <w:kern w:val="2"/>
          <w:sz w:val="24"/>
          <w:szCs w:val="24"/>
          <w:highlight w:val="none"/>
          <w:vertAlign w:val="subscript"/>
        </w:rPr>
        <w:t>2</w:t>
      </w:r>
      <w:r>
        <w:rPr>
          <w:rFonts w:hint="default" w:ascii="Times New Roman" w:hAnsi="Times New Roman" w:eastAsia="宋体" w:cs="Times New Roman"/>
          <w:color w:val="auto"/>
          <w:kern w:val="2"/>
          <w:sz w:val="24"/>
          <w:szCs w:val="24"/>
          <w:highlight w:val="none"/>
        </w:rPr>
        <w:t>S 1小时落地浓度满足</w:t>
      </w:r>
      <w:r>
        <w:rPr>
          <w:rFonts w:hint="default" w:ascii="Times New Roman" w:hAnsi="Times New Roman" w:eastAsia="宋体" w:cs="Times New Roman"/>
          <w:snapToGrid w:val="0"/>
          <w:color w:val="auto"/>
          <w:kern w:val="2"/>
          <w:sz w:val="24"/>
          <w:szCs w:val="24"/>
          <w:highlight w:val="none"/>
        </w:rPr>
        <w:t>《环境影响评价技术导则 大气环境》（HJ2.2-2018）中附录D</w:t>
      </w:r>
      <w:r>
        <w:rPr>
          <w:rFonts w:hint="default" w:ascii="Times New Roman" w:hAnsi="Times New Roman" w:eastAsia="宋体" w:cs="Times New Roman"/>
          <w:color w:val="auto"/>
          <w:kern w:val="2"/>
          <w:sz w:val="24"/>
          <w:szCs w:val="24"/>
          <w:highlight w:val="none"/>
        </w:rPr>
        <w:t>表D.1其他污染物空气质量浓度参考限值要求</w:t>
      </w:r>
      <w:r>
        <w:rPr>
          <w:rFonts w:hint="default" w:ascii="Times New Roman" w:hAnsi="Times New Roman" w:eastAsia="宋体" w:cs="Times New Roman"/>
          <w:snapToGrid w:val="0"/>
          <w:color w:val="auto"/>
          <w:kern w:val="0"/>
          <w:sz w:val="24"/>
          <w:szCs w:val="24"/>
          <w:highlight w:val="none"/>
        </w:rPr>
        <w:t>，</w:t>
      </w:r>
      <w:r>
        <w:rPr>
          <w:rFonts w:hint="default" w:ascii="Times New Roman" w:hAnsi="Times New Roman" w:eastAsia="宋体" w:cs="Times New Roman"/>
          <w:color w:val="auto"/>
          <w:kern w:val="2"/>
          <w:sz w:val="24"/>
          <w:szCs w:val="24"/>
          <w:highlight w:val="none"/>
        </w:rPr>
        <w:t>故本项目不设置大气环境防护距离。</w:t>
      </w:r>
    </w:p>
    <w:p w14:paraId="029B8BAF">
      <w:pPr>
        <w:widowControl w:val="0"/>
        <w:adjustRightInd/>
        <w:snapToGrid/>
        <w:ind w:firstLine="0" w:firstLineChars="0"/>
        <w:jc w:val="center"/>
        <w:rPr>
          <w:rFonts w:hint="default" w:ascii="Times New Roman" w:hAnsi="Times New Roman" w:eastAsia="宋体" w:cs="Times New Roman"/>
          <w:smallCaps/>
          <w:color w:val="auto"/>
          <w:kern w:val="2"/>
          <w:sz w:val="20"/>
          <w:szCs w:val="20"/>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表3.5-</w:t>
      </w:r>
      <w:r>
        <w:rPr>
          <w:rFonts w:hint="eastAsia" w:ascii="Times New Roman" w:hAnsi="Times New Roman" w:eastAsia="黑体" w:cs="Times New Roman"/>
          <w:b w:val="0"/>
          <w:bCs/>
          <w:smallCaps w:val="0"/>
          <w:snapToGrid/>
          <w:kern w:val="2"/>
          <w:sz w:val="21"/>
          <w:szCs w:val="24"/>
          <w:highlight w:val="none"/>
          <w:lang w:val="en-US" w:eastAsia="zh-CN" w:bidi="ar-SA"/>
        </w:rPr>
        <w:t>9</w:t>
      </w:r>
      <w:r>
        <w:rPr>
          <w:rFonts w:hint="default" w:ascii="Times New Roman" w:hAnsi="Times New Roman" w:eastAsia="黑体" w:cs="Times New Roman"/>
          <w:b w:val="0"/>
          <w:bCs/>
          <w:smallCaps w:val="0"/>
          <w:snapToGrid/>
          <w:kern w:val="2"/>
          <w:sz w:val="21"/>
          <w:szCs w:val="24"/>
          <w:highlight w:val="none"/>
          <w:lang w:val="en-US" w:eastAsia="zh-CN" w:bidi="ar-SA"/>
        </w:rPr>
        <w:t xml:space="preserve"> 厂区废气污染物排放情况一览表</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513"/>
        <w:gridCol w:w="525"/>
        <w:gridCol w:w="956"/>
        <w:gridCol w:w="1004"/>
        <w:gridCol w:w="1827"/>
        <w:gridCol w:w="1109"/>
        <w:gridCol w:w="956"/>
        <w:gridCol w:w="1143"/>
      </w:tblGrid>
      <w:tr w14:paraId="434FA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noWrap w:val="0"/>
            <w:vAlign w:val="center"/>
          </w:tcPr>
          <w:p w14:paraId="1C5615EA">
            <w:pPr>
              <w:widowControl w:val="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污染物</w:t>
            </w:r>
          </w:p>
        </w:tc>
        <w:tc>
          <w:tcPr>
            <w:tcW w:w="629" w:type="pct"/>
            <w:gridSpan w:val="2"/>
            <w:noWrap w:val="0"/>
            <w:vAlign w:val="center"/>
          </w:tcPr>
          <w:p w14:paraId="2B5B3ED9">
            <w:pPr>
              <w:widowControl/>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污染源</w:t>
            </w:r>
          </w:p>
        </w:tc>
        <w:tc>
          <w:tcPr>
            <w:tcW w:w="571" w:type="pct"/>
            <w:noWrap w:val="0"/>
            <w:vAlign w:val="center"/>
          </w:tcPr>
          <w:p w14:paraId="483CF0DA">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污染物</w:t>
            </w:r>
          </w:p>
        </w:tc>
        <w:tc>
          <w:tcPr>
            <w:tcW w:w="589" w:type="pct"/>
            <w:noWrap w:val="0"/>
            <w:vAlign w:val="center"/>
          </w:tcPr>
          <w:p w14:paraId="03AD49B9">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源强</w:t>
            </w:r>
          </w:p>
          <w:p w14:paraId="4301B676">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rPr>
              <w:t>kg/h</w:t>
            </w:r>
          </w:p>
        </w:tc>
        <w:tc>
          <w:tcPr>
            <w:tcW w:w="1082" w:type="pct"/>
            <w:noWrap w:val="0"/>
            <w:vAlign w:val="center"/>
          </w:tcPr>
          <w:p w14:paraId="0E501011">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措施</w:t>
            </w:r>
          </w:p>
        </w:tc>
        <w:tc>
          <w:tcPr>
            <w:tcW w:w="589" w:type="pct"/>
            <w:noWrap w:val="0"/>
            <w:vAlign w:val="center"/>
          </w:tcPr>
          <w:p w14:paraId="4098D9CF">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排放量</w:t>
            </w:r>
          </w:p>
          <w:p w14:paraId="095913B0">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rPr>
              <w:t>kg/h</w:t>
            </w:r>
          </w:p>
        </w:tc>
        <w:tc>
          <w:tcPr>
            <w:tcW w:w="571" w:type="pct"/>
            <w:noWrap w:val="0"/>
            <w:vAlign w:val="center"/>
          </w:tcPr>
          <w:p w14:paraId="2ADAECA0">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排放</w:t>
            </w:r>
          </w:p>
          <w:p w14:paraId="50D40C57">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方式</w:t>
            </w:r>
          </w:p>
        </w:tc>
        <w:tc>
          <w:tcPr>
            <w:tcW w:w="671" w:type="pct"/>
            <w:noWrap w:val="0"/>
            <w:vAlign w:val="center"/>
          </w:tcPr>
          <w:p w14:paraId="6752A832">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排放标准</w:t>
            </w:r>
          </w:p>
        </w:tc>
      </w:tr>
      <w:tr w14:paraId="65AF32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vMerge w:val="restart"/>
            <w:noWrap w:val="0"/>
            <w:vAlign w:val="center"/>
          </w:tcPr>
          <w:p w14:paraId="4AED0CAF">
            <w:pPr>
              <w:widowControl w:val="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恶臭</w:t>
            </w:r>
          </w:p>
        </w:tc>
        <w:tc>
          <w:tcPr>
            <w:tcW w:w="629" w:type="pct"/>
            <w:gridSpan w:val="2"/>
            <w:vMerge w:val="restart"/>
            <w:noWrap w:val="0"/>
            <w:vAlign w:val="center"/>
          </w:tcPr>
          <w:p w14:paraId="63943D48">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养殖区</w:t>
            </w:r>
          </w:p>
          <w:p w14:paraId="69DDD722">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（猪舍）</w:t>
            </w:r>
          </w:p>
        </w:tc>
        <w:tc>
          <w:tcPr>
            <w:tcW w:w="571" w:type="pct"/>
            <w:noWrap w:val="0"/>
            <w:vAlign w:val="center"/>
          </w:tcPr>
          <w:p w14:paraId="7A588F6E">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氨</w:t>
            </w:r>
          </w:p>
        </w:tc>
        <w:tc>
          <w:tcPr>
            <w:tcW w:w="1004" w:type="dxa"/>
            <w:noWrap w:val="0"/>
            <w:vAlign w:val="center"/>
          </w:tcPr>
          <w:p w14:paraId="1831844C">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0.87</w:t>
            </w:r>
          </w:p>
        </w:tc>
        <w:tc>
          <w:tcPr>
            <w:tcW w:w="1082" w:type="pct"/>
            <w:vMerge w:val="restart"/>
            <w:noWrap w:val="0"/>
            <w:vAlign w:val="center"/>
          </w:tcPr>
          <w:p w14:paraId="71176B69">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加强通风、采用</w:t>
            </w:r>
            <w:r>
              <w:rPr>
                <w:rFonts w:hint="eastAsia" w:ascii="Times New Roman" w:hAnsi="Times New Roman" w:cs="Times New Roman"/>
                <w:color w:val="auto"/>
                <w:kern w:val="2"/>
                <w:sz w:val="21"/>
                <w:szCs w:val="21"/>
                <w:highlight w:val="none"/>
                <w:lang w:val="en-US" w:eastAsia="zh-CN"/>
              </w:rPr>
              <w:t>尿泡粪—</w:t>
            </w:r>
            <w:r>
              <w:rPr>
                <w:rFonts w:hint="default" w:ascii="Times New Roman" w:hAnsi="Times New Roman" w:eastAsia="宋体" w:cs="Times New Roman"/>
                <w:color w:val="auto"/>
                <w:kern w:val="2"/>
                <w:sz w:val="21"/>
                <w:szCs w:val="21"/>
                <w:highlight w:val="none"/>
              </w:rPr>
              <w:t>干清粪工艺、设计日粮组成</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spacing w:val="4"/>
                <w:kern w:val="2"/>
                <w:sz w:val="20"/>
                <w:szCs w:val="20"/>
                <w:highlight w:val="none"/>
              </w:rPr>
              <w:t>在日粮中添加</w:t>
            </w:r>
            <w:r>
              <w:rPr>
                <w:rFonts w:hint="default" w:ascii="Times New Roman" w:hAnsi="Times New Roman" w:eastAsia="宋体" w:cs="Times New Roman"/>
                <w:color w:val="auto"/>
                <w:kern w:val="2"/>
                <w:sz w:val="20"/>
                <w:szCs w:val="20"/>
                <w:highlight w:val="none"/>
              </w:rPr>
              <w:t>EM</w:t>
            </w:r>
            <w:r>
              <w:rPr>
                <w:rFonts w:hint="default" w:ascii="Times New Roman" w:hAnsi="Times New Roman" w:eastAsia="宋体" w:cs="Times New Roman"/>
                <w:color w:val="auto"/>
                <w:spacing w:val="4"/>
                <w:kern w:val="2"/>
                <w:sz w:val="20"/>
                <w:szCs w:val="20"/>
                <w:highlight w:val="none"/>
              </w:rPr>
              <w:t>菌</w:t>
            </w:r>
            <w:r>
              <w:rPr>
                <w:rFonts w:hint="default" w:ascii="Times New Roman" w:hAnsi="Times New Roman" w:eastAsia="宋体" w:cs="Times New Roman"/>
                <w:color w:val="auto"/>
                <w:kern w:val="2"/>
                <w:sz w:val="21"/>
                <w:szCs w:val="21"/>
                <w:highlight w:val="none"/>
              </w:rPr>
              <w:t>、加强对猪舍的清洁卫生管理、喷洒除臭剂除臭等措施</w:t>
            </w:r>
          </w:p>
        </w:tc>
        <w:tc>
          <w:tcPr>
            <w:tcW w:w="1004" w:type="dxa"/>
            <w:noWrap w:val="0"/>
            <w:vAlign w:val="center"/>
          </w:tcPr>
          <w:p w14:paraId="22A5917F">
            <w:pPr>
              <w:pStyle w:val="152"/>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0.0177</w:t>
            </w:r>
          </w:p>
        </w:tc>
        <w:tc>
          <w:tcPr>
            <w:tcW w:w="571" w:type="pct"/>
            <w:vMerge w:val="restart"/>
            <w:noWrap w:val="0"/>
            <w:vAlign w:val="center"/>
          </w:tcPr>
          <w:p w14:paraId="3FD7599F">
            <w:pPr>
              <w:widowControl/>
              <w:jc w:val="center"/>
              <w:rPr>
                <w:rFonts w:hint="default" w:ascii="Times New Roman" w:hAnsi="Times New Roman" w:eastAsia="宋体" w:cs="Times New Roman"/>
                <w:color w:val="auto"/>
                <w:kern w:val="2"/>
                <w:sz w:val="21"/>
                <w:szCs w:val="21"/>
                <w:highlight w:val="none"/>
                <w:lang w:val="de-DE"/>
              </w:rPr>
            </w:pPr>
            <w:r>
              <w:rPr>
                <w:rFonts w:hint="default" w:ascii="Times New Roman" w:hAnsi="Times New Roman" w:eastAsia="宋体" w:cs="Times New Roman"/>
                <w:color w:val="auto"/>
                <w:kern w:val="2"/>
                <w:sz w:val="21"/>
                <w:szCs w:val="21"/>
                <w:highlight w:val="none"/>
                <w:lang w:val="de-DE"/>
              </w:rPr>
              <w:t>无组织</w:t>
            </w:r>
          </w:p>
        </w:tc>
        <w:tc>
          <w:tcPr>
            <w:tcW w:w="671" w:type="pct"/>
            <w:noWrap w:val="0"/>
            <w:vAlign w:val="center"/>
          </w:tcPr>
          <w:p w14:paraId="55774F6F">
            <w:pPr>
              <w:widowControl/>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厂界</w:t>
            </w:r>
            <w:r>
              <w:rPr>
                <w:rFonts w:hint="default" w:ascii="Times New Roman" w:hAnsi="Times New Roman" w:eastAsia="宋体" w:cs="Times New Roman"/>
                <w:color w:val="auto"/>
                <w:kern w:val="2"/>
                <w:sz w:val="21"/>
                <w:szCs w:val="21"/>
                <w:highlight w:val="none"/>
                <w:lang w:val="en-US" w:eastAsia="zh-CN"/>
              </w:rPr>
              <w:t>1.5</w:t>
            </w:r>
            <w:r>
              <w:rPr>
                <w:rFonts w:hint="default" w:ascii="Times New Roman" w:hAnsi="Times New Roman" w:eastAsia="宋体" w:cs="Times New Roman"/>
                <w:color w:val="auto"/>
                <w:kern w:val="2"/>
                <w:sz w:val="21"/>
                <w:szCs w:val="21"/>
                <w:highlight w:val="none"/>
                <w:lang w:eastAsia="zh-CN"/>
              </w:rPr>
              <w:t>mg/m</w:t>
            </w:r>
            <w:r>
              <w:rPr>
                <w:rFonts w:hint="default" w:ascii="Times New Roman" w:hAnsi="Times New Roman" w:eastAsia="宋体" w:cs="Times New Roman"/>
                <w:color w:val="auto"/>
                <w:kern w:val="18"/>
                <w:sz w:val="21"/>
                <w:szCs w:val="21"/>
                <w:highlight w:val="none"/>
                <w:vertAlign w:val="superscript"/>
                <w:lang w:eastAsia="zh-CN"/>
              </w:rPr>
              <w:t>3</w:t>
            </w:r>
          </w:p>
        </w:tc>
      </w:tr>
      <w:tr w14:paraId="6A3D11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7" w:hRule="atLeast"/>
          <w:jc w:val="center"/>
        </w:trPr>
        <w:tc>
          <w:tcPr>
            <w:tcW w:w="295" w:type="pct"/>
            <w:vMerge w:val="continue"/>
            <w:noWrap w:val="0"/>
            <w:vAlign w:val="center"/>
          </w:tcPr>
          <w:p w14:paraId="725AF412">
            <w:pPr>
              <w:widowControl w:val="0"/>
              <w:jc w:val="center"/>
              <w:rPr>
                <w:rFonts w:hint="default" w:ascii="Times New Roman" w:hAnsi="Times New Roman" w:eastAsia="宋体" w:cs="Times New Roman"/>
                <w:bCs/>
                <w:color w:val="auto"/>
                <w:kern w:val="2"/>
                <w:sz w:val="21"/>
                <w:szCs w:val="21"/>
                <w:highlight w:val="none"/>
              </w:rPr>
            </w:pPr>
          </w:p>
        </w:tc>
        <w:tc>
          <w:tcPr>
            <w:tcW w:w="629" w:type="pct"/>
            <w:gridSpan w:val="2"/>
            <w:vMerge w:val="continue"/>
            <w:noWrap w:val="0"/>
            <w:vAlign w:val="center"/>
          </w:tcPr>
          <w:p w14:paraId="6EE91423">
            <w:pPr>
              <w:widowControl/>
              <w:jc w:val="center"/>
              <w:rPr>
                <w:rFonts w:hint="default" w:ascii="Times New Roman" w:hAnsi="Times New Roman" w:eastAsia="宋体" w:cs="Times New Roman"/>
                <w:color w:val="auto"/>
                <w:kern w:val="2"/>
                <w:sz w:val="21"/>
                <w:szCs w:val="21"/>
                <w:highlight w:val="none"/>
              </w:rPr>
            </w:pPr>
          </w:p>
        </w:tc>
        <w:tc>
          <w:tcPr>
            <w:tcW w:w="571" w:type="pct"/>
            <w:noWrap w:val="0"/>
            <w:vAlign w:val="center"/>
          </w:tcPr>
          <w:p w14:paraId="6F8786F6">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硫化氢</w:t>
            </w:r>
          </w:p>
        </w:tc>
        <w:tc>
          <w:tcPr>
            <w:tcW w:w="1004" w:type="dxa"/>
            <w:noWrap w:val="0"/>
            <w:vAlign w:val="center"/>
          </w:tcPr>
          <w:p w14:paraId="7384F7D4">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0.123</w:t>
            </w:r>
          </w:p>
        </w:tc>
        <w:tc>
          <w:tcPr>
            <w:tcW w:w="1082" w:type="pct"/>
            <w:vMerge w:val="continue"/>
            <w:noWrap w:val="0"/>
            <w:vAlign w:val="center"/>
          </w:tcPr>
          <w:p w14:paraId="44B28CE0">
            <w:pPr>
              <w:widowControl/>
              <w:jc w:val="center"/>
              <w:rPr>
                <w:rFonts w:hint="default" w:ascii="Times New Roman" w:hAnsi="Times New Roman" w:eastAsia="宋体" w:cs="Times New Roman"/>
                <w:color w:val="auto"/>
                <w:kern w:val="2"/>
                <w:sz w:val="21"/>
                <w:szCs w:val="21"/>
                <w:highlight w:val="none"/>
              </w:rPr>
            </w:pPr>
          </w:p>
        </w:tc>
        <w:tc>
          <w:tcPr>
            <w:tcW w:w="1004" w:type="dxa"/>
            <w:noWrap w:val="0"/>
            <w:vAlign w:val="center"/>
          </w:tcPr>
          <w:p w14:paraId="5E28770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0"/>
                <w:szCs w:val="24"/>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0.0025</w:t>
            </w:r>
          </w:p>
        </w:tc>
        <w:tc>
          <w:tcPr>
            <w:tcW w:w="571" w:type="pct"/>
            <w:vMerge w:val="continue"/>
            <w:noWrap w:val="0"/>
            <w:vAlign w:val="center"/>
          </w:tcPr>
          <w:p w14:paraId="6F078224">
            <w:pPr>
              <w:widowControl/>
              <w:jc w:val="center"/>
              <w:rPr>
                <w:rFonts w:hint="default" w:ascii="Times New Roman" w:hAnsi="Times New Roman" w:eastAsia="宋体" w:cs="Times New Roman"/>
                <w:color w:val="auto"/>
                <w:kern w:val="2"/>
                <w:sz w:val="21"/>
                <w:szCs w:val="21"/>
                <w:highlight w:val="none"/>
                <w:lang w:val="de-DE"/>
              </w:rPr>
            </w:pPr>
          </w:p>
        </w:tc>
        <w:tc>
          <w:tcPr>
            <w:tcW w:w="671" w:type="pct"/>
            <w:noWrap w:val="0"/>
            <w:vAlign w:val="center"/>
          </w:tcPr>
          <w:p w14:paraId="0239D1CC">
            <w:pPr>
              <w:widowControl/>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厂界0.03</w:t>
            </w:r>
            <w:r>
              <w:rPr>
                <w:rFonts w:hint="default" w:ascii="Times New Roman" w:hAnsi="Times New Roman" w:eastAsia="宋体" w:cs="Times New Roman"/>
                <w:color w:val="auto"/>
                <w:kern w:val="18"/>
                <w:sz w:val="21"/>
                <w:szCs w:val="21"/>
                <w:highlight w:val="none"/>
                <w:lang w:eastAsia="zh-CN"/>
              </w:rPr>
              <w:t>m</w:t>
            </w:r>
            <w:r>
              <w:rPr>
                <w:rFonts w:hint="default" w:ascii="Times New Roman" w:hAnsi="Times New Roman" w:eastAsia="宋体" w:cs="Times New Roman"/>
                <w:color w:val="auto"/>
                <w:kern w:val="18"/>
                <w:sz w:val="21"/>
                <w:szCs w:val="21"/>
                <w:highlight w:val="none"/>
              </w:rPr>
              <w:t>g/</w:t>
            </w:r>
            <w:r>
              <w:rPr>
                <w:rFonts w:hint="default" w:ascii="Times New Roman" w:hAnsi="Times New Roman" w:eastAsia="宋体" w:cs="Times New Roman"/>
                <w:color w:val="auto"/>
                <w:kern w:val="18"/>
                <w:sz w:val="21"/>
                <w:szCs w:val="21"/>
                <w:highlight w:val="none"/>
                <w:vertAlign w:val="baseline"/>
                <w:lang w:eastAsia="zh-CN"/>
              </w:rPr>
              <w:t>m</w:t>
            </w:r>
            <w:r>
              <w:rPr>
                <w:rFonts w:hint="default" w:ascii="Times New Roman" w:hAnsi="Times New Roman" w:eastAsia="宋体" w:cs="Times New Roman"/>
                <w:color w:val="auto"/>
                <w:kern w:val="18"/>
                <w:sz w:val="21"/>
                <w:szCs w:val="21"/>
                <w:highlight w:val="none"/>
                <w:vertAlign w:val="superscript"/>
                <w:lang w:eastAsia="zh-CN"/>
              </w:rPr>
              <w:t>3</w:t>
            </w:r>
          </w:p>
        </w:tc>
      </w:tr>
      <w:tr w14:paraId="431C1F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295" w:type="pct"/>
            <w:vMerge w:val="continue"/>
            <w:noWrap w:val="0"/>
            <w:vAlign w:val="center"/>
          </w:tcPr>
          <w:p w14:paraId="02E9B33A">
            <w:pPr>
              <w:widowControl w:val="0"/>
              <w:jc w:val="center"/>
              <w:rPr>
                <w:rFonts w:hint="default" w:ascii="Times New Roman" w:hAnsi="Times New Roman" w:eastAsia="宋体" w:cs="Times New Roman"/>
                <w:bCs/>
                <w:color w:val="auto"/>
                <w:kern w:val="2"/>
                <w:sz w:val="21"/>
                <w:szCs w:val="21"/>
                <w:highlight w:val="none"/>
              </w:rPr>
            </w:pPr>
          </w:p>
        </w:tc>
        <w:tc>
          <w:tcPr>
            <w:tcW w:w="629" w:type="pct"/>
            <w:gridSpan w:val="2"/>
            <w:noWrap w:val="0"/>
            <w:vAlign w:val="center"/>
          </w:tcPr>
          <w:p w14:paraId="13293900">
            <w:pPr>
              <w:widowControl/>
              <w:jc w:val="center"/>
              <w:rPr>
                <w:rFonts w:hint="default" w:ascii="Times New Roman" w:hAnsi="Times New Roman" w:eastAsia="宋体" w:cs="Times New Roman"/>
                <w:color w:val="auto"/>
                <w:kern w:val="2"/>
                <w:sz w:val="21"/>
                <w:szCs w:val="21"/>
                <w:highlight w:val="none"/>
                <w:lang w:eastAsia="zh-CN"/>
              </w:rPr>
            </w:pPr>
            <w:r>
              <w:rPr>
                <w:rFonts w:hint="eastAsia" w:ascii="Times New Roman" w:hAnsi="Times New Roman" w:cs="Times New Roman"/>
                <w:color w:val="auto"/>
                <w:kern w:val="0"/>
                <w:sz w:val="21"/>
                <w:szCs w:val="21"/>
                <w:highlight w:val="none"/>
                <w:lang w:val="en-US" w:eastAsia="zh-CN"/>
              </w:rPr>
              <w:t>集粪池</w:t>
            </w:r>
            <w:r>
              <w:rPr>
                <w:rFonts w:hint="default" w:ascii="Times New Roman" w:hAnsi="Times New Roman" w:eastAsia="宋体" w:cs="Times New Roman"/>
                <w:color w:val="auto"/>
                <w:kern w:val="0"/>
                <w:sz w:val="21"/>
                <w:szCs w:val="21"/>
                <w:highlight w:val="none"/>
              </w:rPr>
              <w:t>、黑膜</w:t>
            </w:r>
            <w:r>
              <w:rPr>
                <w:rFonts w:hint="eastAsia" w:ascii="Times New Roman" w:hAnsi="Times New Roman" w:cs="Times New Roman"/>
                <w:color w:val="auto"/>
                <w:kern w:val="0"/>
                <w:sz w:val="21"/>
                <w:szCs w:val="21"/>
                <w:highlight w:val="none"/>
                <w:lang w:val="en-US" w:eastAsia="zh-CN"/>
              </w:rPr>
              <w:t>厌氧池</w:t>
            </w:r>
          </w:p>
        </w:tc>
        <w:tc>
          <w:tcPr>
            <w:tcW w:w="4075" w:type="pct"/>
            <w:gridSpan w:val="6"/>
            <w:noWrap w:val="0"/>
            <w:vAlign w:val="center"/>
          </w:tcPr>
          <w:p w14:paraId="453E4377">
            <w:pPr>
              <w:widowControl/>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0"/>
                <w:sz w:val="21"/>
                <w:szCs w:val="21"/>
                <w:highlight w:val="none"/>
                <w:lang w:val="en-US" w:eastAsia="zh-CN"/>
              </w:rPr>
              <w:t>集粪池</w:t>
            </w:r>
            <w:r>
              <w:rPr>
                <w:rFonts w:hint="default" w:ascii="Times New Roman" w:hAnsi="Times New Roman" w:eastAsia="宋体" w:cs="Times New Roman"/>
                <w:color w:val="auto"/>
                <w:kern w:val="0"/>
                <w:sz w:val="21"/>
                <w:szCs w:val="21"/>
                <w:highlight w:val="none"/>
              </w:rPr>
              <w:t>、</w:t>
            </w:r>
            <w:r>
              <w:rPr>
                <w:rFonts w:hint="eastAsia" w:ascii="Times New Roman" w:hAnsi="Times New Roman" w:cs="Times New Roman"/>
                <w:color w:val="auto"/>
                <w:kern w:val="0"/>
                <w:sz w:val="21"/>
                <w:szCs w:val="21"/>
                <w:highlight w:val="none"/>
                <w:lang w:eastAsia="zh-CN"/>
              </w:rPr>
              <w:t>黑膜厌氧池</w:t>
            </w:r>
            <w:r>
              <w:rPr>
                <w:rFonts w:hint="default" w:ascii="Times New Roman" w:hAnsi="Times New Roman" w:eastAsia="宋体" w:cs="Times New Roman"/>
                <w:color w:val="auto"/>
                <w:kern w:val="0"/>
                <w:sz w:val="21"/>
                <w:szCs w:val="21"/>
                <w:highlight w:val="none"/>
              </w:rPr>
              <w:t>均位于地下，全封闭，产生的气体为沼气，净化后</w:t>
            </w:r>
            <w:r>
              <w:rPr>
                <w:rFonts w:hint="default" w:ascii="Times New Roman" w:hAnsi="Times New Roman" w:eastAsia="宋体" w:cs="Times New Roman"/>
                <w:color w:val="auto"/>
                <w:kern w:val="2"/>
                <w:sz w:val="21"/>
                <w:szCs w:val="21"/>
                <w:highlight w:val="none"/>
                <w:lang w:bidi="ar"/>
              </w:rPr>
              <w:t>排空燃烧</w:t>
            </w:r>
          </w:p>
        </w:tc>
      </w:tr>
      <w:tr w14:paraId="39A31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295" w:type="pct"/>
            <w:vMerge w:val="continue"/>
            <w:noWrap w:val="0"/>
            <w:vAlign w:val="center"/>
          </w:tcPr>
          <w:p w14:paraId="00CA1E61">
            <w:pPr>
              <w:widowControl w:val="0"/>
              <w:jc w:val="center"/>
              <w:rPr>
                <w:rFonts w:hint="default" w:ascii="Times New Roman" w:hAnsi="Times New Roman" w:eastAsia="宋体" w:cs="Times New Roman"/>
                <w:bCs/>
                <w:color w:val="auto"/>
                <w:kern w:val="2"/>
                <w:sz w:val="21"/>
                <w:szCs w:val="21"/>
                <w:highlight w:val="none"/>
              </w:rPr>
            </w:pPr>
          </w:p>
        </w:tc>
        <w:tc>
          <w:tcPr>
            <w:tcW w:w="311" w:type="pct"/>
            <w:vMerge w:val="restart"/>
            <w:noWrap w:val="0"/>
            <w:vAlign w:val="center"/>
          </w:tcPr>
          <w:p w14:paraId="4717208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粪污贮存区</w:t>
            </w:r>
          </w:p>
        </w:tc>
        <w:tc>
          <w:tcPr>
            <w:tcW w:w="317" w:type="pct"/>
            <w:vMerge w:val="restart"/>
            <w:noWrap w:val="0"/>
            <w:vAlign w:val="center"/>
          </w:tcPr>
          <w:p w14:paraId="3D148E5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0"/>
                <w:szCs w:val="21"/>
                <w:highlight w:val="none"/>
                <w:lang w:val="en-US" w:eastAsia="zh-CN" w:bidi="ar-SA"/>
              </w:rPr>
              <w:t>有组织</w:t>
            </w:r>
          </w:p>
        </w:tc>
        <w:tc>
          <w:tcPr>
            <w:tcW w:w="571" w:type="pct"/>
            <w:noWrap w:val="0"/>
            <w:vAlign w:val="center"/>
          </w:tcPr>
          <w:p w14:paraId="3DFEE1BC">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r>
              <w:rPr>
                <w:rFonts w:hint="default" w:ascii="Times New Roman" w:hAnsi="Times New Roman" w:eastAsia="宋体" w:cs="Times New Roman"/>
                <w:snapToGrid w:val="0"/>
                <w:color w:val="auto"/>
                <w:kern w:val="0"/>
                <w:sz w:val="20"/>
                <w:szCs w:val="21"/>
                <w:highlight w:val="none"/>
                <w:lang w:val="en-US" w:eastAsia="zh-CN" w:bidi="ar-SA"/>
              </w:rPr>
              <w:t>NH</w:t>
            </w:r>
            <w:r>
              <w:rPr>
                <w:rFonts w:hint="default" w:ascii="Times New Roman" w:hAnsi="Times New Roman" w:eastAsia="宋体" w:cs="Times New Roman"/>
                <w:snapToGrid w:val="0"/>
                <w:color w:val="auto"/>
                <w:kern w:val="0"/>
                <w:sz w:val="20"/>
                <w:szCs w:val="21"/>
                <w:highlight w:val="none"/>
                <w:vertAlign w:val="subscript"/>
                <w:lang w:val="en-US" w:eastAsia="zh-CN" w:bidi="ar-SA"/>
              </w:rPr>
              <w:t>3</w:t>
            </w:r>
          </w:p>
        </w:tc>
        <w:tc>
          <w:tcPr>
            <w:tcW w:w="1004" w:type="dxa"/>
            <w:noWrap w:val="0"/>
            <w:vAlign w:val="center"/>
          </w:tcPr>
          <w:p w14:paraId="7404AAED">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0.0735</w:t>
            </w:r>
          </w:p>
        </w:tc>
        <w:tc>
          <w:tcPr>
            <w:tcW w:w="1082" w:type="pct"/>
            <w:vMerge w:val="restart"/>
            <w:noWrap w:val="0"/>
            <w:vAlign w:val="center"/>
          </w:tcPr>
          <w:p w14:paraId="4C930949">
            <w:pPr>
              <w:widowControl/>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适当通风、及时翻堆、全封闭等措施</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4"/>
                <w:sz w:val="21"/>
                <w:szCs w:val="21"/>
                <w:highlight w:val="none"/>
                <w:lang w:eastAsia="zh-CN"/>
              </w:rPr>
              <w:t>以及通过收集经活性炭吸附装置净化后排放</w:t>
            </w:r>
          </w:p>
        </w:tc>
        <w:tc>
          <w:tcPr>
            <w:tcW w:w="1004" w:type="dxa"/>
            <w:noWrap w:val="0"/>
            <w:vAlign w:val="center"/>
          </w:tcPr>
          <w:p w14:paraId="38FD5F36">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0.00735</w:t>
            </w:r>
          </w:p>
        </w:tc>
        <w:tc>
          <w:tcPr>
            <w:tcW w:w="571" w:type="pct"/>
            <w:vMerge w:val="restart"/>
            <w:noWrap w:val="0"/>
            <w:vAlign w:val="center"/>
          </w:tcPr>
          <w:p w14:paraId="5DDD6B07">
            <w:pPr>
              <w:widowControl/>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有组织</w:t>
            </w:r>
          </w:p>
        </w:tc>
        <w:tc>
          <w:tcPr>
            <w:tcW w:w="671" w:type="pct"/>
            <w:noWrap w:val="0"/>
            <w:vAlign w:val="center"/>
          </w:tcPr>
          <w:p w14:paraId="3E0AE562">
            <w:pPr>
              <w:widowControl/>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4.9kg/h</w:t>
            </w:r>
          </w:p>
        </w:tc>
      </w:tr>
      <w:tr w14:paraId="2AF3E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95" w:type="pct"/>
            <w:vMerge w:val="continue"/>
            <w:noWrap w:val="0"/>
            <w:vAlign w:val="center"/>
          </w:tcPr>
          <w:p w14:paraId="76484255">
            <w:pPr>
              <w:widowControl w:val="0"/>
              <w:jc w:val="center"/>
              <w:rPr>
                <w:rFonts w:hint="default" w:ascii="Times New Roman" w:hAnsi="Times New Roman" w:eastAsia="宋体" w:cs="Times New Roman"/>
                <w:bCs/>
                <w:color w:val="auto"/>
                <w:kern w:val="2"/>
                <w:sz w:val="21"/>
                <w:szCs w:val="21"/>
                <w:highlight w:val="none"/>
              </w:rPr>
            </w:pPr>
          </w:p>
        </w:tc>
        <w:tc>
          <w:tcPr>
            <w:tcW w:w="311" w:type="pct"/>
            <w:vMerge w:val="continue"/>
            <w:noWrap w:val="0"/>
            <w:vAlign w:val="center"/>
          </w:tcPr>
          <w:p w14:paraId="0BFCA318">
            <w:pPr>
              <w:widowControl/>
              <w:jc w:val="center"/>
              <w:rPr>
                <w:rFonts w:hint="default" w:ascii="Times New Roman" w:hAnsi="Times New Roman" w:eastAsia="宋体" w:cs="Times New Roman"/>
                <w:color w:val="auto"/>
                <w:kern w:val="2"/>
                <w:sz w:val="21"/>
                <w:szCs w:val="21"/>
                <w:highlight w:val="none"/>
                <w:lang w:val="de-DE"/>
              </w:rPr>
            </w:pPr>
          </w:p>
        </w:tc>
        <w:tc>
          <w:tcPr>
            <w:tcW w:w="317" w:type="pct"/>
            <w:vMerge w:val="continue"/>
            <w:noWrap w:val="0"/>
            <w:vAlign w:val="center"/>
          </w:tcPr>
          <w:p w14:paraId="4F269AE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571" w:type="pct"/>
            <w:noWrap w:val="0"/>
            <w:vAlign w:val="center"/>
          </w:tcPr>
          <w:p w14:paraId="1235DE79">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r>
              <w:rPr>
                <w:rFonts w:hint="default" w:ascii="Times New Roman" w:hAnsi="Times New Roman" w:eastAsia="宋体" w:cs="Times New Roman"/>
                <w:snapToGrid w:val="0"/>
                <w:color w:val="auto"/>
                <w:kern w:val="0"/>
                <w:sz w:val="20"/>
                <w:szCs w:val="21"/>
                <w:highlight w:val="none"/>
                <w:lang w:val="en-US" w:eastAsia="zh-CN" w:bidi="ar-SA"/>
              </w:rPr>
              <w:t>H</w:t>
            </w:r>
            <w:r>
              <w:rPr>
                <w:rFonts w:hint="default" w:ascii="Times New Roman" w:hAnsi="Times New Roman" w:eastAsia="宋体" w:cs="Times New Roman"/>
                <w:snapToGrid w:val="0"/>
                <w:color w:val="auto"/>
                <w:kern w:val="0"/>
                <w:sz w:val="20"/>
                <w:szCs w:val="21"/>
                <w:highlight w:val="none"/>
                <w:vertAlign w:val="subscript"/>
                <w:lang w:val="en-US" w:eastAsia="zh-CN" w:bidi="ar-SA"/>
              </w:rPr>
              <w:t>2</w:t>
            </w:r>
            <w:r>
              <w:rPr>
                <w:rFonts w:hint="default" w:ascii="Times New Roman" w:hAnsi="Times New Roman" w:eastAsia="宋体" w:cs="Times New Roman"/>
                <w:snapToGrid w:val="0"/>
                <w:color w:val="auto"/>
                <w:kern w:val="0"/>
                <w:sz w:val="20"/>
                <w:szCs w:val="21"/>
                <w:highlight w:val="none"/>
                <w:lang w:val="en-US" w:eastAsia="zh-CN" w:bidi="ar-SA"/>
              </w:rPr>
              <w:t>S</w:t>
            </w:r>
          </w:p>
        </w:tc>
        <w:tc>
          <w:tcPr>
            <w:tcW w:w="1004" w:type="dxa"/>
            <w:noWrap w:val="0"/>
            <w:vAlign w:val="center"/>
          </w:tcPr>
          <w:p w14:paraId="4F332A8A">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0.00288</w:t>
            </w:r>
          </w:p>
        </w:tc>
        <w:tc>
          <w:tcPr>
            <w:tcW w:w="1082" w:type="pct"/>
            <w:vMerge w:val="continue"/>
            <w:noWrap w:val="0"/>
            <w:vAlign w:val="center"/>
          </w:tcPr>
          <w:p w14:paraId="42C2C4DA">
            <w:pPr>
              <w:widowControl/>
              <w:jc w:val="center"/>
              <w:rPr>
                <w:rFonts w:hint="default" w:ascii="Times New Roman" w:hAnsi="Times New Roman" w:eastAsia="宋体" w:cs="Times New Roman"/>
                <w:color w:val="auto"/>
                <w:kern w:val="2"/>
                <w:sz w:val="21"/>
                <w:szCs w:val="21"/>
                <w:highlight w:val="none"/>
                <w:lang w:val="de-DE"/>
              </w:rPr>
            </w:pPr>
          </w:p>
        </w:tc>
        <w:tc>
          <w:tcPr>
            <w:tcW w:w="1004" w:type="dxa"/>
            <w:noWrap w:val="0"/>
            <w:vAlign w:val="center"/>
          </w:tcPr>
          <w:p w14:paraId="1FBCA037">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0.000288</w:t>
            </w:r>
          </w:p>
        </w:tc>
        <w:tc>
          <w:tcPr>
            <w:tcW w:w="571" w:type="pct"/>
            <w:vMerge w:val="continue"/>
            <w:noWrap w:val="0"/>
            <w:vAlign w:val="center"/>
          </w:tcPr>
          <w:p w14:paraId="0DD86A10">
            <w:pPr>
              <w:widowControl/>
              <w:jc w:val="center"/>
              <w:rPr>
                <w:rFonts w:hint="default" w:ascii="Times New Roman" w:hAnsi="Times New Roman" w:eastAsia="宋体" w:cs="Times New Roman"/>
                <w:color w:val="auto"/>
                <w:kern w:val="2"/>
                <w:sz w:val="21"/>
                <w:szCs w:val="21"/>
                <w:highlight w:val="none"/>
                <w:lang w:val="de-DE"/>
              </w:rPr>
            </w:pPr>
          </w:p>
        </w:tc>
        <w:tc>
          <w:tcPr>
            <w:tcW w:w="671" w:type="pct"/>
            <w:noWrap w:val="0"/>
            <w:vAlign w:val="center"/>
          </w:tcPr>
          <w:p w14:paraId="284A78B5">
            <w:pPr>
              <w:widowControl/>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0.33kg/h</w:t>
            </w:r>
          </w:p>
        </w:tc>
      </w:tr>
      <w:tr w14:paraId="410875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95" w:type="pct"/>
            <w:vMerge w:val="continue"/>
            <w:noWrap w:val="0"/>
            <w:vAlign w:val="center"/>
          </w:tcPr>
          <w:p w14:paraId="3E4C8526">
            <w:pPr>
              <w:widowControl w:val="0"/>
              <w:jc w:val="center"/>
              <w:rPr>
                <w:rFonts w:hint="default" w:ascii="Times New Roman" w:hAnsi="Times New Roman" w:eastAsia="宋体" w:cs="Times New Roman"/>
                <w:bCs/>
                <w:color w:val="auto"/>
                <w:kern w:val="2"/>
                <w:sz w:val="21"/>
                <w:szCs w:val="21"/>
                <w:highlight w:val="none"/>
              </w:rPr>
            </w:pPr>
          </w:p>
        </w:tc>
        <w:tc>
          <w:tcPr>
            <w:tcW w:w="311" w:type="pct"/>
            <w:vMerge w:val="continue"/>
            <w:noWrap w:val="0"/>
            <w:vAlign w:val="center"/>
          </w:tcPr>
          <w:p w14:paraId="19F8D2CD">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317" w:type="pct"/>
            <w:vMerge w:val="restart"/>
            <w:noWrap w:val="0"/>
            <w:vAlign w:val="center"/>
          </w:tcPr>
          <w:p w14:paraId="2D13D649">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r>
              <w:rPr>
                <w:rFonts w:hint="default" w:ascii="Times New Roman" w:hAnsi="Times New Roman" w:eastAsia="宋体" w:cs="Times New Roman"/>
                <w:color w:val="auto"/>
                <w:kern w:val="0"/>
                <w:sz w:val="20"/>
                <w:szCs w:val="21"/>
                <w:highlight w:val="none"/>
                <w:lang w:val="en-US" w:eastAsia="zh-CN" w:bidi="ar-SA"/>
              </w:rPr>
              <w:t>无组织</w:t>
            </w:r>
          </w:p>
        </w:tc>
        <w:tc>
          <w:tcPr>
            <w:tcW w:w="571" w:type="pct"/>
            <w:noWrap w:val="0"/>
            <w:vAlign w:val="center"/>
          </w:tcPr>
          <w:p w14:paraId="194C86D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0"/>
                <w:szCs w:val="21"/>
                <w:highlight w:val="none"/>
                <w:lang w:val="en-US" w:eastAsia="zh-CN" w:bidi="ar-SA"/>
              </w:rPr>
              <w:t>NH</w:t>
            </w:r>
            <w:r>
              <w:rPr>
                <w:rFonts w:hint="default" w:ascii="Times New Roman" w:hAnsi="Times New Roman" w:eastAsia="宋体" w:cs="Times New Roman"/>
                <w:snapToGrid w:val="0"/>
                <w:color w:val="auto"/>
                <w:kern w:val="0"/>
                <w:sz w:val="20"/>
                <w:szCs w:val="21"/>
                <w:highlight w:val="none"/>
                <w:vertAlign w:val="subscript"/>
                <w:lang w:val="en-US" w:eastAsia="zh-CN" w:bidi="ar-SA"/>
              </w:rPr>
              <w:t>3</w:t>
            </w:r>
          </w:p>
        </w:tc>
        <w:tc>
          <w:tcPr>
            <w:tcW w:w="1004" w:type="dxa"/>
            <w:noWrap w:val="0"/>
            <w:vAlign w:val="center"/>
          </w:tcPr>
          <w:p w14:paraId="5B52F80E">
            <w:pPr>
              <w:widowControl w:val="0"/>
              <w:spacing w:line="240" w:lineRule="auto"/>
              <w:ind w:left="0" w:leftChars="0" w:firstLine="0" w:firstLineChars="0"/>
              <w:jc w:val="center"/>
              <w:rPr>
                <w:rFonts w:hint="default" w:ascii="Times New Roman" w:hAnsi="Times New Roman" w:eastAsia="宋体" w:cs="Times New Roman"/>
                <w:color w:val="auto"/>
                <w:kern w:val="0"/>
                <w:sz w:val="20"/>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0.0082</w:t>
            </w:r>
          </w:p>
        </w:tc>
        <w:tc>
          <w:tcPr>
            <w:tcW w:w="1082" w:type="pct"/>
            <w:vMerge w:val="restart"/>
            <w:noWrap w:val="0"/>
            <w:vAlign w:val="center"/>
          </w:tcPr>
          <w:p w14:paraId="2F42A7E7">
            <w:pPr>
              <w:widowControl/>
              <w:jc w:val="center"/>
              <w:rPr>
                <w:rFonts w:hint="default" w:ascii="Times New Roman" w:hAnsi="Times New Roman" w:eastAsia="宋体" w:cs="Times New Roman"/>
                <w:color w:val="auto"/>
                <w:kern w:val="2"/>
                <w:sz w:val="21"/>
                <w:szCs w:val="21"/>
                <w:highlight w:val="none"/>
                <w:lang w:val="de-DE"/>
              </w:rPr>
            </w:pPr>
            <w:r>
              <w:rPr>
                <w:rFonts w:hint="default" w:ascii="Times New Roman" w:hAnsi="Times New Roman" w:eastAsia="宋体" w:cs="Times New Roman"/>
                <w:color w:val="auto"/>
                <w:kern w:val="2"/>
                <w:sz w:val="21"/>
                <w:szCs w:val="21"/>
                <w:highlight w:val="none"/>
              </w:rPr>
              <w:t>喷洒生物除臭剂</w:t>
            </w:r>
          </w:p>
        </w:tc>
        <w:tc>
          <w:tcPr>
            <w:tcW w:w="1004" w:type="dxa"/>
            <w:noWrap w:val="0"/>
            <w:vAlign w:val="center"/>
          </w:tcPr>
          <w:p w14:paraId="6CDB4D24">
            <w:pPr>
              <w:widowControl w:val="0"/>
              <w:adjustRightInd w:val="0"/>
              <w:snapToGrid w:val="0"/>
              <w:spacing w:line="240" w:lineRule="auto"/>
              <w:ind w:left="0" w:leftChars="0"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snapToGrid w:val="0"/>
                <w:color w:val="auto"/>
                <w:kern w:val="0"/>
                <w:sz w:val="21"/>
                <w:szCs w:val="21"/>
                <w:highlight w:val="none"/>
                <w:lang w:val="en-US" w:eastAsia="zh-CN" w:bidi="ar-SA"/>
              </w:rPr>
              <w:t>0.00061</w:t>
            </w:r>
          </w:p>
        </w:tc>
        <w:tc>
          <w:tcPr>
            <w:tcW w:w="571" w:type="pct"/>
            <w:vMerge w:val="restart"/>
            <w:noWrap w:val="0"/>
            <w:vAlign w:val="center"/>
          </w:tcPr>
          <w:p w14:paraId="69E7D9A9">
            <w:pPr>
              <w:widowControl/>
              <w:jc w:val="center"/>
              <w:rPr>
                <w:rFonts w:hint="default" w:ascii="Times New Roman" w:hAnsi="Times New Roman" w:eastAsia="宋体" w:cs="Times New Roman"/>
                <w:color w:val="auto"/>
                <w:kern w:val="2"/>
                <w:sz w:val="21"/>
                <w:szCs w:val="21"/>
                <w:highlight w:val="none"/>
                <w:lang w:val="de-DE" w:eastAsia="zh-CN" w:bidi="ar-SA"/>
              </w:rPr>
            </w:pPr>
            <w:r>
              <w:rPr>
                <w:rFonts w:hint="default" w:ascii="Times New Roman" w:hAnsi="Times New Roman" w:eastAsia="宋体" w:cs="Times New Roman"/>
                <w:color w:val="auto"/>
                <w:kern w:val="2"/>
                <w:sz w:val="21"/>
                <w:szCs w:val="21"/>
                <w:highlight w:val="none"/>
              </w:rPr>
              <w:t>无组织</w:t>
            </w:r>
          </w:p>
        </w:tc>
        <w:tc>
          <w:tcPr>
            <w:tcW w:w="671" w:type="pct"/>
            <w:noWrap w:val="0"/>
            <w:vAlign w:val="center"/>
          </w:tcPr>
          <w:p w14:paraId="61F6BC9B">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rPr>
              <w:t>厂界1.5</w:t>
            </w:r>
            <w:r>
              <w:rPr>
                <w:rFonts w:hint="default" w:ascii="Times New Roman" w:hAnsi="Times New Roman" w:eastAsia="宋体" w:cs="Times New Roman"/>
                <w:color w:val="auto"/>
                <w:kern w:val="18"/>
                <w:sz w:val="21"/>
                <w:szCs w:val="21"/>
                <w:highlight w:val="none"/>
                <w:lang w:eastAsia="zh-CN"/>
              </w:rPr>
              <w:t>m</w:t>
            </w:r>
            <w:r>
              <w:rPr>
                <w:rFonts w:hint="default" w:ascii="Times New Roman" w:hAnsi="Times New Roman" w:eastAsia="宋体" w:cs="Times New Roman"/>
                <w:color w:val="auto"/>
                <w:kern w:val="18"/>
                <w:sz w:val="21"/>
                <w:szCs w:val="21"/>
                <w:highlight w:val="none"/>
              </w:rPr>
              <w:t>g/</w:t>
            </w:r>
            <w:r>
              <w:rPr>
                <w:rFonts w:hint="default" w:ascii="Times New Roman" w:hAnsi="Times New Roman" w:eastAsia="宋体" w:cs="Times New Roman"/>
                <w:color w:val="auto"/>
                <w:kern w:val="18"/>
                <w:sz w:val="21"/>
                <w:szCs w:val="21"/>
                <w:highlight w:val="none"/>
                <w:vertAlign w:val="baseline"/>
                <w:lang w:eastAsia="zh-CN"/>
              </w:rPr>
              <w:t>m</w:t>
            </w:r>
            <w:r>
              <w:rPr>
                <w:rFonts w:hint="default" w:ascii="Times New Roman" w:hAnsi="Times New Roman" w:eastAsia="宋体" w:cs="Times New Roman"/>
                <w:color w:val="auto"/>
                <w:kern w:val="18"/>
                <w:sz w:val="21"/>
                <w:szCs w:val="21"/>
                <w:highlight w:val="none"/>
                <w:vertAlign w:val="superscript"/>
                <w:lang w:eastAsia="zh-CN"/>
              </w:rPr>
              <w:t>3</w:t>
            </w:r>
          </w:p>
        </w:tc>
      </w:tr>
      <w:tr w14:paraId="72349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95" w:type="pct"/>
            <w:vMerge w:val="continue"/>
            <w:noWrap w:val="0"/>
            <w:vAlign w:val="center"/>
          </w:tcPr>
          <w:p w14:paraId="1C3AD413">
            <w:pPr>
              <w:widowControl w:val="0"/>
              <w:jc w:val="center"/>
              <w:rPr>
                <w:rFonts w:hint="default" w:ascii="Times New Roman" w:hAnsi="Times New Roman" w:eastAsia="宋体" w:cs="Times New Roman"/>
                <w:bCs/>
                <w:color w:val="auto"/>
                <w:kern w:val="2"/>
                <w:sz w:val="21"/>
                <w:szCs w:val="21"/>
                <w:highlight w:val="none"/>
              </w:rPr>
            </w:pPr>
          </w:p>
        </w:tc>
        <w:tc>
          <w:tcPr>
            <w:tcW w:w="311" w:type="pct"/>
            <w:vMerge w:val="continue"/>
            <w:noWrap w:val="0"/>
            <w:vAlign w:val="center"/>
          </w:tcPr>
          <w:p w14:paraId="25BE1622">
            <w:pPr>
              <w:widowControl/>
              <w:jc w:val="center"/>
              <w:rPr>
                <w:rFonts w:hint="default" w:ascii="Times New Roman" w:hAnsi="Times New Roman" w:eastAsia="宋体" w:cs="Times New Roman"/>
                <w:color w:val="auto"/>
                <w:kern w:val="2"/>
                <w:sz w:val="21"/>
                <w:szCs w:val="21"/>
                <w:highlight w:val="none"/>
                <w:lang w:val="de-DE"/>
              </w:rPr>
            </w:pPr>
          </w:p>
        </w:tc>
        <w:tc>
          <w:tcPr>
            <w:tcW w:w="317" w:type="pct"/>
            <w:vMerge w:val="continue"/>
            <w:noWrap w:val="0"/>
            <w:vAlign w:val="center"/>
          </w:tcPr>
          <w:p w14:paraId="02B2788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571" w:type="pct"/>
            <w:noWrap w:val="0"/>
            <w:vAlign w:val="center"/>
          </w:tcPr>
          <w:p w14:paraId="7BBE866E">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0"/>
                <w:szCs w:val="21"/>
                <w:highlight w:val="none"/>
                <w:lang w:val="en-US" w:eastAsia="zh-CN" w:bidi="ar-SA"/>
              </w:rPr>
              <w:t>H</w:t>
            </w:r>
            <w:r>
              <w:rPr>
                <w:rFonts w:hint="default" w:ascii="Times New Roman" w:hAnsi="Times New Roman" w:eastAsia="宋体" w:cs="Times New Roman"/>
                <w:snapToGrid w:val="0"/>
                <w:color w:val="auto"/>
                <w:kern w:val="0"/>
                <w:sz w:val="20"/>
                <w:szCs w:val="21"/>
                <w:highlight w:val="none"/>
                <w:vertAlign w:val="subscript"/>
                <w:lang w:val="en-US" w:eastAsia="zh-CN" w:bidi="ar-SA"/>
              </w:rPr>
              <w:t>2</w:t>
            </w:r>
            <w:r>
              <w:rPr>
                <w:rFonts w:hint="default" w:ascii="Times New Roman" w:hAnsi="Times New Roman" w:eastAsia="宋体" w:cs="Times New Roman"/>
                <w:snapToGrid w:val="0"/>
                <w:color w:val="auto"/>
                <w:kern w:val="0"/>
                <w:sz w:val="20"/>
                <w:szCs w:val="21"/>
                <w:highlight w:val="none"/>
                <w:lang w:val="en-US" w:eastAsia="zh-CN" w:bidi="ar-SA"/>
              </w:rPr>
              <w:t>S</w:t>
            </w:r>
          </w:p>
        </w:tc>
        <w:tc>
          <w:tcPr>
            <w:tcW w:w="1004" w:type="dxa"/>
            <w:noWrap w:val="0"/>
            <w:vAlign w:val="center"/>
          </w:tcPr>
          <w:p w14:paraId="1A13E80E">
            <w:pPr>
              <w:widowControl w:val="0"/>
              <w:spacing w:line="240" w:lineRule="auto"/>
              <w:ind w:left="0" w:leftChars="0" w:firstLine="0" w:firstLineChars="0"/>
              <w:jc w:val="center"/>
              <w:rPr>
                <w:rFonts w:hint="default" w:ascii="Times New Roman" w:hAnsi="Times New Roman" w:eastAsia="宋体" w:cs="Times New Roman"/>
                <w:color w:val="auto"/>
                <w:kern w:val="0"/>
                <w:sz w:val="20"/>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0.00032</w:t>
            </w:r>
          </w:p>
        </w:tc>
        <w:tc>
          <w:tcPr>
            <w:tcW w:w="1082" w:type="pct"/>
            <w:vMerge w:val="continue"/>
            <w:noWrap w:val="0"/>
            <w:vAlign w:val="center"/>
          </w:tcPr>
          <w:p w14:paraId="756595BB">
            <w:pPr>
              <w:widowControl/>
              <w:jc w:val="center"/>
              <w:rPr>
                <w:rFonts w:hint="default" w:ascii="Times New Roman" w:hAnsi="Times New Roman" w:eastAsia="宋体" w:cs="Times New Roman"/>
                <w:color w:val="auto"/>
                <w:kern w:val="2"/>
                <w:sz w:val="21"/>
                <w:szCs w:val="21"/>
                <w:highlight w:val="none"/>
                <w:lang w:val="de-DE"/>
              </w:rPr>
            </w:pPr>
          </w:p>
        </w:tc>
        <w:tc>
          <w:tcPr>
            <w:tcW w:w="1004" w:type="dxa"/>
            <w:noWrap w:val="0"/>
            <w:vAlign w:val="center"/>
          </w:tcPr>
          <w:p w14:paraId="4B3255DB">
            <w:pPr>
              <w:widowControl w:val="0"/>
              <w:adjustRightInd w:val="0"/>
              <w:snapToGrid w:val="0"/>
              <w:spacing w:line="240" w:lineRule="auto"/>
              <w:ind w:left="0" w:leftChars="0"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snapToGrid w:val="0"/>
                <w:color w:val="auto"/>
                <w:kern w:val="0"/>
                <w:sz w:val="21"/>
                <w:szCs w:val="21"/>
                <w:highlight w:val="none"/>
                <w:lang w:val="en-US" w:eastAsia="zh-CN" w:bidi="ar-SA"/>
              </w:rPr>
              <w:t>0.0000352</w:t>
            </w:r>
          </w:p>
        </w:tc>
        <w:tc>
          <w:tcPr>
            <w:tcW w:w="571" w:type="pct"/>
            <w:vMerge w:val="continue"/>
            <w:noWrap w:val="0"/>
            <w:vAlign w:val="center"/>
          </w:tcPr>
          <w:p w14:paraId="78406036">
            <w:pPr>
              <w:widowControl/>
              <w:jc w:val="center"/>
              <w:rPr>
                <w:rFonts w:hint="default" w:ascii="Times New Roman" w:hAnsi="Times New Roman" w:eastAsia="宋体" w:cs="Times New Roman"/>
                <w:color w:val="auto"/>
                <w:kern w:val="2"/>
                <w:sz w:val="21"/>
                <w:szCs w:val="21"/>
                <w:highlight w:val="none"/>
                <w:lang w:val="de-DE"/>
              </w:rPr>
            </w:pPr>
          </w:p>
        </w:tc>
        <w:tc>
          <w:tcPr>
            <w:tcW w:w="671" w:type="pct"/>
            <w:noWrap w:val="0"/>
            <w:vAlign w:val="center"/>
          </w:tcPr>
          <w:p w14:paraId="28A74879">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rPr>
              <w:t>厂界0.03</w:t>
            </w:r>
            <w:r>
              <w:rPr>
                <w:rFonts w:hint="default" w:ascii="Times New Roman" w:hAnsi="Times New Roman" w:eastAsia="宋体" w:cs="Times New Roman"/>
                <w:color w:val="auto"/>
                <w:kern w:val="18"/>
                <w:sz w:val="21"/>
                <w:szCs w:val="21"/>
                <w:highlight w:val="none"/>
                <w:lang w:eastAsia="zh-CN"/>
              </w:rPr>
              <w:t>m</w:t>
            </w:r>
            <w:r>
              <w:rPr>
                <w:rFonts w:hint="default" w:ascii="Times New Roman" w:hAnsi="Times New Roman" w:eastAsia="宋体" w:cs="Times New Roman"/>
                <w:color w:val="auto"/>
                <w:kern w:val="18"/>
                <w:sz w:val="21"/>
                <w:szCs w:val="21"/>
                <w:highlight w:val="none"/>
              </w:rPr>
              <w:t>g/</w:t>
            </w:r>
            <w:r>
              <w:rPr>
                <w:rFonts w:hint="default" w:ascii="Times New Roman" w:hAnsi="Times New Roman" w:eastAsia="宋体" w:cs="Times New Roman"/>
                <w:color w:val="auto"/>
                <w:kern w:val="18"/>
                <w:sz w:val="21"/>
                <w:szCs w:val="21"/>
                <w:highlight w:val="none"/>
                <w:vertAlign w:val="baseline"/>
                <w:lang w:eastAsia="zh-CN"/>
              </w:rPr>
              <w:t>m</w:t>
            </w:r>
            <w:r>
              <w:rPr>
                <w:rFonts w:hint="default" w:ascii="Times New Roman" w:hAnsi="Times New Roman" w:eastAsia="宋体" w:cs="Times New Roman"/>
                <w:color w:val="auto"/>
                <w:kern w:val="18"/>
                <w:sz w:val="21"/>
                <w:szCs w:val="21"/>
                <w:highlight w:val="none"/>
                <w:vertAlign w:val="superscript"/>
                <w:lang w:eastAsia="zh-CN"/>
              </w:rPr>
              <w:t>3</w:t>
            </w:r>
          </w:p>
        </w:tc>
      </w:tr>
      <w:tr w14:paraId="77A27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95" w:type="pct"/>
            <w:vMerge w:val="restart"/>
            <w:noWrap w:val="0"/>
            <w:vAlign w:val="center"/>
          </w:tcPr>
          <w:p w14:paraId="299442F3">
            <w:pPr>
              <w:widowControl w:val="0"/>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cs="Times New Roman"/>
                <w:color w:val="auto"/>
                <w:sz w:val="21"/>
                <w:szCs w:val="21"/>
                <w:highlight w:val="none"/>
              </w:rPr>
              <w:t>沼气燃烧</w:t>
            </w:r>
          </w:p>
        </w:tc>
        <w:tc>
          <w:tcPr>
            <w:tcW w:w="311" w:type="pct"/>
            <w:vMerge w:val="restart"/>
            <w:noWrap w:val="0"/>
            <w:vAlign w:val="center"/>
          </w:tcPr>
          <w:p w14:paraId="68D0733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sz w:val="21"/>
                <w:szCs w:val="21"/>
                <w:highlight w:val="none"/>
                <w:lang w:val="en-US" w:eastAsia="zh-CN"/>
              </w:rPr>
              <w:t>火炬</w:t>
            </w:r>
            <w:r>
              <w:rPr>
                <w:rFonts w:hint="eastAsia" w:ascii="Times New Roman" w:hAnsi="Times New Roman" w:cs="Times New Roman"/>
                <w:color w:val="auto"/>
                <w:sz w:val="21"/>
                <w:szCs w:val="21"/>
                <w:highlight w:val="none"/>
                <w:lang w:val="en-US" w:eastAsia="zh-CN"/>
              </w:rPr>
              <w:t>燃烧</w:t>
            </w:r>
          </w:p>
        </w:tc>
        <w:tc>
          <w:tcPr>
            <w:tcW w:w="317" w:type="pct"/>
            <w:vMerge w:val="restart"/>
            <w:noWrap w:val="0"/>
            <w:vAlign w:val="center"/>
          </w:tcPr>
          <w:p w14:paraId="7EBEB49E">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有组织</w:t>
            </w:r>
          </w:p>
        </w:tc>
        <w:tc>
          <w:tcPr>
            <w:tcW w:w="571" w:type="pct"/>
            <w:shd w:val="clear" w:color="auto" w:fill="auto"/>
            <w:noWrap w:val="0"/>
            <w:vAlign w:val="center"/>
          </w:tcPr>
          <w:p w14:paraId="2E74BF7B">
            <w:pPr>
              <w:widowControl w:val="0"/>
              <w:adjustRightInd w:val="0"/>
              <w:snapToGrid/>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zh-CN" w:eastAsia="zh-CN"/>
              </w:rPr>
              <w:t>颗粒物</w:t>
            </w:r>
          </w:p>
        </w:tc>
        <w:tc>
          <w:tcPr>
            <w:tcW w:w="589" w:type="pct"/>
            <w:noWrap w:val="0"/>
            <w:vAlign w:val="center"/>
          </w:tcPr>
          <w:p w14:paraId="4CAD1C94">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0.00037</w:t>
            </w:r>
          </w:p>
        </w:tc>
        <w:tc>
          <w:tcPr>
            <w:tcW w:w="1082" w:type="pct"/>
            <w:vMerge w:val="restart"/>
            <w:noWrap w:val="0"/>
            <w:vAlign w:val="center"/>
          </w:tcPr>
          <w:p w14:paraId="0A3ED793">
            <w:pPr>
              <w:widowControl/>
              <w:jc w:val="center"/>
              <w:rPr>
                <w:rFonts w:hint="default" w:ascii="Times New Roman" w:hAnsi="Times New Roman" w:eastAsia="宋体" w:cs="Times New Roman"/>
                <w:color w:val="auto"/>
                <w:kern w:val="2"/>
                <w:sz w:val="21"/>
                <w:szCs w:val="21"/>
                <w:highlight w:val="none"/>
                <w:lang w:val="de-DE"/>
              </w:rPr>
            </w:pPr>
            <w:r>
              <w:rPr>
                <w:rFonts w:hint="default" w:ascii="Times New Roman" w:hAnsi="Times New Roman" w:eastAsia="宋体" w:cs="Times New Roman"/>
                <w:color w:val="auto"/>
                <w:kern w:val="2"/>
                <w:sz w:val="21"/>
                <w:szCs w:val="21"/>
                <w:highlight w:val="none"/>
                <w:lang w:val="de-DE"/>
              </w:rPr>
              <w:t>经过净化后</w:t>
            </w:r>
            <w:r>
              <w:rPr>
                <w:rFonts w:hint="eastAsia" w:ascii="Times New Roman" w:hAnsi="Times New Roman" w:cs="Times New Roman"/>
                <w:color w:val="auto"/>
                <w:kern w:val="2"/>
                <w:sz w:val="21"/>
                <w:szCs w:val="21"/>
                <w:highlight w:val="none"/>
                <w:lang w:val="en-US" w:eastAsia="zh-CN"/>
              </w:rPr>
              <w:t>10m</w:t>
            </w:r>
            <w:r>
              <w:rPr>
                <w:rFonts w:hint="default" w:ascii="Times New Roman" w:hAnsi="Times New Roman" w:eastAsia="宋体" w:cs="Times New Roman"/>
                <w:color w:val="auto"/>
                <w:kern w:val="2"/>
                <w:sz w:val="21"/>
                <w:szCs w:val="21"/>
                <w:highlight w:val="none"/>
                <w:lang w:val="de-DE"/>
              </w:rPr>
              <w:t>排空燃烧</w:t>
            </w:r>
          </w:p>
        </w:tc>
        <w:tc>
          <w:tcPr>
            <w:tcW w:w="589" w:type="pct"/>
            <w:shd w:val="clear" w:color="auto" w:fill="auto"/>
            <w:noWrap w:val="0"/>
            <w:vAlign w:val="center"/>
          </w:tcPr>
          <w:p w14:paraId="2569ABDF">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0.00037</w:t>
            </w:r>
          </w:p>
        </w:tc>
        <w:tc>
          <w:tcPr>
            <w:tcW w:w="571" w:type="pct"/>
            <w:vMerge w:val="restart"/>
            <w:noWrap w:val="0"/>
            <w:vAlign w:val="center"/>
          </w:tcPr>
          <w:p w14:paraId="5F360A32">
            <w:pPr>
              <w:widowControl/>
              <w:jc w:val="center"/>
              <w:rPr>
                <w:rFonts w:hint="default" w:ascii="Times New Roman" w:hAnsi="Times New Roman" w:eastAsia="宋体" w:cs="Times New Roman"/>
                <w:color w:val="auto"/>
                <w:kern w:val="2"/>
                <w:sz w:val="21"/>
                <w:szCs w:val="21"/>
                <w:highlight w:val="none"/>
                <w:lang w:val="de-DE"/>
              </w:rPr>
            </w:pPr>
            <w:r>
              <w:rPr>
                <w:rFonts w:hint="default" w:ascii="Times New Roman" w:hAnsi="Times New Roman" w:eastAsia="宋体" w:cs="Times New Roman"/>
                <w:color w:val="auto"/>
                <w:kern w:val="2"/>
                <w:sz w:val="21"/>
                <w:szCs w:val="21"/>
                <w:highlight w:val="none"/>
                <w:lang w:val="de-DE" w:eastAsia="zh-CN"/>
              </w:rPr>
              <w:t>有组织</w:t>
            </w:r>
          </w:p>
        </w:tc>
        <w:tc>
          <w:tcPr>
            <w:tcW w:w="671" w:type="pct"/>
            <w:noWrap w:val="0"/>
            <w:vAlign w:val="center"/>
          </w:tcPr>
          <w:p w14:paraId="4BDCB7D2">
            <w:pPr>
              <w:widowControl/>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0.785</w:t>
            </w:r>
            <w:r>
              <w:rPr>
                <w:rFonts w:hint="default" w:ascii="Times New Roman" w:hAnsi="Times New Roman" w:eastAsia="宋体" w:cs="Times New Roman"/>
                <w:color w:val="auto"/>
                <w:kern w:val="2"/>
                <w:sz w:val="21"/>
                <w:szCs w:val="21"/>
                <w:highlight w:val="none"/>
                <w:lang w:val="en-US" w:eastAsia="zh-CN"/>
              </w:rPr>
              <w:t>kg/h</w:t>
            </w:r>
          </w:p>
        </w:tc>
      </w:tr>
      <w:tr w14:paraId="7FB0A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95" w:type="pct"/>
            <w:vMerge w:val="continue"/>
            <w:noWrap w:val="0"/>
            <w:vAlign w:val="center"/>
          </w:tcPr>
          <w:p w14:paraId="7A89D93D">
            <w:pPr>
              <w:widowControl w:val="0"/>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highlight w:val="none"/>
              </w:rPr>
            </w:pPr>
          </w:p>
        </w:tc>
        <w:tc>
          <w:tcPr>
            <w:tcW w:w="311" w:type="pct"/>
            <w:vMerge w:val="continue"/>
            <w:noWrap w:val="0"/>
            <w:vAlign w:val="center"/>
          </w:tcPr>
          <w:p w14:paraId="3E88912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de-DE"/>
              </w:rPr>
            </w:pPr>
          </w:p>
        </w:tc>
        <w:tc>
          <w:tcPr>
            <w:tcW w:w="317" w:type="pct"/>
            <w:vMerge w:val="continue"/>
            <w:noWrap w:val="0"/>
            <w:vAlign w:val="center"/>
          </w:tcPr>
          <w:p w14:paraId="41733DA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571" w:type="pct"/>
            <w:shd w:val="clear" w:color="auto" w:fill="auto"/>
            <w:noWrap w:val="0"/>
            <w:vAlign w:val="center"/>
          </w:tcPr>
          <w:p w14:paraId="3D8BFF5E">
            <w:pPr>
              <w:widowControl w:val="0"/>
              <w:adjustRightInd w:val="0"/>
              <w:snapToGrid/>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zh-CN" w:eastAsia="zh-CN"/>
              </w:rPr>
              <w:t>SO</w:t>
            </w:r>
            <w:r>
              <w:rPr>
                <w:rFonts w:hint="default" w:ascii="Times New Roman" w:hAnsi="Times New Roman" w:eastAsia="宋体" w:cs="Times New Roman"/>
                <w:color w:val="auto"/>
                <w:sz w:val="21"/>
                <w:szCs w:val="21"/>
                <w:highlight w:val="none"/>
                <w:vertAlign w:val="subscript"/>
                <w:lang w:val="zh-CN" w:eastAsia="zh-CN"/>
              </w:rPr>
              <w:t>2</w:t>
            </w:r>
          </w:p>
        </w:tc>
        <w:tc>
          <w:tcPr>
            <w:tcW w:w="589" w:type="pct"/>
            <w:noWrap w:val="0"/>
            <w:vAlign w:val="center"/>
          </w:tcPr>
          <w:p w14:paraId="00B5D07E">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0.000087</w:t>
            </w:r>
          </w:p>
        </w:tc>
        <w:tc>
          <w:tcPr>
            <w:tcW w:w="1082" w:type="pct"/>
            <w:vMerge w:val="continue"/>
            <w:noWrap w:val="0"/>
            <w:vAlign w:val="center"/>
          </w:tcPr>
          <w:p w14:paraId="5591F8E7">
            <w:pPr>
              <w:widowControl/>
              <w:jc w:val="center"/>
              <w:rPr>
                <w:rFonts w:hint="default" w:ascii="Times New Roman" w:hAnsi="Times New Roman" w:eastAsia="宋体" w:cs="Times New Roman"/>
                <w:color w:val="auto"/>
                <w:kern w:val="2"/>
                <w:sz w:val="21"/>
                <w:szCs w:val="21"/>
                <w:highlight w:val="none"/>
                <w:lang w:val="de-DE"/>
              </w:rPr>
            </w:pPr>
          </w:p>
        </w:tc>
        <w:tc>
          <w:tcPr>
            <w:tcW w:w="589" w:type="pct"/>
            <w:shd w:val="clear" w:color="auto" w:fill="auto"/>
            <w:noWrap w:val="0"/>
            <w:vAlign w:val="center"/>
          </w:tcPr>
          <w:p w14:paraId="33C3A4C5">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0.000087</w:t>
            </w:r>
          </w:p>
        </w:tc>
        <w:tc>
          <w:tcPr>
            <w:tcW w:w="571" w:type="pct"/>
            <w:vMerge w:val="continue"/>
            <w:noWrap w:val="0"/>
            <w:vAlign w:val="center"/>
          </w:tcPr>
          <w:p w14:paraId="3C50C850">
            <w:pPr>
              <w:widowControl/>
              <w:jc w:val="center"/>
              <w:rPr>
                <w:rFonts w:hint="default" w:ascii="Times New Roman" w:hAnsi="Times New Roman" w:eastAsia="宋体" w:cs="Times New Roman"/>
                <w:color w:val="auto"/>
                <w:kern w:val="2"/>
                <w:sz w:val="21"/>
                <w:szCs w:val="21"/>
                <w:highlight w:val="none"/>
                <w:lang w:val="de-DE"/>
              </w:rPr>
            </w:pPr>
          </w:p>
        </w:tc>
        <w:tc>
          <w:tcPr>
            <w:tcW w:w="671" w:type="pct"/>
            <w:noWrap w:val="0"/>
            <w:vAlign w:val="center"/>
          </w:tcPr>
          <w:p w14:paraId="6F24FE51">
            <w:pPr>
              <w:widowControl/>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0.87</w:t>
            </w:r>
            <w:r>
              <w:rPr>
                <w:rFonts w:hint="default" w:ascii="Times New Roman" w:hAnsi="Times New Roman" w:eastAsia="宋体" w:cs="Times New Roman"/>
                <w:color w:val="auto"/>
                <w:kern w:val="2"/>
                <w:sz w:val="21"/>
                <w:szCs w:val="21"/>
                <w:highlight w:val="none"/>
                <w:lang w:val="en-US" w:eastAsia="zh-CN"/>
              </w:rPr>
              <w:t>kg/h</w:t>
            </w:r>
          </w:p>
        </w:tc>
      </w:tr>
      <w:tr w14:paraId="3FE1F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95" w:type="pct"/>
            <w:vMerge w:val="continue"/>
            <w:noWrap w:val="0"/>
            <w:vAlign w:val="center"/>
          </w:tcPr>
          <w:p w14:paraId="60B74D40">
            <w:pPr>
              <w:widowControl w:val="0"/>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highlight w:val="none"/>
              </w:rPr>
            </w:pPr>
          </w:p>
        </w:tc>
        <w:tc>
          <w:tcPr>
            <w:tcW w:w="311" w:type="pct"/>
            <w:vMerge w:val="continue"/>
            <w:noWrap w:val="0"/>
            <w:vAlign w:val="center"/>
          </w:tcPr>
          <w:p w14:paraId="5D41854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de-DE"/>
              </w:rPr>
            </w:pPr>
          </w:p>
        </w:tc>
        <w:tc>
          <w:tcPr>
            <w:tcW w:w="317" w:type="pct"/>
            <w:vMerge w:val="continue"/>
            <w:noWrap w:val="0"/>
            <w:vAlign w:val="center"/>
          </w:tcPr>
          <w:p w14:paraId="22C4FED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571" w:type="pct"/>
            <w:shd w:val="clear" w:color="auto" w:fill="auto"/>
            <w:noWrap w:val="0"/>
            <w:vAlign w:val="center"/>
          </w:tcPr>
          <w:p w14:paraId="67EDF20E">
            <w:pPr>
              <w:widowControl w:val="0"/>
              <w:adjustRightInd w:val="0"/>
              <w:snapToGrid/>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zh-CN" w:eastAsia="zh-CN"/>
              </w:rPr>
              <w:t>NO</w:t>
            </w:r>
            <w:r>
              <w:rPr>
                <w:rFonts w:hint="default" w:ascii="Times New Roman" w:hAnsi="Times New Roman" w:eastAsia="宋体" w:cs="Times New Roman"/>
                <w:color w:val="auto"/>
                <w:sz w:val="21"/>
                <w:szCs w:val="21"/>
                <w:highlight w:val="none"/>
                <w:vertAlign w:val="subscript"/>
                <w:lang w:val="zh-CN" w:eastAsia="zh-CN"/>
              </w:rPr>
              <w:t>X</w:t>
            </w:r>
          </w:p>
        </w:tc>
        <w:tc>
          <w:tcPr>
            <w:tcW w:w="589" w:type="pct"/>
            <w:noWrap w:val="0"/>
            <w:vAlign w:val="center"/>
          </w:tcPr>
          <w:p w14:paraId="40AAD324">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0.0036</w:t>
            </w:r>
          </w:p>
        </w:tc>
        <w:tc>
          <w:tcPr>
            <w:tcW w:w="1082" w:type="pct"/>
            <w:vMerge w:val="continue"/>
            <w:noWrap w:val="0"/>
            <w:vAlign w:val="center"/>
          </w:tcPr>
          <w:p w14:paraId="375DA823">
            <w:pPr>
              <w:widowControl/>
              <w:jc w:val="center"/>
              <w:rPr>
                <w:rFonts w:hint="default" w:ascii="Times New Roman" w:hAnsi="Times New Roman" w:eastAsia="宋体" w:cs="Times New Roman"/>
                <w:color w:val="auto"/>
                <w:kern w:val="2"/>
                <w:sz w:val="21"/>
                <w:szCs w:val="21"/>
                <w:highlight w:val="none"/>
                <w:lang w:val="de-DE"/>
              </w:rPr>
            </w:pPr>
          </w:p>
        </w:tc>
        <w:tc>
          <w:tcPr>
            <w:tcW w:w="589" w:type="pct"/>
            <w:shd w:val="clear" w:color="auto" w:fill="auto"/>
            <w:noWrap w:val="0"/>
            <w:vAlign w:val="center"/>
          </w:tcPr>
          <w:p w14:paraId="3D5574D8">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0.0036</w:t>
            </w:r>
          </w:p>
        </w:tc>
        <w:tc>
          <w:tcPr>
            <w:tcW w:w="571" w:type="pct"/>
            <w:vMerge w:val="continue"/>
            <w:noWrap w:val="0"/>
            <w:vAlign w:val="center"/>
          </w:tcPr>
          <w:p w14:paraId="497E37AA">
            <w:pPr>
              <w:widowControl/>
              <w:jc w:val="center"/>
              <w:rPr>
                <w:rFonts w:hint="default" w:ascii="Times New Roman" w:hAnsi="Times New Roman" w:eastAsia="宋体" w:cs="Times New Roman"/>
                <w:color w:val="auto"/>
                <w:kern w:val="2"/>
                <w:sz w:val="21"/>
                <w:szCs w:val="21"/>
                <w:highlight w:val="none"/>
                <w:lang w:val="de-DE"/>
              </w:rPr>
            </w:pPr>
          </w:p>
        </w:tc>
        <w:tc>
          <w:tcPr>
            <w:tcW w:w="671" w:type="pct"/>
            <w:noWrap w:val="0"/>
            <w:vAlign w:val="center"/>
          </w:tcPr>
          <w:p w14:paraId="43503964">
            <w:pPr>
              <w:widowControl/>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0.26</w:t>
            </w:r>
            <w:r>
              <w:rPr>
                <w:rFonts w:hint="default" w:ascii="Times New Roman" w:hAnsi="Times New Roman" w:eastAsia="宋体" w:cs="Times New Roman"/>
                <w:color w:val="auto"/>
                <w:kern w:val="2"/>
                <w:sz w:val="21"/>
                <w:szCs w:val="21"/>
                <w:highlight w:val="none"/>
                <w:lang w:val="en-US" w:eastAsia="zh-CN"/>
              </w:rPr>
              <w:t>kg/h</w:t>
            </w:r>
          </w:p>
        </w:tc>
      </w:tr>
    </w:tbl>
    <w:p w14:paraId="0B0F490F">
      <w:pPr>
        <w:pStyle w:val="94"/>
        <w:ind w:firstLine="480"/>
        <w:rPr>
          <w:rFonts w:hint="default" w:ascii="Times New Roman" w:hAnsi="Times New Roman" w:eastAsia="宋体" w:cs="Times New Roman"/>
          <w:b w:val="0"/>
          <w:bCs w:val="0"/>
          <w:smallCaps/>
          <w:color w:val="auto"/>
          <w:kern w:val="0"/>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由上表可知，本项目</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运营期恶臭污染物H</w:t>
      </w:r>
      <w:r>
        <w:rPr>
          <w:rFonts w:hint="default" w:ascii="Times New Roman" w:hAnsi="Times New Roman" w:eastAsia="宋体" w:cs="Times New Roman"/>
          <w:b w:val="0"/>
          <w:bCs w:val="0"/>
          <w:smallCap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S、NH</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有</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组织排放浓度</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满足</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《恶臭污染物排放标准》（GB14554-93）表</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中</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恶臭污染物排放标准限值，</w:t>
      </w:r>
      <w:r>
        <w:rPr>
          <w:rFonts w:hint="default" w:ascii="Times New Roman" w:hAnsi="Times New Roman" w:eastAsia="宋体" w:cs="Times New Roman"/>
          <w:color w:val="auto"/>
          <w:kern w:val="2"/>
          <w:sz w:val="24"/>
          <w:szCs w:val="24"/>
          <w:highlight w:val="none"/>
          <w:lang w:val="en-US" w:eastAsia="zh-CN" w:bidi="ar-SA"/>
        </w:rPr>
        <w:t>厂界可以满足《恶臭污染物排放标准》（GB14554-1993）中表1恶臭污染物厂界标准中二级标准值：氨1.5mg/m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，0.06mg/m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，臭气浓度能够满足《畜禽养殖业污染物排放标准》（GB18596-2001）中表7臭气浓度70（无量纲）的排放限值要求</w:t>
      </w:r>
      <w:r>
        <w:rPr>
          <w:rFonts w:hint="default" w:ascii="Times New Roman" w:hAnsi="Times New Roman" w:eastAsia="宋体" w:cs="Times New Roman"/>
          <w:b w:val="0"/>
          <w:bCs w:val="0"/>
          <w:smallCaps/>
          <w:color w:val="auto"/>
          <w:kern w:val="0"/>
          <w:sz w:val="24"/>
          <w:szCs w:val="24"/>
          <w:highlight w:val="none"/>
          <w:lang w:val="en-US" w:eastAsia="zh-CN" w:bidi="ar-SA"/>
        </w:rPr>
        <w:t>沼气燃烧所产生的废气</w:t>
      </w:r>
      <w:r>
        <w:rPr>
          <w:rFonts w:hint="eastAsia" w:ascii="Times New Roman" w:hAnsi="Times New Roman" w:eastAsia="宋体" w:cs="Times New Roman"/>
          <w:b w:val="0"/>
          <w:bCs w:val="0"/>
          <w:smallCaps/>
          <w:color w:val="auto"/>
          <w:kern w:val="0"/>
          <w:sz w:val="24"/>
          <w:szCs w:val="24"/>
          <w:highlight w:val="none"/>
          <w:lang w:val="en-US" w:eastAsia="zh-CN" w:bidi="ar-SA"/>
        </w:rPr>
        <w:t>满足</w:t>
      </w:r>
      <w:r>
        <w:rPr>
          <w:rFonts w:hint="default" w:ascii="Times New Roman" w:hAnsi="Times New Roman" w:eastAsia="宋体" w:cs="Times New Roman"/>
          <w:b w:val="0"/>
          <w:bCs w:val="0"/>
          <w:smallCaps/>
          <w:color w:val="auto"/>
          <w:kern w:val="0"/>
          <w:sz w:val="24"/>
          <w:szCs w:val="24"/>
          <w:highlight w:val="none"/>
          <w:lang w:val="en-US" w:eastAsia="zh-CN" w:bidi="ar-SA"/>
        </w:rPr>
        <w:t>《大气污染物综合排放标准》(GB16297-1996)表2二级标准。</w:t>
      </w:r>
    </w:p>
    <w:p w14:paraId="7407F733">
      <w:pPr>
        <w:spacing w:before="0" w:line="360" w:lineRule="auto"/>
        <w:ind w:left="0" w:firstLine="400" w:firstLineChars="200"/>
        <w:jc w:val="both"/>
        <w:rPr>
          <w:rFonts w:hint="default" w:ascii="宋体" w:hAnsi="宋体" w:eastAsia="宋体" w:cs="Times New Roman"/>
          <w:smallCaps/>
          <w:kern w:val="0"/>
          <w:sz w:val="20"/>
          <w:szCs w:val="20"/>
          <w:highlight w:val="none"/>
          <w:lang w:val="en-US" w:eastAsia="zh-CN" w:bidi="ar-SA"/>
        </w:rPr>
      </w:pPr>
    </w:p>
    <w:p w14:paraId="77073247">
      <w:pPr>
        <w:pStyle w:val="94"/>
        <w:ind w:firstLine="480"/>
        <w:rPr>
          <w:rFonts w:hint="default" w:ascii="Times New Roman" w:hAnsi="Times New Roman" w:eastAsia="宋体" w:cs="Times New Roman"/>
          <w:snapToGrid w:val="0"/>
          <w:color w:val="auto"/>
          <w:highlight w:val="none"/>
        </w:rPr>
      </w:pPr>
    </w:p>
    <w:p w14:paraId="19C4AEA2">
      <w:pPr>
        <w:pStyle w:val="94"/>
        <w:ind w:firstLine="480"/>
        <w:rPr>
          <w:rFonts w:hint="default" w:ascii="Times New Roman" w:hAnsi="Times New Roman" w:eastAsia="宋体" w:cs="Times New Roman"/>
          <w:snapToGrid w:val="0"/>
          <w:color w:val="auto"/>
          <w:highlight w:val="none"/>
        </w:rPr>
      </w:pPr>
    </w:p>
    <w:p w14:paraId="44E6245A">
      <w:pPr>
        <w:pStyle w:val="94"/>
        <w:ind w:firstLine="480"/>
        <w:rPr>
          <w:rFonts w:hint="default" w:ascii="Times New Roman" w:hAnsi="Times New Roman" w:eastAsia="宋体" w:cs="Times New Roman"/>
          <w:snapToGrid w:val="0"/>
          <w:color w:val="auto"/>
          <w:highlight w:val="none"/>
        </w:rPr>
      </w:pPr>
    </w:p>
    <w:p w14:paraId="6967F827">
      <w:pPr>
        <w:spacing w:line="360" w:lineRule="auto"/>
        <w:ind w:firstLine="420"/>
        <w:jc w:val="both"/>
        <w:rPr>
          <w:rFonts w:hint="default" w:ascii="Times New Roman" w:hAnsi="Times New Roman" w:eastAsia="宋体" w:cs="Times New Roman"/>
          <w:snapToGrid w:val="0"/>
          <w:color w:val="auto"/>
          <w:highlight w:val="none"/>
          <w:lang w:val="zh-CN"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DA9D4D2">
      <w:pPr>
        <w:pStyle w:val="8"/>
        <w:bidi w:val="0"/>
        <w:rPr>
          <w:rFonts w:hint="eastAsia" w:ascii="Times New Roman" w:hAnsi="Times New Roman" w:eastAsia="宋体" w:cs="Times New Roman"/>
          <w:color w:val="auto"/>
          <w:highlight w:val="none"/>
          <w:lang w:eastAsia="zh-CN"/>
        </w:rPr>
      </w:pPr>
      <w:bookmarkStart w:id="488" w:name="_Toc25379"/>
      <w:bookmarkStart w:id="489" w:name="_Toc21565"/>
      <w:r>
        <w:rPr>
          <w:rFonts w:hint="default" w:ascii="Times New Roman" w:hAnsi="Times New Roman" w:eastAsia="宋体" w:cs="Times New Roman"/>
          <w:color w:val="auto"/>
          <w:highlight w:val="none"/>
        </w:rPr>
        <w:t>3.</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.2.2废水</w:t>
      </w:r>
      <w:bookmarkEnd w:id="488"/>
      <w:bookmarkEnd w:id="489"/>
    </w:p>
    <w:p w14:paraId="46EA2B24">
      <w:pPr>
        <w:pStyle w:val="94"/>
        <w:ind w:firstLine="480"/>
        <w:rPr>
          <w:rFonts w:hint="default" w:ascii="Times New Roman" w:hAnsi="Times New Roman" w:eastAsia="宋体" w:cs="Times New Roman"/>
          <w:color w:val="auto"/>
          <w:highlight w:val="none"/>
        </w:rPr>
      </w:pPr>
      <w:bookmarkStart w:id="490" w:name="_Hlk479527922"/>
      <w:bookmarkStart w:id="491" w:name="_Hlk480400619"/>
      <w:bookmarkStart w:id="492" w:name="_Hlk479528180"/>
      <w:r>
        <w:rPr>
          <w:rFonts w:hint="default" w:ascii="Times New Roman" w:hAnsi="Times New Roman" w:cs="Times New Roman"/>
          <w:color w:val="auto"/>
          <w:highlight w:val="none"/>
        </w:rPr>
        <w:t>本项目采取</w:t>
      </w:r>
      <w:r>
        <w:rPr>
          <w:rFonts w:hint="eastAsia" w:ascii="Times New Roman" w:hAnsi="Times New Roman" w:cs="Times New Roman"/>
          <w:color w:val="auto"/>
          <w:highlight w:val="none"/>
          <w:lang w:eastAsia="zh-CN"/>
        </w:rPr>
        <w:t>尿泡粪—干清粪</w:t>
      </w:r>
      <w:r>
        <w:rPr>
          <w:rFonts w:hint="default" w:ascii="Times New Roman" w:hAnsi="Times New Roman" w:cs="Times New Roman"/>
          <w:color w:val="auto"/>
          <w:highlight w:val="none"/>
        </w:rPr>
        <w:t>工艺，废水主要包括</w:t>
      </w:r>
      <w:r>
        <w:rPr>
          <w:rFonts w:hint="default" w:ascii="Times New Roman" w:hAnsi="Times New Roman" w:cs="Times New Roman"/>
          <w:color w:val="auto"/>
          <w:highlight w:val="none"/>
          <w:lang w:val="en-US" w:eastAsia="zh-CN"/>
        </w:rPr>
        <w:t>养殖废水（猪尿、冲洗废水、固液分离废水、洗消车间废水）和</w:t>
      </w:r>
      <w:r>
        <w:rPr>
          <w:rFonts w:hint="default" w:ascii="Times New Roman" w:hAnsi="Times New Roman" w:cs="Times New Roman"/>
          <w:color w:val="auto"/>
          <w:highlight w:val="none"/>
        </w:rPr>
        <w:t>职工生活污水。</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沼液贮存池。</w:t>
      </w:r>
      <w:r>
        <w:rPr>
          <w:rFonts w:hint="default" w:ascii="Times New Roman" w:hAnsi="Times New Roman" w:eastAsia="宋体" w:cs="Times New Roman"/>
          <w:snapToGrid w:val="0"/>
          <w:color w:val="auto"/>
          <w:highlight w:val="none"/>
        </w:rPr>
        <w:t>全年总排水量为</w:t>
      </w:r>
      <w:r>
        <w:rPr>
          <w:rFonts w:hint="eastAsia" w:ascii="Times New Roman" w:hAnsi="Times New Roman" w:cs="Times New Roman"/>
          <w:snapToGrid w:val="0"/>
          <w:color w:val="auto"/>
          <w:highlight w:val="none"/>
          <w:lang w:val="en-US" w:eastAsia="zh-CN"/>
        </w:rPr>
        <w:t>9539.567</w:t>
      </w:r>
      <w:r>
        <w:rPr>
          <w:rFonts w:hint="default" w:ascii="Times New Roman" w:hAnsi="Times New Roman" w:eastAsia="宋体" w:cs="Times New Roman"/>
          <w:snapToGrid w:val="0"/>
          <w:color w:val="auto"/>
          <w:highlight w:val="none"/>
        </w:rPr>
        <w:t>t/a，</w:t>
      </w:r>
      <w:r>
        <w:rPr>
          <w:rFonts w:hint="default" w:ascii="Times New Roman" w:hAnsi="Times New Roman" w:eastAsia="宋体" w:cs="Times New Roman"/>
          <w:color w:val="auto"/>
          <w:highlight w:val="none"/>
        </w:rPr>
        <w:t>废水排放量见下表。</w:t>
      </w:r>
    </w:p>
    <w:p w14:paraId="2F22E6FD">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0</w:t>
      </w:r>
      <w:r>
        <w:rPr>
          <w:rFonts w:hint="default" w:ascii="Times New Roman" w:hAnsi="Times New Roman" w:eastAsia="黑体" w:cs="Times New Roman"/>
          <w:b w:val="0"/>
          <w:bCs/>
          <w:smallCaps w:val="0"/>
          <w:snapToGrid/>
          <w:kern w:val="2"/>
          <w:sz w:val="21"/>
          <w:szCs w:val="24"/>
          <w:highlight w:val="none"/>
          <w:lang w:val="en-US" w:eastAsia="zh-CN" w:bidi="ar-SA"/>
        </w:rPr>
        <w:t xml:space="preserve">  项目废水排放量</w:t>
      </w:r>
    </w:p>
    <w:tbl>
      <w:tblPr>
        <w:tblStyle w:val="39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232"/>
        <w:gridCol w:w="1232"/>
        <w:gridCol w:w="1232"/>
        <w:gridCol w:w="1232"/>
        <w:gridCol w:w="1232"/>
        <w:gridCol w:w="1011"/>
      </w:tblGrid>
      <w:tr w14:paraId="4074D3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5B1ECBE2">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项目</w:t>
            </w:r>
          </w:p>
        </w:tc>
        <w:tc>
          <w:tcPr>
            <w:tcW w:w="723" w:type="pct"/>
            <w:tcBorders>
              <w:tl2br w:val="nil"/>
              <w:tr2bl w:val="nil"/>
            </w:tcBorders>
            <w:noWrap w:val="0"/>
            <w:vAlign w:val="center"/>
          </w:tcPr>
          <w:p w14:paraId="6DBE3C21">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猪尿</w:t>
            </w:r>
          </w:p>
        </w:tc>
        <w:tc>
          <w:tcPr>
            <w:tcW w:w="723" w:type="pct"/>
            <w:tcBorders>
              <w:tl2br w:val="nil"/>
              <w:tr2bl w:val="nil"/>
            </w:tcBorders>
            <w:noWrap w:val="0"/>
            <w:vAlign w:val="center"/>
          </w:tcPr>
          <w:p w14:paraId="5F66C59F">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冲洗废水</w:t>
            </w:r>
          </w:p>
        </w:tc>
        <w:tc>
          <w:tcPr>
            <w:tcW w:w="723" w:type="pct"/>
            <w:tcBorders>
              <w:tl2br w:val="nil"/>
              <w:tr2bl w:val="nil"/>
            </w:tcBorders>
            <w:noWrap w:val="0"/>
            <w:vAlign w:val="center"/>
          </w:tcPr>
          <w:p w14:paraId="763C5396">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职工</w:t>
            </w:r>
            <w:r>
              <w:rPr>
                <w:rFonts w:hint="default" w:ascii="Times New Roman" w:hAnsi="Times New Roman" w:cs="Times New Roman"/>
                <w:snapToGrid w:val="0"/>
                <w:color w:val="auto"/>
                <w:sz w:val="21"/>
                <w:szCs w:val="21"/>
                <w:highlight w:val="none"/>
              </w:rPr>
              <w:t>生活污水</w:t>
            </w:r>
          </w:p>
        </w:tc>
        <w:tc>
          <w:tcPr>
            <w:tcW w:w="723" w:type="pct"/>
            <w:tcBorders>
              <w:tl2br w:val="nil"/>
              <w:tr2bl w:val="nil"/>
            </w:tcBorders>
            <w:noWrap w:val="0"/>
            <w:vAlign w:val="center"/>
          </w:tcPr>
          <w:p w14:paraId="4102B24D">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固液分离废水</w:t>
            </w:r>
          </w:p>
        </w:tc>
        <w:tc>
          <w:tcPr>
            <w:tcW w:w="723" w:type="pct"/>
            <w:tcBorders>
              <w:tl2br w:val="nil"/>
              <w:tr2bl w:val="nil"/>
            </w:tcBorders>
            <w:noWrap w:val="0"/>
            <w:vAlign w:val="center"/>
          </w:tcPr>
          <w:p w14:paraId="1339E1AC">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洗消车间废水</w:t>
            </w:r>
          </w:p>
        </w:tc>
        <w:tc>
          <w:tcPr>
            <w:tcW w:w="593" w:type="pct"/>
            <w:tcBorders>
              <w:tl2br w:val="nil"/>
              <w:tr2bl w:val="nil"/>
            </w:tcBorders>
            <w:noWrap w:val="0"/>
            <w:vAlign w:val="center"/>
          </w:tcPr>
          <w:p w14:paraId="202EB332">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小计</w:t>
            </w:r>
          </w:p>
        </w:tc>
      </w:tr>
      <w:tr w14:paraId="7A5744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7A0057F6">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日排水量（t/d）</w:t>
            </w:r>
          </w:p>
        </w:tc>
        <w:tc>
          <w:tcPr>
            <w:tcW w:w="723" w:type="pct"/>
            <w:tcBorders>
              <w:tl2br w:val="nil"/>
              <w:tr2bl w:val="nil"/>
            </w:tcBorders>
            <w:noWrap w:val="0"/>
            <w:vAlign w:val="center"/>
          </w:tcPr>
          <w:p w14:paraId="2C76BC78">
            <w:pPr>
              <w:adjustRightInd w:val="0"/>
              <w:snapToGrid w:val="0"/>
              <w:jc w:val="center"/>
              <w:rPr>
                <w:rFonts w:hint="default" w:ascii="Times New Roman" w:hAnsi="Times New Roman"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14.3934</w:t>
            </w:r>
          </w:p>
        </w:tc>
        <w:tc>
          <w:tcPr>
            <w:tcW w:w="723" w:type="pct"/>
            <w:tcBorders>
              <w:tl2br w:val="nil"/>
              <w:tr2bl w:val="nil"/>
            </w:tcBorders>
            <w:noWrap w:val="0"/>
            <w:vAlign w:val="center"/>
          </w:tcPr>
          <w:p w14:paraId="26096CB3">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4.036</w:t>
            </w:r>
          </w:p>
        </w:tc>
        <w:tc>
          <w:tcPr>
            <w:tcW w:w="723" w:type="pct"/>
            <w:tcBorders>
              <w:tl2br w:val="nil"/>
              <w:tr2bl w:val="nil"/>
            </w:tcBorders>
            <w:noWrap w:val="0"/>
            <w:vAlign w:val="center"/>
          </w:tcPr>
          <w:p w14:paraId="4A28644B">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0.704</w:t>
            </w:r>
          </w:p>
        </w:tc>
        <w:tc>
          <w:tcPr>
            <w:tcW w:w="723" w:type="pct"/>
            <w:tcBorders>
              <w:tl2br w:val="nil"/>
              <w:tr2bl w:val="nil"/>
            </w:tcBorders>
            <w:noWrap w:val="0"/>
            <w:vAlign w:val="center"/>
          </w:tcPr>
          <w:p w14:paraId="71DC85CA">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6.9786</w:t>
            </w:r>
          </w:p>
        </w:tc>
        <w:tc>
          <w:tcPr>
            <w:tcW w:w="723" w:type="pct"/>
            <w:tcBorders>
              <w:tl2br w:val="nil"/>
              <w:tr2bl w:val="nil"/>
            </w:tcBorders>
            <w:noWrap w:val="0"/>
            <w:vAlign w:val="center"/>
          </w:tcPr>
          <w:p w14:paraId="0E1A4652">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0.0238</w:t>
            </w:r>
          </w:p>
        </w:tc>
        <w:tc>
          <w:tcPr>
            <w:tcW w:w="593" w:type="pct"/>
            <w:tcBorders>
              <w:tl2br w:val="nil"/>
              <w:tr2bl w:val="nil"/>
            </w:tcBorders>
            <w:noWrap w:val="0"/>
            <w:vAlign w:val="center"/>
          </w:tcPr>
          <w:p w14:paraId="1BC6ECB9">
            <w:pPr>
              <w:keepNext w:val="0"/>
              <w:keepLines w:val="0"/>
              <w:widowControl/>
              <w:suppressLineNumbers w:val="0"/>
              <w:adjustRightInd w:val="0"/>
              <w:snapToGrid w:val="0"/>
              <w:jc w:val="center"/>
              <w:textAlignment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26.1358</w:t>
            </w:r>
          </w:p>
        </w:tc>
      </w:tr>
    </w:tbl>
    <w:p w14:paraId="2A1818B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（1）养殖废水与职工生活污水</w:t>
      </w:r>
    </w:p>
    <w:p w14:paraId="4D5C239F">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根据《畜禽养殖业污染治理工程技术规范》（HJ/497-2009）附录A“表A.1畜禽养殖场废水中的污染物</w:t>
      </w:r>
      <w:r>
        <w:rPr>
          <w:rFonts w:hint="default" w:ascii="Times New Roman" w:hAnsi="Times New Roman" w:cs="Times New Roman"/>
          <w:color w:val="auto"/>
          <w:highlight w:val="none"/>
          <w:lang w:val="en-US" w:eastAsia="zh-CN"/>
        </w:rPr>
        <w:t>质量</w:t>
      </w:r>
      <w:r>
        <w:rPr>
          <w:rFonts w:hint="default" w:ascii="Times New Roman" w:hAnsi="Times New Roman" w:eastAsia="宋体" w:cs="Times New Roman"/>
          <w:color w:val="auto"/>
          <w:highlight w:val="none"/>
        </w:rPr>
        <w:t>浓度和pH值”确定本项目废水排放源强，详见</w:t>
      </w:r>
      <w:r>
        <w:rPr>
          <w:rFonts w:hint="default" w:ascii="Times New Roman" w:hAnsi="Times New Roman" w:eastAsia="宋体" w:cs="Times New Roman"/>
          <w:color w:val="auto"/>
          <w:highlight w:val="none"/>
          <w:lang w:val="en-US" w:eastAsia="zh-CN"/>
        </w:rPr>
        <w:t>下</w:t>
      </w:r>
      <w:r>
        <w:rPr>
          <w:rFonts w:hint="default" w:ascii="Times New Roman" w:hAnsi="Times New Roman" w:eastAsia="宋体" w:cs="Times New Roman"/>
          <w:color w:val="auto"/>
          <w:highlight w:val="none"/>
        </w:rPr>
        <w:t>表。</w:t>
      </w:r>
    </w:p>
    <w:p w14:paraId="161581AF">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畜禽养殖场废水中的污染物浓度和pH值</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en-US" w:eastAsia="zh-CN" w:bidi="ar-SA"/>
        </w:rPr>
        <w:t>HJ/497-2009</w:t>
      </w:r>
      <w:r>
        <w:rPr>
          <w:rFonts w:hint="eastAsia" w:ascii="Times New Roman" w:hAnsi="Times New Roman" w:eastAsia="黑体" w:cs="Times New Roman"/>
          <w:b w:val="0"/>
          <w:bCs/>
          <w:smallCaps w:val="0"/>
          <w:snapToGrid/>
          <w:kern w:val="2"/>
          <w:sz w:val="21"/>
          <w:szCs w:val="24"/>
          <w:highlight w:val="none"/>
          <w:lang w:val="en-US" w:eastAsia="zh-CN" w:bidi="ar-SA"/>
        </w:rPr>
        <w:t>）</w:t>
      </w:r>
    </w:p>
    <w:tbl>
      <w:tblPr>
        <w:tblStyle w:val="39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859"/>
        <w:gridCol w:w="1540"/>
        <w:gridCol w:w="1540"/>
        <w:gridCol w:w="1540"/>
        <w:gridCol w:w="1542"/>
        <w:gridCol w:w="855"/>
      </w:tblGrid>
      <w:tr w14:paraId="4962F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615C99B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养殖种类</w:t>
            </w:r>
          </w:p>
        </w:tc>
        <w:tc>
          <w:tcPr>
            <w:tcW w:w="859" w:type="dxa"/>
            <w:vAlign w:val="center"/>
          </w:tcPr>
          <w:p w14:paraId="1204B4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清粪方式</w:t>
            </w:r>
          </w:p>
        </w:tc>
        <w:tc>
          <w:tcPr>
            <w:tcW w:w="1540" w:type="dxa"/>
            <w:vAlign w:val="center"/>
          </w:tcPr>
          <w:p w14:paraId="7B32445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COD（mg/L）</w:t>
            </w:r>
          </w:p>
        </w:tc>
        <w:tc>
          <w:tcPr>
            <w:tcW w:w="1540" w:type="dxa"/>
            <w:vAlign w:val="center"/>
          </w:tcPr>
          <w:p w14:paraId="6025D21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-N（mg/L）</w:t>
            </w:r>
          </w:p>
        </w:tc>
        <w:tc>
          <w:tcPr>
            <w:tcW w:w="1540" w:type="dxa"/>
            <w:vAlign w:val="center"/>
          </w:tcPr>
          <w:p w14:paraId="42649B1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TN（mg/L）</w:t>
            </w:r>
          </w:p>
        </w:tc>
        <w:tc>
          <w:tcPr>
            <w:tcW w:w="1542" w:type="dxa"/>
            <w:vAlign w:val="center"/>
          </w:tcPr>
          <w:p w14:paraId="77AFFCC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TP（mg/L）</w:t>
            </w:r>
          </w:p>
        </w:tc>
        <w:tc>
          <w:tcPr>
            <w:tcW w:w="0" w:type="auto"/>
            <w:vAlign w:val="center"/>
          </w:tcPr>
          <w:p w14:paraId="5E885B1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pH值</w:t>
            </w:r>
          </w:p>
        </w:tc>
      </w:tr>
      <w:tr w14:paraId="09B9B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1292FE8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w:t>
            </w:r>
          </w:p>
        </w:tc>
        <w:tc>
          <w:tcPr>
            <w:tcW w:w="859" w:type="dxa"/>
            <w:vAlign w:val="center"/>
          </w:tcPr>
          <w:p w14:paraId="10CDA446">
            <w:pPr>
              <w:pStyle w:val="152"/>
              <w:adjustRightInd w:val="0"/>
              <w:snapToGrid w:val="0"/>
              <w:rPr>
                <w:rFonts w:hint="eastAsia" w:ascii="Times New Roman" w:hAnsi="Times New Roman" w:cs="Times New Roman"/>
                <w:snapToGrid w:val="0"/>
                <w:color w:val="auto"/>
                <w:highlight w:val="none"/>
                <w:lang w:eastAsia="zh-CN"/>
              </w:rPr>
            </w:pPr>
            <w:r>
              <w:rPr>
                <w:rFonts w:hint="eastAsia" w:ascii="Times New Roman" w:hAnsi="Times New Roman" w:cs="Times New Roman"/>
                <w:snapToGrid w:val="0"/>
                <w:color w:val="auto"/>
                <w:highlight w:val="none"/>
                <w:lang w:eastAsia="zh-CN"/>
              </w:rPr>
              <w:t>尿泡粪—干清粪</w:t>
            </w:r>
          </w:p>
          <w:p w14:paraId="2AD22672">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(干清粪)</w:t>
            </w:r>
          </w:p>
        </w:tc>
        <w:tc>
          <w:tcPr>
            <w:tcW w:w="1540" w:type="dxa"/>
            <w:vAlign w:val="center"/>
          </w:tcPr>
          <w:p w14:paraId="246E1969">
            <w:pPr>
              <w:pStyle w:val="152"/>
              <w:adjustRightInd w:val="0"/>
              <w:snapToGrid w:val="0"/>
              <w:rPr>
                <w:rFonts w:hint="default" w:ascii="Times New Roman" w:hAnsi="Times New Roman" w:eastAsia="宋体" w:cs="Times New Roman"/>
                <w:snapToGrid w:val="0"/>
                <w:color w:val="auto"/>
                <w:highlight w:val="none"/>
                <w:vertAlign w:val="superscript"/>
              </w:rPr>
            </w:pPr>
            <w:r>
              <w:rPr>
                <w:rFonts w:hint="default" w:ascii="Times New Roman" w:hAnsi="Times New Roman" w:eastAsia="宋体" w:cs="Times New Roman"/>
                <w:snapToGrid w:val="0"/>
                <w:color w:val="auto"/>
                <w:highlight w:val="none"/>
              </w:rPr>
              <w:t>2.51×10</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～2.77×10</w:t>
            </w:r>
            <w:r>
              <w:rPr>
                <w:rFonts w:hint="default" w:ascii="Times New Roman" w:hAnsi="Times New Roman" w:eastAsia="宋体" w:cs="Times New Roman"/>
                <w:snapToGrid w:val="0"/>
                <w:color w:val="auto"/>
                <w:highlight w:val="none"/>
                <w:vertAlign w:val="superscript"/>
              </w:rPr>
              <w:t>3</w:t>
            </w:r>
          </w:p>
          <w:p w14:paraId="3A85546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平均2640</w:t>
            </w:r>
          </w:p>
        </w:tc>
        <w:tc>
          <w:tcPr>
            <w:tcW w:w="1540" w:type="dxa"/>
            <w:vAlign w:val="center"/>
          </w:tcPr>
          <w:p w14:paraId="54BDCB34">
            <w:pPr>
              <w:pStyle w:val="152"/>
              <w:adjustRightInd w:val="0"/>
              <w:snapToGrid w:val="0"/>
              <w:rPr>
                <w:rFonts w:hint="default" w:ascii="Times New Roman" w:hAnsi="Times New Roman" w:eastAsia="宋体" w:cs="Times New Roman"/>
                <w:snapToGrid w:val="0"/>
                <w:color w:val="auto"/>
                <w:highlight w:val="none"/>
                <w:vertAlign w:val="superscript"/>
              </w:rPr>
            </w:pPr>
            <w:r>
              <w:rPr>
                <w:rFonts w:hint="default" w:ascii="Times New Roman" w:hAnsi="Times New Roman" w:eastAsia="宋体" w:cs="Times New Roman"/>
                <w:snapToGrid w:val="0"/>
                <w:color w:val="auto"/>
                <w:highlight w:val="none"/>
              </w:rPr>
              <w:t>2.34×10</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～2.88×10</w:t>
            </w:r>
            <w:r>
              <w:rPr>
                <w:rFonts w:hint="default" w:ascii="Times New Roman" w:hAnsi="Times New Roman" w:eastAsia="宋体" w:cs="Times New Roman"/>
                <w:snapToGrid w:val="0"/>
                <w:color w:val="auto"/>
                <w:highlight w:val="none"/>
                <w:vertAlign w:val="superscript"/>
              </w:rPr>
              <w:t>3</w:t>
            </w:r>
          </w:p>
          <w:p w14:paraId="6F8F41B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平均261</w:t>
            </w:r>
          </w:p>
        </w:tc>
        <w:tc>
          <w:tcPr>
            <w:tcW w:w="1540" w:type="dxa"/>
            <w:vAlign w:val="center"/>
          </w:tcPr>
          <w:p w14:paraId="791E511D">
            <w:pPr>
              <w:pStyle w:val="152"/>
              <w:adjustRightInd w:val="0"/>
              <w:snapToGrid w:val="0"/>
              <w:rPr>
                <w:rFonts w:hint="default" w:ascii="Times New Roman" w:hAnsi="Times New Roman" w:eastAsia="宋体" w:cs="Times New Roman"/>
                <w:snapToGrid w:val="0"/>
                <w:color w:val="auto"/>
                <w:highlight w:val="none"/>
                <w:vertAlign w:val="superscript"/>
              </w:rPr>
            </w:pPr>
            <w:r>
              <w:rPr>
                <w:rFonts w:hint="default" w:ascii="Times New Roman" w:hAnsi="Times New Roman" w:eastAsia="宋体" w:cs="Times New Roman"/>
                <w:snapToGrid w:val="0"/>
                <w:color w:val="auto"/>
                <w:highlight w:val="none"/>
              </w:rPr>
              <w:t>3.17×10</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～4.23×10</w:t>
            </w:r>
            <w:r>
              <w:rPr>
                <w:rFonts w:hint="default" w:ascii="Times New Roman" w:hAnsi="Times New Roman" w:eastAsia="宋体" w:cs="Times New Roman"/>
                <w:snapToGrid w:val="0"/>
                <w:color w:val="auto"/>
                <w:highlight w:val="none"/>
                <w:vertAlign w:val="superscript"/>
              </w:rPr>
              <w:t>2</w:t>
            </w:r>
          </w:p>
          <w:p w14:paraId="68EA2A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平均370</w:t>
            </w:r>
          </w:p>
        </w:tc>
        <w:tc>
          <w:tcPr>
            <w:tcW w:w="1542" w:type="dxa"/>
            <w:vAlign w:val="center"/>
          </w:tcPr>
          <w:p w14:paraId="60B1BCC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3.47×10～5.24×10</w:t>
            </w:r>
          </w:p>
          <w:p w14:paraId="1BAE47C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平均43.5</w:t>
            </w:r>
          </w:p>
        </w:tc>
        <w:tc>
          <w:tcPr>
            <w:tcW w:w="0" w:type="auto"/>
            <w:vAlign w:val="center"/>
          </w:tcPr>
          <w:p w14:paraId="7756597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6.3~7.5</w:t>
            </w:r>
          </w:p>
        </w:tc>
      </w:tr>
    </w:tbl>
    <w:p w14:paraId="280556E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val="en-US" w:eastAsia="zh-CN"/>
        </w:rPr>
        <w:t>上表</w:t>
      </w:r>
      <w:r>
        <w:rPr>
          <w:rFonts w:hint="default" w:ascii="Times New Roman" w:hAnsi="Times New Roman" w:eastAsia="宋体" w:cs="Times New Roman"/>
          <w:color w:val="auto"/>
          <w:highlight w:val="none"/>
        </w:rPr>
        <w:t>计算出本项目</w:t>
      </w:r>
      <w:r>
        <w:rPr>
          <w:rFonts w:hint="default" w:ascii="Times New Roman" w:hAnsi="Times New Roman" w:cs="Times New Roman"/>
          <w:color w:val="auto"/>
          <w:highlight w:val="none"/>
          <w:lang w:val="en-US" w:eastAsia="zh-CN"/>
        </w:rPr>
        <w:t>黑膜厌氧池</w:t>
      </w:r>
      <w:r>
        <w:rPr>
          <w:rFonts w:hint="default" w:ascii="Times New Roman" w:hAnsi="Times New Roman" w:eastAsia="宋体" w:cs="Times New Roman"/>
          <w:color w:val="auto"/>
          <w:highlight w:val="none"/>
        </w:rPr>
        <w:t>进水水质综合源强及产生量见</w:t>
      </w:r>
      <w:r>
        <w:rPr>
          <w:rFonts w:hint="default" w:ascii="Times New Roman" w:hAnsi="Times New Roman" w:cs="Times New Roman"/>
          <w:color w:val="auto"/>
          <w:highlight w:val="none"/>
          <w:lang w:val="en-US" w:eastAsia="zh-CN"/>
        </w:rPr>
        <w:t>下</w:t>
      </w:r>
      <w:r>
        <w:rPr>
          <w:rFonts w:hint="default" w:ascii="Times New Roman" w:hAnsi="Times New Roman" w:eastAsia="宋体" w:cs="Times New Roman"/>
          <w:color w:val="auto"/>
          <w:highlight w:val="none"/>
        </w:rPr>
        <w:t>表。</w:t>
      </w:r>
    </w:p>
    <w:p w14:paraId="51BEBBA3">
      <w:pPr>
        <w:spacing w:line="360" w:lineRule="auto"/>
        <w:ind w:firstLine="420"/>
        <w:jc w:val="both"/>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E1C400B">
      <w:pPr>
        <w:pStyle w:val="216"/>
        <w:rPr>
          <w:rFonts w:hint="default" w:ascii="Times New Roman" w:hAnsi="Times New Roman" w:eastAsia="黑体" w:cs="Times New Roman"/>
          <w:b w:val="0"/>
          <w:bCs/>
          <w:smallCaps w:val="0"/>
          <w:snapToGrid/>
          <w:kern w:val="2"/>
          <w:sz w:val="21"/>
          <w:szCs w:val="24"/>
          <w:highlight w:val="none"/>
          <w:lang w:val="en-US" w:eastAsia="zh-CN" w:bidi="ar-SA"/>
        </w:rPr>
      </w:pPr>
      <w:bookmarkStart w:id="493" w:name="_Hlk522285368"/>
      <w:bookmarkStart w:id="494" w:name="_Hlk523072231"/>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en-US" w:eastAsia="zh-CN" w:bidi="ar-SA"/>
        </w:rPr>
        <w:t xml:space="preserve">  废水产生和排放浓度一览表</w:t>
      </w:r>
    </w:p>
    <w:bookmarkEnd w:id="493"/>
    <w:bookmarkEnd w:id="494"/>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0"/>
        <w:gridCol w:w="855"/>
        <w:gridCol w:w="855"/>
        <w:gridCol w:w="1018"/>
        <w:gridCol w:w="689"/>
        <w:gridCol w:w="1003"/>
        <w:gridCol w:w="1214"/>
        <w:gridCol w:w="1078"/>
        <w:gridCol w:w="1078"/>
        <w:gridCol w:w="680"/>
        <w:gridCol w:w="680"/>
        <w:gridCol w:w="1055"/>
        <w:gridCol w:w="1148"/>
        <w:gridCol w:w="1366"/>
        <w:gridCol w:w="815"/>
      </w:tblGrid>
      <w:tr w14:paraId="19EC2C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restart"/>
            <w:noWrap w:val="0"/>
            <w:vAlign w:val="center"/>
          </w:tcPr>
          <w:p w14:paraId="66E3582D">
            <w:pPr>
              <w:pStyle w:val="152"/>
              <w:rPr>
                <w:rFonts w:hint="default" w:ascii="Times New Roman" w:hAnsi="Times New Roman" w:cs="Times New Roman"/>
                <w:color w:val="auto"/>
                <w:highlight w:val="none"/>
              </w:rPr>
            </w:pPr>
            <w:bookmarkStart w:id="495" w:name="_Hlk523068116"/>
            <w:r>
              <w:rPr>
                <w:rFonts w:hint="default" w:ascii="Times New Roman" w:hAnsi="Times New Roman" w:cs="Times New Roman"/>
                <w:color w:val="auto"/>
                <w:highlight w:val="none"/>
              </w:rPr>
              <w:t>工序</w:t>
            </w:r>
          </w:p>
        </w:tc>
        <w:tc>
          <w:tcPr>
            <w:tcW w:w="855" w:type="dxa"/>
            <w:vMerge w:val="restart"/>
            <w:noWrap w:val="0"/>
            <w:vAlign w:val="center"/>
          </w:tcPr>
          <w:p w14:paraId="16285B3C">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装置</w:t>
            </w:r>
          </w:p>
        </w:tc>
        <w:tc>
          <w:tcPr>
            <w:tcW w:w="855" w:type="dxa"/>
            <w:vMerge w:val="restart"/>
            <w:noWrap w:val="0"/>
            <w:vAlign w:val="center"/>
          </w:tcPr>
          <w:p w14:paraId="014F9659">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c>
          <w:tcPr>
            <w:tcW w:w="1020" w:type="dxa"/>
            <w:vMerge w:val="restart"/>
            <w:noWrap w:val="0"/>
            <w:vAlign w:val="center"/>
          </w:tcPr>
          <w:p w14:paraId="42875399">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3980" w:type="dxa"/>
            <w:gridSpan w:val="4"/>
            <w:noWrap w:val="0"/>
            <w:vAlign w:val="center"/>
          </w:tcPr>
          <w:p w14:paraId="6284340A">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污染物产生</w:t>
            </w:r>
          </w:p>
        </w:tc>
        <w:tc>
          <w:tcPr>
            <w:tcW w:w="1761" w:type="dxa"/>
            <w:gridSpan w:val="2"/>
            <w:noWrap w:val="0"/>
            <w:vAlign w:val="center"/>
          </w:tcPr>
          <w:p w14:paraId="668E2984">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治理措施</w:t>
            </w:r>
          </w:p>
        </w:tc>
        <w:tc>
          <w:tcPr>
            <w:tcW w:w="4248" w:type="dxa"/>
            <w:gridSpan w:val="4"/>
            <w:noWrap w:val="0"/>
            <w:vAlign w:val="center"/>
          </w:tcPr>
          <w:p w14:paraId="5AF4972C">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污染物排放</w:t>
            </w:r>
          </w:p>
        </w:tc>
        <w:tc>
          <w:tcPr>
            <w:tcW w:w="814" w:type="dxa"/>
            <w:vMerge w:val="restart"/>
            <w:noWrap w:val="0"/>
            <w:vAlign w:val="center"/>
          </w:tcPr>
          <w:p w14:paraId="4F720E92">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排放时间</w:t>
            </w:r>
          </w:p>
        </w:tc>
      </w:tr>
      <w:tr w14:paraId="0E3F5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continue"/>
            <w:noWrap w:val="0"/>
            <w:vAlign w:val="center"/>
          </w:tcPr>
          <w:p w14:paraId="0270C78F">
            <w:pPr>
              <w:pStyle w:val="152"/>
              <w:rPr>
                <w:rFonts w:hint="default" w:ascii="Times New Roman" w:hAnsi="Times New Roman" w:cs="Times New Roman"/>
                <w:color w:val="auto"/>
                <w:highlight w:val="none"/>
              </w:rPr>
            </w:pPr>
          </w:p>
        </w:tc>
        <w:tc>
          <w:tcPr>
            <w:tcW w:w="855" w:type="dxa"/>
            <w:vMerge w:val="continue"/>
            <w:noWrap w:val="0"/>
            <w:vAlign w:val="center"/>
          </w:tcPr>
          <w:p w14:paraId="5CFD9B35">
            <w:pPr>
              <w:pStyle w:val="152"/>
              <w:rPr>
                <w:rFonts w:hint="default" w:ascii="Times New Roman" w:hAnsi="Times New Roman" w:cs="Times New Roman"/>
                <w:color w:val="auto"/>
                <w:highlight w:val="none"/>
              </w:rPr>
            </w:pPr>
          </w:p>
        </w:tc>
        <w:tc>
          <w:tcPr>
            <w:tcW w:w="855" w:type="dxa"/>
            <w:vMerge w:val="continue"/>
            <w:noWrap w:val="0"/>
            <w:vAlign w:val="center"/>
          </w:tcPr>
          <w:p w14:paraId="1261BFD9">
            <w:pPr>
              <w:pStyle w:val="152"/>
              <w:rPr>
                <w:rFonts w:hint="default" w:ascii="Times New Roman" w:hAnsi="Times New Roman" w:cs="Times New Roman"/>
                <w:color w:val="auto"/>
                <w:highlight w:val="none"/>
              </w:rPr>
            </w:pPr>
          </w:p>
        </w:tc>
        <w:tc>
          <w:tcPr>
            <w:tcW w:w="1020" w:type="dxa"/>
            <w:vMerge w:val="continue"/>
            <w:noWrap w:val="0"/>
            <w:vAlign w:val="center"/>
          </w:tcPr>
          <w:p w14:paraId="2CBCE358">
            <w:pPr>
              <w:pStyle w:val="152"/>
              <w:rPr>
                <w:rFonts w:hint="default" w:ascii="Times New Roman" w:hAnsi="Times New Roman" w:cs="Times New Roman"/>
                <w:color w:val="auto"/>
                <w:highlight w:val="none"/>
              </w:rPr>
            </w:pPr>
          </w:p>
        </w:tc>
        <w:tc>
          <w:tcPr>
            <w:tcW w:w="686" w:type="dxa"/>
            <w:noWrap w:val="0"/>
            <w:vAlign w:val="center"/>
          </w:tcPr>
          <w:p w14:paraId="44C621A9">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核算方法</w:t>
            </w:r>
          </w:p>
        </w:tc>
        <w:tc>
          <w:tcPr>
            <w:tcW w:w="1002" w:type="dxa"/>
            <w:noWrap w:val="0"/>
            <w:vAlign w:val="center"/>
          </w:tcPr>
          <w:p w14:paraId="753DD685">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废水量（t/a）</w:t>
            </w:r>
          </w:p>
        </w:tc>
        <w:tc>
          <w:tcPr>
            <w:tcW w:w="1212" w:type="dxa"/>
            <w:noWrap w:val="0"/>
            <w:vAlign w:val="center"/>
          </w:tcPr>
          <w:p w14:paraId="3C6A8B91">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污染物浓度（mg/L）</w:t>
            </w:r>
          </w:p>
        </w:tc>
        <w:tc>
          <w:tcPr>
            <w:tcW w:w="1080" w:type="dxa"/>
            <w:noWrap w:val="0"/>
            <w:vAlign w:val="center"/>
          </w:tcPr>
          <w:p w14:paraId="600EBD50">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污染物量（t/a）</w:t>
            </w:r>
          </w:p>
        </w:tc>
        <w:tc>
          <w:tcPr>
            <w:tcW w:w="1080" w:type="dxa"/>
            <w:noWrap w:val="0"/>
            <w:vAlign w:val="center"/>
          </w:tcPr>
          <w:p w14:paraId="43ED91BD">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工艺</w:t>
            </w:r>
          </w:p>
        </w:tc>
        <w:tc>
          <w:tcPr>
            <w:tcW w:w="681" w:type="dxa"/>
            <w:noWrap w:val="0"/>
            <w:vAlign w:val="center"/>
          </w:tcPr>
          <w:p w14:paraId="08B3A3A3">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效率</w:t>
            </w:r>
          </w:p>
        </w:tc>
        <w:tc>
          <w:tcPr>
            <w:tcW w:w="681" w:type="dxa"/>
            <w:noWrap w:val="0"/>
            <w:vAlign w:val="center"/>
          </w:tcPr>
          <w:p w14:paraId="0E1D0625">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核算方法</w:t>
            </w:r>
          </w:p>
        </w:tc>
        <w:tc>
          <w:tcPr>
            <w:tcW w:w="1052" w:type="dxa"/>
            <w:noWrap w:val="0"/>
            <w:vAlign w:val="center"/>
          </w:tcPr>
          <w:p w14:paraId="7F22E72A">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废水量（t/a）</w:t>
            </w:r>
          </w:p>
        </w:tc>
        <w:tc>
          <w:tcPr>
            <w:tcW w:w="1149" w:type="dxa"/>
            <w:noWrap w:val="0"/>
            <w:vAlign w:val="center"/>
          </w:tcPr>
          <w:p w14:paraId="18E978AB">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污染物浓度（mg/L）</w:t>
            </w:r>
          </w:p>
        </w:tc>
        <w:tc>
          <w:tcPr>
            <w:tcW w:w="1366" w:type="dxa"/>
            <w:noWrap w:val="0"/>
            <w:vAlign w:val="center"/>
          </w:tcPr>
          <w:p w14:paraId="0FCDB7DC">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污染物量（t/a）</w:t>
            </w:r>
          </w:p>
        </w:tc>
        <w:tc>
          <w:tcPr>
            <w:tcW w:w="814" w:type="dxa"/>
            <w:vMerge w:val="continue"/>
            <w:noWrap w:val="0"/>
            <w:vAlign w:val="center"/>
          </w:tcPr>
          <w:p w14:paraId="3C5775F5">
            <w:pPr>
              <w:pStyle w:val="152"/>
              <w:rPr>
                <w:rFonts w:hint="default" w:ascii="Times New Roman" w:hAnsi="Times New Roman" w:cs="Times New Roman"/>
                <w:color w:val="auto"/>
                <w:highlight w:val="none"/>
              </w:rPr>
            </w:pPr>
          </w:p>
        </w:tc>
      </w:tr>
      <w:tr w14:paraId="35677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5" w:hRule="atLeast"/>
          <w:jc w:val="center"/>
        </w:trPr>
        <w:tc>
          <w:tcPr>
            <w:tcW w:w="641" w:type="dxa"/>
            <w:vMerge w:val="restart"/>
            <w:noWrap w:val="0"/>
            <w:vAlign w:val="center"/>
          </w:tcPr>
          <w:p w14:paraId="2036BACC">
            <w:pPr>
              <w:pStyle w:val="152"/>
              <w:rPr>
                <w:rFonts w:hint="default" w:ascii="Times New Roman" w:hAnsi="Times New Roman" w:eastAsia="宋体" w:cs="Times New Roman"/>
                <w:color w:val="auto"/>
                <w:highlight w:val="none"/>
                <w:lang w:eastAsia="zh-CN"/>
              </w:rPr>
            </w:pPr>
            <w:bookmarkStart w:id="496" w:name="_Hlk520405148"/>
            <w:r>
              <w:rPr>
                <w:rFonts w:hint="default" w:ascii="Times New Roman" w:hAnsi="Times New Roman" w:cs="Times New Roman"/>
                <w:color w:val="auto"/>
                <w:highlight w:val="none"/>
                <w:lang w:val="en-US" w:eastAsia="zh-CN"/>
              </w:rPr>
              <w:t>生产</w:t>
            </w:r>
          </w:p>
        </w:tc>
        <w:tc>
          <w:tcPr>
            <w:tcW w:w="855" w:type="dxa"/>
            <w:vMerge w:val="restart"/>
            <w:noWrap w:val="0"/>
            <w:vAlign w:val="center"/>
          </w:tcPr>
          <w:p w14:paraId="10183059">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猪舍、固液分离间</w:t>
            </w:r>
          </w:p>
        </w:tc>
        <w:tc>
          <w:tcPr>
            <w:tcW w:w="855" w:type="dxa"/>
            <w:vMerge w:val="restart"/>
            <w:noWrap w:val="0"/>
            <w:vAlign w:val="center"/>
          </w:tcPr>
          <w:p w14:paraId="737E43EF">
            <w:pPr>
              <w:pStyle w:val="152"/>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猪尿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冲洗废水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固液分离废水</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洗消车间废水</w:t>
            </w:r>
          </w:p>
        </w:tc>
        <w:tc>
          <w:tcPr>
            <w:tcW w:w="1020" w:type="dxa"/>
            <w:noWrap w:val="0"/>
            <w:vAlign w:val="center"/>
          </w:tcPr>
          <w:p w14:paraId="17505552">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86" w:type="dxa"/>
            <w:vMerge w:val="restart"/>
            <w:noWrap w:val="0"/>
            <w:vAlign w:val="center"/>
          </w:tcPr>
          <w:p w14:paraId="1E789DF3">
            <w:pPr>
              <w:pStyle w:val="152"/>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产污系数法</w:t>
            </w:r>
          </w:p>
        </w:tc>
        <w:tc>
          <w:tcPr>
            <w:tcW w:w="1002" w:type="dxa"/>
            <w:vMerge w:val="restart"/>
            <w:noWrap w:val="0"/>
            <w:vAlign w:val="center"/>
          </w:tcPr>
          <w:p w14:paraId="5D76BC95">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9282.607</w:t>
            </w:r>
          </w:p>
        </w:tc>
        <w:tc>
          <w:tcPr>
            <w:tcW w:w="1212" w:type="dxa"/>
            <w:noWrap w:val="0"/>
            <w:vAlign w:val="center"/>
          </w:tcPr>
          <w:p w14:paraId="6845E938">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2640</w:t>
            </w:r>
          </w:p>
        </w:tc>
        <w:tc>
          <w:tcPr>
            <w:tcW w:w="1080" w:type="dxa"/>
            <w:noWrap w:val="0"/>
            <w:vAlign w:val="center"/>
          </w:tcPr>
          <w:p w14:paraId="206E045F">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24.51</w:t>
            </w:r>
          </w:p>
        </w:tc>
        <w:tc>
          <w:tcPr>
            <w:tcW w:w="1080" w:type="dxa"/>
            <w:vMerge w:val="restart"/>
            <w:noWrap w:val="0"/>
            <w:vAlign w:val="center"/>
          </w:tcPr>
          <w:p w14:paraId="56964C31">
            <w:pPr>
              <w:spacing w:line="0" w:lineRule="atLeast"/>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highlight w:val="none"/>
              </w:rPr>
              <w:t>固液分离+黑膜厌氧池</w:t>
            </w:r>
          </w:p>
        </w:tc>
        <w:tc>
          <w:tcPr>
            <w:tcW w:w="681" w:type="dxa"/>
            <w:vMerge w:val="restart"/>
            <w:noWrap w:val="0"/>
            <w:vAlign w:val="center"/>
          </w:tcPr>
          <w:p w14:paraId="25FF342A">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rPr>
              <w:t>/</w:t>
            </w:r>
          </w:p>
        </w:tc>
        <w:tc>
          <w:tcPr>
            <w:tcW w:w="681" w:type="dxa"/>
            <w:vMerge w:val="restart"/>
            <w:noWrap w:val="0"/>
            <w:vAlign w:val="center"/>
          </w:tcPr>
          <w:p w14:paraId="0712F26A">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rPr>
              <w:t>产污系数法</w:t>
            </w:r>
          </w:p>
        </w:tc>
        <w:tc>
          <w:tcPr>
            <w:tcW w:w="1052" w:type="dxa"/>
            <w:vMerge w:val="restart"/>
            <w:noWrap w:val="0"/>
            <w:vAlign w:val="center"/>
          </w:tcPr>
          <w:p w14:paraId="035228F0">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rPr>
              <w:t>0</w:t>
            </w:r>
          </w:p>
        </w:tc>
        <w:tc>
          <w:tcPr>
            <w:tcW w:w="1149" w:type="dxa"/>
            <w:noWrap w:val="0"/>
            <w:vAlign w:val="center"/>
          </w:tcPr>
          <w:p w14:paraId="1BD323C2">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p>
        </w:tc>
        <w:tc>
          <w:tcPr>
            <w:tcW w:w="1366" w:type="dxa"/>
            <w:noWrap w:val="0"/>
            <w:vAlign w:val="center"/>
          </w:tcPr>
          <w:p w14:paraId="5BE85554">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restart"/>
            <w:noWrap w:val="0"/>
            <w:vAlign w:val="center"/>
          </w:tcPr>
          <w:p w14:paraId="48AF3377">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8760h</w:t>
            </w:r>
          </w:p>
        </w:tc>
      </w:tr>
      <w:tr w14:paraId="185EC5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7" w:hRule="atLeast"/>
          <w:jc w:val="center"/>
        </w:trPr>
        <w:tc>
          <w:tcPr>
            <w:tcW w:w="641" w:type="dxa"/>
            <w:vMerge w:val="continue"/>
            <w:noWrap w:val="0"/>
            <w:vAlign w:val="center"/>
          </w:tcPr>
          <w:p w14:paraId="4F51F9A0">
            <w:pPr>
              <w:pStyle w:val="152"/>
              <w:rPr>
                <w:rFonts w:hint="default" w:ascii="Times New Roman" w:hAnsi="Times New Roman" w:cs="Times New Roman"/>
                <w:color w:val="auto"/>
                <w:highlight w:val="none"/>
              </w:rPr>
            </w:pPr>
          </w:p>
        </w:tc>
        <w:tc>
          <w:tcPr>
            <w:tcW w:w="855" w:type="dxa"/>
            <w:vMerge w:val="continue"/>
            <w:noWrap w:val="0"/>
            <w:vAlign w:val="center"/>
          </w:tcPr>
          <w:p w14:paraId="051FB56E">
            <w:pPr>
              <w:pStyle w:val="152"/>
              <w:rPr>
                <w:rFonts w:hint="default" w:ascii="Times New Roman" w:hAnsi="Times New Roman" w:cs="Times New Roman"/>
                <w:color w:val="auto"/>
                <w:highlight w:val="none"/>
              </w:rPr>
            </w:pPr>
          </w:p>
        </w:tc>
        <w:tc>
          <w:tcPr>
            <w:tcW w:w="855" w:type="dxa"/>
            <w:vMerge w:val="continue"/>
            <w:noWrap w:val="0"/>
            <w:vAlign w:val="center"/>
          </w:tcPr>
          <w:p w14:paraId="3D988D61">
            <w:pPr>
              <w:pStyle w:val="152"/>
              <w:rPr>
                <w:rFonts w:hint="default" w:ascii="Times New Roman" w:hAnsi="Times New Roman" w:cs="Times New Roman"/>
                <w:color w:val="auto"/>
                <w:highlight w:val="none"/>
              </w:rPr>
            </w:pPr>
          </w:p>
        </w:tc>
        <w:tc>
          <w:tcPr>
            <w:tcW w:w="1020" w:type="dxa"/>
            <w:noWrap w:val="0"/>
            <w:vAlign w:val="center"/>
          </w:tcPr>
          <w:p w14:paraId="5E253E07">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686" w:type="dxa"/>
            <w:vMerge w:val="continue"/>
            <w:noWrap w:val="0"/>
            <w:vAlign w:val="center"/>
          </w:tcPr>
          <w:p w14:paraId="21C5E7AE">
            <w:pPr>
              <w:pStyle w:val="152"/>
              <w:rPr>
                <w:rFonts w:hint="default" w:ascii="Times New Roman" w:hAnsi="Times New Roman" w:cs="Times New Roman"/>
                <w:color w:val="auto"/>
                <w:highlight w:val="none"/>
              </w:rPr>
            </w:pPr>
          </w:p>
        </w:tc>
        <w:tc>
          <w:tcPr>
            <w:tcW w:w="1002" w:type="dxa"/>
            <w:vMerge w:val="continue"/>
            <w:noWrap w:val="0"/>
            <w:vAlign w:val="center"/>
          </w:tcPr>
          <w:p w14:paraId="3C786E57">
            <w:pPr>
              <w:pStyle w:val="152"/>
              <w:rPr>
                <w:rFonts w:hint="default" w:ascii="Times New Roman" w:hAnsi="Times New Roman" w:cs="Times New Roman"/>
                <w:color w:val="auto"/>
                <w:highlight w:val="none"/>
              </w:rPr>
            </w:pPr>
          </w:p>
        </w:tc>
        <w:tc>
          <w:tcPr>
            <w:tcW w:w="1212" w:type="dxa"/>
            <w:noWrap w:val="0"/>
            <w:vAlign w:val="center"/>
          </w:tcPr>
          <w:p w14:paraId="470ACADD">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261</w:t>
            </w:r>
          </w:p>
        </w:tc>
        <w:tc>
          <w:tcPr>
            <w:tcW w:w="1080" w:type="dxa"/>
            <w:noWrap w:val="0"/>
            <w:vAlign w:val="center"/>
          </w:tcPr>
          <w:p w14:paraId="560B51DE">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2.42</w:t>
            </w:r>
          </w:p>
        </w:tc>
        <w:tc>
          <w:tcPr>
            <w:tcW w:w="1080" w:type="dxa"/>
            <w:vMerge w:val="continue"/>
            <w:noWrap w:val="0"/>
            <w:vAlign w:val="center"/>
          </w:tcPr>
          <w:p w14:paraId="11B58BAF">
            <w:pPr>
              <w:pStyle w:val="152"/>
              <w:rPr>
                <w:rFonts w:hint="default" w:ascii="Times New Roman" w:hAnsi="Times New Roman" w:cs="Times New Roman"/>
                <w:color w:val="auto"/>
                <w:highlight w:val="none"/>
              </w:rPr>
            </w:pPr>
          </w:p>
        </w:tc>
        <w:tc>
          <w:tcPr>
            <w:tcW w:w="681" w:type="dxa"/>
            <w:vMerge w:val="continue"/>
            <w:noWrap w:val="0"/>
            <w:vAlign w:val="center"/>
          </w:tcPr>
          <w:p w14:paraId="64E94D37">
            <w:pPr>
              <w:pStyle w:val="152"/>
              <w:rPr>
                <w:rFonts w:hint="default" w:ascii="Times New Roman" w:hAnsi="Times New Roman" w:cs="Times New Roman"/>
                <w:color w:val="auto"/>
                <w:highlight w:val="none"/>
              </w:rPr>
            </w:pPr>
          </w:p>
        </w:tc>
        <w:tc>
          <w:tcPr>
            <w:tcW w:w="681" w:type="dxa"/>
            <w:vMerge w:val="continue"/>
            <w:noWrap w:val="0"/>
            <w:vAlign w:val="center"/>
          </w:tcPr>
          <w:p w14:paraId="0C48D387">
            <w:pPr>
              <w:pStyle w:val="152"/>
              <w:rPr>
                <w:rFonts w:hint="default" w:ascii="Times New Roman" w:hAnsi="Times New Roman" w:cs="Times New Roman"/>
                <w:color w:val="auto"/>
                <w:highlight w:val="none"/>
              </w:rPr>
            </w:pPr>
          </w:p>
        </w:tc>
        <w:tc>
          <w:tcPr>
            <w:tcW w:w="1052" w:type="dxa"/>
            <w:vMerge w:val="continue"/>
            <w:noWrap w:val="0"/>
            <w:vAlign w:val="center"/>
          </w:tcPr>
          <w:p w14:paraId="7E20F789">
            <w:pPr>
              <w:pStyle w:val="152"/>
              <w:rPr>
                <w:rFonts w:hint="default" w:ascii="Times New Roman" w:hAnsi="Times New Roman" w:cs="Times New Roman"/>
                <w:color w:val="auto"/>
                <w:highlight w:val="none"/>
              </w:rPr>
            </w:pPr>
          </w:p>
        </w:tc>
        <w:tc>
          <w:tcPr>
            <w:tcW w:w="1149" w:type="dxa"/>
            <w:noWrap w:val="0"/>
            <w:vAlign w:val="center"/>
          </w:tcPr>
          <w:p w14:paraId="38DCFEB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28D8AE2D">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6F5F4BE0">
            <w:pPr>
              <w:pStyle w:val="152"/>
              <w:rPr>
                <w:rFonts w:hint="default" w:ascii="Times New Roman" w:hAnsi="Times New Roman" w:cs="Times New Roman"/>
                <w:color w:val="auto"/>
                <w:highlight w:val="none"/>
              </w:rPr>
            </w:pPr>
          </w:p>
        </w:tc>
      </w:tr>
      <w:tr w14:paraId="3973C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04" w:hRule="atLeast"/>
          <w:jc w:val="center"/>
        </w:trPr>
        <w:tc>
          <w:tcPr>
            <w:tcW w:w="641" w:type="dxa"/>
            <w:vMerge w:val="continue"/>
            <w:noWrap w:val="0"/>
            <w:vAlign w:val="center"/>
          </w:tcPr>
          <w:p w14:paraId="4033ABE4">
            <w:pPr>
              <w:pStyle w:val="152"/>
              <w:rPr>
                <w:rFonts w:hint="default" w:ascii="Times New Roman" w:hAnsi="Times New Roman" w:cs="Times New Roman"/>
                <w:color w:val="auto"/>
                <w:highlight w:val="none"/>
              </w:rPr>
            </w:pPr>
          </w:p>
        </w:tc>
        <w:tc>
          <w:tcPr>
            <w:tcW w:w="855" w:type="dxa"/>
            <w:vMerge w:val="continue"/>
            <w:noWrap w:val="0"/>
            <w:vAlign w:val="center"/>
          </w:tcPr>
          <w:p w14:paraId="29E322BA">
            <w:pPr>
              <w:pStyle w:val="152"/>
              <w:rPr>
                <w:rFonts w:hint="default" w:ascii="Times New Roman" w:hAnsi="Times New Roman" w:cs="Times New Roman"/>
                <w:color w:val="auto"/>
                <w:highlight w:val="none"/>
              </w:rPr>
            </w:pPr>
          </w:p>
        </w:tc>
        <w:tc>
          <w:tcPr>
            <w:tcW w:w="855" w:type="dxa"/>
            <w:vMerge w:val="continue"/>
            <w:noWrap w:val="0"/>
            <w:vAlign w:val="center"/>
          </w:tcPr>
          <w:p w14:paraId="627DAD34">
            <w:pPr>
              <w:pStyle w:val="152"/>
              <w:rPr>
                <w:rFonts w:hint="default" w:ascii="Times New Roman" w:hAnsi="Times New Roman" w:cs="Times New Roman"/>
                <w:color w:val="auto"/>
                <w:highlight w:val="none"/>
              </w:rPr>
            </w:pPr>
          </w:p>
        </w:tc>
        <w:tc>
          <w:tcPr>
            <w:tcW w:w="1020" w:type="dxa"/>
            <w:noWrap w:val="0"/>
            <w:vAlign w:val="center"/>
          </w:tcPr>
          <w:p w14:paraId="0EFBED0C">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TN</w:t>
            </w:r>
          </w:p>
        </w:tc>
        <w:tc>
          <w:tcPr>
            <w:tcW w:w="686" w:type="dxa"/>
            <w:vMerge w:val="continue"/>
            <w:noWrap w:val="0"/>
            <w:vAlign w:val="center"/>
          </w:tcPr>
          <w:p w14:paraId="48A0218A">
            <w:pPr>
              <w:pStyle w:val="152"/>
              <w:rPr>
                <w:rFonts w:hint="default" w:ascii="Times New Roman" w:hAnsi="Times New Roman" w:cs="Times New Roman"/>
                <w:color w:val="auto"/>
                <w:highlight w:val="none"/>
              </w:rPr>
            </w:pPr>
          </w:p>
        </w:tc>
        <w:tc>
          <w:tcPr>
            <w:tcW w:w="1002" w:type="dxa"/>
            <w:vMerge w:val="continue"/>
            <w:noWrap w:val="0"/>
            <w:vAlign w:val="center"/>
          </w:tcPr>
          <w:p w14:paraId="0DCEBADB">
            <w:pPr>
              <w:pStyle w:val="152"/>
              <w:rPr>
                <w:rFonts w:hint="default" w:ascii="Times New Roman" w:hAnsi="Times New Roman" w:cs="Times New Roman"/>
                <w:color w:val="auto"/>
                <w:highlight w:val="none"/>
              </w:rPr>
            </w:pPr>
          </w:p>
        </w:tc>
        <w:tc>
          <w:tcPr>
            <w:tcW w:w="1212" w:type="dxa"/>
            <w:noWrap w:val="0"/>
            <w:vAlign w:val="center"/>
          </w:tcPr>
          <w:p w14:paraId="30E6866F">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370</w:t>
            </w:r>
          </w:p>
        </w:tc>
        <w:tc>
          <w:tcPr>
            <w:tcW w:w="1080" w:type="dxa"/>
            <w:noWrap w:val="0"/>
            <w:vAlign w:val="center"/>
          </w:tcPr>
          <w:p w14:paraId="1CA5F1E7">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3.43</w:t>
            </w:r>
          </w:p>
        </w:tc>
        <w:tc>
          <w:tcPr>
            <w:tcW w:w="1080" w:type="dxa"/>
            <w:vMerge w:val="continue"/>
            <w:noWrap w:val="0"/>
            <w:vAlign w:val="center"/>
          </w:tcPr>
          <w:p w14:paraId="3247A514">
            <w:pPr>
              <w:pStyle w:val="152"/>
              <w:rPr>
                <w:rFonts w:hint="default" w:ascii="Times New Roman" w:hAnsi="Times New Roman" w:cs="Times New Roman"/>
                <w:color w:val="auto"/>
                <w:highlight w:val="none"/>
              </w:rPr>
            </w:pPr>
          </w:p>
        </w:tc>
        <w:tc>
          <w:tcPr>
            <w:tcW w:w="681" w:type="dxa"/>
            <w:vMerge w:val="continue"/>
            <w:noWrap w:val="0"/>
            <w:vAlign w:val="center"/>
          </w:tcPr>
          <w:p w14:paraId="3906FD7A">
            <w:pPr>
              <w:pStyle w:val="152"/>
              <w:rPr>
                <w:rFonts w:hint="default" w:ascii="Times New Roman" w:hAnsi="Times New Roman" w:cs="Times New Roman"/>
                <w:color w:val="auto"/>
                <w:highlight w:val="none"/>
              </w:rPr>
            </w:pPr>
          </w:p>
        </w:tc>
        <w:tc>
          <w:tcPr>
            <w:tcW w:w="681" w:type="dxa"/>
            <w:vMerge w:val="continue"/>
            <w:noWrap w:val="0"/>
            <w:vAlign w:val="center"/>
          </w:tcPr>
          <w:p w14:paraId="08CBCC2B">
            <w:pPr>
              <w:pStyle w:val="152"/>
              <w:rPr>
                <w:rFonts w:hint="default" w:ascii="Times New Roman" w:hAnsi="Times New Roman" w:cs="Times New Roman"/>
                <w:color w:val="auto"/>
                <w:highlight w:val="none"/>
              </w:rPr>
            </w:pPr>
          </w:p>
        </w:tc>
        <w:tc>
          <w:tcPr>
            <w:tcW w:w="1052" w:type="dxa"/>
            <w:vMerge w:val="continue"/>
            <w:noWrap w:val="0"/>
            <w:vAlign w:val="center"/>
          </w:tcPr>
          <w:p w14:paraId="7C3D86EE">
            <w:pPr>
              <w:pStyle w:val="152"/>
              <w:rPr>
                <w:rFonts w:hint="default" w:ascii="Times New Roman" w:hAnsi="Times New Roman" w:cs="Times New Roman"/>
                <w:color w:val="auto"/>
                <w:highlight w:val="none"/>
              </w:rPr>
            </w:pPr>
          </w:p>
        </w:tc>
        <w:tc>
          <w:tcPr>
            <w:tcW w:w="1149" w:type="dxa"/>
            <w:noWrap w:val="0"/>
            <w:vAlign w:val="center"/>
          </w:tcPr>
          <w:p w14:paraId="39EAEE6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3923A05F">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4822E97B">
            <w:pPr>
              <w:pStyle w:val="152"/>
              <w:rPr>
                <w:rFonts w:hint="default" w:ascii="Times New Roman" w:hAnsi="Times New Roman" w:cs="Times New Roman"/>
                <w:color w:val="auto"/>
                <w:highlight w:val="none"/>
              </w:rPr>
            </w:pPr>
          </w:p>
        </w:tc>
      </w:tr>
      <w:tr w14:paraId="61167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continue"/>
            <w:noWrap w:val="0"/>
            <w:vAlign w:val="center"/>
          </w:tcPr>
          <w:p w14:paraId="69CCB386">
            <w:pPr>
              <w:pStyle w:val="152"/>
              <w:rPr>
                <w:rFonts w:hint="default" w:ascii="Times New Roman" w:hAnsi="Times New Roman" w:cs="Times New Roman"/>
                <w:color w:val="auto"/>
                <w:highlight w:val="none"/>
              </w:rPr>
            </w:pPr>
          </w:p>
        </w:tc>
        <w:tc>
          <w:tcPr>
            <w:tcW w:w="855" w:type="dxa"/>
            <w:vMerge w:val="continue"/>
            <w:noWrap w:val="0"/>
            <w:vAlign w:val="center"/>
          </w:tcPr>
          <w:p w14:paraId="26632E5D">
            <w:pPr>
              <w:pStyle w:val="152"/>
              <w:rPr>
                <w:rFonts w:hint="default" w:ascii="Times New Roman" w:hAnsi="Times New Roman" w:cs="Times New Roman"/>
                <w:color w:val="auto"/>
                <w:highlight w:val="none"/>
              </w:rPr>
            </w:pPr>
          </w:p>
        </w:tc>
        <w:tc>
          <w:tcPr>
            <w:tcW w:w="855" w:type="dxa"/>
            <w:vMerge w:val="continue"/>
            <w:noWrap w:val="0"/>
            <w:vAlign w:val="center"/>
          </w:tcPr>
          <w:p w14:paraId="49BC0B42">
            <w:pPr>
              <w:pStyle w:val="152"/>
              <w:rPr>
                <w:rFonts w:hint="default" w:ascii="Times New Roman" w:hAnsi="Times New Roman" w:cs="Times New Roman"/>
                <w:color w:val="auto"/>
                <w:highlight w:val="none"/>
              </w:rPr>
            </w:pPr>
          </w:p>
        </w:tc>
        <w:tc>
          <w:tcPr>
            <w:tcW w:w="1020" w:type="dxa"/>
            <w:noWrap w:val="0"/>
            <w:vAlign w:val="center"/>
          </w:tcPr>
          <w:p w14:paraId="6664B94E">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TP</w:t>
            </w:r>
          </w:p>
        </w:tc>
        <w:tc>
          <w:tcPr>
            <w:tcW w:w="686" w:type="dxa"/>
            <w:vMerge w:val="continue"/>
            <w:noWrap w:val="0"/>
            <w:vAlign w:val="center"/>
          </w:tcPr>
          <w:p w14:paraId="5792DBCD">
            <w:pPr>
              <w:pStyle w:val="152"/>
              <w:rPr>
                <w:rFonts w:hint="default" w:ascii="Times New Roman" w:hAnsi="Times New Roman" w:cs="Times New Roman"/>
                <w:color w:val="auto"/>
                <w:highlight w:val="none"/>
              </w:rPr>
            </w:pPr>
          </w:p>
        </w:tc>
        <w:tc>
          <w:tcPr>
            <w:tcW w:w="1002" w:type="dxa"/>
            <w:vMerge w:val="continue"/>
            <w:noWrap w:val="0"/>
            <w:vAlign w:val="center"/>
          </w:tcPr>
          <w:p w14:paraId="2BB04C45">
            <w:pPr>
              <w:pStyle w:val="152"/>
              <w:rPr>
                <w:rFonts w:hint="default" w:ascii="Times New Roman" w:hAnsi="Times New Roman" w:cs="Times New Roman"/>
                <w:color w:val="auto"/>
                <w:highlight w:val="none"/>
              </w:rPr>
            </w:pPr>
          </w:p>
        </w:tc>
        <w:tc>
          <w:tcPr>
            <w:tcW w:w="1212" w:type="dxa"/>
            <w:noWrap w:val="0"/>
            <w:vAlign w:val="center"/>
          </w:tcPr>
          <w:p w14:paraId="4A06FE72">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43.5</w:t>
            </w:r>
          </w:p>
        </w:tc>
        <w:tc>
          <w:tcPr>
            <w:tcW w:w="1080" w:type="dxa"/>
            <w:noWrap w:val="0"/>
            <w:vAlign w:val="center"/>
          </w:tcPr>
          <w:p w14:paraId="2C7A01BE">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0.404</w:t>
            </w:r>
          </w:p>
        </w:tc>
        <w:tc>
          <w:tcPr>
            <w:tcW w:w="1080" w:type="dxa"/>
            <w:vMerge w:val="continue"/>
            <w:noWrap w:val="0"/>
            <w:vAlign w:val="center"/>
          </w:tcPr>
          <w:p w14:paraId="374DAD45">
            <w:pPr>
              <w:pStyle w:val="152"/>
              <w:rPr>
                <w:rFonts w:hint="default" w:ascii="Times New Roman" w:hAnsi="Times New Roman" w:cs="Times New Roman"/>
                <w:color w:val="auto"/>
                <w:highlight w:val="none"/>
              </w:rPr>
            </w:pPr>
          </w:p>
        </w:tc>
        <w:tc>
          <w:tcPr>
            <w:tcW w:w="681" w:type="dxa"/>
            <w:vMerge w:val="continue"/>
            <w:noWrap w:val="0"/>
            <w:vAlign w:val="center"/>
          </w:tcPr>
          <w:p w14:paraId="301A1701">
            <w:pPr>
              <w:pStyle w:val="152"/>
              <w:rPr>
                <w:rFonts w:hint="default" w:ascii="Times New Roman" w:hAnsi="Times New Roman" w:cs="Times New Roman"/>
                <w:color w:val="auto"/>
                <w:highlight w:val="none"/>
              </w:rPr>
            </w:pPr>
          </w:p>
        </w:tc>
        <w:tc>
          <w:tcPr>
            <w:tcW w:w="681" w:type="dxa"/>
            <w:vMerge w:val="continue"/>
            <w:noWrap w:val="0"/>
            <w:vAlign w:val="center"/>
          </w:tcPr>
          <w:p w14:paraId="7B07EE20">
            <w:pPr>
              <w:pStyle w:val="152"/>
              <w:rPr>
                <w:rFonts w:hint="default" w:ascii="Times New Roman" w:hAnsi="Times New Roman" w:cs="Times New Roman"/>
                <w:color w:val="auto"/>
                <w:highlight w:val="none"/>
              </w:rPr>
            </w:pPr>
          </w:p>
        </w:tc>
        <w:tc>
          <w:tcPr>
            <w:tcW w:w="1052" w:type="dxa"/>
            <w:vMerge w:val="continue"/>
            <w:noWrap w:val="0"/>
            <w:vAlign w:val="center"/>
          </w:tcPr>
          <w:p w14:paraId="16412528">
            <w:pPr>
              <w:pStyle w:val="152"/>
              <w:rPr>
                <w:rFonts w:hint="default" w:ascii="Times New Roman" w:hAnsi="Times New Roman" w:cs="Times New Roman"/>
                <w:color w:val="auto"/>
                <w:highlight w:val="none"/>
              </w:rPr>
            </w:pPr>
          </w:p>
        </w:tc>
        <w:tc>
          <w:tcPr>
            <w:tcW w:w="1149" w:type="dxa"/>
            <w:noWrap w:val="0"/>
            <w:vAlign w:val="center"/>
          </w:tcPr>
          <w:p w14:paraId="5DBF573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35765D19">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7F71BD33">
            <w:pPr>
              <w:pStyle w:val="152"/>
              <w:rPr>
                <w:rFonts w:hint="default" w:ascii="Times New Roman" w:hAnsi="Times New Roman" w:cs="Times New Roman"/>
                <w:color w:val="auto"/>
                <w:highlight w:val="none"/>
              </w:rPr>
            </w:pPr>
          </w:p>
        </w:tc>
      </w:tr>
      <w:tr w14:paraId="00457B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restart"/>
            <w:noWrap w:val="0"/>
            <w:vAlign w:val="center"/>
          </w:tcPr>
          <w:p w14:paraId="64714C5E">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生活</w:t>
            </w:r>
          </w:p>
        </w:tc>
        <w:tc>
          <w:tcPr>
            <w:tcW w:w="855" w:type="dxa"/>
            <w:vMerge w:val="restart"/>
            <w:noWrap w:val="0"/>
            <w:vAlign w:val="center"/>
          </w:tcPr>
          <w:p w14:paraId="3A99D1F3">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职工</w:t>
            </w:r>
          </w:p>
        </w:tc>
        <w:tc>
          <w:tcPr>
            <w:tcW w:w="855" w:type="dxa"/>
            <w:vMerge w:val="restart"/>
            <w:noWrap w:val="0"/>
            <w:vAlign w:val="center"/>
          </w:tcPr>
          <w:p w14:paraId="4882BDF6">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w:t>
            </w:r>
          </w:p>
        </w:tc>
        <w:tc>
          <w:tcPr>
            <w:tcW w:w="1020" w:type="dxa"/>
            <w:noWrap w:val="0"/>
            <w:vAlign w:val="center"/>
          </w:tcPr>
          <w:p w14:paraId="20351ED0">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cs="Times New Roman"/>
                <w:color w:val="auto"/>
                <w:highlight w:val="none"/>
              </w:rPr>
              <w:t>COD</w:t>
            </w:r>
          </w:p>
        </w:tc>
        <w:tc>
          <w:tcPr>
            <w:tcW w:w="686" w:type="dxa"/>
            <w:vMerge w:val="continue"/>
            <w:noWrap w:val="0"/>
            <w:vAlign w:val="center"/>
          </w:tcPr>
          <w:p w14:paraId="454A0A47">
            <w:pPr>
              <w:pStyle w:val="152"/>
              <w:rPr>
                <w:rFonts w:hint="default" w:ascii="Times New Roman" w:hAnsi="Times New Roman" w:cs="Times New Roman"/>
                <w:color w:val="auto"/>
                <w:highlight w:val="none"/>
              </w:rPr>
            </w:pPr>
          </w:p>
        </w:tc>
        <w:tc>
          <w:tcPr>
            <w:tcW w:w="1002" w:type="dxa"/>
            <w:vMerge w:val="restart"/>
            <w:noWrap w:val="0"/>
            <w:vAlign w:val="center"/>
          </w:tcPr>
          <w:p w14:paraId="21AEADE9">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256.96</w:t>
            </w:r>
          </w:p>
        </w:tc>
        <w:tc>
          <w:tcPr>
            <w:tcW w:w="1212" w:type="dxa"/>
            <w:noWrap w:val="0"/>
            <w:vAlign w:val="center"/>
          </w:tcPr>
          <w:p w14:paraId="42080F15">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300</w:t>
            </w:r>
          </w:p>
        </w:tc>
        <w:tc>
          <w:tcPr>
            <w:tcW w:w="1080" w:type="dxa"/>
            <w:noWrap w:val="0"/>
            <w:vAlign w:val="center"/>
          </w:tcPr>
          <w:p w14:paraId="5EBFD8FF">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0.077</w:t>
            </w:r>
          </w:p>
        </w:tc>
        <w:tc>
          <w:tcPr>
            <w:tcW w:w="1080" w:type="dxa"/>
            <w:vMerge w:val="restart"/>
            <w:noWrap w:val="0"/>
            <w:vAlign w:val="center"/>
          </w:tcPr>
          <w:p w14:paraId="4FCAF0AA">
            <w:pPr>
              <w:spacing w:line="0" w:lineRule="atLeast"/>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黑膜厌氧池</w:t>
            </w:r>
          </w:p>
        </w:tc>
        <w:tc>
          <w:tcPr>
            <w:tcW w:w="681" w:type="dxa"/>
            <w:vMerge w:val="continue"/>
            <w:noWrap w:val="0"/>
            <w:vAlign w:val="center"/>
          </w:tcPr>
          <w:p w14:paraId="2B11AD04">
            <w:pPr>
              <w:pStyle w:val="152"/>
              <w:rPr>
                <w:rFonts w:hint="default" w:ascii="Times New Roman" w:hAnsi="Times New Roman" w:cs="Times New Roman"/>
                <w:color w:val="auto"/>
                <w:highlight w:val="none"/>
              </w:rPr>
            </w:pPr>
          </w:p>
        </w:tc>
        <w:tc>
          <w:tcPr>
            <w:tcW w:w="681" w:type="dxa"/>
            <w:vMerge w:val="continue"/>
            <w:noWrap w:val="0"/>
            <w:vAlign w:val="center"/>
          </w:tcPr>
          <w:p w14:paraId="1B2220C7">
            <w:pPr>
              <w:pStyle w:val="152"/>
              <w:rPr>
                <w:rFonts w:hint="default" w:ascii="Times New Roman" w:hAnsi="Times New Roman" w:cs="Times New Roman"/>
                <w:color w:val="auto"/>
                <w:highlight w:val="none"/>
              </w:rPr>
            </w:pPr>
          </w:p>
        </w:tc>
        <w:tc>
          <w:tcPr>
            <w:tcW w:w="1052" w:type="dxa"/>
            <w:vMerge w:val="continue"/>
            <w:noWrap w:val="0"/>
            <w:vAlign w:val="center"/>
          </w:tcPr>
          <w:p w14:paraId="74B71E39">
            <w:pPr>
              <w:pStyle w:val="152"/>
              <w:rPr>
                <w:rFonts w:hint="default" w:ascii="Times New Roman" w:hAnsi="Times New Roman" w:eastAsia="宋体" w:cs="Times New Roman"/>
                <w:color w:val="auto"/>
                <w:highlight w:val="none"/>
                <w:lang w:val="en-US" w:eastAsia="zh-CN"/>
              </w:rPr>
            </w:pPr>
          </w:p>
        </w:tc>
        <w:tc>
          <w:tcPr>
            <w:tcW w:w="1149" w:type="dxa"/>
            <w:noWrap w:val="0"/>
            <w:vAlign w:val="center"/>
          </w:tcPr>
          <w:p w14:paraId="24AE58D7">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2F1EBBF8">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07A1D84C">
            <w:pPr>
              <w:pStyle w:val="152"/>
              <w:rPr>
                <w:rFonts w:hint="default" w:ascii="Times New Roman" w:hAnsi="Times New Roman" w:cs="Times New Roman"/>
                <w:color w:val="auto"/>
                <w:highlight w:val="none"/>
              </w:rPr>
            </w:pPr>
          </w:p>
        </w:tc>
      </w:tr>
      <w:tr w14:paraId="183D6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continue"/>
            <w:noWrap w:val="0"/>
            <w:vAlign w:val="center"/>
          </w:tcPr>
          <w:p w14:paraId="30E664C7">
            <w:pPr>
              <w:pStyle w:val="152"/>
              <w:rPr>
                <w:rFonts w:hint="default" w:ascii="Times New Roman" w:hAnsi="Times New Roman" w:cs="Times New Roman"/>
                <w:color w:val="auto"/>
                <w:highlight w:val="none"/>
                <w:lang w:val="en-US" w:eastAsia="zh-CN"/>
              </w:rPr>
            </w:pPr>
          </w:p>
        </w:tc>
        <w:tc>
          <w:tcPr>
            <w:tcW w:w="855" w:type="dxa"/>
            <w:vMerge w:val="continue"/>
            <w:noWrap w:val="0"/>
            <w:vAlign w:val="center"/>
          </w:tcPr>
          <w:p w14:paraId="2CDDE77A">
            <w:pPr>
              <w:pStyle w:val="152"/>
              <w:rPr>
                <w:rFonts w:hint="default" w:ascii="Times New Roman" w:hAnsi="Times New Roman" w:cs="Times New Roman"/>
                <w:color w:val="auto"/>
                <w:highlight w:val="none"/>
              </w:rPr>
            </w:pPr>
          </w:p>
        </w:tc>
        <w:tc>
          <w:tcPr>
            <w:tcW w:w="855" w:type="dxa"/>
            <w:vMerge w:val="continue"/>
            <w:noWrap w:val="0"/>
            <w:vAlign w:val="center"/>
          </w:tcPr>
          <w:p w14:paraId="12CEF99B">
            <w:pPr>
              <w:pStyle w:val="152"/>
              <w:rPr>
                <w:rFonts w:hint="default" w:ascii="Times New Roman" w:hAnsi="Times New Roman" w:cs="Times New Roman"/>
                <w:color w:val="auto"/>
                <w:highlight w:val="none"/>
              </w:rPr>
            </w:pPr>
          </w:p>
        </w:tc>
        <w:tc>
          <w:tcPr>
            <w:tcW w:w="1020" w:type="dxa"/>
            <w:noWrap w:val="0"/>
            <w:vAlign w:val="center"/>
          </w:tcPr>
          <w:p w14:paraId="0D9CD8B4">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686" w:type="dxa"/>
            <w:vMerge w:val="continue"/>
            <w:noWrap w:val="0"/>
            <w:vAlign w:val="center"/>
          </w:tcPr>
          <w:p w14:paraId="28E195D5">
            <w:pPr>
              <w:pStyle w:val="152"/>
              <w:rPr>
                <w:rFonts w:hint="default" w:ascii="Times New Roman" w:hAnsi="Times New Roman" w:cs="Times New Roman"/>
                <w:color w:val="auto"/>
                <w:highlight w:val="none"/>
              </w:rPr>
            </w:pPr>
          </w:p>
        </w:tc>
        <w:tc>
          <w:tcPr>
            <w:tcW w:w="1002" w:type="dxa"/>
            <w:vMerge w:val="continue"/>
            <w:noWrap w:val="0"/>
            <w:vAlign w:val="center"/>
          </w:tcPr>
          <w:p w14:paraId="5E5986E4">
            <w:pPr>
              <w:pStyle w:val="152"/>
              <w:rPr>
                <w:rFonts w:hint="default" w:ascii="Times New Roman" w:hAnsi="Times New Roman" w:cs="Times New Roman"/>
                <w:color w:val="auto"/>
                <w:highlight w:val="none"/>
              </w:rPr>
            </w:pPr>
          </w:p>
        </w:tc>
        <w:tc>
          <w:tcPr>
            <w:tcW w:w="1212" w:type="dxa"/>
            <w:noWrap w:val="0"/>
            <w:vAlign w:val="center"/>
          </w:tcPr>
          <w:p w14:paraId="64F4672B">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1080" w:type="dxa"/>
            <w:noWrap w:val="0"/>
            <w:vAlign w:val="center"/>
          </w:tcPr>
          <w:p w14:paraId="4F9FC396">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0.0077</w:t>
            </w:r>
          </w:p>
        </w:tc>
        <w:tc>
          <w:tcPr>
            <w:tcW w:w="1080" w:type="dxa"/>
            <w:vMerge w:val="continue"/>
            <w:noWrap w:val="0"/>
            <w:vAlign w:val="center"/>
          </w:tcPr>
          <w:p w14:paraId="28558FB2">
            <w:pPr>
              <w:pStyle w:val="152"/>
              <w:rPr>
                <w:rFonts w:hint="default" w:ascii="Times New Roman" w:hAnsi="Times New Roman" w:cs="Times New Roman"/>
                <w:color w:val="auto"/>
                <w:highlight w:val="none"/>
              </w:rPr>
            </w:pPr>
          </w:p>
        </w:tc>
        <w:tc>
          <w:tcPr>
            <w:tcW w:w="681" w:type="dxa"/>
            <w:vMerge w:val="continue"/>
            <w:noWrap w:val="0"/>
            <w:vAlign w:val="center"/>
          </w:tcPr>
          <w:p w14:paraId="1A1D83BC">
            <w:pPr>
              <w:pStyle w:val="152"/>
              <w:rPr>
                <w:rFonts w:hint="default" w:ascii="Times New Roman" w:hAnsi="Times New Roman" w:cs="Times New Roman"/>
                <w:color w:val="auto"/>
                <w:highlight w:val="none"/>
              </w:rPr>
            </w:pPr>
          </w:p>
        </w:tc>
        <w:tc>
          <w:tcPr>
            <w:tcW w:w="681" w:type="dxa"/>
            <w:vMerge w:val="continue"/>
            <w:noWrap w:val="0"/>
            <w:vAlign w:val="center"/>
          </w:tcPr>
          <w:p w14:paraId="3630EDD6">
            <w:pPr>
              <w:pStyle w:val="152"/>
              <w:rPr>
                <w:rFonts w:hint="default" w:ascii="Times New Roman" w:hAnsi="Times New Roman" w:cs="Times New Roman"/>
                <w:color w:val="auto"/>
                <w:highlight w:val="none"/>
              </w:rPr>
            </w:pPr>
          </w:p>
        </w:tc>
        <w:tc>
          <w:tcPr>
            <w:tcW w:w="1052" w:type="dxa"/>
            <w:vMerge w:val="continue"/>
            <w:noWrap w:val="0"/>
            <w:vAlign w:val="center"/>
          </w:tcPr>
          <w:p w14:paraId="4298FD53">
            <w:pPr>
              <w:pStyle w:val="152"/>
              <w:rPr>
                <w:rFonts w:hint="default" w:ascii="Times New Roman" w:hAnsi="Times New Roman" w:cs="Times New Roman"/>
                <w:color w:val="auto"/>
                <w:highlight w:val="none"/>
              </w:rPr>
            </w:pPr>
          </w:p>
        </w:tc>
        <w:tc>
          <w:tcPr>
            <w:tcW w:w="1149" w:type="dxa"/>
            <w:noWrap w:val="0"/>
            <w:vAlign w:val="center"/>
          </w:tcPr>
          <w:p w14:paraId="5CAAE95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55CE7F46">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3A450DE1">
            <w:pPr>
              <w:pStyle w:val="152"/>
              <w:rPr>
                <w:rFonts w:hint="default" w:ascii="Times New Roman" w:hAnsi="Times New Roman" w:cs="Times New Roman"/>
                <w:color w:val="auto"/>
                <w:highlight w:val="none"/>
              </w:rPr>
            </w:pPr>
          </w:p>
        </w:tc>
      </w:tr>
      <w:bookmarkEnd w:id="495"/>
      <w:bookmarkEnd w:id="496"/>
    </w:tbl>
    <w:p w14:paraId="069EB0AA">
      <w:pPr>
        <w:pStyle w:val="4"/>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bookmarkEnd w:id="490"/>
    <w:p w14:paraId="59774B53">
      <w:pPr>
        <w:pStyle w:val="94"/>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沼液贮存池。</w:t>
      </w:r>
    </w:p>
    <w:bookmarkEnd w:id="491"/>
    <w:bookmarkEnd w:id="492"/>
    <w:p w14:paraId="25BEBA51">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项目废水主要污染物产生及排放情况见表3</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5-1</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w:t>
      </w:r>
    </w:p>
    <w:p w14:paraId="7547258A">
      <w:pPr>
        <w:pStyle w:val="364"/>
        <w:spacing w:line="500" w:lineRule="exact"/>
        <w:jc w:val="center"/>
        <w:rPr>
          <w:rFonts w:hint="default" w:ascii="Times New Roman" w:hAnsi="Times New Roman" w:cs="Times New Roman"/>
          <w:b/>
          <w:bCs/>
          <w:color w:val="auto"/>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en-US" w:eastAsia="zh-CN" w:bidi="ar-SA"/>
        </w:rPr>
        <w:t>废水污染源源强核算结果及相关参数一览表</w:t>
      </w:r>
    </w:p>
    <w:tbl>
      <w:tblPr>
        <w:tblStyle w:val="48"/>
        <w:tblW w:w="4995"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70"/>
        <w:gridCol w:w="750"/>
        <w:gridCol w:w="425"/>
        <w:gridCol w:w="687"/>
        <w:gridCol w:w="912"/>
        <w:gridCol w:w="838"/>
        <w:gridCol w:w="537"/>
        <w:gridCol w:w="758"/>
        <w:gridCol w:w="426"/>
        <w:gridCol w:w="729"/>
        <w:gridCol w:w="712"/>
        <w:gridCol w:w="509"/>
        <w:gridCol w:w="462"/>
      </w:tblGrid>
      <w:tr w14:paraId="207CF57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452" w:type="pct"/>
            <w:vMerge w:val="restart"/>
            <w:noWrap w:val="0"/>
            <w:vAlign w:val="center"/>
          </w:tcPr>
          <w:p w14:paraId="590BEBA4">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排放源</w:t>
            </w:r>
          </w:p>
        </w:tc>
        <w:tc>
          <w:tcPr>
            <w:tcW w:w="440" w:type="pct"/>
            <w:vMerge w:val="restart"/>
            <w:noWrap w:val="0"/>
            <w:vAlign w:val="center"/>
          </w:tcPr>
          <w:p w14:paraId="103C60DF">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w:t>
            </w:r>
          </w:p>
        </w:tc>
        <w:tc>
          <w:tcPr>
            <w:tcW w:w="1680" w:type="pct"/>
            <w:gridSpan w:val="4"/>
            <w:noWrap w:val="0"/>
            <w:vAlign w:val="center"/>
          </w:tcPr>
          <w:p w14:paraId="62E16A9F">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污染物产生</w:t>
            </w:r>
          </w:p>
        </w:tc>
        <w:tc>
          <w:tcPr>
            <w:tcW w:w="760" w:type="pct"/>
            <w:gridSpan w:val="2"/>
            <w:noWrap w:val="0"/>
            <w:vAlign w:val="center"/>
          </w:tcPr>
          <w:p w14:paraId="29A69EAA">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治理措施</w:t>
            </w:r>
          </w:p>
        </w:tc>
        <w:tc>
          <w:tcPr>
            <w:tcW w:w="1395" w:type="pct"/>
            <w:gridSpan w:val="4"/>
            <w:noWrap w:val="0"/>
            <w:vAlign w:val="center"/>
          </w:tcPr>
          <w:p w14:paraId="03D6B597">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污染物排放</w:t>
            </w:r>
          </w:p>
        </w:tc>
        <w:tc>
          <w:tcPr>
            <w:tcW w:w="271" w:type="pct"/>
            <w:vMerge w:val="restart"/>
            <w:noWrap w:val="0"/>
            <w:vAlign w:val="center"/>
          </w:tcPr>
          <w:p w14:paraId="4BDF3D1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排放时间(h)</w:t>
            </w:r>
          </w:p>
        </w:tc>
      </w:tr>
      <w:tr w14:paraId="6DFD347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452" w:type="pct"/>
            <w:vMerge w:val="continue"/>
            <w:noWrap w:val="0"/>
            <w:vAlign w:val="center"/>
          </w:tcPr>
          <w:p w14:paraId="31262E0B">
            <w:pPr>
              <w:spacing w:line="0" w:lineRule="atLeast"/>
              <w:jc w:val="center"/>
              <w:rPr>
                <w:rFonts w:hint="default" w:ascii="Times New Roman" w:hAnsi="Times New Roman" w:cs="Times New Roman"/>
                <w:color w:val="auto"/>
                <w:sz w:val="21"/>
                <w:szCs w:val="21"/>
                <w:highlight w:val="none"/>
              </w:rPr>
            </w:pPr>
          </w:p>
        </w:tc>
        <w:tc>
          <w:tcPr>
            <w:tcW w:w="440" w:type="pct"/>
            <w:vMerge w:val="continue"/>
            <w:noWrap w:val="0"/>
            <w:vAlign w:val="center"/>
          </w:tcPr>
          <w:p w14:paraId="455F78AD">
            <w:pPr>
              <w:spacing w:line="0" w:lineRule="atLeast"/>
              <w:jc w:val="center"/>
              <w:rPr>
                <w:rFonts w:hint="default" w:ascii="Times New Roman" w:hAnsi="Times New Roman" w:cs="Times New Roman"/>
                <w:color w:val="auto"/>
                <w:kern w:val="0"/>
                <w:sz w:val="21"/>
                <w:szCs w:val="21"/>
                <w:highlight w:val="none"/>
              </w:rPr>
            </w:pPr>
          </w:p>
        </w:tc>
        <w:tc>
          <w:tcPr>
            <w:tcW w:w="249" w:type="pct"/>
            <w:noWrap w:val="0"/>
            <w:vAlign w:val="center"/>
          </w:tcPr>
          <w:p w14:paraId="4CDE7C0E">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核算方法</w:t>
            </w:r>
          </w:p>
        </w:tc>
        <w:tc>
          <w:tcPr>
            <w:tcW w:w="403" w:type="pct"/>
            <w:noWrap w:val="0"/>
            <w:vAlign w:val="center"/>
          </w:tcPr>
          <w:p w14:paraId="71F400E4">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产生废水量m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/a</w:t>
            </w:r>
          </w:p>
        </w:tc>
        <w:tc>
          <w:tcPr>
            <w:tcW w:w="535" w:type="pct"/>
            <w:noWrap w:val="0"/>
            <w:vAlign w:val="center"/>
          </w:tcPr>
          <w:p w14:paraId="2310B90F">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产生浓度mg/L</w:t>
            </w:r>
          </w:p>
        </w:tc>
        <w:tc>
          <w:tcPr>
            <w:tcW w:w="492" w:type="pct"/>
            <w:noWrap w:val="0"/>
            <w:vAlign w:val="center"/>
          </w:tcPr>
          <w:p w14:paraId="45998505">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产生量t/a</w:t>
            </w:r>
          </w:p>
        </w:tc>
        <w:tc>
          <w:tcPr>
            <w:tcW w:w="315" w:type="pct"/>
            <w:noWrap w:val="0"/>
            <w:vAlign w:val="center"/>
          </w:tcPr>
          <w:p w14:paraId="2A8CD39E">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工艺</w:t>
            </w:r>
          </w:p>
        </w:tc>
        <w:tc>
          <w:tcPr>
            <w:tcW w:w="445" w:type="pct"/>
            <w:noWrap w:val="0"/>
            <w:vAlign w:val="center"/>
          </w:tcPr>
          <w:p w14:paraId="2AB02BEB">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效率（%）</w:t>
            </w:r>
          </w:p>
        </w:tc>
        <w:tc>
          <w:tcPr>
            <w:tcW w:w="250" w:type="pct"/>
            <w:noWrap w:val="0"/>
            <w:vAlign w:val="center"/>
          </w:tcPr>
          <w:p w14:paraId="35EDFCA3">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核算方法</w:t>
            </w:r>
          </w:p>
        </w:tc>
        <w:tc>
          <w:tcPr>
            <w:tcW w:w="428" w:type="pct"/>
            <w:noWrap w:val="0"/>
            <w:vAlign w:val="center"/>
          </w:tcPr>
          <w:p w14:paraId="4D861DE0">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排放废水量m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/a</w:t>
            </w:r>
          </w:p>
        </w:tc>
        <w:tc>
          <w:tcPr>
            <w:tcW w:w="418" w:type="pct"/>
            <w:noWrap w:val="0"/>
            <w:vAlign w:val="center"/>
          </w:tcPr>
          <w:p w14:paraId="5FDF01A1">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排放浓度mg/L</w:t>
            </w:r>
          </w:p>
        </w:tc>
        <w:tc>
          <w:tcPr>
            <w:tcW w:w="298" w:type="pct"/>
            <w:noWrap w:val="0"/>
            <w:vAlign w:val="center"/>
          </w:tcPr>
          <w:p w14:paraId="61F2661C">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排放量t/a</w:t>
            </w:r>
          </w:p>
        </w:tc>
        <w:tc>
          <w:tcPr>
            <w:tcW w:w="271" w:type="pct"/>
            <w:vMerge w:val="continue"/>
            <w:noWrap w:val="0"/>
            <w:vAlign w:val="center"/>
          </w:tcPr>
          <w:p w14:paraId="381F3339">
            <w:pPr>
              <w:spacing w:line="0" w:lineRule="atLeast"/>
              <w:jc w:val="center"/>
              <w:rPr>
                <w:rFonts w:hint="default" w:ascii="Times New Roman" w:hAnsi="Times New Roman" w:cs="Times New Roman"/>
                <w:color w:val="auto"/>
                <w:kern w:val="0"/>
                <w:sz w:val="21"/>
                <w:szCs w:val="21"/>
                <w:highlight w:val="none"/>
              </w:rPr>
            </w:pPr>
          </w:p>
        </w:tc>
      </w:tr>
      <w:tr w14:paraId="5DB4912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710" w:hRule="atLeast"/>
          <w:jc w:val="center"/>
        </w:trPr>
        <w:tc>
          <w:tcPr>
            <w:tcW w:w="452" w:type="pct"/>
            <w:vMerge w:val="restart"/>
            <w:noWrap w:val="0"/>
            <w:vAlign w:val="center"/>
          </w:tcPr>
          <w:p w14:paraId="7A3DB5E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养殖废水（猪尿</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冲洗废水</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固液分离废水</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洗消车间废水</w:t>
            </w:r>
            <w:r>
              <w:rPr>
                <w:rFonts w:hint="default" w:ascii="Times New Roman" w:hAnsi="Times New Roman" w:cs="Times New Roman"/>
                <w:color w:val="auto"/>
                <w:kern w:val="0"/>
                <w:sz w:val="21"/>
                <w:szCs w:val="21"/>
                <w:highlight w:val="none"/>
              </w:rPr>
              <w:t>）</w:t>
            </w:r>
          </w:p>
        </w:tc>
        <w:tc>
          <w:tcPr>
            <w:tcW w:w="440" w:type="pct"/>
            <w:noWrap w:val="0"/>
            <w:vAlign w:val="center"/>
          </w:tcPr>
          <w:p w14:paraId="62B03DCD">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COD</w:t>
            </w:r>
          </w:p>
        </w:tc>
        <w:tc>
          <w:tcPr>
            <w:tcW w:w="249" w:type="pct"/>
            <w:vMerge w:val="restart"/>
            <w:noWrap w:val="0"/>
            <w:vAlign w:val="center"/>
          </w:tcPr>
          <w:p w14:paraId="03D20395">
            <w:pPr>
              <w:spacing w:line="0" w:lineRule="atLeast"/>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产污系数法</w:t>
            </w:r>
          </w:p>
        </w:tc>
        <w:tc>
          <w:tcPr>
            <w:tcW w:w="687" w:type="dxa"/>
            <w:vMerge w:val="restart"/>
            <w:noWrap w:val="0"/>
            <w:vAlign w:val="center"/>
          </w:tcPr>
          <w:p w14:paraId="274C5123">
            <w:pPr>
              <w:pStyle w:val="152"/>
              <w:rPr>
                <w:rFonts w:hint="default" w:ascii="Times New Roman" w:hAnsi="Times New Roman" w:eastAsia="等线" w:cs="Times New Roman"/>
                <w:color w:val="auto"/>
                <w:kern w:val="0"/>
                <w:sz w:val="21"/>
                <w:szCs w:val="21"/>
                <w:highlight w:val="none"/>
                <w:lang w:val="en-US" w:eastAsia="zh-CN"/>
              </w:rPr>
            </w:pPr>
            <w:r>
              <w:rPr>
                <w:rFonts w:hint="eastAsia" w:ascii="Times New Roman" w:hAnsi="Times New Roman" w:cs="Times New Roman"/>
                <w:color w:val="auto"/>
                <w:highlight w:val="none"/>
                <w:lang w:val="en-US" w:eastAsia="zh-CN"/>
              </w:rPr>
              <w:t>9282.607</w:t>
            </w:r>
          </w:p>
        </w:tc>
        <w:tc>
          <w:tcPr>
            <w:tcW w:w="912" w:type="dxa"/>
            <w:noWrap w:val="0"/>
            <w:vAlign w:val="center"/>
          </w:tcPr>
          <w:p w14:paraId="4353EC00">
            <w:pPr>
              <w:pStyle w:val="152"/>
              <w:ind w:left="0" w:leftChars="0" w:firstLine="0" w:firstLineChars="0"/>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2640</w:t>
            </w:r>
          </w:p>
        </w:tc>
        <w:tc>
          <w:tcPr>
            <w:tcW w:w="838" w:type="dxa"/>
            <w:noWrap w:val="0"/>
            <w:vAlign w:val="center"/>
          </w:tcPr>
          <w:p w14:paraId="2DA8139F">
            <w:pPr>
              <w:pStyle w:val="152"/>
              <w:ind w:left="0" w:leftChars="0" w:firstLine="0" w:firstLineChars="0"/>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24.51</w:t>
            </w:r>
          </w:p>
        </w:tc>
        <w:tc>
          <w:tcPr>
            <w:tcW w:w="315" w:type="pct"/>
            <w:vMerge w:val="restart"/>
            <w:noWrap w:val="0"/>
            <w:vAlign w:val="center"/>
          </w:tcPr>
          <w:p w14:paraId="64CBD8C0">
            <w:pPr>
              <w:spacing w:line="0" w:lineRule="atLeast"/>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固液分离+黑膜厌氧池</w:t>
            </w:r>
          </w:p>
        </w:tc>
        <w:tc>
          <w:tcPr>
            <w:tcW w:w="445" w:type="pct"/>
            <w:noWrap w:val="0"/>
            <w:vAlign w:val="center"/>
          </w:tcPr>
          <w:p w14:paraId="3FEFCB4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restart"/>
            <w:noWrap w:val="0"/>
            <w:vAlign w:val="center"/>
          </w:tcPr>
          <w:p w14:paraId="4BB960BD">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428" w:type="pct"/>
            <w:vMerge w:val="restart"/>
            <w:noWrap w:val="0"/>
            <w:vAlign w:val="center"/>
          </w:tcPr>
          <w:p w14:paraId="42A55D5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418" w:type="pct"/>
            <w:noWrap w:val="0"/>
            <w:vAlign w:val="center"/>
          </w:tcPr>
          <w:p w14:paraId="503E7C54">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298" w:type="pct"/>
            <w:noWrap w:val="0"/>
            <w:vAlign w:val="center"/>
          </w:tcPr>
          <w:p w14:paraId="0B3FE398">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bidi="ar"/>
              </w:rPr>
              <w:t>0</w:t>
            </w:r>
          </w:p>
        </w:tc>
        <w:tc>
          <w:tcPr>
            <w:tcW w:w="271" w:type="pct"/>
            <w:vMerge w:val="restart"/>
            <w:noWrap w:val="0"/>
            <w:vAlign w:val="center"/>
          </w:tcPr>
          <w:p w14:paraId="5234E7D1">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r>
      <w:tr w14:paraId="7714BDA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50" w:hRule="atLeast"/>
          <w:jc w:val="center"/>
        </w:trPr>
        <w:tc>
          <w:tcPr>
            <w:tcW w:w="452" w:type="pct"/>
            <w:vMerge w:val="continue"/>
            <w:noWrap w:val="0"/>
            <w:vAlign w:val="center"/>
          </w:tcPr>
          <w:p w14:paraId="112448F6">
            <w:pPr>
              <w:spacing w:line="0" w:lineRule="atLeast"/>
              <w:jc w:val="center"/>
              <w:rPr>
                <w:rFonts w:hint="default" w:ascii="Times New Roman" w:hAnsi="Times New Roman" w:cs="Times New Roman"/>
                <w:color w:val="auto"/>
                <w:kern w:val="0"/>
                <w:sz w:val="21"/>
                <w:szCs w:val="21"/>
                <w:highlight w:val="none"/>
              </w:rPr>
            </w:pPr>
          </w:p>
        </w:tc>
        <w:tc>
          <w:tcPr>
            <w:tcW w:w="440" w:type="pct"/>
            <w:noWrap w:val="0"/>
            <w:vAlign w:val="center"/>
          </w:tcPr>
          <w:p w14:paraId="0271D94E">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NH</w:t>
            </w:r>
            <w:r>
              <w:rPr>
                <w:rFonts w:hint="default" w:ascii="Times New Roman" w:hAnsi="Times New Roman" w:cs="Times New Roman"/>
                <w:color w:val="auto"/>
                <w:kern w:val="0"/>
                <w:sz w:val="21"/>
                <w:szCs w:val="21"/>
                <w:highlight w:val="none"/>
                <w:vertAlign w:val="subscript"/>
              </w:rPr>
              <w:t>3</w:t>
            </w:r>
            <w:r>
              <w:rPr>
                <w:rFonts w:hint="default" w:ascii="Times New Roman" w:hAnsi="Times New Roman" w:cs="Times New Roman"/>
                <w:color w:val="auto"/>
                <w:kern w:val="0"/>
                <w:sz w:val="21"/>
                <w:szCs w:val="21"/>
                <w:highlight w:val="none"/>
              </w:rPr>
              <w:t>-N</w:t>
            </w:r>
          </w:p>
        </w:tc>
        <w:tc>
          <w:tcPr>
            <w:tcW w:w="249" w:type="pct"/>
            <w:vMerge w:val="continue"/>
            <w:noWrap w:val="0"/>
            <w:vAlign w:val="center"/>
          </w:tcPr>
          <w:p w14:paraId="00DFC089">
            <w:pPr>
              <w:spacing w:line="0" w:lineRule="atLeast"/>
              <w:jc w:val="center"/>
              <w:rPr>
                <w:rFonts w:hint="default" w:ascii="Times New Roman" w:hAnsi="Times New Roman" w:cs="Times New Roman"/>
                <w:color w:val="auto"/>
                <w:kern w:val="0"/>
                <w:sz w:val="21"/>
                <w:szCs w:val="21"/>
                <w:highlight w:val="none"/>
              </w:rPr>
            </w:pPr>
          </w:p>
        </w:tc>
        <w:tc>
          <w:tcPr>
            <w:tcW w:w="687" w:type="dxa"/>
            <w:vMerge w:val="continue"/>
            <w:noWrap w:val="0"/>
            <w:vAlign w:val="center"/>
          </w:tcPr>
          <w:p w14:paraId="4D6BE146">
            <w:pPr>
              <w:pStyle w:val="152"/>
              <w:rPr>
                <w:rFonts w:hint="default" w:ascii="Times New Roman" w:hAnsi="Times New Roman" w:cs="Times New Roman"/>
                <w:color w:val="auto"/>
                <w:kern w:val="0"/>
                <w:sz w:val="21"/>
                <w:szCs w:val="21"/>
                <w:highlight w:val="none"/>
              </w:rPr>
            </w:pPr>
          </w:p>
        </w:tc>
        <w:tc>
          <w:tcPr>
            <w:tcW w:w="912" w:type="dxa"/>
            <w:noWrap w:val="0"/>
            <w:vAlign w:val="center"/>
          </w:tcPr>
          <w:p w14:paraId="5F4391C3">
            <w:pPr>
              <w:pStyle w:val="152"/>
              <w:ind w:left="0" w:leftChars="0" w:firstLine="0" w:firstLineChars="0"/>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261</w:t>
            </w:r>
          </w:p>
        </w:tc>
        <w:tc>
          <w:tcPr>
            <w:tcW w:w="838" w:type="dxa"/>
            <w:noWrap w:val="0"/>
            <w:vAlign w:val="center"/>
          </w:tcPr>
          <w:p w14:paraId="7C3AEF99">
            <w:pPr>
              <w:pStyle w:val="152"/>
              <w:ind w:left="0" w:leftChars="0" w:firstLine="0" w:firstLineChars="0"/>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2.42</w:t>
            </w:r>
          </w:p>
        </w:tc>
        <w:tc>
          <w:tcPr>
            <w:tcW w:w="315" w:type="pct"/>
            <w:vMerge w:val="continue"/>
            <w:noWrap w:val="0"/>
            <w:vAlign w:val="center"/>
          </w:tcPr>
          <w:p w14:paraId="1BC1F825">
            <w:pPr>
              <w:spacing w:line="0" w:lineRule="atLeast"/>
              <w:jc w:val="center"/>
              <w:rPr>
                <w:rFonts w:hint="default" w:ascii="Times New Roman" w:hAnsi="Times New Roman" w:cs="Times New Roman"/>
                <w:color w:val="auto"/>
                <w:kern w:val="0"/>
                <w:sz w:val="21"/>
                <w:szCs w:val="21"/>
                <w:highlight w:val="none"/>
              </w:rPr>
            </w:pPr>
          </w:p>
        </w:tc>
        <w:tc>
          <w:tcPr>
            <w:tcW w:w="445" w:type="pct"/>
            <w:noWrap w:val="0"/>
            <w:vAlign w:val="center"/>
          </w:tcPr>
          <w:p w14:paraId="79DD126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continue"/>
            <w:noWrap w:val="0"/>
            <w:vAlign w:val="center"/>
          </w:tcPr>
          <w:p w14:paraId="523C13CB">
            <w:pPr>
              <w:spacing w:line="0" w:lineRule="atLeast"/>
              <w:jc w:val="center"/>
              <w:rPr>
                <w:rFonts w:hint="default" w:ascii="Times New Roman" w:hAnsi="Times New Roman" w:cs="Times New Roman"/>
                <w:color w:val="auto"/>
                <w:kern w:val="0"/>
                <w:sz w:val="21"/>
                <w:szCs w:val="21"/>
                <w:highlight w:val="none"/>
              </w:rPr>
            </w:pPr>
          </w:p>
        </w:tc>
        <w:tc>
          <w:tcPr>
            <w:tcW w:w="428" w:type="pct"/>
            <w:vMerge w:val="continue"/>
            <w:noWrap w:val="0"/>
            <w:vAlign w:val="center"/>
          </w:tcPr>
          <w:p w14:paraId="7979670A">
            <w:pPr>
              <w:spacing w:line="0" w:lineRule="atLeast"/>
              <w:jc w:val="center"/>
              <w:rPr>
                <w:rFonts w:hint="default" w:ascii="Times New Roman" w:hAnsi="Times New Roman" w:cs="Times New Roman"/>
                <w:color w:val="auto"/>
                <w:kern w:val="0"/>
                <w:sz w:val="21"/>
                <w:szCs w:val="21"/>
                <w:highlight w:val="none"/>
              </w:rPr>
            </w:pPr>
          </w:p>
        </w:tc>
        <w:tc>
          <w:tcPr>
            <w:tcW w:w="418" w:type="pct"/>
            <w:noWrap w:val="0"/>
            <w:vAlign w:val="center"/>
          </w:tcPr>
          <w:p w14:paraId="4A42796F">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298" w:type="pct"/>
            <w:noWrap w:val="0"/>
            <w:vAlign w:val="center"/>
          </w:tcPr>
          <w:p w14:paraId="4D712912">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bidi="ar"/>
              </w:rPr>
              <w:t>0</w:t>
            </w:r>
          </w:p>
        </w:tc>
        <w:tc>
          <w:tcPr>
            <w:tcW w:w="271" w:type="pct"/>
            <w:vMerge w:val="continue"/>
            <w:noWrap w:val="0"/>
            <w:vAlign w:val="center"/>
          </w:tcPr>
          <w:p w14:paraId="3B88050F">
            <w:pPr>
              <w:spacing w:line="0" w:lineRule="atLeast"/>
              <w:jc w:val="center"/>
              <w:rPr>
                <w:rFonts w:hint="default" w:ascii="Times New Roman" w:hAnsi="Times New Roman" w:cs="Times New Roman"/>
                <w:color w:val="auto"/>
                <w:kern w:val="0"/>
                <w:sz w:val="21"/>
                <w:szCs w:val="21"/>
                <w:highlight w:val="none"/>
              </w:rPr>
            </w:pPr>
          </w:p>
        </w:tc>
      </w:tr>
      <w:tr w14:paraId="03D635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851" w:hRule="atLeast"/>
          <w:jc w:val="center"/>
        </w:trPr>
        <w:tc>
          <w:tcPr>
            <w:tcW w:w="452" w:type="pct"/>
            <w:vMerge w:val="continue"/>
            <w:noWrap w:val="0"/>
            <w:vAlign w:val="center"/>
          </w:tcPr>
          <w:p w14:paraId="46878596">
            <w:pPr>
              <w:spacing w:line="0" w:lineRule="atLeast"/>
              <w:jc w:val="center"/>
              <w:rPr>
                <w:rFonts w:hint="default" w:ascii="Times New Roman" w:hAnsi="Times New Roman" w:cs="Times New Roman"/>
                <w:color w:val="auto"/>
                <w:kern w:val="0"/>
                <w:sz w:val="21"/>
                <w:szCs w:val="21"/>
                <w:highlight w:val="none"/>
              </w:rPr>
            </w:pPr>
          </w:p>
        </w:tc>
        <w:tc>
          <w:tcPr>
            <w:tcW w:w="440" w:type="pct"/>
            <w:noWrap w:val="0"/>
            <w:vAlign w:val="center"/>
          </w:tcPr>
          <w:p w14:paraId="16030942">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TN</w:t>
            </w:r>
          </w:p>
        </w:tc>
        <w:tc>
          <w:tcPr>
            <w:tcW w:w="249" w:type="pct"/>
            <w:vMerge w:val="continue"/>
            <w:noWrap w:val="0"/>
            <w:vAlign w:val="center"/>
          </w:tcPr>
          <w:p w14:paraId="2D6F0FDB">
            <w:pPr>
              <w:spacing w:line="0" w:lineRule="atLeast"/>
              <w:jc w:val="center"/>
              <w:rPr>
                <w:rFonts w:hint="default" w:ascii="Times New Roman" w:hAnsi="Times New Roman" w:cs="Times New Roman"/>
                <w:color w:val="auto"/>
                <w:kern w:val="0"/>
                <w:sz w:val="21"/>
                <w:szCs w:val="21"/>
                <w:highlight w:val="none"/>
              </w:rPr>
            </w:pPr>
          </w:p>
        </w:tc>
        <w:tc>
          <w:tcPr>
            <w:tcW w:w="687" w:type="dxa"/>
            <w:vMerge w:val="continue"/>
            <w:noWrap w:val="0"/>
            <w:vAlign w:val="center"/>
          </w:tcPr>
          <w:p w14:paraId="16330A65">
            <w:pPr>
              <w:pStyle w:val="152"/>
              <w:rPr>
                <w:rFonts w:hint="default" w:ascii="Times New Roman" w:hAnsi="Times New Roman" w:cs="Times New Roman"/>
                <w:color w:val="auto"/>
                <w:kern w:val="0"/>
                <w:sz w:val="21"/>
                <w:szCs w:val="21"/>
                <w:highlight w:val="none"/>
              </w:rPr>
            </w:pPr>
          </w:p>
        </w:tc>
        <w:tc>
          <w:tcPr>
            <w:tcW w:w="912" w:type="dxa"/>
            <w:noWrap w:val="0"/>
            <w:vAlign w:val="center"/>
          </w:tcPr>
          <w:p w14:paraId="50ECF8F0">
            <w:pPr>
              <w:pStyle w:val="152"/>
              <w:ind w:left="0" w:leftChars="0" w:firstLine="0" w:firstLineChars="0"/>
              <w:rPr>
                <w:rFonts w:hint="default" w:ascii="Times New Roman" w:hAnsi="Times New Roman" w:cs="Times New Roman"/>
                <w:snapToGrid w:val="0"/>
                <w:color w:val="auto"/>
                <w:sz w:val="21"/>
                <w:szCs w:val="21"/>
                <w:highlight w:val="none"/>
              </w:rPr>
            </w:pPr>
            <w:r>
              <w:rPr>
                <w:rFonts w:hint="eastAsia" w:ascii="Times New Roman" w:hAnsi="Times New Roman" w:cs="Times New Roman"/>
                <w:color w:val="auto"/>
                <w:highlight w:val="none"/>
                <w:lang w:val="en-US" w:eastAsia="zh-CN"/>
              </w:rPr>
              <w:t>370</w:t>
            </w:r>
          </w:p>
        </w:tc>
        <w:tc>
          <w:tcPr>
            <w:tcW w:w="838" w:type="dxa"/>
            <w:noWrap w:val="0"/>
            <w:vAlign w:val="center"/>
          </w:tcPr>
          <w:p w14:paraId="05D8E47A">
            <w:pPr>
              <w:pStyle w:val="152"/>
              <w:ind w:left="0" w:leftChars="0" w:firstLine="0" w:firstLineChars="0"/>
              <w:rPr>
                <w:rFonts w:hint="default" w:ascii="Times New Roman" w:hAnsi="Times New Roman" w:eastAsia="等线" w:cs="Times New Roman"/>
                <w:color w:val="auto"/>
                <w:sz w:val="21"/>
                <w:szCs w:val="21"/>
                <w:highlight w:val="none"/>
              </w:rPr>
            </w:pPr>
            <w:r>
              <w:rPr>
                <w:rFonts w:hint="eastAsia" w:ascii="Times New Roman" w:hAnsi="Times New Roman" w:cs="Times New Roman"/>
                <w:color w:val="auto"/>
                <w:highlight w:val="none"/>
                <w:lang w:val="en-US" w:eastAsia="zh-CN"/>
              </w:rPr>
              <w:t>3.43</w:t>
            </w:r>
          </w:p>
        </w:tc>
        <w:tc>
          <w:tcPr>
            <w:tcW w:w="315" w:type="pct"/>
            <w:vMerge w:val="continue"/>
            <w:noWrap w:val="0"/>
            <w:vAlign w:val="center"/>
          </w:tcPr>
          <w:p w14:paraId="07916783">
            <w:pPr>
              <w:spacing w:line="0" w:lineRule="atLeast"/>
              <w:jc w:val="center"/>
              <w:rPr>
                <w:rFonts w:hint="default" w:ascii="Times New Roman" w:hAnsi="Times New Roman" w:cs="Times New Roman"/>
                <w:color w:val="auto"/>
                <w:kern w:val="0"/>
                <w:sz w:val="21"/>
                <w:szCs w:val="21"/>
                <w:highlight w:val="none"/>
              </w:rPr>
            </w:pPr>
          </w:p>
        </w:tc>
        <w:tc>
          <w:tcPr>
            <w:tcW w:w="445" w:type="pct"/>
            <w:noWrap w:val="0"/>
            <w:vAlign w:val="center"/>
          </w:tcPr>
          <w:p w14:paraId="0CABACA7">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continue"/>
            <w:noWrap w:val="0"/>
            <w:vAlign w:val="center"/>
          </w:tcPr>
          <w:p w14:paraId="3A04A67B">
            <w:pPr>
              <w:spacing w:line="0" w:lineRule="atLeast"/>
              <w:jc w:val="center"/>
              <w:rPr>
                <w:rFonts w:hint="default" w:ascii="Times New Roman" w:hAnsi="Times New Roman" w:cs="Times New Roman"/>
                <w:color w:val="auto"/>
                <w:kern w:val="0"/>
                <w:sz w:val="21"/>
                <w:szCs w:val="21"/>
                <w:highlight w:val="none"/>
              </w:rPr>
            </w:pPr>
          </w:p>
        </w:tc>
        <w:tc>
          <w:tcPr>
            <w:tcW w:w="428" w:type="pct"/>
            <w:vMerge w:val="continue"/>
            <w:noWrap w:val="0"/>
            <w:vAlign w:val="center"/>
          </w:tcPr>
          <w:p w14:paraId="6F43E327">
            <w:pPr>
              <w:spacing w:line="0" w:lineRule="atLeast"/>
              <w:jc w:val="center"/>
              <w:rPr>
                <w:rFonts w:hint="default" w:ascii="Times New Roman" w:hAnsi="Times New Roman" w:cs="Times New Roman"/>
                <w:color w:val="auto"/>
                <w:kern w:val="0"/>
                <w:sz w:val="21"/>
                <w:szCs w:val="21"/>
                <w:highlight w:val="none"/>
              </w:rPr>
            </w:pPr>
          </w:p>
        </w:tc>
        <w:tc>
          <w:tcPr>
            <w:tcW w:w="418" w:type="pct"/>
            <w:noWrap w:val="0"/>
            <w:vAlign w:val="center"/>
          </w:tcPr>
          <w:p w14:paraId="1B485D02">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298" w:type="pct"/>
            <w:noWrap w:val="0"/>
            <w:vAlign w:val="center"/>
          </w:tcPr>
          <w:p w14:paraId="1A0EB41D">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271" w:type="pct"/>
            <w:vMerge w:val="continue"/>
            <w:noWrap w:val="0"/>
            <w:vAlign w:val="center"/>
          </w:tcPr>
          <w:p w14:paraId="5B1E1CAF">
            <w:pPr>
              <w:spacing w:line="0" w:lineRule="atLeast"/>
              <w:jc w:val="center"/>
              <w:rPr>
                <w:rFonts w:hint="default" w:ascii="Times New Roman" w:hAnsi="Times New Roman" w:cs="Times New Roman"/>
                <w:color w:val="auto"/>
                <w:kern w:val="0"/>
                <w:sz w:val="21"/>
                <w:szCs w:val="21"/>
                <w:highlight w:val="none"/>
              </w:rPr>
            </w:pPr>
          </w:p>
        </w:tc>
      </w:tr>
      <w:tr w14:paraId="7AA0151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452" w:type="pct"/>
            <w:vMerge w:val="continue"/>
            <w:noWrap w:val="0"/>
            <w:vAlign w:val="center"/>
          </w:tcPr>
          <w:p w14:paraId="20C3A639">
            <w:pPr>
              <w:spacing w:line="0" w:lineRule="atLeast"/>
              <w:jc w:val="center"/>
              <w:rPr>
                <w:rFonts w:hint="default" w:ascii="Times New Roman" w:hAnsi="Times New Roman" w:cs="Times New Roman"/>
                <w:color w:val="auto"/>
                <w:kern w:val="0"/>
                <w:sz w:val="21"/>
                <w:szCs w:val="21"/>
                <w:highlight w:val="none"/>
              </w:rPr>
            </w:pPr>
          </w:p>
        </w:tc>
        <w:tc>
          <w:tcPr>
            <w:tcW w:w="440" w:type="pct"/>
            <w:noWrap w:val="0"/>
            <w:vAlign w:val="center"/>
          </w:tcPr>
          <w:p w14:paraId="7CBBB77D">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TP</w:t>
            </w:r>
          </w:p>
        </w:tc>
        <w:tc>
          <w:tcPr>
            <w:tcW w:w="249" w:type="pct"/>
            <w:vMerge w:val="continue"/>
            <w:noWrap w:val="0"/>
            <w:vAlign w:val="center"/>
          </w:tcPr>
          <w:p w14:paraId="7D40B4CA">
            <w:pPr>
              <w:spacing w:line="0" w:lineRule="atLeast"/>
              <w:jc w:val="center"/>
              <w:rPr>
                <w:rFonts w:hint="default" w:ascii="Times New Roman" w:hAnsi="Times New Roman" w:cs="Times New Roman"/>
                <w:color w:val="auto"/>
                <w:kern w:val="0"/>
                <w:sz w:val="21"/>
                <w:szCs w:val="21"/>
                <w:highlight w:val="none"/>
              </w:rPr>
            </w:pPr>
          </w:p>
        </w:tc>
        <w:tc>
          <w:tcPr>
            <w:tcW w:w="687" w:type="dxa"/>
            <w:vMerge w:val="continue"/>
            <w:noWrap w:val="0"/>
            <w:vAlign w:val="center"/>
          </w:tcPr>
          <w:p w14:paraId="7388F755">
            <w:pPr>
              <w:pStyle w:val="152"/>
              <w:rPr>
                <w:rFonts w:hint="default" w:ascii="Times New Roman" w:hAnsi="Times New Roman" w:cs="Times New Roman"/>
                <w:color w:val="auto"/>
                <w:kern w:val="0"/>
                <w:sz w:val="21"/>
                <w:szCs w:val="21"/>
                <w:highlight w:val="none"/>
              </w:rPr>
            </w:pPr>
          </w:p>
        </w:tc>
        <w:tc>
          <w:tcPr>
            <w:tcW w:w="912" w:type="dxa"/>
            <w:noWrap w:val="0"/>
            <w:vAlign w:val="center"/>
          </w:tcPr>
          <w:p w14:paraId="237D0818">
            <w:pPr>
              <w:pStyle w:val="152"/>
              <w:ind w:left="0" w:leftChars="0" w:firstLine="0" w:firstLineChars="0"/>
              <w:rPr>
                <w:rFonts w:hint="default" w:ascii="Times New Roman" w:hAnsi="Times New Roman" w:cs="Times New Roman"/>
                <w:snapToGrid w:val="0"/>
                <w:color w:val="auto"/>
                <w:sz w:val="21"/>
                <w:szCs w:val="21"/>
                <w:highlight w:val="none"/>
              </w:rPr>
            </w:pPr>
            <w:r>
              <w:rPr>
                <w:rFonts w:hint="eastAsia" w:ascii="Times New Roman" w:hAnsi="Times New Roman" w:cs="Times New Roman"/>
                <w:color w:val="auto"/>
                <w:highlight w:val="none"/>
                <w:lang w:val="en-US" w:eastAsia="zh-CN"/>
              </w:rPr>
              <w:t>43.5</w:t>
            </w:r>
          </w:p>
        </w:tc>
        <w:tc>
          <w:tcPr>
            <w:tcW w:w="838" w:type="dxa"/>
            <w:noWrap w:val="0"/>
            <w:vAlign w:val="center"/>
          </w:tcPr>
          <w:p w14:paraId="77D44B35">
            <w:pPr>
              <w:pStyle w:val="152"/>
              <w:ind w:left="0" w:leftChars="0" w:firstLine="0" w:firstLineChars="0"/>
              <w:rPr>
                <w:rFonts w:hint="default" w:ascii="Times New Roman" w:hAnsi="Times New Roman" w:eastAsia="等线" w:cs="Times New Roman"/>
                <w:color w:val="auto"/>
                <w:sz w:val="21"/>
                <w:szCs w:val="21"/>
                <w:highlight w:val="none"/>
              </w:rPr>
            </w:pPr>
            <w:r>
              <w:rPr>
                <w:rFonts w:hint="eastAsia" w:ascii="Times New Roman" w:hAnsi="Times New Roman" w:cs="Times New Roman"/>
                <w:color w:val="auto"/>
                <w:highlight w:val="none"/>
                <w:lang w:val="en-US" w:eastAsia="zh-CN"/>
              </w:rPr>
              <w:t>0.404</w:t>
            </w:r>
          </w:p>
        </w:tc>
        <w:tc>
          <w:tcPr>
            <w:tcW w:w="315" w:type="pct"/>
            <w:vMerge w:val="continue"/>
            <w:tcBorders>
              <w:bottom w:val="single" w:color="auto" w:sz="4" w:space="0"/>
            </w:tcBorders>
            <w:noWrap w:val="0"/>
            <w:vAlign w:val="center"/>
          </w:tcPr>
          <w:p w14:paraId="6F437A9C">
            <w:pPr>
              <w:spacing w:line="0" w:lineRule="atLeast"/>
              <w:jc w:val="center"/>
              <w:rPr>
                <w:rFonts w:hint="default" w:ascii="Times New Roman" w:hAnsi="Times New Roman" w:cs="Times New Roman"/>
                <w:color w:val="auto"/>
                <w:kern w:val="0"/>
                <w:sz w:val="21"/>
                <w:szCs w:val="21"/>
                <w:highlight w:val="none"/>
              </w:rPr>
            </w:pPr>
          </w:p>
        </w:tc>
        <w:tc>
          <w:tcPr>
            <w:tcW w:w="445" w:type="pct"/>
            <w:tcBorders>
              <w:bottom w:val="single" w:color="auto" w:sz="4" w:space="0"/>
            </w:tcBorders>
            <w:noWrap w:val="0"/>
            <w:vAlign w:val="center"/>
          </w:tcPr>
          <w:p w14:paraId="636B1DE2">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continue"/>
            <w:noWrap w:val="0"/>
            <w:vAlign w:val="center"/>
          </w:tcPr>
          <w:p w14:paraId="501C0D6F">
            <w:pPr>
              <w:spacing w:line="0" w:lineRule="atLeast"/>
              <w:jc w:val="center"/>
              <w:rPr>
                <w:rFonts w:hint="default" w:ascii="Times New Roman" w:hAnsi="Times New Roman" w:cs="Times New Roman"/>
                <w:color w:val="auto"/>
                <w:kern w:val="0"/>
                <w:sz w:val="21"/>
                <w:szCs w:val="21"/>
                <w:highlight w:val="none"/>
              </w:rPr>
            </w:pPr>
          </w:p>
        </w:tc>
        <w:tc>
          <w:tcPr>
            <w:tcW w:w="428" w:type="pct"/>
            <w:vMerge w:val="continue"/>
            <w:noWrap w:val="0"/>
            <w:vAlign w:val="center"/>
          </w:tcPr>
          <w:p w14:paraId="0D4F338F">
            <w:pPr>
              <w:spacing w:line="0" w:lineRule="atLeast"/>
              <w:jc w:val="center"/>
              <w:rPr>
                <w:rFonts w:hint="default" w:ascii="Times New Roman" w:hAnsi="Times New Roman" w:cs="Times New Roman"/>
                <w:color w:val="auto"/>
                <w:kern w:val="0"/>
                <w:sz w:val="21"/>
                <w:szCs w:val="21"/>
                <w:highlight w:val="none"/>
              </w:rPr>
            </w:pPr>
          </w:p>
        </w:tc>
        <w:tc>
          <w:tcPr>
            <w:tcW w:w="418" w:type="pct"/>
            <w:noWrap w:val="0"/>
            <w:vAlign w:val="center"/>
          </w:tcPr>
          <w:p w14:paraId="26691DCE">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298" w:type="pct"/>
            <w:noWrap w:val="0"/>
            <w:vAlign w:val="center"/>
          </w:tcPr>
          <w:p w14:paraId="02FADDE2">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271" w:type="pct"/>
            <w:vMerge w:val="continue"/>
            <w:noWrap w:val="0"/>
            <w:vAlign w:val="center"/>
          </w:tcPr>
          <w:p w14:paraId="0D3AB3D3">
            <w:pPr>
              <w:spacing w:line="0" w:lineRule="atLeast"/>
              <w:jc w:val="center"/>
              <w:rPr>
                <w:rFonts w:hint="default" w:ascii="Times New Roman" w:hAnsi="Times New Roman" w:cs="Times New Roman"/>
                <w:color w:val="auto"/>
                <w:kern w:val="0"/>
                <w:sz w:val="21"/>
                <w:szCs w:val="21"/>
                <w:highlight w:val="none"/>
              </w:rPr>
            </w:pPr>
          </w:p>
        </w:tc>
      </w:tr>
      <w:tr w14:paraId="2626D91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90" w:hRule="atLeast"/>
          <w:jc w:val="center"/>
        </w:trPr>
        <w:tc>
          <w:tcPr>
            <w:tcW w:w="452" w:type="pct"/>
            <w:vMerge w:val="restart"/>
            <w:noWrap w:val="0"/>
            <w:vAlign w:val="center"/>
          </w:tcPr>
          <w:p w14:paraId="32774C60">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生活污水</w:t>
            </w:r>
          </w:p>
        </w:tc>
        <w:tc>
          <w:tcPr>
            <w:tcW w:w="440" w:type="pct"/>
            <w:noWrap w:val="0"/>
            <w:vAlign w:val="center"/>
          </w:tcPr>
          <w:p w14:paraId="6948E1E1">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COD</w:t>
            </w:r>
          </w:p>
        </w:tc>
        <w:tc>
          <w:tcPr>
            <w:tcW w:w="249" w:type="pct"/>
            <w:vMerge w:val="restart"/>
            <w:noWrap w:val="0"/>
            <w:vAlign w:val="center"/>
          </w:tcPr>
          <w:p w14:paraId="17E86502">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产污</w:t>
            </w:r>
            <w:r>
              <w:rPr>
                <w:rFonts w:hint="default" w:ascii="Times New Roman" w:hAnsi="Times New Roman" w:cs="Times New Roman"/>
                <w:color w:val="auto"/>
                <w:kern w:val="0"/>
                <w:sz w:val="21"/>
                <w:szCs w:val="21"/>
                <w:highlight w:val="none"/>
              </w:rPr>
              <w:t>系数法</w:t>
            </w:r>
          </w:p>
        </w:tc>
        <w:tc>
          <w:tcPr>
            <w:tcW w:w="403" w:type="pct"/>
            <w:vMerge w:val="restart"/>
            <w:noWrap w:val="0"/>
            <w:vAlign w:val="center"/>
          </w:tcPr>
          <w:p w14:paraId="71034B31">
            <w:pPr>
              <w:pStyle w:val="152"/>
              <w:rPr>
                <w:rFonts w:hint="default" w:ascii="Times New Roman" w:hAnsi="Times New Roman" w:eastAsia="等线" w:cs="Times New Roman"/>
                <w:color w:val="auto"/>
                <w:kern w:val="0"/>
                <w:sz w:val="21"/>
                <w:szCs w:val="21"/>
                <w:highlight w:val="none"/>
                <w:lang w:val="en-US" w:eastAsia="zh-CN"/>
              </w:rPr>
            </w:pPr>
            <w:r>
              <w:rPr>
                <w:rFonts w:hint="default" w:ascii="Times New Roman" w:hAnsi="Times New Roman" w:eastAsia="宋体" w:cs="Times New Roman"/>
                <w:color w:val="auto"/>
                <w:highlight w:val="none"/>
                <w:lang w:val="en-US" w:eastAsia="zh-CN"/>
              </w:rPr>
              <w:t>256.96</w:t>
            </w:r>
          </w:p>
        </w:tc>
        <w:tc>
          <w:tcPr>
            <w:tcW w:w="912" w:type="dxa"/>
            <w:noWrap w:val="0"/>
            <w:vAlign w:val="center"/>
          </w:tcPr>
          <w:p w14:paraId="6BB3F20E">
            <w:pPr>
              <w:pStyle w:val="152"/>
              <w:ind w:left="0" w:leftChars="0" w:firstLine="0" w:firstLineChars="0"/>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highlight w:val="none"/>
                <w:lang w:val="en-US" w:eastAsia="zh-CN"/>
              </w:rPr>
              <w:t>300</w:t>
            </w:r>
          </w:p>
        </w:tc>
        <w:tc>
          <w:tcPr>
            <w:tcW w:w="838" w:type="dxa"/>
            <w:noWrap w:val="0"/>
            <w:vAlign w:val="center"/>
          </w:tcPr>
          <w:p w14:paraId="35308D9C">
            <w:pPr>
              <w:pStyle w:val="152"/>
              <w:ind w:left="0" w:leftChars="0" w:firstLine="0" w:firstLineChars="0"/>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0.077</w:t>
            </w:r>
          </w:p>
        </w:tc>
        <w:tc>
          <w:tcPr>
            <w:tcW w:w="315" w:type="pct"/>
            <w:vMerge w:val="restart"/>
            <w:tcBorders>
              <w:top w:val="single" w:color="auto" w:sz="4" w:space="0"/>
            </w:tcBorders>
            <w:noWrap w:val="0"/>
            <w:vAlign w:val="center"/>
          </w:tcPr>
          <w:p w14:paraId="41519E23">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黑膜厌氧池</w:t>
            </w:r>
          </w:p>
        </w:tc>
        <w:tc>
          <w:tcPr>
            <w:tcW w:w="445" w:type="pct"/>
            <w:tcBorders>
              <w:top w:val="single" w:color="auto" w:sz="4" w:space="0"/>
            </w:tcBorders>
            <w:noWrap w:val="0"/>
            <w:vAlign w:val="center"/>
          </w:tcPr>
          <w:p w14:paraId="2F1A2A16">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restart"/>
            <w:noWrap w:val="0"/>
            <w:vAlign w:val="center"/>
          </w:tcPr>
          <w:p w14:paraId="15ACB392">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428" w:type="pct"/>
            <w:vMerge w:val="restart"/>
            <w:noWrap w:val="0"/>
            <w:vAlign w:val="center"/>
          </w:tcPr>
          <w:p w14:paraId="16BA57A7">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418" w:type="pct"/>
            <w:noWrap w:val="0"/>
            <w:vAlign w:val="center"/>
          </w:tcPr>
          <w:p w14:paraId="532F90EC">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rPr>
              <w:t>0</w:t>
            </w:r>
          </w:p>
        </w:tc>
        <w:tc>
          <w:tcPr>
            <w:tcW w:w="298" w:type="pct"/>
            <w:noWrap w:val="0"/>
            <w:vAlign w:val="center"/>
          </w:tcPr>
          <w:p w14:paraId="3DDA3BD8">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271" w:type="pct"/>
            <w:vMerge w:val="restart"/>
            <w:noWrap w:val="0"/>
            <w:vAlign w:val="center"/>
          </w:tcPr>
          <w:p w14:paraId="77EF7682">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r>
      <w:tr w14:paraId="1EF06AC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452" w:type="pct"/>
            <w:vMerge w:val="continue"/>
            <w:noWrap w:val="0"/>
            <w:vAlign w:val="center"/>
          </w:tcPr>
          <w:p w14:paraId="61DBA270">
            <w:pPr>
              <w:spacing w:line="0" w:lineRule="atLeast"/>
              <w:jc w:val="center"/>
              <w:rPr>
                <w:rFonts w:hint="default" w:ascii="Times New Roman" w:hAnsi="Times New Roman" w:cs="Times New Roman"/>
                <w:color w:val="auto"/>
                <w:kern w:val="0"/>
                <w:sz w:val="21"/>
                <w:szCs w:val="21"/>
                <w:highlight w:val="none"/>
              </w:rPr>
            </w:pPr>
          </w:p>
        </w:tc>
        <w:tc>
          <w:tcPr>
            <w:tcW w:w="440" w:type="pct"/>
            <w:noWrap w:val="0"/>
            <w:vAlign w:val="center"/>
          </w:tcPr>
          <w:p w14:paraId="016218D6">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NH</w:t>
            </w:r>
            <w:r>
              <w:rPr>
                <w:rFonts w:hint="default" w:ascii="Times New Roman" w:hAnsi="Times New Roman" w:cs="Times New Roman"/>
                <w:color w:val="auto"/>
                <w:kern w:val="0"/>
                <w:sz w:val="21"/>
                <w:szCs w:val="21"/>
                <w:highlight w:val="none"/>
                <w:vertAlign w:val="subscript"/>
              </w:rPr>
              <w:t>3</w:t>
            </w:r>
            <w:r>
              <w:rPr>
                <w:rFonts w:hint="default" w:ascii="Times New Roman" w:hAnsi="Times New Roman" w:cs="Times New Roman"/>
                <w:color w:val="auto"/>
                <w:kern w:val="0"/>
                <w:sz w:val="21"/>
                <w:szCs w:val="21"/>
                <w:highlight w:val="none"/>
              </w:rPr>
              <w:t>-N</w:t>
            </w:r>
          </w:p>
        </w:tc>
        <w:tc>
          <w:tcPr>
            <w:tcW w:w="249" w:type="pct"/>
            <w:vMerge w:val="continue"/>
            <w:noWrap w:val="0"/>
            <w:vAlign w:val="center"/>
          </w:tcPr>
          <w:p w14:paraId="255BF325">
            <w:pPr>
              <w:spacing w:line="0" w:lineRule="atLeast"/>
              <w:jc w:val="center"/>
              <w:rPr>
                <w:rFonts w:hint="default" w:ascii="Times New Roman" w:hAnsi="Times New Roman" w:cs="Times New Roman"/>
                <w:color w:val="auto"/>
                <w:kern w:val="0"/>
                <w:sz w:val="21"/>
                <w:szCs w:val="21"/>
                <w:highlight w:val="none"/>
              </w:rPr>
            </w:pPr>
          </w:p>
        </w:tc>
        <w:tc>
          <w:tcPr>
            <w:tcW w:w="403" w:type="pct"/>
            <w:vMerge w:val="continue"/>
            <w:noWrap w:val="0"/>
            <w:vAlign w:val="center"/>
          </w:tcPr>
          <w:p w14:paraId="3434F813">
            <w:pPr>
              <w:spacing w:line="0" w:lineRule="atLeast"/>
              <w:jc w:val="center"/>
              <w:rPr>
                <w:rFonts w:hint="default" w:ascii="Times New Roman" w:hAnsi="Times New Roman" w:cs="Times New Roman"/>
                <w:color w:val="auto"/>
                <w:kern w:val="0"/>
                <w:sz w:val="21"/>
                <w:szCs w:val="21"/>
                <w:highlight w:val="none"/>
              </w:rPr>
            </w:pPr>
          </w:p>
        </w:tc>
        <w:tc>
          <w:tcPr>
            <w:tcW w:w="912" w:type="dxa"/>
            <w:noWrap w:val="0"/>
            <w:vAlign w:val="center"/>
          </w:tcPr>
          <w:p w14:paraId="71707044">
            <w:pPr>
              <w:pStyle w:val="152"/>
              <w:ind w:left="0" w:leftChars="0" w:firstLine="0" w:firstLineChars="0"/>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highlight w:val="none"/>
                <w:lang w:val="en-US" w:eastAsia="zh-CN"/>
              </w:rPr>
              <w:t>30</w:t>
            </w:r>
          </w:p>
        </w:tc>
        <w:tc>
          <w:tcPr>
            <w:tcW w:w="838" w:type="dxa"/>
            <w:noWrap w:val="0"/>
            <w:vAlign w:val="center"/>
          </w:tcPr>
          <w:p w14:paraId="3400F4C7">
            <w:pPr>
              <w:pStyle w:val="152"/>
              <w:ind w:left="0" w:leftChars="0" w:firstLine="0" w:firstLineChars="0"/>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0.0077</w:t>
            </w:r>
          </w:p>
        </w:tc>
        <w:tc>
          <w:tcPr>
            <w:tcW w:w="315" w:type="pct"/>
            <w:vMerge w:val="continue"/>
            <w:noWrap w:val="0"/>
            <w:vAlign w:val="center"/>
          </w:tcPr>
          <w:p w14:paraId="68E763E6">
            <w:pPr>
              <w:spacing w:line="0" w:lineRule="atLeast"/>
              <w:jc w:val="center"/>
              <w:rPr>
                <w:rFonts w:hint="default" w:ascii="Times New Roman" w:hAnsi="Times New Roman" w:cs="Times New Roman"/>
                <w:color w:val="auto"/>
                <w:kern w:val="0"/>
                <w:sz w:val="21"/>
                <w:szCs w:val="21"/>
                <w:highlight w:val="none"/>
              </w:rPr>
            </w:pPr>
          </w:p>
        </w:tc>
        <w:tc>
          <w:tcPr>
            <w:tcW w:w="445" w:type="pct"/>
            <w:noWrap w:val="0"/>
            <w:vAlign w:val="center"/>
          </w:tcPr>
          <w:p w14:paraId="2DE70E75">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continue"/>
            <w:noWrap w:val="0"/>
            <w:vAlign w:val="center"/>
          </w:tcPr>
          <w:p w14:paraId="7B628F35">
            <w:pPr>
              <w:spacing w:line="0" w:lineRule="atLeast"/>
              <w:jc w:val="center"/>
              <w:rPr>
                <w:rFonts w:hint="default" w:ascii="Times New Roman" w:hAnsi="Times New Roman" w:cs="Times New Roman"/>
                <w:color w:val="auto"/>
                <w:kern w:val="0"/>
                <w:sz w:val="21"/>
                <w:szCs w:val="21"/>
                <w:highlight w:val="none"/>
              </w:rPr>
            </w:pPr>
          </w:p>
        </w:tc>
        <w:tc>
          <w:tcPr>
            <w:tcW w:w="428" w:type="pct"/>
            <w:vMerge w:val="continue"/>
            <w:noWrap w:val="0"/>
            <w:vAlign w:val="center"/>
          </w:tcPr>
          <w:p w14:paraId="2A3F481A">
            <w:pPr>
              <w:spacing w:line="0" w:lineRule="atLeast"/>
              <w:jc w:val="center"/>
              <w:rPr>
                <w:rFonts w:hint="default" w:ascii="Times New Roman" w:hAnsi="Times New Roman" w:cs="Times New Roman"/>
                <w:color w:val="auto"/>
                <w:kern w:val="0"/>
                <w:sz w:val="21"/>
                <w:szCs w:val="21"/>
                <w:highlight w:val="none"/>
              </w:rPr>
            </w:pPr>
          </w:p>
        </w:tc>
        <w:tc>
          <w:tcPr>
            <w:tcW w:w="418" w:type="pct"/>
            <w:noWrap w:val="0"/>
            <w:vAlign w:val="center"/>
          </w:tcPr>
          <w:p w14:paraId="4BDBFA87">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rPr>
              <w:t>0</w:t>
            </w:r>
          </w:p>
        </w:tc>
        <w:tc>
          <w:tcPr>
            <w:tcW w:w="298" w:type="pct"/>
            <w:noWrap w:val="0"/>
            <w:vAlign w:val="center"/>
          </w:tcPr>
          <w:p w14:paraId="1F371507">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271" w:type="pct"/>
            <w:vMerge w:val="continue"/>
            <w:noWrap w:val="0"/>
            <w:vAlign w:val="center"/>
          </w:tcPr>
          <w:p w14:paraId="33E063F8">
            <w:pPr>
              <w:spacing w:line="0" w:lineRule="atLeast"/>
              <w:jc w:val="center"/>
              <w:rPr>
                <w:rFonts w:hint="default" w:ascii="Times New Roman" w:hAnsi="Times New Roman" w:cs="Times New Roman"/>
                <w:color w:val="auto"/>
                <w:kern w:val="0"/>
                <w:sz w:val="21"/>
                <w:szCs w:val="21"/>
                <w:highlight w:val="none"/>
              </w:rPr>
            </w:pPr>
          </w:p>
        </w:tc>
      </w:tr>
    </w:tbl>
    <w:p w14:paraId="4EF8EF79">
      <w:pPr>
        <w:pStyle w:val="8"/>
        <w:bidi w:val="0"/>
        <w:rPr>
          <w:rFonts w:hint="default" w:ascii="Times New Roman" w:hAnsi="Times New Roman" w:eastAsia="宋体" w:cs="Times New Roman"/>
          <w:snapToGrid w:val="0"/>
          <w:color w:val="auto"/>
          <w:highlight w:val="none"/>
        </w:rPr>
      </w:pPr>
      <w:bookmarkStart w:id="497" w:name="_Toc949"/>
      <w:bookmarkStart w:id="498" w:name="_Toc9359"/>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.2.3噪声</w:t>
      </w:r>
      <w:bookmarkEnd w:id="497"/>
      <w:bookmarkEnd w:id="498"/>
    </w:p>
    <w:p w14:paraId="6DEB3B6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本项目噪声源主要为水泵、风机、猪叫等，噪声源强为</w:t>
      </w:r>
      <w:r>
        <w:rPr>
          <w:rFonts w:hint="default" w:ascii="Times New Roman" w:hAnsi="Times New Roman" w:cs="Times New Roman"/>
          <w:snapToGrid w:val="0"/>
          <w:color w:val="auto"/>
          <w:highlight w:val="none"/>
        </w:rPr>
        <w:t>8</w:t>
      </w:r>
      <w:r>
        <w:rPr>
          <w:rFonts w:hint="default" w:ascii="Times New Roman" w:hAnsi="Times New Roman" w:cs="Times New Roman"/>
          <w:snapToGrid w:val="0"/>
          <w:color w:val="auto"/>
          <w:highlight w:val="none"/>
          <w:lang w:val="en-US" w:eastAsia="zh-CN"/>
        </w:rPr>
        <w:t>0</w:t>
      </w:r>
      <w:r>
        <w:rPr>
          <w:rFonts w:hint="eastAsia" w:ascii="Times New Roman" w:hAnsi="Times New Roman" w:cs="Times New Roman"/>
          <w:snapToGrid w:val="0"/>
          <w:color w:val="auto"/>
          <w:highlight w:val="none"/>
          <w:lang w:val="en-US" w:eastAsia="zh-CN"/>
        </w:rPr>
        <w:t>~85</w:t>
      </w:r>
      <w:r>
        <w:rPr>
          <w:rFonts w:hint="default" w:ascii="Times New Roman" w:hAnsi="Times New Roman" w:eastAsia="宋体" w:cs="Times New Roman"/>
          <w:snapToGrid w:val="0"/>
          <w:color w:val="auto"/>
          <w:highlight w:val="none"/>
        </w:rPr>
        <w:t>dB（A），针对噪声源产生情况，项目采取以下防噪降噪措施：</w:t>
      </w:r>
    </w:p>
    <w:p w14:paraId="196F96E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（1）在噪声设备放置的生产车间的建设上，应安装隔声窗、加装吸声材料，避免露天布置；</w:t>
      </w:r>
    </w:p>
    <w:p w14:paraId="4B82B37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（2）场区平面布置优化、合理布局，将高噪声设备尽量布置在远离场界处。</w:t>
      </w:r>
    </w:p>
    <w:p w14:paraId="33B111E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本项目噪声污染源强核算结果及相关参数详见下表：</w:t>
      </w:r>
    </w:p>
    <w:p w14:paraId="2A00826A">
      <w:pPr>
        <w:pStyle w:val="449"/>
        <w:keepNext w:val="0"/>
        <w:keepLines w:val="0"/>
        <w:pageBreakBefore w:val="0"/>
        <w:widowControl/>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snapToGrid w:val="0"/>
          <w:color w:val="auto"/>
          <w:highlight w:val="none"/>
          <w:lang w:eastAsia="zh-CN"/>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工业企业噪声源强调查清单（室内声源）</w:t>
      </w:r>
    </w:p>
    <w:tbl>
      <w:tblPr>
        <w:tblStyle w:val="48"/>
        <w:tblW w:w="86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0"/>
        <w:gridCol w:w="407"/>
        <w:gridCol w:w="377"/>
        <w:gridCol w:w="403"/>
        <w:gridCol w:w="650"/>
        <w:gridCol w:w="795"/>
        <w:gridCol w:w="577"/>
        <w:gridCol w:w="535"/>
        <w:gridCol w:w="507"/>
        <w:gridCol w:w="636"/>
        <w:gridCol w:w="636"/>
        <w:gridCol w:w="390"/>
        <w:gridCol w:w="734"/>
        <w:gridCol w:w="768"/>
        <w:gridCol w:w="808"/>
      </w:tblGrid>
      <w:tr w14:paraId="3F84EE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54" w:hRule="atLeast"/>
          <w:jc w:val="center"/>
        </w:trPr>
        <w:tc>
          <w:tcPr>
            <w:tcW w:w="430" w:type="dxa"/>
            <w:vMerge w:val="restart"/>
            <w:noWrap w:val="0"/>
            <w:vAlign w:val="center"/>
          </w:tcPr>
          <w:p w14:paraId="58B364A5">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序号</w:t>
            </w:r>
          </w:p>
        </w:tc>
        <w:tc>
          <w:tcPr>
            <w:tcW w:w="407" w:type="dxa"/>
            <w:vMerge w:val="restart"/>
            <w:noWrap w:val="0"/>
            <w:vAlign w:val="center"/>
          </w:tcPr>
          <w:p w14:paraId="44F60A4A">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建筑物名称</w:t>
            </w:r>
          </w:p>
        </w:tc>
        <w:tc>
          <w:tcPr>
            <w:tcW w:w="377" w:type="dxa"/>
            <w:vMerge w:val="restart"/>
            <w:noWrap w:val="0"/>
            <w:vAlign w:val="center"/>
          </w:tcPr>
          <w:p w14:paraId="43666F99">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声源名称</w:t>
            </w:r>
          </w:p>
        </w:tc>
        <w:tc>
          <w:tcPr>
            <w:tcW w:w="403" w:type="dxa"/>
            <w:vMerge w:val="restart"/>
            <w:noWrap w:val="0"/>
            <w:vAlign w:val="center"/>
          </w:tcPr>
          <w:p w14:paraId="1B2DFFFA">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型号</w:t>
            </w:r>
          </w:p>
        </w:tc>
        <w:tc>
          <w:tcPr>
            <w:tcW w:w="650" w:type="dxa"/>
            <w:vMerge w:val="restart"/>
            <w:noWrap w:val="0"/>
            <w:vAlign w:val="center"/>
          </w:tcPr>
          <w:p w14:paraId="03CC0CD3">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声源源强/dB（A）</w:t>
            </w:r>
          </w:p>
        </w:tc>
        <w:tc>
          <w:tcPr>
            <w:tcW w:w="795" w:type="dxa"/>
            <w:vMerge w:val="restart"/>
            <w:noWrap w:val="0"/>
            <w:vAlign w:val="center"/>
          </w:tcPr>
          <w:p w14:paraId="0E663139">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声源控制措施</w:t>
            </w:r>
          </w:p>
        </w:tc>
        <w:tc>
          <w:tcPr>
            <w:tcW w:w="1619" w:type="dxa"/>
            <w:gridSpan w:val="3"/>
            <w:noWrap w:val="0"/>
            <w:vAlign w:val="center"/>
          </w:tcPr>
          <w:p w14:paraId="0AEAA7D9">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空间相对位置/m</w:t>
            </w:r>
          </w:p>
        </w:tc>
        <w:tc>
          <w:tcPr>
            <w:tcW w:w="636" w:type="dxa"/>
            <w:vMerge w:val="restart"/>
            <w:noWrap w:val="0"/>
            <w:vAlign w:val="center"/>
          </w:tcPr>
          <w:p w14:paraId="0C3055A0">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距室内边界距离/m</w:t>
            </w:r>
          </w:p>
        </w:tc>
        <w:tc>
          <w:tcPr>
            <w:tcW w:w="636" w:type="dxa"/>
            <w:vMerge w:val="restart"/>
            <w:noWrap w:val="0"/>
            <w:vAlign w:val="center"/>
          </w:tcPr>
          <w:p w14:paraId="1DB7AB09">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室内边界声级/dB（A）</w:t>
            </w:r>
          </w:p>
        </w:tc>
        <w:tc>
          <w:tcPr>
            <w:tcW w:w="390" w:type="dxa"/>
            <w:vMerge w:val="restart"/>
            <w:noWrap w:val="0"/>
            <w:vAlign w:val="center"/>
          </w:tcPr>
          <w:p w14:paraId="6E8D8A2F">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运行时段</w:t>
            </w:r>
          </w:p>
        </w:tc>
        <w:tc>
          <w:tcPr>
            <w:tcW w:w="734" w:type="dxa"/>
            <w:vMerge w:val="restart"/>
            <w:noWrap w:val="0"/>
            <w:vAlign w:val="center"/>
          </w:tcPr>
          <w:p w14:paraId="55B2C94B">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建筑物插入损失/dB（A）</w:t>
            </w:r>
          </w:p>
        </w:tc>
        <w:tc>
          <w:tcPr>
            <w:tcW w:w="1576" w:type="dxa"/>
            <w:gridSpan w:val="2"/>
            <w:noWrap w:val="0"/>
            <w:vAlign w:val="center"/>
          </w:tcPr>
          <w:p w14:paraId="50B84800">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建筑物外噪声</w:t>
            </w:r>
          </w:p>
        </w:tc>
      </w:tr>
      <w:tr w14:paraId="5881D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430" w:type="dxa"/>
            <w:vMerge w:val="continue"/>
            <w:noWrap w:val="0"/>
            <w:vAlign w:val="center"/>
          </w:tcPr>
          <w:p w14:paraId="4A97520A">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407" w:type="dxa"/>
            <w:vMerge w:val="continue"/>
            <w:noWrap w:val="0"/>
            <w:vAlign w:val="center"/>
          </w:tcPr>
          <w:p w14:paraId="7A5210AA">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377" w:type="dxa"/>
            <w:vMerge w:val="continue"/>
            <w:noWrap w:val="0"/>
            <w:vAlign w:val="center"/>
          </w:tcPr>
          <w:p w14:paraId="577F692C">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403" w:type="dxa"/>
            <w:vMerge w:val="continue"/>
            <w:noWrap w:val="0"/>
            <w:vAlign w:val="center"/>
          </w:tcPr>
          <w:p w14:paraId="1A214F23">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650" w:type="dxa"/>
            <w:vMerge w:val="continue"/>
            <w:noWrap w:val="0"/>
            <w:vAlign w:val="center"/>
          </w:tcPr>
          <w:p w14:paraId="129F5C68">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795" w:type="dxa"/>
            <w:vMerge w:val="continue"/>
            <w:noWrap w:val="0"/>
            <w:vAlign w:val="center"/>
          </w:tcPr>
          <w:p w14:paraId="14D45C0B">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577" w:type="dxa"/>
            <w:noWrap w:val="0"/>
            <w:vAlign w:val="center"/>
          </w:tcPr>
          <w:p w14:paraId="17EE6C72">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X</w:t>
            </w:r>
          </w:p>
        </w:tc>
        <w:tc>
          <w:tcPr>
            <w:tcW w:w="535" w:type="dxa"/>
            <w:noWrap w:val="0"/>
            <w:vAlign w:val="center"/>
          </w:tcPr>
          <w:p w14:paraId="4975017D">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Y</w:t>
            </w:r>
          </w:p>
        </w:tc>
        <w:tc>
          <w:tcPr>
            <w:tcW w:w="507" w:type="dxa"/>
            <w:noWrap w:val="0"/>
            <w:vAlign w:val="center"/>
          </w:tcPr>
          <w:p w14:paraId="6494AE8B">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Z</w:t>
            </w:r>
          </w:p>
        </w:tc>
        <w:tc>
          <w:tcPr>
            <w:tcW w:w="636" w:type="dxa"/>
            <w:vMerge w:val="continue"/>
            <w:noWrap w:val="0"/>
            <w:vAlign w:val="center"/>
          </w:tcPr>
          <w:p w14:paraId="1DB5F4FA">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636" w:type="dxa"/>
            <w:vMerge w:val="continue"/>
            <w:noWrap w:val="0"/>
            <w:vAlign w:val="center"/>
          </w:tcPr>
          <w:p w14:paraId="221946A8">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390" w:type="dxa"/>
            <w:vMerge w:val="continue"/>
            <w:noWrap w:val="0"/>
            <w:vAlign w:val="center"/>
          </w:tcPr>
          <w:p w14:paraId="6387D198">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734" w:type="dxa"/>
            <w:vMerge w:val="continue"/>
            <w:noWrap w:val="0"/>
            <w:vAlign w:val="center"/>
          </w:tcPr>
          <w:p w14:paraId="4A00A3CF">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768" w:type="dxa"/>
            <w:noWrap w:val="0"/>
            <w:vAlign w:val="center"/>
          </w:tcPr>
          <w:p w14:paraId="199C6D54">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声压级/dB（A）</w:t>
            </w:r>
          </w:p>
        </w:tc>
        <w:tc>
          <w:tcPr>
            <w:tcW w:w="808" w:type="dxa"/>
            <w:noWrap w:val="0"/>
            <w:vAlign w:val="center"/>
          </w:tcPr>
          <w:p w14:paraId="4DAF3542">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建筑物外距离</w:t>
            </w:r>
          </w:p>
        </w:tc>
      </w:tr>
      <w:tr w14:paraId="49328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430" w:type="dxa"/>
            <w:vMerge w:val="restart"/>
            <w:noWrap w:val="0"/>
            <w:vAlign w:val="center"/>
          </w:tcPr>
          <w:p w14:paraId="267BE3FC">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w:t>
            </w:r>
          </w:p>
        </w:tc>
        <w:tc>
          <w:tcPr>
            <w:tcW w:w="407" w:type="dxa"/>
            <w:vMerge w:val="restart"/>
            <w:noWrap w:val="0"/>
            <w:vAlign w:val="center"/>
          </w:tcPr>
          <w:p w14:paraId="2501B703">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猪舍</w:t>
            </w:r>
          </w:p>
        </w:tc>
        <w:tc>
          <w:tcPr>
            <w:tcW w:w="377" w:type="dxa"/>
            <w:noWrap w:val="0"/>
            <w:vAlign w:val="center"/>
          </w:tcPr>
          <w:p w14:paraId="21304970">
            <w:pPr>
              <w:pStyle w:val="152"/>
              <w:rPr>
                <w:rFonts w:hint="default" w:ascii="Times New Roman" w:hAnsi="Times New Roman" w:eastAsia="宋体" w:cs="Times New Roman"/>
                <w:snapToGrid w:val="0"/>
                <w:sz w:val="21"/>
                <w:szCs w:val="21"/>
                <w:highlight w:val="none"/>
              </w:rPr>
            </w:pPr>
            <w:r>
              <w:rPr>
                <w:rFonts w:hint="default" w:ascii="Times New Roman" w:hAnsi="Times New Roman" w:eastAsia="宋体" w:cs="Times New Roman"/>
                <w:snapToGrid w:val="0"/>
                <w:sz w:val="21"/>
                <w:szCs w:val="21"/>
                <w:highlight w:val="none"/>
              </w:rPr>
              <w:t>猪叫声</w:t>
            </w:r>
          </w:p>
        </w:tc>
        <w:tc>
          <w:tcPr>
            <w:tcW w:w="403" w:type="dxa"/>
            <w:noWrap w:val="0"/>
            <w:vAlign w:val="center"/>
          </w:tcPr>
          <w:p w14:paraId="3719FE50">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w:t>
            </w:r>
          </w:p>
        </w:tc>
        <w:tc>
          <w:tcPr>
            <w:tcW w:w="650" w:type="dxa"/>
            <w:noWrap w:val="0"/>
            <w:vAlign w:val="center"/>
          </w:tcPr>
          <w:p w14:paraId="73EBD82F">
            <w:pPr>
              <w:pStyle w:val="152"/>
              <w:rPr>
                <w:rFonts w:hint="default" w:ascii="Times New Roman" w:hAnsi="Times New Roman" w:eastAsia="宋体" w:cs="Times New Roman"/>
                <w:snapToGrid w:val="0"/>
                <w:sz w:val="21"/>
                <w:szCs w:val="21"/>
                <w:highlight w:val="none"/>
              </w:rPr>
            </w:pPr>
            <w:r>
              <w:rPr>
                <w:rFonts w:hint="default" w:ascii="Times New Roman" w:hAnsi="Times New Roman" w:eastAsia="宋体" w:cs="Times New Roman"/>
                <w:snapToGrid w:val="0"/>
                <w:sz w:val="21"/>
                <w:szCs w:val="21"/>
                <w:highlight w:val="none"/>
              </w:rPr>
              <w:t>80</w:t>
            </w:r>
          </w:p>
        </w:tc>
        <w:tc>
          <w:tcPr>
            <w:tcW w:w="795" w:type="dxa"/>
            <w:noWrap w:val="0"/>
            <w:vAlign w:val="center"/>
          </w:tcPr>
          <w:p w14:paraId="07DAFDF7">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猪舍隔声</w:t>
            </w:r>
          </w:p>
        </w:tc>
        <w:tc>
          <w:tcPr>
            <w:tcW w:w="577" w:type="dxa"/>
            <w:noWrap w:val="0"/>
            <w:vAlign w:val="center"/>
          </w:tcPr>
          <w:p w14:paraId="2D1EA594">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-15.41</w:t>
            </w:r>
          </w:p>
        </w:tc>
        <w:tc>
          <w:tcPr>
            <w:tcW w:w="535" w:type="dxa"/>
            <w:noWrap w:val="0"/>
            <w:vAlign w:val="center"/>
          </w:tcPr>
          <w:p w14:paraId="136BCB13">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2.28</w:t>
            </w:r>
          </w:p>
        </w:tc>
        <w:tc>
          <w:tcPr>
            <w:tcW w:w="507" w:type="dxa"/>
            <w:noWrap w:val="0"/>
            <w:vAlign w:val="center"/>
          </w:tcPr>
          <w:p w14:paraId="51000EA7">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4150B121">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w:t>
            </w:r>
          </w:p>
        </w:tc>
        <w:tc>
          <w:tcPr>
            <w:tcW w:w="636" w:type="dxa"/>
            <w:noWrap w:val="0"/>
            <w:vAlign w:val="center"/>
          </w:tcPr>
          <w:p w14:paraId="63B13555">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79</w:t>
            </w:r>
          </w:p>
        </w:tc>
        <w:tc>
          <w:tcPr>
            <w:tcW w:w="390" w:type="dxa"/>
            <w:vMerge w:val="restart"/>
            <w:noWrap w:val="0"/>
            <w:vAlign w:val="center"/>
          </w:tcPr>
          <w:p w14:paraId="71B9748A">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昼间、夜间</w:t>
            </w:r>
          </w:p>
        </w:tc>
        <w:tc>
          <w:tcPr>
            <w:tcW w:w="734" w:type="dxa"/>
            <w:noWrap w:val="0"/>
            <w:vAlign w:val="center"/>
          </w:tcPr>
          <w:p w14:paraId="7A29F975">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5</w:t>
            </w:r>
          </w:p>
        </w:tc>
        <w:tc>
          <w:tcPr>
            <w:tcW w:w="768" w:type="dxa"/>
            <w:noWrap w:val="0"/>
            <w:vAlign w:val="center"/>
          </w:tcPr>
          <w:p w14:paraId="330208AD">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54</w:t>
            </w:r>
          </w:p>
        </w:tc>
        <w:tc>
          <w:tcPr>
            <w:tcW w:w="808" w:type="dxa"/>
            <w:noWrap w:val="0"/>
            <w:vAlign w:val="center"/>
          </w:tcPr>
          <w:p w14:paraId="2B799660">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r>
      <w:tr w14:paraId="68C42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8" w:hRule="atLeast"/>
          <w:jc w:val="center"/>
        </w:trPr>
        <w:tc>
          <w:tcPr>
            <w:tcW w:w="430" w:type="dxa"/>
            <w:vMerge w:val="continue"/>
            <w:noWrap w:val="0"/>
            <w:vAlign w:val="center"/>
          </w:tcPr>
          <w:p w14:paraId="5A70EB62">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407" w:type="dxa"/>
            <w:vMerge w:val="continue"/>
            <w:noWrap w:val="0"/>
            <w:vAlign w:val="center"/>
          </w:tcPr>
          <w:p w14:paraId="63CF4DED">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377" w:type="dxa"/>
            <w:noWrap w:val="0"/>
            <w:vAlign w:val="center"/>
          </w:tcPr>
          <w:p w14:paraId="4A9D460A">
            <w:pPr>
              <w:pStyle w:val="152"/>
              <w:rPr>
                <w:rFonts w:hint="default" w:ascii="Times New Roman" w:hAnsi="Times New Roman" w:eastAsia="宋体" w:cs="Times New Roman"/>
                <w:snapToGrid w:val="0"/>
                <w:sz w:val="21"/>
                <w:szCs w:val="21"/>
                <w:highlight w:val="none"/>
              </w:rPr>
            </w:pPr>
            <w:r>
              <w:rPr>
                <w:rFonts w:hint="default" w:ascii="Times New Roman" w:hAnsi="Times New Roman" w:eastAsia="宋体" w:cs="Times New Roman"/>
                <w:snapToGrid w:val="0"/>
                <w:sz w:val="21"/>
                <w:szCs w:val="21"/>
                <w:highlight w:val="none"/>
              </w:rPr>
              <w:t>猪舍排风扇</w:t>
            </w:r>
          </w:p>
        </w:tc>
        <w:tc>
          <w:tcPr>
            <w:tcW w:w="403" w:type="dxa"/>
            <w:noWrap w:val="0"/>
            <w:vAlign w:val="center"/>
          </w:tcPr>
          <w:p w14:paraId="056CCC1C">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w:t>
            </w:r>
          </w:p>
        </w:tc>
        <w:tc>
          <w:tcPr>
            <w:tcW w:w="650" w:type="dxa"/>
            <w:noWrap w:val="0"/>
            <w:vAlign w:val="center"/>
          </w:tcPr>
          <w:p w14:paraId="4F7391B2">
            <w:pPr>
              <w:pStyle w:val="152"/>
              <w:rPr>
                <w:rFonts w:hint="default" w:ascii="Times New Roman" w:hAnsi="Times New Roman" w:eastAsia="宋体" w:cs="Times New Roman"/>
                <w:snapToGrid w:val="0"/>
                <w:sz w:val="21"/>
                <w:szCs w:val="21"/>
                <w:highlight w:val="none"/>
                <w:lang w:eastAsia="zh-CN"/>
              </w:rPr>
            </w:pPr>
            <w:r>
              <w:rPr>
                <w:rFonts w:hint="default" w:ascii="Times New Roman" w:hAnsi="Times New Roman" w:eastAsia="宋体" w:cs="Times New Roman"/>
                <w:snapToGrid w:val="0"/>
                <w:sz w:val="21"/>
                <w:szCs w:val="21"/>
                <w:highlight w:val="none"/>
              </w:rPr>
              <w:t>8</w:t>
            </w:r>
            <w:r>
              <w:rPr>
                <w:rFonts w:hint="default" w:ascii="Times New Roman" w:hAnsi="Times New Roman" w:eastAsia="宋体" w:cs="Times New Roman"/>
                <w:snapToGrid w:val="0"/>
                <w:sz w:val="21"/>
                <w:szCs w:val="21"/>
                <w:highlight w:val="none"/>
                <w:lang w:val="en-US" w:eastAsia="zh-CN"/>
              </w:rPr>
              <w:t>0</w:t>
            </w:r>
          </w:p>
        </w:tc>
        <w:tc>
          <w:tcPr>
            <w:tcW w:w="795" w:type="dxa"/>
            <w:noWrap w:val="0"/>
            <w:vAlign w:val="center"/>
          </w:tcPr>
          <w:p w14:paraId="002AB8C1">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低噪声设备、加装基础减振垫、猪舍隔声</w:t>
            </w:r>
          </w:p>
        </w:tc>
        <w:tc>
          <w:tcPr>
            <w:tcW w:w="577" w:type="dxa"/>
            <w:noWrap w:val="0"/>
            <w:vAlign w:val="center"/>
          </w:tcPr>
          <w:p w14:paraId="50AFDDFB">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-24.55</w:t>
            </w:r>
          </w:p>
        </w:tc>
        <w:tc>
          <w:tcPr>
            <w:tcW w:w="535" w:type="dxa"/>
            <w:noWrap w:val="0"/>
            <w:vAlign w:val="center"/>
          </w:tcPr>
          <w:p w14:paraId="348ED2BC">
            <w:pPr>
              <w:pStyle w:val="449"/>
              <w:adjustRightInd w:val="0"/>
              <w:snapToGrid w:val="0"/>
              <w:spacing w:line="340" w:lineRule="atLeas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1.06</w:t>
            </w:r>
          </w:p>
        </w:tc>
        <w:tc>
          <w:tcPr>
            <w:tcW w:w="507" w:type="dxa"/>
            <w:noWrap w:val="0"/>
            <w:vAlign w:val="center"/>
          </w:tcPr>
          <w:p w14:paraId="46C43761">
            <w:pPr>
              <w:pStyle w:val="449"/>
              <w:adjustRightInd w:val="0"/>
              <w:snapToGrid w:val="0"/>
              <w:spacing w:line="340" w:lineRule="atLeast"/>
              <w:rPr>
                <w:rFonts w:hint="default" w:ascii="Times New Roman" w:hAnsi="Times New Roman" w:eastAsia="宋体" w:cs="Times New Roman"/>
                <w:sz w:val="21"/>
                <w:szCs w:val="21"/>
                <w:highlight w:val="none"/>
              </w:rPr>
            </w:pPr>
            <w:r>
              <w:rPr>
                <w:rFonts w:hint="eastAsia" w:eastAsia="宋体" w:cs="Times New Roman"/>
                <w:sz w:val="21"/>
                <w:szCs w:val="21"/>
                <w:highlight w:val="none"/>
                <w:lang w:val="en-US" w:eastAsia="zh-CN"/>
              </w:rPr>
              <w:t>1</w:t>
            </w:r>
          </w:p>
        </w:tc>
        <w:tc>
          <w:tcPr>
            <w:tcW w:w="636" w:type="dxa"/>
            <w:noWrap w:val="0"/>
            <w:vAlign w:val="center"/>
          </w:tcPr>
          <w:p w14:paraId="6B780A07">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36D6B3E0">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79</w:t>
            </w:r>
          </w:p>
        </w:tc>
        <w:tc>
          <w:tcPr>
            <w:tcW w:w="390" w:type="dxa"/>
            <w:vMerge w:val="continue"/>
            <w:noWrap w:val="0"/>
            <w:vAlign w:val="center"/>
          </w:tcPr>
          <w:p w14:paraId="04FA0E5C">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734" w:type="dxa"/>
            <w:noWrap w:val="0"/>
            <w:vAlign w:val="center"/>
          </w:tcPr>
          <w:p w14:paraId="77313E58">
            <w:pPr>
              <w:adjustRightInd w:val="0"/>
              <w:snapToGrid w:val="0"/>
              <w:spacing w:line="340" w:lineRule="atLeas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5</w:t>
            </w:r>
          </w:p>
        </w:tc>
        <w:tc>
          <w:tcPr>
            <w:tcW w:w="768" w:type="dxa"/>
            <w:noWrap w:val="0"/>
            <w:vAlign w:val="center"/>
          </w:tcPr>
          <w:p w14:paraId="6F431BDC">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54</w:t>
            </w:r>
          </w:p>
        </w:tc>
        <w:tc>
          <w:tcPr>
            <w:tcW w:w="808" w:type="dxa"/>
            <w:noWrap w:val="0"/>
            <w:vAlign w:val="center"/>
          </w:tcPr>
          <w:p w14:paraId="1DE79127">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r>
      <w:tr w14:paraId="195C8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1" w:hRule="atLeast"/>
          <w:jc w:val="center"/>
        </w:trPr>
        <w:tc>
          <w:tcPr>
            <w:tcW w:w="430" w:type="dxa"/>
            <w:noWrap w:val="0"/>
            <w:vAlign w:val="center"/>
          </w:tcPr>
          <w:p w14:paraId="1AD46195">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w:t>
            </w:r>
          </w:p>
        </w:tc>
        <w:tc>
          <w:tcPr>
            <w:tcW w:w="407" w:type="dxa"/>
            <w:noWrap w:val="0"/>
            <w:vAlign w:val="center"/>
          </w:tcPr>
          <w:p w14:paraId="234E7D60">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猪舍</w:t>
            </w:r>
          </w:p>
        </w:tc>
        <w:tc>
          <w:tcPr>
            <w:tcW w:w="377" w:type="dxa"/>
            <w:noWrap w:val="0"/>
            <w:vAlign w:val="center"/>
          </w:tcPr>
          <w:p w14:paraId="3EDC05EC">
            <w:pPr>
              <w:pStyle w:val="152"/>
              <w:rPr>
                <w:rFonts w:hint="eastAsia" w:ascii="Times New Roman" w:hAnsi="Times New Roman" w:eastAsia="宋体"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水泵</w:t>
            </w:r>
          </w:p>
        </w:tc>
        <w:tc>
          <w:tcPr>
            <w:tcW w:w="403" w:type="dxa"/>
            <w:noWrap w:val="0"/>
            <w:vAlign w:val="center"/>
          </w:tcPr>
          <w:p w14:paraId="76025869">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w:t>
            </w:r>
          </w:p>
        </w:tc>
        <w:tc>
          <w:tcPr>
            <w:tcW w:w="650" w:type="dxa"/>
            <w:noWrap w:val="0"/>
            <w:vAlign w:val="center"/>
          </w:tcPr>
          <w:p w14:paraId="1DD9C4B4">
            <w:pPr>
              <w:pStyle w:val="152"/>
              <w:rPr>
                <w:rFonts w:hint="default" w:ascii="Times New Roman" w:hAnsi="Times New Roman" w:eastAsia="宋体" w:cs="Times New Roman"/>
                <w:snapToGrid w:val="0"/>
                <w:sz w:val="21"/>
                <w:szCs w:val="21"/>
                <w:highlight w:val="none"/>
              </w:rPr>
            </w:pPr>
            <w:r>
              <w:rPr>
                <w:rFonts w:hint="default" w:ascii="Times New Roman" w:hAnsi="Times New Roman" w:eastAsia="宋体" w:cs="Times New Roman"/>
                <w:snapToGrid w:val="0"/>
                <w:sz w:val="21"/>
                <w:szCs w:val="21"/>
                <w:highlight w:val="none"/>
              </w:rPr>
              <w:t>80</w:t>
            </w:r>
          </w:p>
        </w:tc>
        <w:tc>
          <w:tcPr>
            <w:tcW w:w="795" w:type="dxa"/>
            <w:noWrap w:val="0"/>
            <w:vAlign w:val="center"/>
          </w:tcPr>
          <w:p w14:paraId="35A72953">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低噪声设备、加装基础减振垫、猪舍隔声</w:t>
            </w:r>
          </w:p>
        </w:tc>
        <w:tc>
          <w:tcPr>
            <w:tcW w:w="577" w:type="dxa"/>
            <w:noWrap w:val="0"/>
            <w:vAlign w:val="center"/>
          </w:tcPr>
          <w:p w14:paraId="7ADF21A4">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62.62</w:t>
            </w:r>
          </w:p>
        </w:tc>
        <w:tc>
          <w:tcPr>
            <w:tcW w:w="535" w:type="dxa"/>
            <w:noWrap w:val="0"/>
            <w:vAlign w:val="center"/>
          </w:tcPr>
          <w:p w14:paraId="04851454">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25.14</w:t>
            </w:r>
          </w:p>
        </w:tc>
        <w:tc>
          <w:tcPr>
            <w:tcW w:w="507" w:type="dxa"/>
            <w:noWrap w:val="0"/>
            <w:vAlign w:val="center"/>
          </w:tcPr>
          <w:p w14:paraId="4F72D009">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28ECF7CA">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1F8452C6">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79</w:t>
            </w:r>
          </w:p>
        </w:tc>
        <w:tc>
          <w:tcPr>
            <w:tcW w:w="390" w:type="dxa"/>
            <w:noWrap w:val="0"/>
            <w:vAlign w:val="center"/>
          </w:tcPr>
          <w:p w14:paraId="5C63118C">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昼间</w:t>
            </w:r>
          </w:p>
        </w:tc>
        <w:tc>
          <w:tcPr>
            <w:tcW w:w="734" w:type="dxa"/>
            <w:noWrap w:val="0"/>
            <w:vAlign w:val="center"/>
          </w:tcPr>
          <w:p w14:paraId="79F4E381">
            <w:pPr>
              <w:adjustRightInd w:val="0"/>
              <w:snapToGrid w:val="0"/>
              <w:spacing w:line="340" w:lineRule="atLeast"/>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5</w:t>
            </w:r>
          </w:p>
        </w:tc>
        <w:tc>
          <w:tcPr>
            <w:tcW w:w="768" w:type="dxa"/>
            <w:noWrap w:val="0"/>
            <w:vAlign w:val="center"/>
          </w:tcPr>
          <w:p w14:paraId="6F7D0272">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54</w:t>
            </w:r>
          </w:p>
        </w:tc>
        <w:tc>
          <w:tcPr>
            <w:tcW w:w="808" w:type="dxa"/>
            <w:noWrap w:val="0"/>
            <w:vAlign w:val="center"/>
          </w:tcPr>
          <w:p w14:paraId="260760C8">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r>
      <w:tr w14:paraId="1A91A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1" w:hRule="atLeast"/>
          <w:jc w:val="center"/>
        </w:trPr>
        <w:tc>
          <w:tcPr>
            <w:tcW w:w="430" w:type="dxa"/>
            <w:noWrap w:val="0"/>
            <w:vAlign w:val="center"/>
          </w:tcPr>
          <w:p w14:paraId="07FBE2FA">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w:t>
            </w:r>
          </w:p>
        </w:tc>
        <w:tc>
          <w:tcPr>
            <w:tcW w:w="407" w:type="dxa"/>
            <w:noWrap w:val="0"/>
            <w:vAlign w:val="center"/>
          </w:tcPr>
          <w:p w14:paraId="2DDEC5BF">
            <w:pPr>
              <w:pStyle w:val="152"/>
              <w:rPr>
                <w:rFonts w:hint="default" w:ascii="Times New Roman" w:hAnsi="Times New Roman" w:eastAsia="宋体" w:cs="Times New Roman"/>
                <w:kern w:val="2"/>
                <w:sz w:val="21"/>
                <w:szCs w:val="21"/>
                <w:highlight w:val="none"/>
                <w:lang w:eastAsia="zh-CN"/>
              </w:rPr>
            </w:pPr>
            <w:r>
              <w:rPr>
                <w:rFonts w:hint="eastAsia" w:ascii="Times New Roman" w:hAnsi="Times New Roman" w:cs="Times New Roman"/>
                <w:snapToGrid w:val="0"/>
                <w:sz w:val="21"/>
                <w:szCs w:val="21"/>
                <w:highlight w:val="none"/>
                <w:lang w:val="en-US" w:eastAsia="zh-CN"/>
              </w:rPr>
              <w:t>干粪堆积场</w:t>
            </w:r>
          </w:p>
        </w:tc>
        <w:tc>
          <w:tcPr>
            <w:tcW w:w="377" w:type="dxa"/>
            <w:noWrap w:val="0"/>
            <w:vAlign w:val="center"/>
          </w:tcPr>
          <w:p w14:paraId="57280F07">
            <w:pPr>
              <w:pStyle w:val="152"/>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snapToGrid w:val="0"/>
                <w:sz w:val="21"/>
                <w:szCs w:val="21"/>
                <w:highlight w:val="none"/>
              </w:rPr>
              <w:t>翻堆机</w:t>
            </w:r>
          </w:p>
        </w:tc>
        <w:tc>
          <w:tcPr>
            <w:tcW w:w="403" w:type="dxa"/>
            <w:noWrap w:val="0"/>
            <w:vAlign w:val="center"/>
          </w:tcPr>
          <w:p w14:paraId="27D23436">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w:t>
            </w:r>
          </w:p>
        </w:tc>
        <w:tc>
          <w:tcPr>
            <w:tcW w:w="650" w:type="dxa"/>
            <w:noWrap w:val="0"/>
            <w:vAlign w:val="center"/>
          </w:tcPr>
          <w:p w14:paraId="4E43EADA">
            <w:pPr>
              <w:pStyle w:val="152"/>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snapToGrid w:val="0"/>
                <w:sz w:val="21"/>
                <w:szCs w:val="21"/>
                <w:highlight w:val="none"/>
              </w:rPr>
              <w:t>80</w:t>
            </w:r>
          </w:p>
        </w:tc>
        <w:tc>
          <w:tcPr>
            <w:tcW w:w="795" w:type="dxa"/>
            <w:noWrap w:val="0"/>
            <w:vAlign w:val="center"/>
          </w:tcPr>
          <w:p w14:paraId="16290523">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低噪声设备、加装基础减振垫、厂房隔声</w:t>
            </w:r>
          </w:p>
        </w:tc>
        <w:tc>
          <w:tcPr>
            <w:tcW w:w="577" w:type="dxa"/>
            <w:noWrap w:val="0"/>
            <w:vAlign w:val="center"/>
          </w:tcPr>
          <w:p w14:paraId="2D6433F1">
            <w:pPr>
              <w:pStyle w:val="449"/>
              <w:adjustRightInd w:val="0"/>
              <w:snapToGrid w:val="0"/>
              <w:spacing w:line="340" w:lineRule="atLeas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81.51</w:t>
            </w:r>
          </w:p>
        </w:tc>
        <w:tc>
          <w:tcPr>
            <w:tcW w:w="535" w:type="dxa"/>
            <w:noWrap w:val="0"/>
            <w:vAlign w:val="center"/>
          </w:tcPr>
          <w:p w14:paraId="0F87FE9F">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26.36</w:t>
            </w:r>
          </w:p>
        </w:tc>
        <w:tc>
          <w:tcPr>
            <w:tcW w:w="507" w:type="dxa"/>
            <w:noWrap w:val="0"/>
            <w:vAlign w:val="center"/>
          </w:tcPr>
          <w:p w14:paraId="6F98E359">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3403876B">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353112DD">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79</w:t>
            </w:r>
          </w:p>
        </w:tc>
        <w:tc>
          <w:tcPr>
            <w:tcW w:w="390" w:type="dxa"/>
            <w:noWrap w:val="0"/>
            <w:vAlign w:val="center"/>
          </w:tcPr>
          <w:p w14:paraId="3E036E21">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昼间</w:t>
            </w:r>
          </w:p>
        </w:tc>
        <w:tc>
          <w:tcPr>
            <w:tcW w:w="734" w:type="dxa"/>
            <w:noWrap w:val="0"/>
            <w:vAlign w:val="center"/>
          </w:tcPr>
          <w:p w14:paraId="531E8ABF">
            <w:pPr>
              <w:adjustRightInd w:val="0"/>
              <w:snapToGrid w:val="0"/>
              <w:spacing w:line="340" w:lineRule="atLeast"/>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5</w:t>
            </w:r>
          </w:p>
        </w:tc>
        <w:tc>
          <w:tcPr>
            <w:tcW w:w="768" w:type="dxa"/>
            <w:noWrap w:val="0"/>
            <w:vAlign w:val="center"/>
          </w:tcPr>
          <w:p w14:paraId="0A8658F6">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54</w:t>
            </w:r>
          </w:p>
        </w:tc>
        <w:tc>
          <w:tcPr>
            <w:tcW w:w="808" w:type="dxa"/>
            <w:noWrap w:val="0"/>
            <w:vAlign w:val="center"/>
          </w:tcPr>
          <w:p w14:paraId="3D6C67EF">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r>
    </w:tbl>
    <w:p w14:paraId="50B70769">
      <w:pPr>
        <w:pStyle w:val="216"/>
        <w:rPr>
          <w:rFonts w:hint="default" w:ascii="Times New Roman" w:hAnsi="Times New Roman" w:eastAsia="宋体" w:cs="Times New Roman"/>
          <w:b/>
          <w:bCs w:val="0"/>
          <w:color w:val="auto"/>
          <w:kern w:val="0"/>
          <w:sz w:val="24"/>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15</w:t>
      </w:r>
      <w:r>
        <w:rPr>
          <w:rFonts w:hint="default" w:ascii="Times New Roman" w:hAnsi="Times New Roman" w:eastAsia="黑体" w:cs="Times New Roman"/>
          <w:b w:val="0"/>
          <w:bCs/>
          <w:smallCaps w:val="0"/>
          <w:snapToGrid/>
          <w:kern w:val="2"/>
          <w:sz w:val="21"/>
          <w:szCs w:val="24"/>
          <w:highlight w:val="none"/>
          <w:lang w:val="en-US" w:eastAsia="zh-CN" w:bidi="ar-SA"/>
        </w:rPr>
        <w:t xml:space="preserve">  本项目噪声污染源强调查清单（室外声源）</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895"/>
        <w:gridCol w:w="805"/>
        <w:gridCol w:w="643"/>
        <w:gridCol w:w="689"/>
        <w:gridCol w:w="601"/>
        <w:gridCol w:w="1072"/>
        <w:gridCol w:w="2206"/>
        <w:gridCol w:w="937"/>
      </w:tblGrid>
      <w:tr w14:paraId="3A41A2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vMerge w:val="restart"/>
            <w:noWrap w:val="0"/>
            <w:vAlign w:val="center"/>
          </w:tcPr>
          <w:p w14:paraId="169F1B5B">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序号</w:t>
            </w:r>
          </w:p>
        </w:tc>
        <w:tc>
          <w:tcPr>
            <w:tcW w:w="532" w:type="pct"/>
            <w:vMerge w:val="restart"/>
            <w:noWrap w:val="0"/>
            <w:vAlign w:val="center"/>
          </w:tcPr>
          <w:p w14:paraId="68215329">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声源</w:t>
            </w:r>
          </w:p>
          <w:p w14:paraId="44E26BDD">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名称</w:t>
            </w:r>
          </w:p>
        </w:tc>
        <w:tc>
          <w:tcPr>
            <w:tcW w:w="479" w:type="pct"/>
            <w:vMerge w:val="restart"/>
            <w:noWrap w:val="0"/>
            <w:vAlign w:val="center"/>
          </w:tcPr>
          <w:p w14:paraId="417E8D68">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型号</w:t>
            </w:r>
          </w:p>
        </w:tc>
        <w:tc>
          <w:tcPr>
            <w:tcW w:w="1093" w:type="pct"/>
            <w:gridSpan w:val="3"/>
            <w:noWrap w:val="0"/>
            <w:vAlign w:val="center"/>
          </w:tcPr>
          <w:p w14:paraId="1104AF89">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空间相对位置/m</w:t>
            </w:r>
          </w:p>
        </w:tc>
        <w:tc>
          <w:tcPr>
            <w:tcW w:w="635" w:type="pct"/>
            <w:vMerge w:val="restart"/>
            <w:noWrap w:val="0"/>
            <w:vAlign w:val="center"/>
          </w:tcPr>
          <w:p w14:paraId="4A1C5664">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声源源强/dB（A）</w:t>
            </w:r>
          </w:p>
        </w:tc>
        <w:tc>
          <w:tcPr>
            <w:tcW w:w="1300" w:type="pct"/>
            <w:vMerge w:val="restart"/>
            <w:noWrap w:val="0"/>
            <w:vAlign w:val="center"/>
          </w:tcPr>
          <w:p w14:paraId="46DBAB51">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声源控制措施</w:t>
            </w:r>
          </w:p>
        </w:tc>
        <w:tc>
          <w:tcPr>
            <w:tcW w:w="556" w:type="pct"/>
            <w:vMerge w:val="restart"/>
            <w:noWrap w:val="0"/>
            <w:vAlign w:val="center"/>
          </w:tcPr>
          <w:p w14:paraId="30A174DF">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运行时段</w:t>
            </w:r>
          </w:p>
        </w:tc>
      </w:tr>
      <w:tr w14:paraId="19897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vMerge w:val="continue"/>
            <w:noWrap w:val="0"/>
            <w:vAlign w:val="center"/>
          </w:tcPr>
          <w:p w14:paraId="5342FE81">
            <w:pPr>
              <w:pStyle w:val="80"/>
              <w:rPr>
                <w:rFonts w:hint="default" w:ascii="Times New Roman" w:hAnsi="Times New Roman" w:eastAsia="宋体" w:cs="Times New Roman"/>
                <w:color w:val="auto"/>
                <w:kern w:val="0"/>
                <w:sz w:val="21"/>
                <w:szCs w:val="24"/>
                <w:highlight w:val="none"/>
                <w:lang w:val="en-US" w:eastAsia="zh-CN" w:bidi="ar-SA"/>
              </w:rPr>
            </w:pPr>
          </w:p>
        </w:tc>
        <w:tc>
          <w:tcPr>
            <w:tcW w:w="532" w:type="pct"/>
            <w:vMerge w:val="continue"/>
            <w:noWrap w:val="0"/>
            <w:vAlign w:val="center"/>
          </w:tcPr>
          <w:p w14:paraId="24E527E0">
            <w:pPr>
              <w:pStyle w:val="80"/>
              <w:rPr>
                <w:rFonts w:hint="default" w:ascii="Times New Roman" w:hAnsi="Times New Roman" w:eastAsia="宋体" w:cs="Times New Roman"/>
                <w:color w:val="auto"/>
                <w:kern w:val="0"/>
                <w:sz w:val="21"/>
                <w:szCs w:val="24"/>
                <w:highlight w:val="none"/>
                <w:lang w:val="en-US" w:eastAsia="zh-CN" w:bidi="ar-SA"/>
              </w:rPr>
            </w:pPr>
          </w:p>
        </w:tc>
        <w:tc>
          <w:tcPr>
            <w:tcW w:w="479" w:type="pct"/>
            <w:vMerge w:val="continue"/>
            <w:noWrap w:val="0"/>
            <w:vAlign w:val="center"/>
          </w:tcPr>
          <w:p w14:paraId="019C1D30">
            <w:pPr>
              <w:pStyle w:val="80"/>
              <w:rPr>
                <w:rFonts w:hint="default" w:ascii="Times New Roman" w:hAnsi="Times New Roman" w:eastAsia="宋体" w:cs="Times New Roman"/>
                <w:color w:val="auto"/>
                <w:kern w:val="0"/>
                <w:sz w:val="21"/>
                <w:szCs w:val="24"/>
                <w:highlight w:val="none"/>
                <w:lang w:val="en-US" w:eastAsia="zh-CN" w:bidi="ar-SA"/>
              </w:rPr>
            </w:pPr>
          </w:p>
        </w:tc>
        <w:tc>
          <w:tcPr>
            <w:tcW w:w="384" w:type="pct"/>
            <w:noWrap w:val="0"/>
            <w:vAlign w:val="center"/>
          </w:tcPr>
          <w:p w14:paraId="42F75A10">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X</w:t>
            </w:r>
          </w:p>
        </w:tc>
        <w:tc>
          <w:tcPr>
            <w:tcW w:w="350" w:type="pct"/>
            <w:noWrap w:val="0"/>
            <w:vAlign w:val="center"/>
          </w:tcPr>
          <w:p w14:paraId="57B979D8">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Y</w:t>
            </w:r>
          </w:p>
        </w:tc>
        <w:tc>
          <w:tcPr>
            <w:tcW w:w="359" w:type="pct"/>
            <w:noWrap w:val="0"/>
            <w:vAlign w:val="center"/>
          </w:tcPr>
          <w:p w14:paraId="0F7F2775">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Z</w:t>
            </w:r>
          </w:p>
        </w:tc>
        <w:tc>
          <w:tcPr>
            <w:tcW w:w="635" w:type="pct"/>
            <w:vMerge w:val="continue"/>
            <w:noWrap w:val="0"/>
            <w:vAlign w:val="center"/>
          </w:tcPr>
          <w:p w14:paraId="4A1B88D0">
            <w:pPr>
              <w:pStyle w:val="80"/>
              <w:rPr>
                <w:rFonts w:hint="default" w:ascii="Times New Roman" w:hAnsi="Times New Roman" w:eastAsia="宋体" w:cs="Times New Roman"/>
                <w:color w:val="auto"/>
                <w:kern w:val="0"/>
                <w:sz w:val="21"/>
                <w:szCs w:val="24"/>
                <w:highlight w:val="none"/>
                <w:lang w:val="en-US" w:eastAsia="zh-CN" w:bidi="ar-SA"/>
              </w:rPr>
            </w:pPr>
          </w:p>
        </w:tc>
        <w:tc>
          <w:tcPr>
            <w:tcW w:w="1300" w:type="pct"/>
            <w:vMerge w:val="continue"/>
            <w:noWrap w:val="0"/>
            <w:vAlign w:val="center"/>
          </w:tcPr>
          <w:p w14:paraId="10B97C3A">
            <w:pPr>
              <w:pStyle w:val="80"/>
              <w:rPr>
                <w:rFonts w:hint="default" w:ascii="Times New Roman" w:hAnsi="Times New Roman" w:eastAsia="宋体" w:cs="Times New Roman"/>
                <w:color w:val="auto"/>
                <w:kern w:val="0"/>
                <w:sz w:val="21"/>
                <w:szCs w:val="24"/>
                <w:highlight w:val="none"/>
                <w:lang w:val="en-US" w:eastAsia="zh-CN" w:bidi="ar-SA"/>
              </w:rPr>
            </w:pPr>
          </w:p>
        </w:tc>
        <w:tc>
          <w:tcPr>
            <w:tcW w:w="556" w:type="pct"/>
            <w:vMerge w:val="continue"/>
            <w:noWrap w:val="0"/>
            <w:vAlign w:val="center"/>
          </w:tcPr>
          <w:p w14:paraId="4745DD59">
            <w:pPr>
              <w:pStyle w:val="80"/>
              <w:rPr>
                <w:rFonts w:hint="default" w:ascii="Times New Roman" w:hAnsi="Times New Roman" w:eastAsia="宋体" w:cs="Times New Roman"/>
                <w:color w:val="auto"/>
                <w:kern w:val="0"/>
                <w:sz w:val="21"/>
                <w:szCs w:val="24"/>
                <w:highlight w:val="none"/>
                <w:lang w:val="en-US" w:eastAsia="zh-CN" w:bidi="ar-SA"/>
              </w:rPr>
            </w:pPr>
          </w:p>
        </w:tc>
      </w:tr>
      <w:tr w14:paraId="5E4039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noWrap w:val="0"/>
            <w:vAlign w:val="center"/>
          </w:tcPr>
          <w:p w14:paraId="451281B1">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1</w:t>
            </w:r>
          </w:p>
        </w:tc>
        <w:tc>
          <w:tcPr>
            <w:tcW w:w="532" w:type="pct"/>
            <w:noWrap w:val="0"/>
            <w:vAlign w:val="center"/>
          </w:tcPr>
          <w:p w14:paraId="4DBC947D">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火炬燃烧风机</w:t>
            </w:r>
          </w:p>
        </w:tc>
        <w:tc>
          <w:tcPr>
            <w:tcW w:w="479" w:type="pct"/>
            <w:noWrap w:val="0"/>
            <w:vAlign w:val="center"/>
          </w:tcPr>
          <w:p w14:paraId="5297CD84">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w:t>
            </w:r>
          </w:p>
        </w:tc>
        <w:tc>
          <w:tcPr>
            <w:tcW w:w="384" w:type="pct"/>
            <w:noWrap w:val="0"/>
            <w:vAlign w:val="center"/>
          </w:tcPr>
          <w:p w14:paraId="15951DB6">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57.4</w:t>
            </w:r>
          </w:p>
        </w:tc>
        <w:tc>
          <w:tcPr>
            <w:tcW w:w="350" w:type="pct"/>
            <w:noWrap w:val="0"/>
            <w:vAlign w:val="center"/>
          </w:tcPr>
          <w:p w14:paraId="1C1407DC">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72.25</w:t>
            </w:r>
          </w:p>
        </w:tc>
        <w:tc>
          <w:tcPr>
            <w:tcW w:w="359" w:type="pct"/>
            <w:noWrap w:val="0"/>
            <w:vAlign w:val="center"/>
          </w:tcPr>
          <w:p w14:paraId="2BB9ACE4">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1</w:t>
            </w:r>
          </w:p>
        </w:tc>
        <w:tc>
          <w:tcPr>
            <w:tcW w:w="635" w:type="pct"/>
            <w:noWrap w:val="0"/>
            <w:vAlign w:val="center"/>
          </w:tcPr>
          <w:p w14:paraId="0C45C696">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85</w:t>
            </w:r>
          </w:p>
        </w:tc>
        <w:tc>
          <w:tcPr>
            <w:tcW w:w="1300" w:type="pct"/>
            <w:noWrap w:val="0"/>
            <w:vAlign w:val="center"/>
          </w:tcPr>
          <w:p w14:paraId="7F952DCA">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低噪声设备、加装基础减振垫</w:t>
            </w:r>
          </w:p>
        </w:tc>
        <w:tc>
          <w:tcPr>
            <w:tcW w:w="556" w:type="pct"/>
            <w:noWrap w:val="0"/>
            <w:vAlign w:val="center"/>
          </w:tcPr>
          <w:p w14:paraId="65453031">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昼间</w:t>
            </w:r>
          </w:p>
        </w:tc>
      </w:tr>
    </w:tbl>
    <w:p w14:paraId="6C2259D1">
      <w:pPr>
        <w:pStyle w:val="8"/>
        <w:bidi w:val="0"/>
        <w:rPr>
          <w:rFonts w:hint="default" w:ascii="Times New Roman" w:hAnsi="Times New Roman" w:eastAsia="宋体" w:cs="Times New Roman"/>
          <w:snapToGrid w:val="0"/>
          <w:color w:val="auto"/>
          <w:highlight w:val="none"/>
        </w:rPr>
      </w:pPr>
      <w:bookmarkStart w:id="499" w:name="_Toc3603"/>
      <w:bookmarkStart w:id="500" w:name="_Toc3315"/>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.2.4固体废物</w:t>
      </w:r>
      <w:bookmarkEnd w:id="499"/>
      <w:bookmarkEnd w:id="500"/>
    </w:p>
    <w:p w14:paraId="2EF2BADC">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（1）猪粪</w:t>
      </w:r>
    </w:p>
    <w:p w14:paraId="6D949928">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eastAsia="zh-CN"/>
        </w:rPr>
        <w:t>根据《畜禽养殖业污染治理工程技术规范》的资料性附录 A“畜禽养殖废水水质和粪污产生量”</w:t>
      </w:r>
      <w:r>
        <w:rPr>
          <w:rFonts w:hint="eastAsia" w:ascii="Times New Roman" w:hAnsi="Times New Roman" w:cs="Times New Roman"/>
          <w:snapToGrid w:val="0"/>
          <w:color w:val="auto"/>
          <w:highlight w:val="none"/>
          <w:lang w:val="en-US" w:eastAsia="zh-CN"/>
        </w:rPr>
        <w:t>猪粪</w:t>
      </w:r>
      <w:r>
        <w:rPr>
          <w:rFonts w:hint="eastAsia"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398kg</w:t>
      </w:r>
      <w:r>
        <w:rPr>
          <w:rFonts w:hint="eastAsia" w:ascii="Times New Roman" w:hAnsi="Times New Roman" w:cs="Times New Roman"/>
          <w:snapToGrid w:val="0"/>
          <w:color w:val="auto"/>
          <w:highlight w:val="none"/>
          <w:lang w:eastAsia="zh-CN"/>
        </w:rPr>
        <w:t>/头▪a，本项目常年存栏量</w:t>
      </w:r>
      <w:r>
        <w:rPr>
          <w:rFonts w:hint="eastAsia" w:ascii="Times New Roman" w:hAnsi="Times New Roman" w:cs="Times New Roman"/>
          <w:snapToGrid w:val="0"/>
          <w:color w:val="auto"/>
          <w:highlight w:val="none"/>
          <w:lang w:val="en-US" w:eastAsia="zh-CN"/>
        </w:rPr>
        <w:t>8</w:t>
      </w:r>
      <w:r>
        <w:rPr>
          <w:rFonts w:hint="eastAsia" w:ascii="Times New Roman" w:hAnsi="Times New Roman" w:cs="Times New Roman"/>
          <w:snapToGrid w:val="0"/>
          <w:color w:val="auto"/>
          <w:highlight w:val="none"/>
          <w:lang w:eastAsia="zh-CN"/>
        </w:rPr>
        <w:t>00</w:t>
      </w:r>
      <w:r>
        <w:rPr>
          <w:rFonts w:hint="eastAsia" w:ascii="Times New Roman" w:hAnsi="Times New Roman" w:cs="Times New Roman"/>
          <w:snapToGrid w:val="0"/>
          <w:color w:val="auto"/>
          <w:highlight w:val="none"/>
          <w:lang w:val="en-US" w:eastAsia="zh-CN"/>
        </w:rPr>
        <w:t>0</w:t>
      </w:r>
      <w:r>
        <w:rPr>
          <w:rFonts w:hint="eastAsia" w:ascii="Times New Roman" w:hAnsi="Times New Roman" w:cs="Times New Roman"/>
          <w:snapToGrid w:val="0"/>
          <w:color w:val="auto"/>
          <w:highlight w:val="none"/>
          <w:lang w:eastAsia="zh-CN"/>
        </w:rPr>
        <w:t>头，产</w:t>
      </w:r>
      <w:r>
        <w:rPr>
          <w:rFonts w:hint="eastAsia" w:ascii="Times New Roman" w:hAnsi="Times New Roman" w:cs="Times New Roman"/>
          <w:snapToGrid w:val="0"/>
          <w:color w:val="auto"/>
          <w:highlight w:val="none"/>
          <w:lang w:val="en-US" w:eastAsia="zh-CN"/>
        </w:rPr>
        <w:t>粪</w:t>
      </w:r>
      <w:r>
        <w:rPr>
          <w:rFonts w:hint="eastAsia" w:ascii="Times New Roman" w:hAnsi="Times New Roman" w:cs="Times New Roman"/>
          <w:snapToGrid w:val="0"/>
          <w:color w:val="auto"/>
          <w:highlight w:val="none"/>
          <w:lang w:eastAsia="zh-CN"/>
        </w:rPr>
        <w:t>量总计</w:t>
      </w:r>
      <w:r>
        <w:rPr>
          <w:rFonts w:hint="eastAsia" w:ascii="Times New Roman" w:hAnsi="Times New Roman" w:cs="Times New Roman"/>
          <w:snapToGrid w:val="0"/>
          <w:color w:val="auto"/>
          <w:highlight w:val="none"/>
          <w:lang w:val="en-US" w:eastAsia="zh-CN"/>
        </w:rPr>
        <w:t>8.723</w:t>
      </w:r>
      <w:r>
        <w:rPr>
          <w:rFonts w:hint="eastAsia"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3184</w:t>
      </w:r>
      <w:r>
        <w:rPr>
          <w:rFonts w:hint="eastAsia" w:ascii="Times New Roman" w:hAnsi="Times New Roman" w:cs="Times New Roman"/>
          <w:snapToGrid w:val="0"/>
          <w:color w:val="auto"/>
          <w:highlight w:val="none"/>
          <w:lang w:eastAsia="zh-CN"/>
        </w:rPr>
        <w:t>t/a</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猪粪产生量见下表。</w:t>
      </w:r>
    </w:p>
    <w:p w14:paraId="367090F3">
      <w:pPr>
        <w:pStyle w:val="216"/>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16</w:t>
      </w:r>
      <w:r>
        <w:rPr>
          <w:rFonts w:hint="default" w:ascii="Times New Roman" w:hAnsi="Times New Roman" w:eastAsia="黑体" w:cs="Times New Roman"/>
          <w:b w:val="0"/>
          <w:bCs/>
          <w:smallCaps w:val="0"/>
          <w:snapToGrid/>
          <w:kern w:val="2"/>
          <w:sz w:val="21"/>
          <w:szCs w:val="24"/>
          <w:highlight w:val="none"/>
          <w:lang w:val="en-US" w:eastAsia="zh-CN" w:bidi="ar-SA"/>
        </w:rPr>
        <w:t xml:space="preserve">  本项目粪便产生情况一览表</w:t>
      </w:r>
    </w:p>
    <w:tbl>
      <w:tblPr>
        <w:tblStyle w:val="4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8"/>
        <w:gridCol w:w="1485"/>
        <w:gridCol w:w="1826"/>
        <w:gridCol w:w="1991"/>
        <w:gridCol w:w="1982"/>
      </w:tblGrid>
      <w:tr w14:paraId="2BDC7E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26" w:type="pct"/>
            <w:noWrap w:val="0"/>
            <w:vAlign w:val="center"/>
          </w:tcPr>
          <w:p w14:paraId="7ADEA3A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猪群种类</w:t>
            </w:r>
          </w:p>
        </w:tc>
        <w:tc>
          <w:tcPr>
            <w:tcW w:w="871" w:type="pct"/>
            <w:noWrap w:val="0"/>
            <w:vAlign w:val="center"/>
          </w:tcPr>
          <w:p w14:paraId="238ACA9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数量（头）</w:t>
            </w:r>
          </w:p>
        </w:tc>
        <w:tc>
          <w:tcPr>
            <w:tcW w:w="1071" w:type="pct"/>
            <w:noWrap w:val="0"/>
            <w:vAlign w:val="center"/>
          </w:tcPr>
          <w:p w14:paraId="147D38D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排粪量</w:t>
            </w:r>
            <w:r>
              <w:rPr>
                <w:rFonts w:hint="default" w:ascii="Times New Roman" w:hAnsi="Times New Roman" w:eastAsia="宋体" w:cs="Times New Roman"/>
                <w:color w:val="auto"/>
                <w:highlight w:val="none"/>
                <w:lang w:val="en-US" w:eastAsia="zh-CN"/>
              </w:rPr>
              <w:t>kg</w:t>
            </w:r>
            <w:r>
              <w:rPr>
                <w:rFonts w:hint="default" w:ascii="Times New Roman" w:hAnsi="Times New Roman" w:eastAsia="宋体" w:cs="Times New Roman"/>
                <w:color w:val="auto"/>
                <w:highlight w:val="none"/>
                <w:lang w:eastAsia="zh-CN"/>
              </w:rPr>
              <w:t>/头▪a</w:t>
            </w:r>
          </w:p>
        </w:tc>
        <w:tc>
          <w:tcPr>
            <w:tcW w:w="1168" w:type="pct"/>
            <w:noWrap w:val="0"/>
            <w:vAlign w:val="center"/>
          </w:tcPr>
          <w:p w14:paraId="677D167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日排粪量（t/d）</w:t>
            </w:r>
          </w:p>
        </w:tc>
        <w:tc>
          <w:tcPr>
            <w:tcW w:w="1162" w:type="pct"/>
            <w:noWrap w:val="0"/>
            <w:vAlign w:val="center"/>
          </w:tcPr>
          <w:p w14:paraId="48E4901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年排粪量（t/a）</w:t>
            </w:r>
          </w:p>
        </w:tc>
      </w:tr>
      <w:tr w14:paraId="02DE4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26" w:type="pct"/>
            <w:noWrap w:val="0"/>
            <w:vAlign w:val="center"/>
          </w:tcPr>
          <w:p w14:paraId="1EFFF18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猪</w:t>
            </w:r>
          </w:p>
        </w:tc>
        <w:tc>
          <w:tcPr>
            <w:tcW w:w="871" w:type="pct"/>
            <w:noWrap/>
            <w:vAlign w:val="center"/>
          </w:tcPr>
          <w:p w14:paraId="1EE99911">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8000</w:t>
            </w:r>
          </w:p>
        </w:tc>
        <w:tc>
          <w:tcPr>
            <w:tcW w:w="1071" w:type="pct"/>
            <w:noWrap w:val="0"/>
            <w:vAlign w:val="center"/>
          </w:tcPr>
          <w:p w14:paraId="38CD8892">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398</w:t>
            </w:r>
          </w:p>
        </w:tc>
        <w:tc>
          <w:tcPr>
            <w:tcW w:w="1168" w:type="pct"/>
            <w:noWrap w:val="0"/>
            <w:vAlign w:val="center"/>
          </w:tcPr>
          <w:p w14:paraId="5D6090DF">
            <w:pPr>
              <w:pStyle w:val="152"/>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8.723</w:t>
            </w:r>
          </w:p>
        </w:tc>
        <w:tc>
          <w:tcPr>
            <w:tcW w:w="1162" w:type="pct"/>
            <w:noWrap w:val="0"/>
            <w:vAlign w:val="center"/>
          </w:tcPr>
          <w:p w14:paraId="3C8F2D4D">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3184</w:t>
            </w:r>
          </w:p>
        </w:tc>
      </w:tr>
    </w:tbl>
    <w:p w14:paraId="372BD57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本项目粪便产生量</w:t>
      </w:r>
      <w:r>
        <w:rPr>
          <w:rFonts w:hint="default" w:ascii="Times New Roman" w:hAnsi="Times New Roman" w:eastAsia="宋体" w:cs="Times New Roman"/>
          <w:snapToGrid w:val="0"/>
          <w:color w:val="auto"/>
          <w:highlight w:val="none"/>
          <w:lang w:val="en-US" w:eastAsia="zh-CN"/>
        </w:rPr>
        <w:t>8.723t/d</w:t>
      </w:r>
      <w:r>
        <w:rPr>
          <w:rFonts w:hint="default" w:ascii="Times New Roman" w:hAnsi="Times New Roman" w:eastAsia="宋体" w:cs="Times New Roman"/>
          <w:snapToGrid w:val="0"/>
          <w:color w:val="auto"/>
          <w:highlight w:val="none"/>
        </w:rPr>
        <w:t>，即</w:t>
      </w:r>
      <w:r>
        <w:rPr>
          <w:rFonts w:hint="eastAsia" w:ascii="Times New Roman" w:hAnsi="Times New Roman" w:cs="Times New Roman"/>
          <w:snapToGrid w:val="0"/>
          <w:color w:val="auto"/>
          <w:highlight w:val="none"/>
          <w:lang w:val="en-US" w:eastAsia="zh-CN"/>
        </w:rPr>
        <w:t>3184</w:t>
      </w:r>
      <w:r>
        <w:rPr>
          <w:rFonts w:hint="default" w:ascii="Times New Roman" w:hAnsi="Times New Roman" w:eastAsia="宋体" w:cs="Times New Roman"/>
          <w:snapToGrid w:val="0"/>
          <w:color w:val="auto"/>
          <w:highlight w:val="none"/>
        </w:rPr>
        <w:t>t/a。</w:t>
      </w:r>
    </w:p>
    <w:p w14:paraId="438785CF">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项目采取</w:t>
      </w:r>
      <w:r>
        <w:rPr>
          <w:rFonts w:hint="eastAsia" w:ascii="Times New Roman" w:hAnsi="Times New Roman" w:cs="Times New Roman"/>
          <w:snapToGrid w:val="0"/>
          <w:color w:val="auto"/>
          <w:kern w:val="0"/>
          <w:sz w:val="24"/>
          <w:szCs w:val="24"/>
          <w:highlight w:val="none"/>
          <w:lang w:val="en-US" w:eastAsia="zh-CN" w:bidi="ar-SA"/>
        </w:rPr>
        <w:t>尿泡粪—干清粪</w:t>
      </w:r>
      <w:r>
        <w:rPr>
          <w:rFonts w:hint="default" w:ascii="Times New Roman" w:hAnsi="Times New Roman" w:eastAsia="宋体" w:cs="Times New Roman"/>
          <w:snapToGrid w:val="0"/>
          <w:color w:val="auto"/>
          <w:kern w:val="0"/>
          <w:sz w:val="24"/>
          <w:szCs w:val="24"/>
          <w:highlight w:val="none"/>
          <w:lang w:val="en-US" w:eastAsia="zh-CN" w:bidi="ar-SA"/>
        </w:rPr>
        <w:t>方式进行清粪，</w:t>
      </w:r>
      <w:r>
        <w:rPr>
          <w:rFonts w:hint="eastAsia" w:ascii="Times New Roman" w:hAnsi="Times New Roman" w:cs="Times New Roman"/>
          <w:snapToGrid w:val="0"/>
          <w:color w:val="auto"/>
          <w:kern w:val="0"/>
          <w:sz w:val="24"/>
          <w:szCs w:val="24"/>
          <w:highlight w:val="none"/>
          <w:lang w:val="en-US" w:eastAsia="zh-CN" w:bidi="ar-SA"/>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w:t>
      </w:r>
      <w:r>
        <w:rPr>
          <w:rFonts w:hint="eastAsia" w:ascii="Times New Roman" w:hAnsi="Times New Roman" w:eastAsia="宋体" w:cs="Times New Roman"/>
          <w:snapToGrid w:val="0"/>
          <w:color w:val="auto"/>
          <w:kern w:val="0"/>
          <w:sz w:val="24"/>
          <w:szCs w:val="24"/>
          <w:highlight w:val="none"/>
          <w:lang w:val="en-US" w:eastAsia="zh-CN" w:bidi="ar-SA"/>
        </w:rPr>
        <w:t>。根据《畜禽养殖业污染治理工程技术规范》的资料性附录 A“畜禽养殖废水水质和粪污产生量”猪粪量为398kg/头▪a，本项目常年存栏量8000头，产粪量总计8.723t/d、3184t/a。</w:t>
      </w:r>
    </w:p>
    <w:p w14:paraId="29754D30">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highlight w:val="none"/>
          <w:lang w:val="en-US" w:eastAsia="zh-CN"/>
        </w:rPr>
        <w:t>则干粪</w:t>
      </w:r>
      <w:r>
        <w:rPr>
          <w:rFonts w:hint="default" w:ascii="Times New Roman" w:hAnsi="Times New Roman" w:cs="Times New Roman"/>
          <w:snapToGrid w:val="0"/>
          <w:color w:val="auto"/>
          <w:highlight w:val="none"/>
          <w:lang w:eastAsia="zh-CN"/>
        </w:rPr>
        <w:t>产生量为</w:t>
      </w:r>
      <w:r>
        <w:rPr>
          <w:rFonts w:hint="eastAsia" w:ascii="Times New Roman" w:hAnsi="Times New Roman" w:cs="Times New Roman"/>
          <w:snapToGrid w:val="0"/>
          <w:color w:val="auto"/>
          <w:highlight w:val="none"/>
          <w:lang w:val="en-US" w:eastAsia="zh-CN"/>
        </w:rPr>
        <w:t>1.7446t/d、636.779t/a</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可作为肥料施用于项目周边区域的农</w:t>
      </w:r>
      <w:r>
        <w:rPr>
          <w:rFonts w:hint="default" w:ascii="Times New Roman" w:hAnsi="Times New Roman" w:eastAsia="宋体" w:cs="Times New Roman"/>
          <w:snapToGrid w:val="0"/>
          <w:color w:val="auto"/>
          <w:highlight w:val="none"/>
        </w:rPr>
        <w:t>田。</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尿泡粪—干清粪</w:t>
      </w:r>
      <w:r>
        <w:rPr>
          <w:rFonts w:hint="default" w:ascii="Times New Roman" w:hAnsi="Times New Roman" w:cs="Times New Roman"/>
          <w:color w:val="auto"/>
          <w:highlight w:val="none"/>
          <w:lang w:val="en-US" w:eastAsia="zh-CN"/>
        </w:rPr>
        <w:t>后猪粪（</w:t>
      </w:r>
      <w:r>
        <w:rPr>
          <w:rFonts w:hint="eastAsia" w:ascii="Times New Roman" w:hAnsi="Times New Roman" w:cs="Times New Roman"/>
          <w:color w:val="auto"/>
          <w:highlight w:val="none"/>
          <w:lang w:val="en-US" w:eastAsia="zh-CN"/>
        </w:rPr>
        <w:t>3184</w:t>
      </w:r>
      <w:r>
        <w:rPr>
          <w:rFonts w:hint="default" w:ascii="Times New Roman" w:hAnsi="Times New Roman" w:cs="Times New Roman"/>
          <w:color w:val="auto"/>
          <w:highlight w:val="none"/>
          <w:lang w:val="en-US" w:eastAsia="zh-CN"/>
        </w:rPr>
        <w:t>t/a）随尿液进入固液分离间，粪便和废水经固液分离后的干物质（</w:t>
      </w:r>
      <w:r>
        <w:rPr>
          <w:rFonts w:hint="eastAsia" w:ascii="Times New Roman" w:hAnsi="Times New Roman" w:cs="Times New Roman"/>
          <w:color w:val="auto"/>
          <w:highlight w:val="none"/>
          <w:lang w:val="en-US" w:eastAsia="zh-CN"/>
        </w:rPr>
        <w:t>636.779t/a</w:t>
      </w:r>
      <w:r>
        <w:rPr>
          <w:rFonts w:hint="default" w:ascii="Times New Roman" w:hAnsi="Times New Roman" w:cs="Times New Roman"/>
          <w:color w:val="auto"/>
          <w:highlight w:val="none"/>
          <w:lang w:val="en-US" w:eastAsia="zh-CN"/>
        </w:rPr>
        <w:t>）被分离出来变成</w:t>
      </w:r>
      <w:r>
        <w:rPr>
          <w:rFonts w:hint="eastAsia" w:ascii="Times New Roman" w:hAnsi="Times New Roman" w:cs="Times New Roman"/>
          <w:color w:val="auto"/>
          <w:highlight w:val="none"/>
          <w:lang w:val="en-US" w:eastAsia="zh-CN"/>
        </w:rPr>
        <w:t>干粪</w:t>
      </w:r>
      <w:r>
        <w:rPr>
          <w:rFonts w:hint="default" w:ascii="Times New Roman" w:hAnsi="Times New Roman" w:cs="Times New Roman"/>
          <w:color w:val="auto"/>
          <w:highlight w:val="none"/>
          <w:lang w:val="en-US" w:eastAsia="zh-CN"/>
        </w:rPr>
        <w:t>，剩余物质（</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进入黑膜厌氧反应池进行厌氧反应，经过厌氧发酵后，60%的干物质被分解，40%的干物质生成沼渣</w:t>
      </w:r>
      <w:r>
        <w:rPr>
          <w:rFonts w:hint="default" w:ascii="Times New Roman" w:hAnsi="Times New Roman" w:cs="Times New Roman"/>
          <w:color w:val="auto"/>
          <w:highlight w:val="none"/>
          <w:lang w:eastAsia="zh-CN"/>
        </w:rPr>
        <w:t>。沼渣含水率为65%，则沼渣产生量约为</w:t>
      </w:r>
      <w:r>
        <w:rPr>
          <w:rFonts w:hint="eastAsia" w:ascii="Times New Roman" w:hAnsi="Times New Roman" w:cs="Times New Roman"/>
          <w:color w:val="auto"/>
          <w:highlight w:val="none"/>
          <w:lang w:val="en-US" w:eastAsia="zh-CN"/>
        </w:rPr>
        <w:t>0.977</w:t>
      </w:r>
      <w:r>
        <w:rPr>
          <w:rFonts w:hint="default" w:ascii="Times New Roman" w:hAnsi="Times New Roman" w:cs="Times New Roman"/>
          <w:color w:val="auto"/>
          <w:highlight w:val="none"/>
          <w:lang w:eastAsia="zh-CN"/>
        </w:rPr>
        <w:t>t/d（即</w:t>
      </w:r>
      <w:r>
        <w:rPr>
          <w:rFonts w:hint="eastAsia" w:ascii="Times New Roman" w:hAnsi="Times New Roman" w:cs="Times New Roman"/>
          <w:color w:val="auto"/>
          <w:highlight w:val="none"/>
          <w:lang w:val="en-US" w:eastAsia="zh-CN"/>
        </w:rPr>
        <w:t>356.608</w:t>
      </w:r>
      <w:r>
        <w:rPr>
          <w:rFonts w:hint="default" w:ascii="Times New Roman" w:hAnsi="Times New Roman" w:cs="Times New Roman"/>
          <w:color w:val="auto"/>
          <w:highlight w:val="none"/>
          <w:lang w:eastAsia="zh-CN"/>
        </w:rPr>
        <w:t>t/a）。产生的沼渣运至</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snapToGrid w:val="0"/>
          <w:color w:val="auto"/>
          <w:highlight w:val="none"/>
          <w:lang w:val="en-US" w:eastAsia="zh-CN"/>
        </w:rPr>
        <w:t>发酵后还田</w:t>
      </w:r>
      <w:r>
        <w:rPr>
          <w:rFonts w:hint="default" w:ascii="Times New Roman" w:hAnsi="Times New Roman" w:cs="Times New Roman"/>
          <w:color w:val="auto"/>
          <w:highlight w:val="none"/>
          <w:lang w:eastAsia="zh-CN"/>
        </w:rPr>
        <w:t>。</w:t>
      </w:r>
    </w:p>
    <w:p w14:paraId="29DEDF81">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sz w:val="24"/>
          <w:szCs w:val="32"/>
          <w:highlight w:val="none"/>
        </w:rPr>
        <w:t>《畜禽养殖业污染防治技术规范》提出了原则性规定：畜禽养殖厂的建设应坚持“农牧结合、种养平衡”的原则，根据本项目区域土地（包括与其他土地经营者签约承诺消纳本厂区产生粪便污水的土地）对畜禽粪便的消纳能力，确定新建畜禽养殖厂的养殖规模。对于无相应消纳土地的养殖场，必须配套建立具有相应加工（处理）能力的粪便污水处理设施或处理（处置）机制。</w:t>
      </w:r>
    </w:p>
    <w:p w14:paraId="4E77AD62">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根据《畜禽粪污土地承载力测算技术指南》计算可知，本项目猪养殖基地所需配套土地面积为</w:t>
      </w:r>
      <w:r>
        <w:rPr>
          <w:rFonts w:hint="eastAsia" w:ascii="Times New Roman" w:hAnsi="Times New Roman" w:cs="Times New Roman"/>
          <w:snapToGrid w:val="0"/>
          <w:color w:val="auto"/>
          <w:kern w:val="0"/>
          <w:sz w:val="24"/>
          <w:szCs w:val="24"/>
          <w:highlight w:val="none"/>
          <w:lang w:val="en-US" w:eastAsia="zh-CN" w:bidi="ar-SA"/>
        </w:rPr>
        <w:t>13914</w:t>
      </w:r>
      <w:r>
        <w:rPr>
          <w:rFonts w:hint="default" w:ascii="Times New Roman" w:hAnsi="Times New Roman" w:eastAsia="宋体" w:cs="Times New Roman"/>
          <w:snapToGrid w:val="0"/>
          <w:color w:val="auto"/>
          <w:kern w:val="0"/>
          <w:sz w:val="24"/>
          <w:szCs w:val="24"/>
          <w:highlight w:val="none"/>
          <w:lang w:val="en-US" w:eastAsia="zh-CN" w:bidi="ar-SA"/>
        </w:rPr>
        <w:t>亩（具体计算详见第五章土地消纳方案部分）。企业签订粪污消纳土地协议，粪污消纳土地面积</w:t>
      </w:r>
      <w:r>
        <w:rPr>
          <w:rFonts w:hint="eastAsia" w:ascii="Times New Roman" w:hAnsi="Times New Roman" w:cs="Times New Roman"/>
          <w:snapToGrid w:val="0"/>
          <w:color w:val="auto"/>
          <w:kern w:val="0"/>
          <w:sz w:val="24"/>
          <w:szCs w:val="24"/>
          <w:highlight w:val="none"/>
          <w:lang w:val="en-US" w:eastAsia="zh-CN" w:bidi="ar-SA"/>
        </w:rPr>
        <w:t>15130亩</w:t>
      </w:r>
      <w:r>
        <w:rPr>
          <w:rFonts w:hint="default" w:ascii="Times New Roman" w:hAnsi="Times New Roman" w:eastAsia="宋体" w:cs="Times New Roman"/>
          <w:snapToGrid w:val="0"/>
          <w:color w:val="auto"/>
          <w:kern w:val="0"/>
          <w:sz w:val="24"/>
          <w:szCs w:val="24"/>
          <w:highlight w:val="none"/>
          <w:lang w:val="en-US" w:eastAsia="zh-CN" w:bidi="ar-SA"/>
        </w:rPr>
        <w:t>。能够满足本项目粪污消纳需求。从土地消纳容量角度分析，项目运营产生的</w:t>
      </w:r>
      <w:r>
        <w:rPr>
          <w:rFonts w:hint="eastAsia" w:ascii="Times New Roman" w:hAnsi="Times New Roman" w:cs="Times New Roman"/>
          <w:snapToGrid w:val="0"/>
          <w:color w:val="auto"/>
          <w:kern w:val="0"/>
          <w:sz w:val="24"/>
          <w:szCs w:val="24"/>
          <w:highlight w:val="none"/>
          <w:lang w:val="en-US" w:eastAsia="zh-CN" w:bidi="ar-SA"/>
        </w:rPr>
        <w:t>粪污</w:t>
      </w:r>
      <w:r>
        <w:rPr>
          <w:rFonts w:hint="default" w:ascii="Times New Roman" w:hAnsi="Times New Roman" w:eastAsia="宋体" w:cs="Times New Roman"/>
          <w:snapToGrid w:val="0"/>
          <w:color w:val="auto"/>
          <w:kern w:val="0"/>
          <w:sz w:val="24"/>
          <w:szCs w:val="24"/>
          <w:highlight w:val="none"/>
          <w:lang w:val="en-US" w:eastAsia="zh-CN" w:bidi="ar-SA"/>
        </w:rPr>
        <w:t>用于农田施肥，具有土地消纳可行性。固肥在施肥季节（4月</w:t>
      </w:r>
      <w:r>
        <w:rPr>
          <w:rFonts w:hint="eastAsia" w:ascii="Times New Roman" w:hAnsi="Times New Roman" w:cs="Times New Roman"/>
          <w:snapToGrid w:val="0"/>
          <w:color w:val="auto"/>
          <w:kern w:val="0"/>
          <w:sz w:val="24"/>
          <w:szCs w:val="24"/>
          <w:highlight w:val="none"/>
          <w:lang w:val="en-US" w:eastAsia="zh-CN" w:bidi="ar-SA"/>
        </w:rPr>
        <w:t>及</w:t>
      </w:r>
      <w:r>
        <w:rPr>
          <w:rFonts w:hint="default" w:ascii="Times New Roman" w:hAnsi="Times New Roman" w:eastAsia="宋体" w:cs="Times New Roman"/>
          <w:snapToGrid w:val="0"/>
          <w:color w:val="auto"/>
          <w:kern w:val="0"/>
          <w:sz w:val="24"/>
          <w:szCs w:val="24"/>
          <w:highlight w:val="none"/>
          <w:lang w:val="en-US" w:eastAsia="zh-CN" w:bidi="ar-SA"/>
        </w:rPr>
        <w:t>10月）采用固体抛洒车施肥。消纳土地分布在</w:t>
      </w:r>
      <w:r>
        <w:rPr>
          <w:rFonts w:hint="eastAsia" w:ascii="Times New Roman" w:hAnsi="Times New Roman" w:cs="Times New Roman"/>
          <w:snapToGrid w:val="0"/>
          <w:color w:val="auto"/>
          <w:kern w:val="0"/>
          <w:sz w:val="24"/>
          <w:szCs w:val="24"/>
          <w:highlight w:val="none"/>
          <w:lang w:val="en-US" w:eastAsia="zh-CN" w:bidi="ar-SA"/>
        </w:rPr>
        <w:t>团结村</w:t>
      </w:r>
      <w:r>
        <w:rPr>
          <w:rFonts w:hint="default" w:ascii="Times New Roman" w:hAnsi="Times New Roman" w:eastAsia="宋体" w:cs="Times New Roman"/>
          <w:snapToGrid w:val="0"/>
          <w:color w:val="auto"/>
          <w:kern w:val="0"/>
          <w:sz w:val="24"/>
          <w:szCs w:val="24"/>
          <w:highlight w:val="none"/>
          <w:lang w:val="en-US" w:eastAsia="zh-CN" w:bidi="ar-SA"/>
        </w:rPr>
        <w:t>周围，粪污消纳区域远离饮用水井和保护区，避免生物肥淋溶入地下水对饮用水造成污染，远离地表水体，避免对周边环境造成影响。</w:t>
      </w:r>
    </w:p>
    <w:p w14:paraId="1BFAD658">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项目所处地，常年以玉米为主。本项目四周紧邻大面积耕地作为本项目消纳土地。本项目</w:t>
      </w:r>
      <w:r>
        <w:rPr>
          <w:rFonts w:hint="eastAsia" w:ascii="Times New Roman" w:hAnsi="Times New Roman" w:cs="Times New Roman"/>
          <w:snapToGrid w:val="0"/>
          <w:color w:val="auto"/>
          <w:kern w:val="0"/>
          <w:sz w:val="24"/>
          <w:szCs w:val="24"/>
          <w:highlight w:val="none"/>
          <w:lang w:val="en-US" w:eastAsia="zh-CN" w:bidi="ar-SA"/>
        </w:rPr>
        <w:t>粪污与农户签订粪污消纳协议，</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固态粪污采用固体抛洒车施肥。结合当地施肥规律，建议粪污施用规律为用作基肥和底肥。</w:t>
      </w:r>
      <w:r>
        <w:rPr>
          <w:rFonts w:hint="eastAsia" w:ascii="Times New Roman" w:hAnsi="Times New Roman" w:cs="Times New Roman"/>
          <w:snapToGrid w:val="0"/>
          <w:color w:val="auto"/>
          <w:kern w:val="0"/>
          <w:sz w:val="24"/>
          <w:szCs w:val="24"/>
          <w:highlight w:val="none"/>
          <w:lang w:val="en-US" w:eastAsia="zh-CN" w:bidi="ar-SA"/>
        </w:rPr>
        <w:t>施肥期平均每天每户拉运8次</w:t>
      </w:r>
      <w:r>
        <w:rPr>
          <w:rFonts w:hint="default" w:ascii="Times New Roman" w:hAnsi="Times New Roman" w:eastAsia="宋体" w:cs="Times New Roman"/>
          <w:snapToGrid w:val="0"/>
          <w:color w:val="auto"/>
          <w:kern w:val="0"/>
          <w:sz w:val="24"/>
          <w:szCs w:val="24"/>
          <w:highlight w:val="none"/>
          <w:lang w:val="en-US" w:eastAsia="zh-CN" w:bidi="ar-SA"/>
        </w:rPr>
        <w:t>，抛洒施肥，约</w:t>
      </w:r>
      <w:r>
        <w:rPr>
          <w:rFonts w:hint="eastAsia" w:ascii="Times New Roman" w:hAnsi="Times New Roman" w:cs="Times New Roman"/>
          <w:snapToGrid w:val="0"/>
          <w:color w:val="auto"/>
          <w:kern w:val="0"/>
          <w:sz w:val="24"/>
          <w:szCs w:val="24"/>
          <w:highlight w:val="none"/>
          <w:lang w:val="en-US" w:eastAsia="zh-CN" w:bidi="ar-SA"/>
        </w:rPr>
        <w:t>25</w:t>
      </w:r>
      <w:r>
        <w:rPr>
          <w:rFonts w:hint="default" w:ascii="Times New Roman" w:hAnsi="Times New Roman" w:eastAsia="宋体" w:cs="Times New Roman"/>
          <w:snapToGrid w:val="0"/>
          <w:color w:val="auto"/>
          <w:kern w:val="0"/>
          <w:sz w:val="24"/>
          <w:szCs w:val="24"/>
          <w:highlight w:val="none"/>
          <w:lang w:val="en-US" w:eastAsia="zh-CN" w:bidi="ar-SA"/>
        </w:rPr>
        <w:t>天内施用完毕。</w:t>
      </w:r>
    </w:p>
    <w:p w14:paraId="669A5D9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（2）生活垃圾</w:t>
      </w:r>
    </w:p>
    <w:p w14:paraId="4751CFB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项目员工共</w:t>
      </w:r>
      <w:r>
        <w:rPr>
          <w:rFonts w:hint="default" w:ascii="Times New Roman" w:hAnsi="Times New Roman" w:eastAsia="宋体" w:cs="Times New Roman"/>
          <w:snapToGrid w:val="0"/>
          <w:color w:val="auto"/>
          <w:highlight w:val="none"/>
          <w:lang w:eastAsia="zh-CN"/>
        </w:rPr>
        <w:t>1</w:t>
      </w:r>
      <w:r>
        <w:rPr>
          <w:rFonts w:hint="eastAsia"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lang w:eastAsia="zh-CN"/>
        </w:rPr>
        <w:t>人</w:t>
      </w:r>
      <w:r>
        <w:rPr>
          <w:rFonts w:hint="default" w:ascii="Times New Roman" w:hAnsi="Times New Roman" w:eastAsia="宋体" w:cs="Times New Roman"/>
          <w:snapToGrid w:val="0"/>
          <w:color w:val="auto"/>
          <w:highlight w:val="none"/>
        </w:rPr>
        <w:t>，按每人每天产生生活垃圾0.5kg计，则生活垃圾产生量为</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5kg/d，即</w:t>
      </w:r>
      <w:r>
        <w:rPr>
          <w:rFonts w:hint="eastAsia" w:ascii="Times New Roman" w:hAnsi="Times New Roman" w:cs="Times New Roman"/>
          <w:snapToGrid w:val="0"/>
          <w:color w:val="auto"/>
          <w:highlight w:val="none"/>
          <w:lang w:val="en-US" w:eastAsia="zh-CN"/>
        </w:rPr>
        <w:t>2.0075</w:t>
      </w:r>
      <w:r>
        <w:rPr>
          <w:rFonts w:hint="default" w:ascii="Times New Roman" w:hAnsi="Times New Roman" w:eastAsia="宋体" w:cs="Times New Roman"/>
          <w:snapToGrid w:val="0"/>
          <w:color w:val="auto"/>
          <w:highlight w:val="none"/>
        </w:rPr>
        <w:t>t/a。在生活区内设置一处生活垃圾收集箱，生活垃圾由当地环卫部门统一收集处理，不外排。</w:t>
      </w:r>
    </w:p>
    <w:p w14:paraId="0BA3DFC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）病死猪尸体及胎盘</w:t>
      </w:r>
    </w:p>
    <w:p w14:paraId="55B6A68B">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①</w:t>
      </w:r>
      <w:r>
        <w:rPr>
          <w:rFonts w:hint="default" w:ascii="Times New Roman" w:hAnsi="Times New Roman" w:eastAsia="宋体" w:cs="Times New Roman"/>
          <w:snapToGrid w:val="0"/>
          <w:color w:val="auto"/>
          <w:highlight w:val="none"/>
        </w:rPr>
        <w:t>病死猪</w:t>
      </w:r>
    </w:p>
    <w:p w14:paraId="3EBEFEF3">
      <w:pPr>
        <w:pStyle w:val="94"/>
        <w:ind w:firstLine="480"/>
        <w:rPr>
          <w:rFonts w:hint="default" w:ascii="Times New Roman" w:hAnsi="Times New Roman" w:eastAsia="宋体" w:cs="Times New Roman"/>
          <w:snapToGrid w:val="0"/>
          <w:color w:val="auto"/>
          <w:highlight w:val="none"/>
        </w:rPr>
      </w:pPr>
      <w:bookmarkStart w:id="501" w:name="_Hlk501721435"/>
      <w:bookmarkStart w:id="502" w:name="_Hlk480433068"/>
      <w:bookmarkStart w:id="503" w:name="_Hlk480432960"/>
      <w:r>
        <w:rPr>
          <w:rFonts w:hint="default" w:ascii="Times New Roman" w:hAnsi="Times New Roman" w:eastAsia="宋体" w:cs="Times New Roman"/>
          <w:snapToGrid w:val="0"/>
          <w:color w:val="auto"/>
          <w:highlight w:val="none"/>
        </w:rPr>
        <w:t>根据《国家危险废物名录》（</w:t>
      </w:r>
      <w:r>
        <w:rPr>
          <w:rFonts w:hint="eastAsia" w:ascii="Times New Roman" w:hAnsi="Times New Roman" w:cs="Times New Roman"/>
          <w:snapToGrid w:val="0"/>
          <w:color w:val="auto"/>
          <w:highlight w:val="none"/>
          <w:lang w:val="en-US" w:eastAsia="zh-CN"/>
        </w:rPr>
        <w:t>2025版</w:t>
      </w:r>
      <w:r>
        <w:rPr>
          <w:rFonts w:hint="default" w:ascii="Times New Roman" w:hAnsi="Times New Roman" w:eastAsia="宋体" w:cs="Times New Roman"/>
          <w:snapToGrid w:val="0"/>
          <w:color w:val="auto"/>
          <w:highlight w:val="none"/>
        </w:rPr>
        <w:t>）病死猪不属于危废，由于项目采用科学化管理与养殖，病死猪产生量很小。死猪主要来源为初产小猪非正常死亡，根据目前规模化养殖场的管理水平，此类事件概率不高，出现病死猪的</w:t>
      </w:r>
      <w:r>
        <w:rPr>
          <w:rFonts w:hint="default" w:ascii="Times New Roman" w:hAnsi="Times New Roman" w:eastAsia="宋体" w:cs="Times New Roman"/>
          <w:snapToGrid w:val="0"/>
          <w:color w:val="auto"/>
          <w:highlight w:val="none"/>
          <w:lang w:eastAsia="zh-CN"/>
        </w:rPr>
        <w:t>概率</w:t>
      </w:r>
      <w:r>
        <w:rPr>
          <w:rFonts w:hint="default" w:ascii="Times New Roman" w:hAnsi="Times New Roman" w:eastAsia="宋体" w:cs="Times New Roman"/>
          <w:snapToGrid w:val="0"/>
          <w:color w:val="auto"/>
          <w:highlight w:val="none"/>
        </w:rPr>
        <w:t>和数量较低。类比现有规模化养殖场生产情况，根据同类企业类比调查和有关资料统计，</w:t>
      </w:r>
      <w:r>
        <w:rPr>
          <w:rFonts w:hint="default" w:ascii="Times New Roman" w:hAnsi="Times New Roman" w:eastAsia="宋体" w:cs="Times New Roman"/>
          <w:snapToGrid w:val="0"/>
          <w:color w:val="auto"/>
          <w:highlight w:val="none"/>
          <w:lang w:val="en-US" w:eastAsia="zh-CN"/>
        </w:rPr>
        <w:t>项目猪的正常死亡及普通疫病死亡率约为2‰，项目生猪出栏量16000头，则正常死亡及普通疫病的病死猪约</w:t>
      </w:r>
      <w:r>
        <w:rPr>
          <w:rFonts w:hint="eastAsia" w:ascii="Times New Roman" w:hAnsi="Times New Roman" w:cs="Times New Roman"/>
          <w:snapToGrid w:val="0"/>
          <w:color w:val="auto"/>
          <w:highlight w:val="none"/>
          <w:lang w:val="en-US" w:eastAsia="zh-CN"/>
        </w:rPr>
        <w:t>32</w:t>
      </w:r>
      <w:r>
        <w:rPr>
          <w:rFonts w:hint="default" w:ascii="Times New Roman" w:hAnsi="Times New Roman" w:eastAsia="宋体" w:cs="Times New Roman"/>
          <w:snapToGrid w:val="0"/>
          <w:color w:val="auto"/>
          <w:highlight w:val="none"/>
          <w:lang w:val="en-US" w:eastAsia="zh-CN"/>
        </w:rPr>
        <w:t>头，每头猪按0.1t计，约</w:t>
      </w:r>
      <w:r>
        <w:rPr>
          <w:rFonts w:hint="eastAsia" w:ascii="Times New Roman" w:hAnsi="Times New Roman" w:cs="Times New Roman"/>
          <w:snapToGrid w:val="0"/>
          <w:color w:val="auto"/>
          <w:highlight w:val="none"/>
          <w:lang w:val="en-US" w:eastAsia="zh-CN"/>
        </w:rPr>
        <w:t>3.2</w:t>
      </w:r>
      <w:r>
        <w:rPr>
          <w:rFonts w:hint="default" w:ascii="Times New Roman" w:hAnsi="Times New Roman" w:eastAsia="宋体" w:cs="Times New Roman"/>
          <w:snapToGrid w:val="0"/>
          <w:color w:val="auto"/>
          <w:highlight w:val="none"/>
          <w:lang w:val="en-US" w:eastAsia="zh-CN"/>
        </w:rPr>
        <w:t>t/a。在项目运行期间产生的病死猪只分正常死亡和意外死亡两种，对于不同死亡方式产生的猪只，应严格按照《黑龙江省动物防疫条例》采取不同的对策及时处理，严禁随意丢弃，严禁出售或作为饲料再利用。本项目</w:t>
      </w:r>
      <w:r>
        <w:rPr>
          <w:rFonts w:hint="default" w:ascii="Times New Roman" w:hAnsi="Times New Roman" w:cs="Times New Roman"/>
          <w:snapToGrid w:val="0"/>
          <w:color w:val="auto"/>
          <w:szCs w:val="21"/>
          <w:highlight w:val="none"/>
          <w:lang w:val="en-US" w:eastAsia="zh-CN" w:bidi="ar"/>
        </w:rPr>
        <w:t>病死猪</w:t>
      </w:r>
      <w:r>
        <w:rPr>
          <w:rFonts w:hint="eastAsia" w:ascii="Times New Roman" w:hAnsi="Times New Roman" w:cs="Times New Roman"/>
          <w:snapToGrid w:val="0"/>
          <w:color w:val="auto"/>
          <w:szCs w:val="21"/>
          <w:highlight w:val="none"/>
          <w:lang w:val="en-US" w:eastAsia="zh-CN" w:bidi="ar"/>
        </w:rPr>
        <w:t>冷冻（冰箱）保存后</w:t>
      </w:r>
      <w:r>
        <w:rPr>
          <w:rFonts w:hint="default" w:ascii="Times New Roman" w:hAnsi="Times New Roman" w:cs="Times New Roman"/>
          <w:snapToGrid w:val="0"/>
          <w:color w:val="auto"/>
          <w:szCs w:val="21"/>
          <w:highlight w:val="none"/>
          <w:lang w:val="en-US" w:eastAsia="zh-CN" w:bidi="ar"/>
        </w:rPr>
        <w:t>委托</w:t>
      </w:r>
      <w:r>
        <w:rPr>
          <w:rFonts w:hint="eastAsia" w:ascii="Times New Roman" w:hAnsi="Times New Roman" w:cs="Times New Roman"/>
          <w:snapToGrid w:val="0"/>
          <w:color w:val="auto"/>
          <w:szCs w:val="21"/>
          <w:highlight w:val="none"/>
          <w:lang w:val="en-US" w:eastAsia="zh-CN" w:bidi="ar"/>
        </w:rPr>
        <w:t>鸡西市鑫农源固废处理有限公司进行无害化集中处理</w:t>
      </w:r>
      <w:r>
        <w:rPr>
          <w:rFonts w:hint="default" w:ascii="Times New Roman" w:hAnsi="Times New Roman" w:cs="Times New Roman"/>
          <w:snapToGrid w:val="0"/>
          <w:color w:val="auto"/>
          <w:szCs w:val="21"/>
          <w:highlight w:val="none"/>
          <w:lang w:val="en-US" w:eastAsia="zh-CN" w:bidi="ar"/>
        </w:rPr>
        <w:t>（具体协议见附件）</w:t>
      </w:r>
    </w:p>
    <w:p w14:paraId="17997AA0">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snapToGrid w:val="0"/>
          <w:color w:val="auto"/>
          <w:highlight w:val="none"/>
          <w:lang w:val="en-US" w:eastAsia="zh-CN"/>
        </w:rPr>
        <w:t>②</w:t>
      </w:r>
      <w:r>
        <w:rPr>
          <w:rFonts w:hint="default" w:ascii="Times New Roman" w:hAnsi="Times New Roman" w:eastAsia="宋体" w:cs="Times New Roman"/>
          <w:color w:val="auto"/>
          <w:highlight w:val="none"/>
        </w:rPr>
        <w:t>胎盘</w:t>
      </w:r>
    </w:p>
    <w:bookmarkEnd w:id="501"/>
    <w:bookmarkEnd w:id="502"/>
    <w:bookmarkEnd w:id="503"/>
    <w:p w14:paraId="3D0F43D3">
      <w:pPr>
        <w:pStyle w:val="94"/>
        <w:ind w:firstLine="480"/>
        <w:rPr>
          <w:rFonts w:hint="default" w:ascii="Times New Roman" w:hAnsi="Times New Roman" w:eastAsia="宋体" w:cs="Times New Roman"/>
          <w:color w:val="auto"/>
          <w:highlight w:val="none"/>
        </w:rPr>
      </w:pPr>
      <w:bookmarkStart w:id="504" w:name="_Hlk501721443"/>
      <w:r>
        <w:rPr>
          <w:rFonts w:hint="default" w:ascii="Times New Roman" w:hAnsi="Times New Roman" w:eastAsia="宋体" w:cs="Times New Roman"/>
          <w:snapToGrid w:val="0"/>
          <w:color w:val="auto"/>
          <w:highlight w:val="none"/>
        </w:rPr>
        <w:t>按每头基础母猪（</w:t>
      </w:r>
      <w:r>
        <w:rPr>
          <w:rFonts w:hint="eastAsia" w:ascii="Times New Roman" w:hAnsi="Times New Roman" w:cs="Times New Roman"/>
          <w:snapToGrid w:val="0"/>
          <w:color w:val="auto"/>
          <w:highlight w:val="none"/>
          <w:lang w:val="en-US" w:eastAsia="zh-CN"/>
        </w:rPr>
        <w:t>950</w:t>
      </w:r>
      <w:r>
        <w:rPr>
          <w:rFonts w:hint="default" w:ascii="Times New Roman" w:hAnsi="Times New Roman" w:eastAsia="宋体" w:cs="Times New Roman"/>
          <w:snapToGrid w:val="0"/>
          <w:color w:val="auto"/>
          <w:highlight w:val="none"/>
        </w:rPr>
        <w:t>头）每年生产2.</w:t>
      </w:r>
      <w:r>
        <w:rPr>
          <w:rFonts w:hint="eastAsia"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胎计算，每胎胎盘重约2kg，则产生胎盘约</w:t>
      </w:r>
      <w:r>
        <w:rPr>
          <w:rFonts w:hint="eastAsia" w:ascii="Times New Roman" w:hAnsi="Times New Roman" w:cs="Times New Roman"/>
          <w:snapToGrid w:val="0"/>
          <w:color w:val="auto"/>
          <w:highlight w:val="none"/>
          <w:lang w:val="en-US" w:eastAsia="zh-CN"/>
        </w:rPr>
        <w:t>4.18t/a</w:t>
      </w:r>
      <w:r>
        <w:rPr>
          <w:rFonts w:hint="default" w:ascii="Times New Roman" w:hAnsi="Times New Roman" w:eastAsia="宋体" w:cs="Times New Roman"/>
          <w:snapToGrid w:val="0"/>
          <w:color w:val="auto"/>
          <w:highlight w:val="none"/>
        </w:rPr>
        <w:t>。</w:t>
      </w:r>
      <w:bookmarkEnd w:id="504"/>
      <w:r>
        <w:rPr>
          <w:rFonts w:hint="default" w:ascii="Times New Roman" w:hAnsi="Times New Roman" w:cs="Times New Roman"/>
          <w:snapToGrid w:val="0"/>
          <w:color w:val="auto"/>
          <w:szCs w:val="21"/>
          <w:highlight w:val="none"/>
          <w:lang w:val="en-US" w:eastAsia="zh-CN" w:bidi="ar"/>
        </w:rPr>
        <w:t>胎盘</w:t>
      </w:r>
      <w:r>
        <w:rPr>
          <w:rFonts w:hint="eastAsia" w:ascii="Times New Roman" w:hAnsi="Times New Roman" w:cs="Times New Roman"/>
          <w:snapToGrid w:val="0"/>
          <w:color w:val="auto"/>
          <w:szCs w:val="21"/>
          <w:highlight w:val="none"/>
          <w:lang w:val="en-US" w:eastAsia="zh-CN" w:bidi="ar"/>
        </w:rPr>
        <w:t>冷冻（冰箱）保存后</w:t>
      </w:r>
      <w:r>
        <w:rPr>
          <w:rFonts w:hint="default" w:ascii="Times New Roman" w:hAnsi="Times New Roman" w:cs="Times New Roman"/>
          <w:snapToGrid w:val="0"/>
          <w:color w:val="auto"/>
          <w:szCs w:val="21"/>
          <w:highlight w:val="none"/>
          <w:lang w:val="en-US" w:eastAsia="zh-CN" w:bidi="ar"/>
        </w:rPr>
        <w:t>委托</w:t>
      </w:r>
      <w:r>
        <w:rPr>
          <w:rFonts w:hint="eastAsia" w:ascii="Times New Roman" w:hAnsi="Times New Roman" w:cs="Times New Roman"/>
          <w:snapToGrid w:val="0"/>
          <w:color w:val="auto"/>
          <w:szCs w:val="21"/>
          <w:highlight w:val="none"/>
          <w:lang w:val="en-US" w:eastAsia="zh-CN" w:bidi="ar"/>
        </w:rPr>
        <w:t>鸡西市鑫农源固废处理有限公司进行无害化集中处理</w:t>
      </w:r>
      <w:r>
        <w:rPr>
          <w:rFonts w:hint="default" w:ascii="Times New Roman" w:hAnsi="Times New Roman" w:cs="Times New Roman"/>
          <w:snapToGrid w:val="0"/>
          <w:color w:val="auto"/>
          <w:szCs w:val="21"/>
          <w:highlight w:val="none"/>
          <w:lang w:val="en-US" w:eastAsia="zh-CN" w:bidi="ar"/>
        </w:rPr>
        <w:t>（具体协议见附件）</w:t>
      </w:r>
      <w:r>
        <w:rPr>
          <w:rFonts w:hint="default" w:ascii="Times New Roman" w:hAnsi="Times New Roman" w:eastAsia="宋体" w:cs="Times New Roman"/>
          <w:color w:val="auto"/>
          <w:highlight w:val="none"/>
          <w:lang w:eastAsia="zh-CN"/>
        </w:rPr>
        <w:t>。</w:t>
      </w:r>
    </w:p>
    <w:p w14:paraId="31D4C43E">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eastAsia="zh-CN"/>
        </w:rPr>
        <w:t>动物医疗废物</w:t>
      </w:r>
    </w:p>
    <w:p w14:paraId="3925A66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本项目建成达产后，产生</w:t>
      </w:r>
      <w:r>
        <w:rPr>
          <w:rFonts w:hint="eastAsia" w:ascii="Times New Roman" w:hAnsi="Times New Roman" w:cs="Times New Roman"/>
          <w:color w:val="auto"/>
          <w:highlight w:val="none"/>
          <w:lang w:eastAsia="zh-CN"/>
        </w:rPr>
        <w:t>动物医疗废物</w:t>
      </w:r>
      <w:r>
        <w:rPr>
          <w:rFonts w:hint="eastAsia" w:ascii="Times New Roman" w:hAnsi="Times New Roman" w:cs="Times New Roman"/>
          <w:color w:val="auto"/>
          <w:highlight w:val="none"/>
          <w:lang w:val="en-US" w:eastAsia="zh-CN"/>
        </w:rPr>
        <w:t>0.9125</w:t>
      </w:r>
      <w:r>
        <w:rPr>
          <w:rFonts w:hint="default" w:ascii="Times New Roman" w:hAnsi="Times New Roman" w:eastAsia="宋体" w:cs="Times New Roman"/>
          <w:color w:val="auto"/>
          <w:highlight w:val="none"/>
        </w:rPr>
        <w:t>t/a。项目设医疗废物暂存间，</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天一清，清运量约</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kg/次。</w:t>
      </w:r>
      <w:r>
        <w:rPr>
          <w:rFonts w:hint="eastAsia" w:ascii="Times New Roman" w:hAnsi="Times New Roman" w:cs="Times New Roman"/>
          <w:color w:val="auto"/>
          <w:highlight w:val="none"/>
          <w:lang w:eastAsia="zh-CN"/>
        </w:rPr>
        <w:t>动物医疗废物</w:t>
      </w:r>
      <w:r>
        <w:rPr>
          <w:rFonts w:hint="default" w:ascii="Times New Roman" w:hAnsi="Times New Roman" w:eastAsia="宋体" w:cs="Times New Roman"/>
          <w:color w:val="auto"/>
          <w:highlight w:val="none"/>
        </w:rPr>
        <w:t>交有资质单位处置。</w:t>
      </w:r>
    </w:p>
    <w:p w14:paraId="0C5A07C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危险废物环境影响评价指南》，工程分析应结合建设项目主辅工程的原辅材料使用情况及生产工艺，全面分析各类固体废物的产生环节、主要成分、有害成分、理化性质及其产生、利用和处置量。项目产生危险废物汇总表见下表。</w:t>
      </w:r>
    </w:p>
    <w:p w14:paraId="2D40E123">
      <w:pPr>
        <w:pStyle w:val="216"/>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17</w:t>
      </w:r>
      <w:r>
        <w:rPr>
          <w:rFonts w:hint="default" w:ascii="Times New Roman" w:hAnsi="Times New Roman" w:eastAsia="黑体" w:cs="Times New Roman"/>
          <w:b w:val="0"/>
          <w:bCs/>
          <w:smallCaps w:val="0"/>
          <w:snapToGrid/>
          <w:kern w:val="2"/>
          <w:sz w:val="21"/>
          <w:szCs w:val="24"/>
          <w:highlight w:val="none"/>
          <w:lang w:val="en-US" w:eastAsia="zh-CN" w:bidi="ar-SA"/>
        </w:rPr>
        <w:t xml:space="preserve">  危险废物汇总表</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9"/>
        <w:gridCol w:w="649"/>
        <w:gridCol w:w="776"/>
        <w:gridCol w:w="762"/>
        <w:gridCol w:w="755"/>
        <w:gridCol w:w="889"/>
        <w:gridCol w:w="589"/>
        <w:gridCol w:w="733"/>
        <w:gridCol w:w="689"/>
        <w:gridCol w:w="745"/>
        <w:gridCol w:w="666"/>
        <w:gridCol w:w="1080"/>
      </w:tblGrid>
      <w:tr w14:paraId="30351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14:paraId="796698E1">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序号</w:t>
            </w:r>
          </w:p>
        </w:tc>
        <w:tc>
          <w:tcPr>
            <w:tcW w:w="649" w:type="dxa"/>
            <w:noWrap w:val="0"/>
            <w:vAlign w:val="top"/>
          </w:tcPr>
          <w:p w14:paraId="70C335F0">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危险废物名称</w:t>
            </w:r>
          </w:p>
        </w:tc>
        <w:tc>
          <w:tcPr>
            <w:tcW w:w="776" w:type="dxa"/>
            <w:noWrap w:val="0"/>
            <w:vAlign w:val="top"/>
          </w:tcPr>
          <w:p w14:paraId="04057F8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危险废物类别</w:t>
            </w:r>
          </w:p>
        </w:tc>
        <w:tc>
          <w:tcPr>
            <w:tcW w:w="762" w:type="dxa"/>
            <w:noWrap w:val="0"/>
            <w:vAlign w:val="top"/>
          </w:tcPr>
          <w:p w14:paraId="43EDB435">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危险废物代码</w:t>
            </w:r>
          </w:p>
        </w:tc>
        <w:tc>
          <w:tcPr>
            <w:tcW w:w="755" w:type="dxa"/>
            <w:noWrap w:val="0"/>
            <w:vAlign w:val="top"/>
          </w:tcPr>
          <w:p w14:paraId="380A9DB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产生量（t/a）</w:t>
            </w:r>
          </w:p>
        </w:tc>
        <w:tc>
          <w:tcPr>
            <w:tcW w:w="889" w:type="dxa"/>
            <w:noWrap w:val="0"/>
            <w:vAlign w:val="top"/>
          </w:tcPr>
          <w:p w14:paraId="3E6AD885">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产生工序及装置</w:t>
            </w:r>
          </w:p>
        </w:tc>
        <w:tc>
          <w:tcPr>
            <w:tcW w:w="589" w:type="dxa"/>
            <w:noWrap w:val="0"/>
            <w:vAlign w:val="top"/>
          </w:tcPr>
          <w:p w14:paraId="6FD5DC3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形态</w:t>
            </w:r>
          </w:p>
        </w:tc>
        <w:tc>
          <w:tcPr>
            <w:tcW w:w="733" w:type="dxa"/>
            <w:noWrap w:val="0"/>
            <w:vAlign w:val="top"/>
          </w:tcPr>
          <w:p w14:paraId="2EB61901">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主要成分</w:t>
            </w:r>
          </w:p>
        </w:tc>
        <w:tc>
          <w:tcPr>
            <w:tcW w:w="689" w:type="dxa"/>
            <w:noWrap w:val="0"/>
            <w:vAlign w:val="top"/>
          </w:tcPr>
          <w:p w14:paraId="7E0F8A4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有害成分</w:t>
            </w:r>
          </w:p>
        </w:tc>
        <w:tc>
          <w:tcPr>
            <w:tcW w:w="745" w:type="dxa"/>
            <w:noWrap w:val="0"/>
            <w:vAlign w:val="top"/>
          </w:tcPr>
          <w:p w14:paraId="2D3194F0">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产废周期</w:t>
            </w:r>
          </w:p>
        </w:tc>
        <w:tc>
          <w:tcPr>
            <w:tcW w:w="666" w:type="dxa"/>
            <w:noWrap w:val="0"/>
            <w:vAlign w:val="top"/>
          </w:tcPr>
          <w:p w14:paraId="26D8A17B">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危险特性</w:t>
            </w:r>
          </w:p>
        </w:tc>
        <w:tc>
          <w:tcPr>
            <w:tcW w:w="1080" w:type="dxa"/>
            <w:noWrap w:val="0"/>
            <w:vAlign w:val="top"/>
          </w:tcPr>
          <w:p w14:paraId="194DB47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污染防治措施</w:t>
            </w:r>
          </w:p>
        </w:tc>
      </w:tr>
      <w:tr w14:paraId="78AF47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14:paraId="35D6134C">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1</w:t>
            </w:r>
          </w:p>
        </w:tc>
        <w:tc>
          <w:tcPr>
            <w:tcW w:w="649" w:type="dxa"/>
            <w:noWrap w:val="0"/>
            <w:vAlign w:val="center"/>
          </w:tcPr>
          <w:p w14:paraId="3F560EA1">
            <w:pPr>
              <w:autoSpaceDN w:val="0"/>
              <w:adjustRightInd w:val="0"/>
              <w:snapToGrid w:val="0"/>
              <w:spacing w:line="320" w:lineRule="atLeast"/>
              <w:jc w:val="center"/>
              <w:rPr>
                <w:rFonts w:hint="eastAsia" w:ascii="Times New Roman" w:hAnsi="Times New Roman" w:eastAsia="宋体" w:cs="Times New Roman"/>
                <w:color w:val="auto"/>
                <w:sz w:val="21"/>
                <w:szCs w:val="18"/>
                <w:highlight w:val="none"/>
                <w:lang w:eastAsia="zh-CN" w:bidi="ar"/>
              </w:rPr>
            </w:pPr>
            <w:r>
              <w:rPr>
                <w:rFonts w:hint="eastAsia" w:ascii="Times New Roman" w:hAnsi="Times New Roman" w:cs="Times New Roman"/>
                <w:color w:val="auto"/>
                <w:sz w:val="21"/>
                <w:szCs w:val="18"/>
                <w:highlight w:val="none"/>
                <w:lang w:eastAsia="zh-CN"/>
              </w:rPr>
              <w:t>动物医疗废物</w:t>
            </w:r>
          </w:p>
        </w:tc>
        <w:tc>
          <w:tcPr>
            <w:tcW w:w="776" w:type="dxa"/>
            <w:noWrap w:val="0"/>
            <w:vAlign w:val="center"/>
          </w:tcPr>
          <w:p w14:paraId="43685AA5">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HW01</w:t>
            </w:r>
          </w:p>
        </w:tc>
        <w:tc>
          <w:tcPr>
            <w:tcW w:w="762" w:type="dxa"/>
            <w:noWrap w:val="0"/>
            <w:vAlign w:val="center"/>
          </w:tcPr>
          <w:p w14:paraId="6CF293C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841-001-01</w:t>
            </w:r>
          </w:p>
        </w:tc>
        <w:tc>
          <w:tcPr>
            <w:tcW w:w="755" w:type="dxa"/>
            <w:noWrap w:val="0"/>
            <w:vAlign w:val="center"/>
          </w:tcPr>
          <w:p w14:paraId="39E4239A">
            <w:pPr>
              <w:autoSpaceDN w:val="0"/>
              <w:adjustRightInd w:val="0"/>
              <w:snapToGrid w:val="0"/>
              <w:spacing w:line="320" w:lineRule="atLeast"/>
              <w:jc w:val="center"/>
              <w:rPr>
                <w:rFonts w:hint="eastAsia" w:ascii="Times New Roman" w:hAnsi="Times New Roman" w:eastAsia="宋体" w:cs="Times New Roman"/>
                <w:color w:val="auto"/>
                <w:sz w:val="21"/>
                <w:szCs w:val="18"/>
                <w:highlight w:val="none"/>
                <w:lang w:val="en-US" w:eastAsia="zh-CN" w:bidi="ar"/>
              </w:rPr>
            </w:pPr>
            <w:r>
              <w:rPr>
                <w:rFonts w:hint="eastAsia" w:ascii="Times New Roman" w:hAnsi="Times New Roman" w:cs="Times New Roman"/>
                <w:color w:val="auto"/>
                <w:sz w:val="21"/>
                <w:szCs w:val="18"/>
                <w:highlight w:val="none"/>
                <w:lang w:eastAsia="zh-CN" w:bidi="ar"/>
              </w:rPr>
              <w:t>0.9125</w:t>
            </w:r>
          </w:p>
        </w:tc>
        <w:tc>
          <w:tcPr>
            <w:tcW w:w="889" w:type="dxa"/>
            <w:noWrap w:val="0"/>
            <w:vAlign w:val="center"/>
          </w:tcPr>
          <w:p w14:paraId="30B54AB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eastAsia="zh-CN" w:bidi="ar"/>
              </w:rPr>
            </w:pPr>
            <w:r>
              <w:rPr>
                <w:rFonts w:hint="eastAsia" w:ascii="Times New Roman" w:hAnsi="Times New Roman" w:cs="Times New Roman"/>
                <w:color w:val="auto"/>
                <w:sz w:val="21"/>
                <w:szCs w:val="18"/>
                <w:highlight w:val="none"/>
                <w:lang w:val="en-US" w:eastAsia="zh-CN"/>
              </w:rPr>
              <w:t>医疗废物暂存间</w:t>
            </w:r>
          </w:p>
        </w:tc>
        <w:tc>
          <w:tcPr>
            <w:tcW w:w="589" w:type="dxa"/>
            <w:noWrap w:val="0"/>
            <w:vAlign w:val="center"/>
          </w:tcPr>
          <w:p w14:paraId="725C8DC4">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固态、液态</w:t>
            </w:r>
          </w:p>
        </w:tc>
        <w:tc>
          <w:tcPr>
            <w:tcW w:w="733" w:type="dxa"/>
            <w:noWrap w:val="0"/>
            <w:vAlign w:val="center"/>
          </w:tcPr>
          <w:p w14:paraId="4D73622A">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无毒或减毒的抗原成分</w:t>
            </w:r>
          </w:p>
        </w:tc>
        <w:tc>
          <w:tcPr>
            <w:tcW w:w="689" w:type="dxa"/>
            <w:noWrap w:val="0"/>
            <w:vAlign w:val="center"/>
          </w:tcPr>
          <w:p w14:paraId="4225D5A8">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细菌、病毒等</w:t>
            </w:r>
          </w:p>
        </w:tc>
        <w:tc>
          <w:tcPr>
            <w:tcW w:w="745" w:type="dxa"/>
            <w:noWrap w:val="0"/>
            <w:vAlign w:val="center"/>
          </w:tcPr>
          <w:p w14:paraId="3AF8691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年</w:t>
            </w:r>
          </w:p>
        </w:tc>
        <w:tc>
          <w:tcPr>
            <w:tcW w:w="666" w:type="dxa"/>
            <w:noWrap w:val="0"/>
            <w:vAlign w:val="center"/>
          </w:tcPr>
          <w:p w14:paraId="4AB03EAD">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In</w:t>
            </w:r>
          </w:p>
        </w:tc>
        <w:tc>
          <w:tcPr>
            <w:tcW w:w="1080" w:type="dxa"/>
            <w:noWrap w:val="0"/>
            <w:vAlign w:val="center"/>
          </w:tcPr>
          <w:p w14:paraId="49642871">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储存在密闭的桶（罐）及袋内，交由有资质单位处理处置</w:t>
            </w:r>
          </w:p>
        </w:tc>
      </w:tr>
    </w:tbl>
    <w:p w14:paraId="56D9514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）废脱硫剂</w:t>
      </w:r>
    </w:p>
    <w:p w14:paraId="4525788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一般用畜禽粪便作为沼气发酵原料产生的沼气，本项目利用氧化法脱除沼气中的硫，主要成分是三氧化二铁，沼气脱硫过程会产生废脱硫剂，其反应方程式为：</w:t>
      </w:r>
    </w:p>
    <w:p w14:paraId="1CE4C824">
      <w:pPr>
        <w:pStyle w:val="94"/>
        <w:ind w:firstLine="0" w:firstLineChars="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Fe</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O+3H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S→Fe</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O+3H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w:t>
      </w:r>
    </w:p>
    <w:p w14:paraId="0196A55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由化学反应方程式可知，沼气中每脱去1gH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S需要脱硫剂（Fe</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）1.57g，产生废脱硫剂（Fe</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）2.04g。项目运行后</w:t>
      </w:r>
      <w:r>
        <w:rPr>
          <w:rFonts w:hint="default" w:ascii="Times New Roman" w:hAnsi="Times New Roman"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过程中沼气产生量为</w:t>
      </w:r>
      <w:r>
        <w:rPr>
          <w:rFonts w:hint="eastAsia" w:ascii="Times New Roman" w:hAnsi="Times New Roman" w:cs="Times New Roman"/>
          <w:snapToGrid w:val="0"/>
          <w:color w:val="auto"/>
          <w:highlight w:val="none"/>
          <w:lang w:val="en-US" w:eastAsia="zh-CN"/>
        </w:rPr>
        <w:t>9977.33</w:t>
      </w:r>
      <w:r>
        <w:rPr>
          <w:rFonts w:hint="default" w:ascii="Times New Roman" w:hAnsi="Times New Roman" w:eastAsia="宋体" w:cs="Times New Roman"/>
          <w:snapToGrid w:val="0"/>
          <w:color w:val="auto"/>
          <w:highlight w:val="none"/>
        </w:rPr>
        <w:t>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vertAlign w:val="baseline"/>
          <w:lang w:val="en-US" w:eastAsia="zh-CN"/>
        </w:rPr>
        <w:t>/a</w:t>
      </w:r>
      <w:r>
        <w:rPr>
          <w:rFonts w:hint="default" w:ascii="Times New Roman" w:hAnsi="Times New Roman" w:eastAsia="宋体" w:cs="Times New Roman"/>
          <w:snapToGrid w:val="0"/>
          <w:color w:val="auto"/>
          <w:highlight w:val="none"/>
        </w:rPr>
        <w:t>，沼气脱硫效率为90%，脱硫剂使用情况见下表。</w:t>
      </w:r>
    </w:p>
    <w:p w14:paraId="34C2A89B">
      <w:pPr>
        <w:pStyle w:val="216"/>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18</w:t>
      </w:r>
      <w:r>
        <w:rPr>
          <w:rFonts w:hint="default" w:ascii="Times New Roman" w:hAnsi="Times New Roman" w:eastAsia="黑体" w:cs="Times New Roman"/>
          <w:b w:val="0"/>
          <w:bCs/>
          <w:smallCaps w:val="0"/>
          <w:snapToGrid/>
          <w:kern w:val="2"/>
          <w:sz w:val="21"/>
          <w:szCs w:val="24"/>
          <w:highlight w:val="none"/>
          <w:lang w:val="en-US" w:eastAsia="zh-CN" w:bidi="ar-SA"/>
        </w:rPr>
        <w:t xml:space="preserve">  脱硫剂情况一览表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6"/>
        <w:gridCol w:w="1454"/>
        <w:gridCol w:w="1275"/>
        <w:gridCol w:w="1487"/>
        <w:gridCol w:w="1451"/>
        <w:gridCol w:w="1399"/>
      </w:tblGrid>
      <w:tr w14:paraId="5D4B0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4" w:type="pct"/>
            <w:vAlign w:val="center"/>
          </w:tcPr>
          <w:p w14:paraId="7D4FBAC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沼气量</w:t>
            </w:r>
          </w:p>
          <w:p w14:paraId="34B87B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/a</w:t>
            </w:r>
          </w:p>
        </w:tc>
        <w:tc>
          <w:tcPr>
            <w:tcW w:w="853" w:type="pct"/>
            <w:vAlign w:val="center"/>
          </w:tcPr>
          <w:p w14:paraId="0A88AE0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硫化氢含量t/a</w:t>
            </w:r>
          </w:p>
        </w:tc>
        <w:tc>
          <w:tcPr>
            <w:tcW w:w="748" w:type="pct"/>
            <w:vAlign w:val="center"/>
          </w:tcPr>
          <w:p w14:paraId="4F7B51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脱硫效率%</w:t>
            </w:r>
          </w:p>
        </w:tc>
        <w:tc>
          <w:tcPr>
            <w:tcW w:w="872" w:type="pct"/>
            <w:vAlign w:val="center"/>
          </w:tcPr>
          <w:p w14:paraId="7BE12D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硫化氢去除量t/a</w:t>
            </w:r>
          </w:p>
        </w:tc>
        <w:tc>
          <w:tcPr>
            <w:tcW w:w="851" w:type="pct"/>
            <w:vAlign w:val="center"/>
          </w:tcPr>
          <w:p w14:paraId="13CA594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脱硫剂量</w:t>
            </w:r>
          </w:p>
          <w:p w14:paraId="35542E5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t/a</w:t>
            </w:r>
          </w:p>
        </w:tc>
        <w:tc>
          <w:tcPr>
            <w:tcW w:w="820" w:type="pct"/>
            <w:vAlign w:val="center"/>
          </w:tcPr>
          <w:p w14:paraId="0BCA0CA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废脱硫剂量t/a</w:t>
            </w:r>
          </w:p>
        </w:tc>
      </w:tr>
      <w:tr w14:paraId="7A21A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4" w:type="pct"/>
            <w:vAlign w:val="center"/>
          </w:tcPr>
          <w:p w14:paraId="71DB4877">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9977.33</w:t>
            </w:r>
          </w:p>
        </w:tc>
        <w:tc>
          <w:tcPr>
            <w:tcW w:w="853" w:type="pct"/>
            <w:vAlign w:val="center"/>
          </w:tcPr>
          <w:p w14:paraId="62AD7777">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0.00198</w:t>
            </w:r>
          </w:p>
        </w:tc>
        <w:tc>
          <w:tcPr>
            <w:tcW w:w="748" w:type="pct"/>
            <w:vAlign w:val="center"/>
          </w:tcPr>
          <w:p w14:paraId="14286C7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c>
          <w:tcPr>
            <w:tcW w:w="872" w:type="pct"/>
            <w:vAlign w:val="center"/>
          </w:tcPr>
          <w:p w14:paraId="5A3FE811">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0.0178</w:t>
            </w:r>
          </w:p>
        </w:tc>
        <w:tc>
          <w:tcPr>
            <w:tcW w:w="851" w:type="pct"/>
            <w:vAlign w:val="center"/>
          </w:tcPr>
          <w:p w14:paraId="27911387">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0.0279</w:t>
            </w:r>
          </w:p>
        </w:tc>
        <w:tc>
          <w:tcPr>
            <w:tcW w:w="820" w:type="pct"/>
            <w:vAlign w:val="center"/>
          </w:tcPr>
          <w:p w14:paraId="33235494">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0.0363</w:t>
            </w:r>
          </w:p>
        </w:tc>
      </w:tr>
    </w:tbl>
    <w:p w14:paraId="036429B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综上所述，本项目每年产生废脱硫剂量</w:t>
      </w:r>
      <w:r>
        <w:rPr>
          <w:rFonts w:hint="eastAsia" w:ascii="Times New Roman" w:hAnsi="Times New Roman" w:cs="Times New Roman"/>
          <w:snapToGrid w:val="0"/>
          <w:color w:val="auto"/>
          <w:highlight w:val="none"/>
          <w:lang w:val="en-US" w:eastAsia="zh-CN"/>
        </w:rPr>
        <w:t>0.0363</w:t>
      </w:r>
      <w:r>
        <w:rPr>
          <w:rFonts w:hint="default" w:ascii="Times New Roman" w:hAnsi="Times New Roman" w:eastAsia="宋体" w:cs="Times New Roman"/>
          <w:snapToGrid w:val="0"/>
          <w:color w:val="auto"/>
          <w:highlight w:val="none"/>
        </w:rPr>
        <w:t>t/a，脱硫剂每年需更换2次，废脱硫剂由厂家回收。</w:t>
      </w:r>
    </w:p>
    <w:p w14:paraId="18484B9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）沼渣</w:t>
      </w:r>
    </w:p>
    <w:p w14:paraId="20519F85">
      <w:pPr>
        <w:pStyle w:val="94"/>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尿泡粪—干清粪</w:t>
      </w:r>
      <w:r>
        <w:rPr>
          <w:rFonts w:hint="default" w:ascii="Times New Roman" w:hAnsi="Times New Roman" w:cs="Times New Roman"/>
          <w:color w:val="auto"/>
          <w:highlight w:val="none"/>
          <w:lang w:val="en-US" w:eastAsia="zh-CN"/>
        </w:rPr>
        <w:t>后猪粪（</w:t>
      </w:r>
      <w:r>
        <w:rPr>
          <w:rFonts w:hint="eastAsia" w:ascii="Times New Roman" w:hAnsi="Times New Roman" w:cs="Times New Roman"/>
          <w:color w:val="auto"/>
          <w:highlight w:val="none"/>
          <w:lang w:val="en-US" w:eastAsia="zh-CN"/>
        </w:rPr>
        <w:t>3184</w:t>
      </w:r>
      <w:r>
        <w:rPr>
          <w:rFonts w:hint="default" w:ascii="Times New Roman" w:hAnsi="Times New Roman" w:cs="Times New Roman"/>
          <w:color w:val="auto"/>
          <w:highlight w:val="none"/>
          <w:lang w:val="en-US" w:eastAsia="zh-CN"/>
        </w:rPr>
        <w:t>t/a）随尿液进入固液分离间，粪便和废水经固液分离后的干物质（</w:t>
      </w:r>
      <w:r>
        <w:rPr>
          <w:rFonts w:hint="eastAsia" w:ascii="Times New Roman" w:hAnsi="Times New Roman" w:cs="Times New Roman"/>
          <w:color w:val="auto"/>
          <w:highlight w:val="none"/>
          <w:lang w:val="en-US" w:eastAsia="zh-CN"/>
        </w:rPr>
        <w:t>636.779t/a</w:t>
      </w:r>
      <w:r>
        <w:rPr>
          <w:rFonts w:hint="default" w:ascii="Times New Roman" w:hAnsi="Times New Roman" w:cs="Times New Roman"/>
          <w:color w:val="auto"/>
          <w:highlight w:val="none"/>
          <w:lang w:val="en-US" w:eastAsia="zh-CN"/>
        </w:rPr>
        <w:t>）被分离出来变成</w:t>
      </w:r>
      <w:r>
        <w:rPr>
          <w:rFonts w:hint="eastAsia" w:ascii="Times New Roman" w:hAnsi="Times New Roman" w:cs="Times New Roman"/>
          <w:color w:val="auto"/>
          <w:highlight w:val="none"/>
          <w:lang w:val="en-US" w:eastAsia="zh-CN"/>
        </w:rPr>
        <w:t>干粪</w:t>
      </w:r>
      <w:r>
        <w:rPr>
          <w:rFonts w:hint="default" w:ascii="Times New Roman" w:hAnsi="Times New Roman" w:cs="Times New Roman"/>
          <w:color w:val="auto"/>
          <w:highlight w:val="none"/>
          <w:lang w:val="en-US" w:eastAsia="zh-CN"/>
        </w:rPr>
        <w:t>，剩余物质（</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进入黑膜厌氧反应池进行厌氧反应，经过厌氧发酵后，60%的干物质被分解，40%的干物质生成沼渣</w:t>
      </w:r>
      <w:r>
        <w:rPr>
          <w:rFonts w:hint="default" w:ascii="Times New Roman" w:hAnsi="Times New Roman" w:cs="Times New Roman"/>
          <w:color w:val="auto"/>
          <w:highlight w:val="none"/>
          <w:lang w:eastAsia="zh-CN"/>
        </w:rPr>
        <w:t>。沼渣含水率为65%，则沼渣产生量约为</w:t>
      </w:r>
      <w:r>
        <w:rPr>
          <w:rFonts w:hint="eastAsia" w:ascii="Times New Roman" w:hAnsi="Times New Roman" w:cs="Times New Roman"/>
          <w:color w:val="auto"/>
          <w:highlight w:val="none"/>
          <w:lang w:val="en-US" w:eastAsia="zh-CN"/>
        </w:rPr>
        <w:t>0.977</w:t>
      </w:r>
      <w:r>
        <w:rPr>
          <w:rFonts w:hint="default" w:ascii="Times New Roman" w:hAnsi="Times New Roman" w:cs="Times New Roman"/>
          <w:color w:val="auto"/>
          <w:highlight w:val="none"/>
          <w:lang w:eastAsia="zh-CN"/>
        </w:rPr>
        <w:t>t/d（即</w:t>
      </w:r>
      <w:r>
        <w:rPr>
          <w:rFonts w:hint="eastAsia" w:ascii="Times New Roman" w:hAnsi="Times New Roman" w:cs="Times New Roman"/>
          <w:color w:val="auto"/>
          <w:highlight w:val="none"/>
          <w:lang w:val="en-US" w:eastAsia="zh-CN"/>
        </w:rPr>
        <w:t>356.608</w:t>
      </w:r>
      <w:r>
        <w:rPr>
          <w:rFonts w:hint="default" w:ascii="Times New Roman" w:hAnsi="Times New Roman" w:cs="Times New Roman"/>
          <w:color w:val="auto"/>
          <w:highlight w:val="none"/>
          <w:lang w:eastAsia="zh-CN"/>
        </w:rPr>
        <w:t>t/a）。产生的沼渣运至</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snapToGrid w:val="0"/>
          <w:color w:val="auto"/>
          <w:highlight w:val="none"/>
          <w:lang w:val="en-US" w:eastAsia="zh-CN"/>
        </w:rPr>
        <w:t>发酵后还田</w:t>
      </w:r>
      <w:r>
        <w:rPr>
          <w:rFonts w:hint="default" w:ascii="Times New Roman" w:hAnsi="Times New Roman" w:cs="Times New Roman"/>
          <w:color w:val="auto"/>
          <w:highlight w:val="none"/>
          <w:lang w:eastAsia="zh-CN"/>
        </w:rPr>
        <w:t>。</w:t>
      </w:r>
    </w:p>
    <w:p w14:paraId="347A3A0F">
      <w:pPr>
        <w:pStyle w:val="94"/>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7</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废除臭剂桶</w:t>
      </w:r>
    </w:p>
    <w:p w14:paraId="6685ECA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项目发酵过程中会产生恶臭气体，本项目采用喷洒除臭剂降低厂区恶臭气体的治理措施，因此会产生少量废除臭剂包装桶，属于一般固废，产生量约</w:t>
      </w:r>
      <w:r>
        <w:rPr>
          <w:rFonts w:hint="default" w:ascii="Times New Roman" w:hAnsi="Times New Roman" w:eastAsia="宋体" w:cs="Times New Roman"/>
          <w:color w:val="auto"/>
          <w:highlight w:val="none"/>
          <w:lang w:val="en-US" w:eastAsia="zh-CN"/>
        </w:rPr>
        <w:t>3.5</w:t>
      </w:r>
      <w:r>
        <w:rPr>
          <w:rFonts w:hint="default" w:ascii="Times New Roman" w:hAnsi="Times New Roman" w:eastAsia="宋体" w:cs="Times New Roman"/>
          <w:color w:val="auto"/>
          <w:highlight w:val="none"/>
          <w:lang w:eastAsia="zh-CN"/>
        </w:rPr>
        <w:t>t/a，集中收集后定期由厂家回收利用</w:t>
      </w:r>
      <w:r>
        <w:rPr>
          <w:rFonts w:hint="default" w:ascii="Times New Roman" w:hAnsi="Times New Roman" w:eastAsia="宋体" w:cs="Times New Roman"/>
          <w:color w:val="auto"/>
          <w:highlight w:val="none"/>
        </w:rPr>
        <w:t>。</w:t>
      </w:r>
    </w:p>
    <w:p w14:paraId="155C5E16">
      <w:pPr>
        <w:pStyle w:val="94"/>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（8）废活性炭</w:t>
      </w:r>
    </w:p>
    <w:p w14:paraId="051F6CF6">
      <w:pPr>
        <w:pStyle w:val="94"/>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废活性炭主要产生于干粪堆积场恶臭气体活性炭吸附装置，每季度更换一次，根据本项目处理规模并采用经验数据（《简明通风设计手册》活性炭有效吸附量qe=0.24kg/kg活性炭）估算，吸附量约为</w:t>
      </w:r>
      <w:r>
        <w:rPr>
          <w:rFonts w:hint="eastAsia" w:ascii="Times New Roman" w:hAnsi="Times New Roman" w:cs="Times New Roman"/>
          <w:color w:val="auto"/>
          <w:highlight w:val="none"/>
          <w:lang w:val="en-US" w:eastAsia="zh-CN"/>
        </w:rPr>
        <w:t>0.743</w:t>
      </w:r>
      <w:r>
        <w:rPr>
          <w:rFonts w:hint="default" w:ascii="Times New Roman" w:hAnsi="Times New Roman" w:eastAsia="宋体" w:cs="Times New Roman"/>
          <w:color w:val="auto"/>
          <w:highlight w:val="none"/>
          <w:lang w:val="en-US" w:eastAsia="zh-CN"/>
        </w:rPr>
        <w:t>t/a，经计算使用活性炭量约为</w:t>
      </w:r>
      <w:r>
        <w:rPr>
          <w:rFonts w:hint="eastAsia" w:ascii="Times New Roman" w:hAnsi="Times New Roman" w:cs="Times New Roman"/>
          <w:color w:val="auto"/>
          <w:highlight w:val="none"/>
          <w:lang w:val="en-US" w:eastAsia="zh-CN"/>
        </w:rPr>
        <w:t>3.096</w:t>
      </w:r>
      <w:r>
        <w:rPr>
          <w:rFonts w:hint="default" w:ascii="Times New Roman" w:hAnsi="Times New Roman" w:eastAsia="宋体" w:cs="Times New Roman"/>
          <w:color w:val="auto"/>
          <w:highlight w:val="none"/>
          <w:lang w:val="en-US" w:eastAsia="zh-CN"/>
        </w:rPr>
        <w:t>t/a，</w:t>
      </w:r>
      <w:r>
        <w:rPr>
          <w:rFonts w:hint="eastAsia" w:ascii="Times New Roman" w:hAnsi="Times New Roman" w:cs="Times New Roman"/>
          <w:color w:val="auto"/>
          <w:highlight w:val="none"/>
          <w:lang w:val="en-US" w:eastAsia="zh-CN"/>
        </w:rPr>
        <w:t>0.774</w:t>
      </w:r>
      <w:r>
        <w:rPr>
          <w:rFonts w:hint="eastAsia" w:ascii="Times New Roman" w:hAnsi="Times New Roman" w:eastAsia="宋体" w:cs="Times New Roman"/>
          <w:color w:val="auto"/>
          <w:highlight w:val="none"/>
          <w:lang w:val="en-US" w:eastAsia="zh-CN"/>
        </w:rPr>
        <w:t>t/季度，</w:t>
      </w:r>
      <w:r>
        <w:rPr>
          <w:rFonts w:hint="default" w:ascii="Times New Roman" w:hAnsi="Times New Roman" w:eastAsia="宋体" w:cs="Times New Roman"/>
          <w:color w:val="auto"/>
          <w:highlight w:val="none"/>
          <w:lang w:val="en-US" w:eastAsia="zh-CN"/>
        </w:rPr>
        <w:t>则废活性炭产生量约为</w:t>
      </w:r>
      <w:r>
        <w:rPr>
          <w:rFonts w:hint="eastAsia" w:ascii="Times New Roman" w:hAnsi="Times New Roman" w:cs="Times New Roman"/>
          <w:color w:val="auto"/>
          <w:highlight w:val="none"/>
          <w:lang w:val="en-US" w:eastAsia="zh-CN"/>
        </w:rPr>
        <w:t>3.839</w:t>
      </w:r>
      <w:r>
        <w:rPr>
          <w:rFonts w:hint="default" w:ascii="Times New Roman" w:hAnsi="Times New Roman" w:eastAsia="宋体" w:cs="Times New Roman"/>
          <w:color w:val="auto"/>
          <w:highlight w:val="none"/>
          <w:lang w:val="en-US" w:eastAsia="zh-CN"/>
        </w:rPr>
        <w:t>t/a，</w:t>
      </w:r>
      <w:r>
        <w:rPr>
          <w:rFonts w:hint="eastAsia" w:ascii="Times New Roman" w:hAnsi="Times New Roman" w:cs="Times New Roman"/>
          <w:color w:val="auto"/>
          <w:highlight w:val="none"/>
          <w:lang w:val="en-US" w:eastAsia="zh-CN"/>
        </w:rPr>
        <w:t>0.96</w:t>
      </w:r>
      <w:r>
        <w:rPr>
          <w:rFonts w:hint="default" w:ascii="Times New Roman" w:hAnsi="Times New Roman" w:eastAsia="宋体" w:cs="Times New Roman"/>
          <w:color w:val="auto"/>
          <w:highlight w:val="none"/>
          <w:lang w:val="en-US" w:eastAsia="zh-CN"/>
        </w:rPr>
        <w:t>t/</w:t>
      </w:r>
      <w:r>
        <w:rPr>
          <w:rFonts w:hint="eastAsia" w:ascii="Times New Roman" w:hAnsi="Times New Roman" w:eastAsia="宋体" w:cs="Times New Roman"/>
          <w:color w:val="auto"/>
          <w:highlight w:val="none"/>
          <w:lang w:val="en-US" w:eastAsia="zh-CN"/>
        </w:rPr>
        <w:t>季度，</w:t>
      </w:r>
      <w:r>
        <w:rPr>
          <w:rFonts w:hint="default" w:ascii="Times New Roman" w:hAnsi="Times New Roman" w:eastAsia="宋体" w:cs="Times New Roman"/>
          <w:color w:val="auto"/>
          <w:highlight w:val="none"/>
          <w:lang w:val="en-US" w:eastAsia="zh-CN"/>
        </w:rPr>
        <w:t>废活性炭交由厂家回收处置。</w:t>
      </w:r>
    </w:p>
    <w:p w14:paraId="7AFE1893">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19</w:t>
      </w:r>
      <w:r>
        <w:rPr>
          <w:rFonts w:hint="default" w:ascii="Times New Roman" w:hAnsi="Times New Roman" w:eastAsia="黑体" w:cs="Times New Roman"/>
          <w:b w:val="0"/>
          <w:bCs/>
          <w:smallCaps w:val="0"/>
          <w:snapToGrid/>
          <w:kern w:val="2"/>
          <w:sz w:val="21"/>
          <w:szCs w:val="24"/>
          <w:highlight w:val="none"/>
          <w:lang w:val="en-US" w:eastAsia="zh-CN" w:bidi="ar-SA"/>
        </w:rPr>
        <w:t xml:space="preserve">  固体废弃物源强</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891"/>
        <w:gridCol w:w="1540"/>
        <w:gridCol w:w="940"/>
        <w:gridCol w:w="1341"/>
        <w:gridCol w:w="1038"/>
        <w:gridCol w:w="1611"/>
      </w:tblGrid>
      <w:tr w14:paraId="1B8B9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81" w:type="pct"/>
            <w:vMerge w:val="restart"/>
            <w:vAlign w:val="center"/>
          </w:tcPr>
          <w:p w14:paraId="45FF765A">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工序</w:t>
            </w:r>
          </w:p>
        </w:tc>
        <w:tc>
          <w:tcPr>
            <w:tcW w:w="522" w:type="pct"/>
            <w:vMerge w:val="restart"/>
            <w:vAlign w:val="center"/>
          </w:tcPr>
          <w:p w14:paraId="0D2C9054">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固体废物名称</w:t>
            </w:r>
          </w:p>
        </w:tc>
        <w:tc>
          <w:tcPr>
            <w:tcW w:w="903" w:type="pct"/>
            <w:vMerge w:val="restart"/>
            <w:vAlign w:val="center"/>
          </w:tcPr>
          <w:p w14:paraId="5AC3C42D">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固废属性</w:t>
            </w:r>
          </w:p>
        </w:tc>
        <w:tc>
          <w:tcPr>
            <w:tcW w:w="551" w:type="pct"/>
            <w:vMerge w:val="restart"/>
            <w:vAlign w:val="center"/>
          </w:tcPr>
          <w:p w14:paraId="519A823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p>
          <w:p w14:paraId="31A2E97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1395" w:type="pct"/>
            <w:gridSpan w:val="2"/>
            <w:vAlign w:val="center"/>
          </w:tcPr>
          <w:p w14:paraId="512D240D">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处置措施</w:t>
            </w:r>
          </w:p>
        </w:tc>
        <w:tc>
          <w:tcPr>
            <w:tcW w:w="945" w:type="pct"/>
            <w:vMerge w:val="restart"/>
            <w:vAlign w:val="center"/>
          </w:tcPr>
          <w:p w14:paraId="1C36D27E">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最终去向</w:t>
            </w:r>
          </w:p>
        </w:tc>
      </w:tr>
      <w:tr w14:paraId="0030B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81" w:type="pct"/>
            <w:vMerge w:val="continue"/>
            <w:vAlign w:val="center"/>
          </w:tcPr>
          <w:p w14:paraId="7097690B">
            <w:pPr>
              <w:pStyle w:val="152"/>
              <w:rPr>
                <w:rFonts w:hint="default" w:ascii="Times New Roman" w:hAnsi="Times New Roman" w:eastAsia="宋体" w:cs="Times New Roman"/>
                <w:color w:val="auto"/>
                <w:sz w:val="21"/>
                <w:szCs w:val="21"/>
                <w:highlight w:val="none"/>
              </w:rPr>
            </w:pPr>
          </w:p>
        </w:tc>
        <w:tc>
          <w:tcPr>
            <w:tcW w:w="522" w:type="pct"/>
            <w:vMerge w:val="continue"/>
            <w:vAlign w:val="center"/>
          </w:tcPr>
          <w:p w14:paraId="652EC1C2">
            <w:pPr>
              <w:pStyle w:val="152"/>
              <w:rPr>
                <w:rFonts w:hint="default" w:ascii="Times New Roman" w:hAnsi="Times New Roman" w:eastAsia="宋体" w:cs="Times New Roman"/>
                <w:color w:val="auto"/>
                <w:sz w:val="21"/>
                <w:szCs w:val="21"/>
                <w:highlight w:val="none"/>
              </w:rPr>
            </w:pPr>
          </w:p>
        </w:tc>
        <w:tc>
          <w:tcPr>
            <w:tcW w:w="903" w:type="pct"/>
            <w:vMerge w:val="continue"/>
            <w:vAlign w:val="center"/>
          </w:tcPr>
          <w:p w14:paraId="5D55C7FD">
            <w:pPr>
              <w:pStyle w:val="152"/>
              <w:rPr>
                <w:rFonts w:hint="default" w:ascii="Times New Roman" w:hAnsi="Times New Roman" w:eastAsia="宋体" w:cs="Times New Roman"/>
                <w:color w:val="auto"/>
                <w:sz w:val="21"/>
                <w:szCs w:val="21"/>
                <w:highlight w:val="none"/>
              </w:rPr>
            </w:pPr>
          </w:p>
        </w:tc>
        <w:tc>
          <w:tcPr>
            <w:tcW w:w="551" w:type="pct"/>
            <w:vMerge w:val="continue"/>
            <w:vAlign w:val="center"/>
          </w:tcPr>
          <w:p w14:paraId="316E3387">
            <w:pPr>
              <w:pStyle w:val="152"/>
              <w:rPr>
                <w:rFonts w:hint="default" w:ascii="Times New Roman" w:hAnsi="Times New Roman" w:eastAsia="宋体" w:cs="Times New Roman"/>
                <w:color w:val="auto"/>
                <w:sz w:val="21"/>
                <w:szCs w:val="21"/>
                <w:highlight w:val="none"/>
              </w:rPr>
            </w:pPr>
          </w:p>
        </w:tc>
        <w:tc>
          <w:tcPr>
            <w:tcW w:w="786" w:type="pct"/>
            <w:vAlign w:val="center"/>
          </w:tcPr>
          <w:p w14:paraId="6F28FF4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608" w:type="pct"/>
            <w:vAlign w:val="center"/>
          </w:tcPr>
          <w:p w14:paraId="334C91F7">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处置量（t/a）</w:t>
            </w:r>
          </w:p>
        </w:tc>
        <w:tc>
          <w:tcPr>
            <w:tcW w:w="945" w:type="pct"/>
            <w:vMerge w:val="continue"/>
            <w:vAlign w:val="center"/>
          </w:tcPr>
          <w:p w14:paraId="0241A95D">
            <w:pPr>
              <w:pStyle w:val="152"/>
              <w:rPr>
                <w:rFonts w:hint="default" w:ascii="Times New Roman" w:hAnsi="Times New Roman" w:eastAsia="宋体" w:cs="Times New Roman"/>
                <w:color w:val="auto"/>
                <w:sz w:val="21"/>
                <w:szCs w:val="21"/>
                <w:highlight w:val="none"/>
              </w:rPr>
            </w:pPr>
          </w:p>
        </w:tc>
      </w:tr>
      <w:tr w14:paraId="1FBEF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8" w:hRule="atLeast"/>
          <w:jc w:val="center"/>
        </w:trPr>
        <w:tc>
          <w:tcPr>
            <w:tcW w:w="681" w:type="pct"/>
            <w:vAlign w:val="center"/>
          </w:tcPr>
          <w:p w14:paraId="2EF3B101">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2F4A697B">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猪粪</w:t>
            </w:r>
          </w:p>
        </w:tc>
        <w:tc>
          <w:tcPr>
            <w:tcW w:w="903" w:type="pct"/>
            <w:vAlign w:val="center"/>
          </w:tcPr>
          <w:p w14:paraId="5AF14329">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p w14:paraId="395E37D8">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（类别代码030-001-S8</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p>
        </w:tc>
        <w:tc>
          <w:tcPr>
            <w:tcW w:w="551" w:type="pct"/>
            <w:vAlign w:val="center"/>
          </w:tcPr>
          <w:p w14:paraId="4F7D8CB0">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636.779</w:t>
            </w:r>
          </w:p>
        </w:tc>
        <w:tc>
          <w:tcPr>
            <w:tcW w:w="786" w:type="pct"/>
            <w:vAlign w:val="center"/>
          </w:tcPr>
          <w:p w14:paraId="289E1ACC">
            <w:pPr>
              <w:pStyle w:val="152"/>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lang w:eastAsia="zh-CN"/>
              </w:rPr>
              <w:t>干粪堆积场</w:t>
            </w:r>
            <w:r>
              <w:rPr>
                <w:rFonts w:hint="default" w:ascii="Times New Roman" w:hAnsi="Times New Roman" w:eastAsia="宋体" w:cs="Times New Roman"/>
                <w:color w:val="auto"/>
                <w:sz w:val="21"/>
                <w:szCs w:val="21"/>
                <w:highlight w:val="none"/>
              </w:rPr>
              <w:t>堆肥</w:t>
            </w:r>
          </w:p>
        </w:tc>
        <w:tc>
          <w:tcPr>
            <w:tcW w:w="608" w:type="pct"/>
            <w:vAlign w:val="center"/>
          </w:tcPr>
          <w:p w14:paraId="4EB3C8B5">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636.779</w:t>
            </w:r>
          </w:p>
        </w:tc>
        <w:tc>
          <w:tcPr>
            <w:tcW w:w="945" w:type="pct"/>
            <w:vAlign w:val="center"/>
          </w:tcPr>
          <w:p w14:paraId="38BA4542">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还田</w:t>
            </w:r>
          </w:p>
        </w:tc>
      </w:tr>
      <w:tr w14:paraId="1A5BB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4F68D87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544B2029">
            <w:pPr>
              <w:pStyle w:val="152"/>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动物医疗废物</w:t>
            </w:r>
          </w:p>
        </w:tc>
        <w:tc>
          <w:tcPr>
            <w:tcW w:w="903" w:type="pct"/>
            <w:vAlign w:val="center"/>
          </w:tcPr>
          <w:p w14:paraId="582599DD">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危险废物（HW01-841-001-01）</w:t>
            </w:r>
          </w:p>
        </w:tc>
        <w:tc>
          <w:tcPr>
            <w:tcW w:w="551" w:type="pct"/>
            <w:vAlign w:val="center"/>
          </w:tcPr>
          <w:p w14:paraId="0F033C5C">
            <w:pPr>
              <w:pStyle w:val="152"/>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0.9125</w:t>
            </w:r>
          </w:p>
        </w:tc>
        <w:tc>
          <w:tcPr>
            <w:tcW w:w="786" w:type="pct"/>
            <w:vAlign w:val="center"/>
          </w:tcPr>
          <w:p w14:paraId="53B6762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委托有资质单位处理</w:t>
            </w:r>
          </w:p>
        </w:tc>
        <w:tc>
          <w:tcPr>
            <w:tcW w:w="608" w:type="pct"/>
            <w:vAlign w:val="center"/>
          </w:tcPr>
          <w:p w14:paraId="6A2EFF68">
            <w:pPr>
              <w:pStyle w:val="152"/>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0.9125</w:t>
            </w:r>
          </w:p>
        </w:tc>
        <w:tc>
          <w:tcPr>
            <w:tcW w:w="945" w:type="pct"/>
            <w:vAlign w:val="center"/>
          </w:tcPr>
          <w:p w14:paraId="00E6F50B">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有资质单位处理</w:t>
            </w:r>
          </w:p>
        </w:tc>
      </w:tr>
      <w:tr w14:paraId="190DF9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2CB66EF4">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60C9900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病死猪尸体</w:t>
            </w:r>
          </w:p>
        </w:tc>
        <w:tc>
          <w:tcPr>
            <w:tcW w:w="903" w:type="pct"/>
            <w:vAlign w:val="center"/>
          </w:tcPr>
          <w:p w14:paraId="626A5F0A">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一般固体</w:t>
            </w:r>
          </w:p>
          <w:p w14:paraId="781DD1A2">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（类别代码030-00</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-S8</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p>
        </w:tc>
        <w:tc>
          <w:tcPr>
            <w:tcW w:w="551" w:type="pct"/>
            <w:vAlign w:val="center"/>
          </w:tcPr>
          <w:p w14:paraId="45B1D7AC">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w:t>
            </w:r>
          </w:p>
        </w:tc>
        <w:tc>
          <w:tcPr>
            <w:tcW w:w="786" w:type="pct"/>
            <w:vMerge w:val="restart"/>
            <w:vAlign w:val="center"/>
          </w:tcPr>
          <w:p w14:paraId="3FD3D078">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bidi="ar"/>
              </w:rPr>
              <w:t>病死猪及胎盘冷冻（冰箱）保存后，</w:t>
            </w:r>
            <w:r>
              <w:rPr>
                <w:rFonts w:hint="default" w:ascii="Times New Roman" w:hAnsi="Times New Roman" w:eastAsia="宋体" w:cs="Times New Roman"/>
                <w:color w:val="auto"/>
                <w:sz w:val="21"/>
                <w:szCs w:val="21"/>
                <w:highlight w:val="none"/>
              </w:rPr>
              <w:t>运到收集点暂存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委托有资质单位处理</w:t>
            </w:r>
          </w:p>
        </w:tc>
        <w:tc>
          <w:tcPr>
            <w:tcW w:w="608" w:type="pct"/>
            <w:vAlign w:val="center"/>
          </w:tcPr>
          <w:p w14:paraId="297BB862">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3.2</w:t>
            </w:r>
          </w:p>
        </w:tc>
        <w:tc>
          <w:tcPr>
            <w:tcW w:w="945" w:type="pct"/>
            <w:vMerge w:val="restart"/>
            <w:vAlign w:val="center"/>
          </w:tcPr>
          <w:p w14:paraId="1A02F68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病死猪及胎盘委托</w:t>
            </w:r>
            <w:r>
              <w:rPr>
                <w:rFonts w:hint="default" w:ascii="Times New Roman" w:hAnsi="Times New Roman" w:eastAsia="宋体" w:cs="Times New Roman"/>
                <w:color w:val="auto"/>
                <w:sz w:val="21"/>
                <w:szCs w:val="21"/>
                <w:highlight w:val="none"/>
                <w:lang w:eastAsia="zh-CN"/>
              </w:rPr>
              <w:t>鸡西市鑫农源固废处理有限公司进行无害化集中处理</w:t>
            </w:r>
            <w:r>
              <w:rPr>
                <w:rFonts w:hint="default" w:ascii="Times New Roman" w:hAnsi="Times New Roman" w:eastAsia="宋体" w:cs="Times New Roman"/>
                <w:color w:val="auto"/>
                <w:sz w:val="21"/>
                <w:szCs w:val="21"/>
                <w:highlight w:val="none"/>
              </w:rPr>
              <w:t>（具体协议见附件）</w:t>
            </w:r>
          </w:p>
        </w:tc>
      </w:tr>
      <w:tr w14:paraId="471804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1E7D45D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7A7448D7">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胎盘</w:t>
            </w:r>
          </w:p>
        </w:tc>
        <w:tc>
          <w:tcPr>
            <w:tcW w:w="903" w:type="pct"/>
            <w:vAlign w:val="center"/>
          </w:tcPr>
          <w:p w14:paraId="05387E5F">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p w14:paraId="58AACE39">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（类别代码030-003-S82）</w:t>
            </w:r>
          </w:p>
        </w:tc>
        <w:tc>
          <w:tcPr>
            <w:tcW w:w="551" w:type="pct"/>
            <w:vAlign w:val="center"/>
          </w:tcPr>
          <w:p w14:paraId="288AD670">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4.18</w:t>
            </w:r>
          </w:p>
        </w:tc>
        <w:tc>
          <w:tcPr>
            <w:tcW w:w="786" w:type="pct"/>
            <w:vMerge w:val="continue"/>
            <w:vAlign w:val="center"/>
          </w:tcPr>
          <w:p w14:paraId="376683B4">
            <w:pPr>
              <w:pStyle w:val="152"/>
              <w:rPr>
                <w:rFonts w:hint="default" w:ascii="Times New Roman" w:hAnsi="Times New Roman" w:eastAsia="宋体" w:cs="Times New Roman"/>
                <w:color w:val="auto"/>
                <w:sz w:val="21"/>
                <w:szCs w:val="21"/>
                <w:highlight w:val="none"/>
              </w:rPr>
            </w:pPr>
          </w:p>
        </w:tc>
        <w:tc>
          <w:tcPr>
            <w:tcW w:w="608" w:type="pct"/>
            <w:vAlign w:val="center"/>
          </w:tcPr>
          <w:p w14:paraId="76301AE3">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4.18</w:t>
            </w:r>
          </w:p>
        </w:tc>
        <w:tc>
          <w:tcPr>
            <w:tcW w:w="945" w:type="pct"/>
            <w:vMerge w:val="continue"/>
            <w:vAlign w:val="center"/>
          </w:tcPr>
          <w:p w14:paraId="7C7CE420">
            <w:pPr>
              <w:pStyle w:val="152"/>
              <w:rPr>
                <w:rFonts w:hint="default" w:ascii="Times New Roman" w:hAnsi="Times New Roman" w:eastAsia="宋体" w:cs="Times New Roman"/>
                <w:color w:val="auto"/>
                <w:sz w:val="21"/>
                <w:szCs w:val="21"/>
                <w:highlight w:val="none"/>
              </w:rPr>
            </w:pPr>
          </w:p>
        </w:tc>
      </w:tr>
      <w:tr w14:paraId="5C782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377C6CF6">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职工生活</w:t>
            </w:r>
          </w:p>
        </w:tc>
        <w:tc>
          <w:tcPr>
            <w:tcW w:w="522" w:type="pct"/>
            <w:vAlign w:val="center"/>
          </w:tcPr>
          <w:p w14:paraId="20F82566">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903" w:type="pct"/>
            <w:vAlign w:val="center"/>
          </w:tcPr>
          <w:p w14:paraId="1C2C3F14">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551" w:type="pct"/>
            <w:vAlign w:val="center"/>
          </w:tcPr>
          <w:p w14:paraId="197ECA9D">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2.0075</w:t>
            </w:r>
          </w:p>
        </w:tc>
        <w:tc>
          <w:tcPr>
            <w:tcW w:w="786" w:type="pct"/>
            <w:vAlign w:val="center"/>
          </w:tcPr>
          <w:p w14:paraId="41772142">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由市政环卫部门统一处理</w:t>
            </w:r>
          </w:p>
        </w:tc>
        <w:tc>
          <w:tcPr>
            <w:tcW w:w="608" w:type="pct"/>
            <w:vAlign w:val="center"/>
          </w:tcPr>
          <w:p w14:paraId="0569DC40">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2.0075</w:t>
            </w:r>
          </w:p>
        </w:tc>
        <w:tc>
          <w:tcPr>
            <w:tcW w:w="945" w:type="pct"/>
            <w:vAlign w:val="center"/>
          </w:tcPr>
          <w:p w14:paraId="4B047DCD">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垃圾填埋场</w:t>
            </w:r>
          </w:p>
        </w:tc>
      </w:tr>
      <w:tr w14:paraId="7851D4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681" w:type="pct"/>
            <w:vAlign w:val="center"/>
          </w:tcPr>
          <w:p w14:paraId="29565716">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沼气净化</w:t>
            </w:r>
          </w:p>
        </w:tc>
        <w:tc>
          <w:tcPr>
            <w:tcW w:w="522" w:type="pct"/>
            <w:vAlign w:val="center"/>
          </w:tcPr>
          <w:p w14:paraId="47460551">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废脱硫剂</w:t>
            </w:r>
          </w:p>
        </w:tc>
        <w:tc>
          <w:tcPr>
            <w:tcW w:w="903" w:type="pct"/>
            <w:vAlign w:val="center"/>
          </w:tcPr>
          <w:p w14:paraId="5E1B32DB">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一般固废（类别代码900-099-S59）</w:t>
            </w:r>
          </w:p>
        </w:tc>
        <w:tc>
          <w:tcPr>
            <w:tcW w:w="551" w:type="pct"/>
            <w:vAlign w:val="center"/>
          </w:tcPr>
          <w:p w14:paraId="6E528058">
            <w:pPr>
              <w:pStyle w:val="152"/>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snapToGrid w:val="0"/>
                <w:color w:val="auto"/>
                <w:sz w:val="21"/>
                <w:szCs w:val="21"/>
                <w:highlight w:val="none"/>
                <w:lang w:eastAsia="zh-CN"/>
              </w:rPr>
              <w:t>0.0363</w:t>
            </w:r>
          </w:p>
        </w:tc>
        <w:tc>
          <w:tcPr>
            <w:tcW w:w="786" w:type="pct"/>
            <w:vAlign w:val="center"/>
          </w:tcPr>
          <w:p w14:paraId="4848E70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厂家回收</w:t>
            </w:r>
          </w:p>
        </w:tc>
        <w:tc>
          <w:tcPr>
            <w:tcW w:w="608" w:type="pct"/>
            <w:vAlign w:val="center"/>
          </w:tcPr>
          <w:p w14:paraId="16414F25">
            <w:pPr>
              <w:pStyle w:val="152"/>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snapToGrid w:val="0"/>
                <w:color w:val="auto"/>
                <w:sz w:val="21"/>
                <w:szCs w:val="21"/>
                <w:highlight w:val="none"/>
                <w:lang w:eastAsia="zh-CN"/>
              </w:rPr>
              <w:t>0.0363</w:t>
            </w:r>
          </w:p>
        </w:tc>
        <w:tc>
          <w:tcPr>
            <w:tcW w:w="945" w:type="pct"/>
            <w:vAlign w:val="center"/>
          </w:tcPr>
          <w:p w14:paraId="1ECCAE92">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厂家回收</w:t>
            </w:r>
          </w:p>
        </w:tc>
      </w:tr>
      <w:tr w14:paraId="37348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681" w:type="pct"/>
            <w:vAlign w:val="center"/>
          </w:tcPr>
          <w:p w14:paraId="2DC440AE">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02BC7E98">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沼渣</w:t>
            </w:r>
          </w:p>
        </w:tc>
        <w:tc>
          <w:tcPr>
            <w:tcW w:w="903" w:type="pct"/>
            <w:vAlign w:val="center"/>
          </w:tcPr>
          <w:p w14:paraId="5951A3E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p w14:paraId="61F73AF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（类别代码030-003-S82）</w:t>
            </w:r>
          </w:p>
        </w:tc>
        <w:tc>
          <w:tcPr>
            <w:tcW w:w="551" w:type="pct"/>
            <w:vAlign w:val="center"/>
          </w:tcPr>
          <w:p w14:paraId="179657D9">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356.608</w:t>
            </w:r>
          </w:p>
        </w:tc>
        <w:tc>
          <w:tcPr>
            <w:tcW w:w="786" w:type="pct"/>
            <w:vAlign w:val="center"/>
          </w:tcPr>
          <w:p w14:paraId="53FF78B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干粪堆积场</w:t>
            </w:r>
            <w:r>
              <w:rPr>
                <w:rFonts w:hint="default" w:ascii="Times New Roman" w:hAnsi="Times New Roman" w:eastAsia="宋体" w:cs="Times New Roman"/>
                <w:color w:val="auto"/>
                <w:sz w:val="21"/>
                <w:szCs w:val="21"/>
                <w:highlight w:val="none"/>
              </w:rPr>
              <w:t>堆肥</w:t>
            </w:r>
          </w:p>
        </w:tc>
        <w:tc>
          <w:tcPr>
            <w:tcW w:w="608" w:type="pct"/>
            <w:vAlign w:val="center"/>
          </w:tcPr>
          <w:p w14:paraId="2D0B16D0">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356.608</w:t>
            </w:r>
          </w:p>
        </w:tc>
        <w:tc>
          <w:tcPr>
            <w:tcW w:w="945" w:type="pct"/>
            <w:vAlign w:val="center"/>
          </w:tcPr>
          <w:p w14:paraId="6D4D963B">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堆肥</w:t>
            </w:r>
            <w:r>
              <w:rPr>
                <w:rFonts w:hint="default" w:ascii="Times New Roman" w:hAnsi="Times New Roman" w:eastAsia="宋体" w:cs="Times New Roman"/>
                <w:color w:val="auto"/>
                <w:sz w:val="21"/>
                <w:szCs w:val="21"/>
                <w:highlight w:val="none"/>
              </w:rPr>
              <w:t>还田</w:t>
            </w:r>
          </w:p>
        </w:tc>
      </w:tr>
      <w:tr w14:paraId="32C0E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81" w:type="pct"/>
            <w:vMerge w:val="restart"/>
            <w:vAlign w:val="center"/>
          </w:tcPr>
          <w:p w14:paraId="3B4EAE90">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rPr>
              <w:t>除臭</w:t>
            </w:r>
          </w:p>
        </w:tc>
        <w:tc>
          <w:tcPr>
            <w:tcW w:w="522" w:type="pct"/>
            <w:vAlign w:val="center"/>
          </w:tcPr>
          <w:p w14:paraId="56BE691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rPr>
              <w:t>废除臭剂桶</w:t>
            </w:r>
          </w:p>
        </w:tc>
        <w:tc>
          <w:tcPr>
            <w:tcW w:w="903" w:type="pct"/>
            <w:vAlign w:val="center"/>
          </w:tcPr>
          <w:p w14:paraId="6B0DA9C3">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p w14:paraId="133BE9E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rPr>
              <w:t>类别代码900-099-S59</w:t>
            </w:r>
            <w:r>
              <w:rPr>
                <w:rFonts w:hint="default" w:ascii="Times New Roman" w:hAnsi="Times New Roman" w:eastAsia="宋体" w:cs="Times New Roman"/>
                <w:color w:val="auto"/>
                <w:sz w:val="21"/>
                <w:szCs w:val="21"/>
                <w:highlight w:val="none"/>
              </w:rPr>
              <w:t>）</w:t>
            </w:r>
          </w:p>
        </w:tc>
        <w:tc>
          <w:tcPr>
            <w:tcW w:w="551" w:type="pct"/>
            <w:vAlign w:val="center"/>
          </w:tcPr>
          <w:p w14:paraId="7FEB1BCC">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c>
          <w:tcPr>
            <w:tcW w:w="786" w:type="pct"/>
            <w:vAlign w:val="center"/>
          </w:tcPr>
          <w:p w14:paraId="0C56A11E">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厂家回收</w:t>
            </w:r>
          </w:p>
        </w:tc>
        <w:tc>
          <w:tcPr>
            <w:tcW w:w="608" w:type="pct"/>
            <w:vAlign w:val="center"/>
          </w:tcPr>
          <w:p w14:paraId="1F6A270D">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c>
          <w:tcPr>
            <w:tcW w:w="945" w:type="pct"/>
            <w:vAlign w:val="center"/>
          </w:tcPr>
          <w:p w14:paraId="574FAB48">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厂家回收</w:t>
            </w:r>
          </w:p>
        </w:tc>
      </w:tr>
      <w:tr w14:paraId="6C3F8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81" w:type="pct"/>
            <w:vMerge w:val="continue"/>
            <w:vAlign w:val="center"/>
          </w:tcPr>
          <w:p w14:paraId="5EE4CEC8">
            <w:pPr>
              <w:pStyle w:val="152"/>
              <w:rPr>
                <w:rFonts w:hint="default" w:ascii="Times New Roman" w:hAnsi="Times New Roman" w:eastAsia="宋体" w:cs="Times New Roman"/>
                <w:color w:val="auto"/>
                <w:sz w:val="21"/>
                <w:szCs w:val="21"/>
                <w:highlight w:val="none"/>
                <w:lang w:val="en-US"/>
              </w:rPr>
            </w:pPr>
            <w:bookmarkStart w:id="505" w:name="_Toc8703"/>
            <w:bookmarkStart w:id="506" w:name="_Toc24859"/>
          </w:p>
        </w:tc>
        <w:tc>
          <w:tcPr>
            <w:tcW w:w="522" w:type="pct"/>
            <w:vAlign w:val="center"/>
          </w:tcPr>
          <w:p w14:paraId="05FB291E">
            <w:pPr>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废活性炭</w:t>
            </w:r>
          </w:p>
        </w:tc>
        <w:tc>
          <w:tcPr>
            <w:tcW w:w="903" w:type="pct"/>
            <w:vAlign w:val="center"/>
          </w:tcPr>
          <w:p w14:paraId="59A24F8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3FA5277F">
            <w:pPr>
              <w:spacing w:line="30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en-US" w:eastAsia="zh-CN" w:bidi="ar-SA"/>
              </w:rPr>
              <w:t>类别代码030-003-S82</w:t>
            </w:r>
            <w:r>
              <w:rPr>
                <w:rFonts w:hint="default" w:ascii="Times New Roman" w:hAnsi="Times New Roman" w:eastAsia="宋体" w:cs="Times New Roman"/>
                <w:color w:val="auto"/>
                <w:kern w:val="0"/>
                <w:sz w:val="21"/>
                <w:szCs w:val="21"/>
                <w:highlight w:val="none"/>
                <w:lang w:val="zh-CN" w:eastAsia="zh-CN" w:bidi="ar-SA"/>
              </w:rPr>
              <w:t>）</w:t>
            </w:r>
          </w:p>
        </w:tc>
        <w:tc>
          <w:tcPr>
            <w:tcW w:w="551" w:type="pct"/>
            <w:vAlign w:val="center"/>
          </w:tcPr>
          <w:p w14:paraId="1E7CD59D">
            <w:pPr>
              <w:pStyle w:val="152"/>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0.96</w:t>
            </w:r>
            <w:r>
              <w:rPr>
                <w:rFonts w:hint="default" w:ascii="Times New Roman" w:hAnsi="Times New Roman" w:eastAsia="宋体" w:cs="Times New Roman"/>
                <w:color w:val="auto"/>
                <w:sz w:val="21"/>
                <w:szCs w:val="21"/>
                <w:highlight w:val="none"/>
                <w:lang w:val="en-US" w:eastAsia="zh-CN"/>
              </w:rPr>
              <w:t>t/季度</w:t>
            </w:r>
          </w:p>
        </w:tc>
        <w:tc>
          <w:tcPr>
            <w:tcW w:w="786" w:type="pct"/>
            <w:vAlign w:val="center"/>
          </w:tcPr>
          <w:p w14:paraId="051C41C0">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厂家回收</w:t>
            </w:r>
          </w:p>
        </w:tc>
        <w:tc>
          <w:tcPr>
            <w:tcW w:w="608" w:type="pct"/>
            <w:vAlign w:val="center"/>
          </w:tcPr>
          <w:p w14:paraId="29398A0A">
            <w:pPr>
              <w:pStyle w:val="152"/>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0.96</w:t>
            </w:r>
            <w:r>
              <w:rPr>
                <w:rFonts w:hint="default" w:ascii="Times New Roman" w:hAnsi="Times New Roman" w:eastAsia="宋体" w:cs="Times New Roman"/>
                <w:color w:val="auto"/>
                <w:sz w:val="21"/>
                <w:szCs w:val="21"/>
                <w:highlight w:val="none"/>
                <w:lang w:val="en-US" w:eastAsia="zh-CN"/>
              </w:rPr>
              <w:t>t/季度</w:t>
            </w:r>
          </w:p>
        </w:tc>
        <w:tc>
          <w:tcPr>
            <w:tcW w:w="945" w:type="pct"/>
            <w:vAlign w:val="center"/>
          </w:tcPr>
          <w:p w14:paraId="7DA6E6F7">
            <w:pPr>
              <w:spacing w:line="30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zh-CN" w:eastAsia="zh-CN" w:bidi="ar-SA"/>
              </w:rPr>
              <w:t>厂家回收</w:t>
            </w:r>
          </w:p>
        </w:tc>
      </w:tr>
    </w:tbl>
    <w:p w14:paraId="683929EC">
      <w:pPr>
        <w:pStyle w:val="8"/>
        <w:bidi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default"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.2.5地下水</w:t>
      </w:r>
      <w:bookmarkEnd w:id="505"/>
      <w:bookmarkEnd w:id="506"/>
    </w:p>
    <w:p w14:paraId="49CE1F24">
      <w:pPr>
        <w:widowControl w:val="0"/>
        <w:adjustRightInd w:val="0"/>
        <w:snapToGrid w:val="0"/>
        <w:spacing w:line="480" w:lineRule="exact"/>
        <w:ind w:firstLine="480" w:firstLineChars="200"/>
        <w:jc w:val="left"/>
        <w:rPr>
          <w:rFonts w:hint="default" w:ascii="Times New Roman" w:hAnsi="Times New Roman" w:eastAsia="宋体" w:cs="Times New Roman"/>
          <w:color w:val="auto"/>
          <w:kern w:val="0"/>
          <w:sz w:val="24"/>
          <w:szCs w:val="32"/>
          <w:highlight w:val="none"/>
          <w:lang w:val="en-US" w:eastAsia="zh-CN" w:bidi="ar-SA"/>
        </w:rPr>
      </w:pPr>
      <w:bookmarkStart w:id="507" w:name="_Toc438119590"/>
      <w:bookmarkStart w:id="508" w:name="_Toc469426613"/>
      <w:r>
        <w:rPr>
          <w:rFonts w:hint="default" w:ascii="Times New Roman" w:hAnsi="Times New Roman" w:eastAsia="宋体" w:cs="Times New Roman"/>
          <w:color w:val="auto"/>
          <w:kern w:val="0"/>
          <w:sz w:val="24"/>
          <w:szCs w:val="32"/>
          <w:highlight w:val="none"/>
          <w:lang w:val="en-US" w:eastAsia="zh-CN" w:bidi="ar-SA"/>
        </w:rPr>
        <w:t>本项目</w:t>
      </w:r>
      <w:r>
        <w:rPr>
          <w:rFonts w:hint="eastAsia" w:ascii="Times New Roman" w:hAnsi="Times New Roman" w:eastAsia="宋体" w:cs="Times New Roman"/>
          <w:color w:val="auto"/>
          <w:kern w:val="0"/>
          <w:sz w:val="24"/>
          <w:szCs w:val="32"/>
          <w:highlight w:val="none"/>
          <w:lang w:val="en-US" w:eastAsia="zh-CN" w:bidi="ar-SA"/>
        </w:rPr>
        <w:t>黑膜厌氧池</w:t>
      </w:r>
      <w:r>
        <w:rPr>
          <w:rFonts w:hint="default" w:ascii="Times New Roman" w:hAnsi="Times New Roman" w:eastAsia="宋体" w:cs="Times New Roman"/>
          <w:color w:val="auto"/>
          <w:kern w:val="0"/>
          <w:sz w:val="24"/>
          <w:szCs w:val="32"/>
          <w:highlight w:val="none"/>
          <w:lang w:val="en-US" w:eastAsia="zh-CN" w:bidi="ar-SA"/>
        </w:rPr>
        <w:t>渗漏对地下水产生影响的影响最大，在达到防渗要求时正常运营状态下不会有污水渗漏，当因防渗膜破裂等突发情况和非正常状况下可能造成污水渗漏，本项目针对非正常状况下进行地下水环境影响预测。</w:t>
      </w:r>
    </w:p>
    <w:p w14:paraId="5414ABE9">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结合项目的特点，本项目</w:t>
      </w:r>
      <w:r>
        <w:rPr>
          <w:rFonts w:hint="default" w:ascii="Times New Roman" w:hAnsi="Times New Roman" w:eastAsia="宋体" w:cs="Times New Roman"/>
          <w:color w:val="auto"/>
          <w:highlight w:val="none"/>
          <w:lang w:eastAsia="zh-CN"/>
        </w:rPr>
        <w:t>黑膜厌氧池</w:t>
      </w:r>
      <w:r>
        <w:rPr>
          <w:rFonts w:hint="default" w:ascii="Times New Roman" w:hAnsi="Times New Roman" w:eastAsia="宋体" w:cs="Times New Roman"/>
          <w:color w:val="auto"/>
          <w:highlight w:val="none"/>
        </w:rPr>
        <w:t>为</w:t>
      </w:r>
      <w:r>
        <w:rPr>
          <w:rFonts w:hint="eastAsia" w:ascii="Times New Roman" w:hAnsi="Times New Roman" w:cs="Times New Roman"/>
          <w:color w:val="auto"/>
          <w:highlight w:val="none"/>
          <w:lang w:eastAsia="zh-CN"/>
        </w:rPr>
        <w:t>13000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，如泄漏对地下水影响最大，从最大风险原则考虑，非正常状况下为</w:t>
      </w:r>
      <w:r>
        <w:rPr>
          <w:rFonts w:hint="default" w:ascii="Times New Roman" w:hAnsi="Times New Roman" w:eastAsia="宋体" w:cs="Times New Roman"/>
          <w:color w:val="auto"/>
          <w:highlight w:val="none"/>
          <w:lang w:eastAsia="zh-CN"/>
        </w:rPr>
        <w:t>黑膜厌氧池</w:t>
      </w:r>
      <w:r>
        <w:rPr>
          <w:rFonts w:hint="default" w:ascii="Times New Roman" w:hAnsi="Times New Roman" w:eastAsia="宋体" w:cs="Times New Roman"/>
          <w:color w:val="auto"/>
          <w:highlight w:val="none"/>
        </w:rPr>
        <w:t>贮存池体破裂和防渗层同时破裂时污水泄漏对地下水水质造成影响。根据《给排水构筑物工程施工及验收规范》，水池允许最大渗水量按池壁和池底浸湿面积计算，钢筋混凝土结构水池渗漏量不得超过2L/（m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w:t>
      </w:r>
    </w:p>
    <w:p w14:paraId="6938C9C1">
      <w:pPr>
        <w:spacing w:line="360" w:lineRule="auto"/>
        <w:ind w:firstLine="480" w:firstLineChars="200"/>
        <w:jc w:val="both"/>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highlight w:val="none"/>
          <w:lang w:eastAsia="zh-CN"/>
        </w:rPr>
        <w:t>黑膜厌氧池</w:t>
      </w:r>
      <w:r>
        <w:rPr>
          <w:rFonts w:hint="default" w:ascii="Times New Roman" w:hAnsi="Times New Roman" w:eastAsia="宋体" w:cs="Times New Roman"/>
          <w:color w:val="auto"/>
          <w:highlight w:val="none"/>
        </w:rPr>
        <w:t>为立方体，渗漏面积为：池底面积+池壁面积=</w:t>
      </w:r>
      <w:r>
        <w:rPr>
          <w:rFonts w:hint="default" w:ascii="Times New Roman" w:hAnsi="Times New Roman" w:eastAsia="宋体" w:cs="Times New Roman"/>
          <w:color w:val="auto"/>
          <w:sz w:val="24"/>
          <w:highlight w:val="none"/>
        </w:rPr>
        <w:t>L×B+2×B×H+2×L×H=</w:t>
      </w:r>
      <w:r>
        <w:rPr>
          <w:rFonts w:hint="eastAsia" w:ascii="Times New Roman" w:hAnsi="Times New Roman" w:cs="Times New Roman"/>
          <w:color w:val="auto"/>
          <w:szCs w:val="21"/>
          <w:highlight w:val="none"/>
          <w:lang w:val="en-US" w:eastAsia="zh-CN"/>
        </w:rPr>
        <w:t>3008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每日的最大允许污水渗透量Q计算如下：渗漏量=渗漏面积×渗漏强度=2L/（m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w:t>
      </w:r>
      <w:r>
        <w:rPr>
          <w:rFonts w:hint="eastAsia" w:ascii="Times New Roman" w:hAnsi="Times New Roman" w:cs="Times New Roman"/>
          <w:color w:val="auto"/>
          <w:szCs w:val="21"/>
          <w:highlight w:val="none"/>
          <w:lang w:val="en-US" w:eastAsia="zh-CN"/>
        </w:rPr>
        <w:t>3008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eastAsia" w:ascii="Times New Roman" w:hAnsi="Times New Roman" w:cs="Times New Roman"/>
          <w:color w:val="auto"/>
          <w:sz w:val="24"/>
          <w:highlight w:val="none"/>
          <w:lang w:val="en-US" w:eastAsia="zh-CN"/>
        </w:rPr>
        <w:t>6016</w:t>
      </w:r>
      <w:r>
        <w:rPr>
          <w:rFonts w:hint="default" w:ascii="Times New Roman" w:hAnsi="Times New Roman" w:eastAsia="宋体" w:cs="Times New Roman"/>
          <w:color w:val="auto"/>
          <w:highlight w:val="none"/>
        </w:rPr>
        <w:t>L/d，</w:t>
      </w:r>
      <w:r>
        <w:rPr>
          <w:rFonts w:hint="default" w:ascii="Times New Roman" w:hAnsi="Times New Roman" w:eastAsia="宋体" w:cs="Times New Roman"/>
          <w:color w:val="auto"/>
          <w:kern w:val="0"/>
          <w:sz w:val="24"/>
          <w:szCs w:val="20"/>
          <w:highlight w:val="none"/>
          <w:lang w:val="en-US" w:eastAsia="zh-CN" w:bidi="ar-SA"/>
        </w:rPr>
        <w:t>本次非正常状况下的污染源强按正常状态下的10倍计算，则</w:t>
      </w:r>
      <w:bookmarkStart w:id="509" w:name="_Hlk1288343"/>
      <w:r>
        <w:rPr>
          <w:rFonts w:hint="default" w:ascii="Times New Roman" w:hAnsi="Times New Roman" w:eastAsia="宋体" w:cs="Times New Roman"/>
          <w:color w:val="auto"/>
          <w:kern w:val="0"/>
          <w:sz w:val="24"/>
          <w:szCs w:val="20"/>
          <w:highlight w:val="none"/>
          <w:lang w:val="en-US" w:eastAsia="zh-CN" w:bidi="ar-SA"/>
        </w:rPr>
        <w:t>非正常状况下源强</w:t>
      </w:r>
      <w:bookmarkEnd w:id="509"/>
      <w:r>
        <w:rPr>
          <w:rFonts w:hint="default" w:ascii="Times New Roman" w:hAnsi="Times New Roman" w:eastAsia="宋体" w:cs="Times New Roman"/>
          <w:color w:val="auto"/>
          <w:kern w:val="0"/>
          <w:sz w:val="24"/>
          <w:szCs w:val="20"/>
          <w:highlight w:val="none"/>
          <w:lang w:val="en-US" w:eastAsia="zh-CN" w:bidi="ar-SA"/>
        </w:rPr>
        <w:t>如下表所示：</w:t>
      </w:r>
    </w:p>
    <w:p w14:paraId="10EA7101">
      <w:pPr>
        <w:widowControl w:val="0"/>
        <w:adjustRightInd/>
        <w:snapToGrid/>
        <w:ind w:firstLine="0" w:firstLineChars="0"/>
        <w:jc w:val="center"/>
        <w:rPr>
          <w:rFonts w:hint="default" w:ascii="Times New Roman" w:hAnsi="Times New Roman" w:eastAsia="宋体" w:cs="Times New Roman"/>
          <w:b/>
          <w:bCs/>
          <w:color w:val="auto"/>
          <w:kern w:val="2"/>
          <w:sz w:val="24"/>
          <w:highlight w:val="none"/>
          <w:lang w:val="zh-CN"/>
        </w:rPr>
      </w:pPr>
      <w:r>
        <w:rPr>
          <w:rFonts w:hint="default" w:ascii="Times New Roman" w:hAnsi="Times New Roman" w:eastAsia="黑体" w:cs="Times New Roman"/>
          <w:b w:val="0"/>
          <w:bCs/>
          <w:smallCaps w:val="0"/>
          <w:snapToGrid/>
          <w:kern w:val="2"/>
          <w:sz w:val="21"/>
          <w:szCs w:val="24"/>
          <w:highlight w:val="none"/>
          <w:lang w:val="zh-CN" w:eastAsia="zh-CN" w:bidi="ar-SA"/>
        </w:rPr>
        <w:t>表</w:t>
      </w:r>
      <w:r>
        <w:rPr>
          <w:rFonts w:hint="default" w:ascii="Times New Roman" w:hAnsi="Times New Roman" w:eastAsia="黑体" w:cs="Times New Roman"/>
          <w:b w:val="0"/>
          <w:bCs/>
          <w:smallCaps w:val="0"/>
          <w:snapToGrid/>
          <w:kern w:val="2"/>
          <w:sz w:val="21"/>
          <w:szCs w:val="24"/>
          <w:highlight w:val="none"/>
          <w:lang w:val="en-US" w:eastAsia="zh-CN" w:bidi="ar-SA"/>
        </w:rPr>
        <w:t>3.5-2</w:t>
      </w:r>
      <w:r>
        <w:rPr>
          <w:rFonts w:hint="eastAsia" w:ascii="Times New Roman" w:hAnsi="Times New Roman" w:eastAsia="黑体" w:cs="Times New Roman"/>
          <w:b w:val="0"/>
          <w:bCs/>
          <w:smallCaps w:val="0"/>
          <w:snapToGrid/>
          <w:kern w:val="2"/>
          <w:sz w:val="21"/>
          <w:szCs w:val="24"/>
          <w:highlight w:val="none"/>
          <w:lang w:val="en-US" w:eastAsia="zh-CN" w:bidi="ar-SA"/>
        </w:rPr>
        <w:t>0</w:t>
      </w:r>
      <w:r>
        <w:rPr>
          <w:rFonts w:hint="default" w:ascii="Times New Roman" w:hAnsi="Times New Roman" w:eastAsia="黑体" w:cs="Times New Roman"/>
          <w:b w:val="0"/>
          <w:bCs/>
          <w:smallCaps w:val="0"/>
          <w:snapToGrid/>
          <w:kern w:val="2"/>
          <w:sz w:val="21"/>
          <w:szCs w:val="24"/>
          <w:highlight w:val="none"/>
          <w:lang w:val="zh-CN" w:eastAsia="zh-CN" w:bidi="ar-SA"/>
        </w:rPr>
        <w:t>正常及非正常状况下源强排放情况一览表</w:t>
      </w:r>
    </w:p>
    <w:tbl>
      <w:tblPr>
        <w:tblStyle w:val="4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1071"/>
        <w:gridCol w:w="1177"/>
        <w:gridCol w:w="1369"/>
        <w:gridCol w:w="986"/>
        <w:gridCol w:w="1132"/>
        <w:gridCol w:w="1510"/>
      </w:tblGrid>
      <w:tr w14:paraId="47131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9" w:type="pct"/>
            <w:noWrap w:val="0"/>
            <w:vAlign w:val="center"/>
          </w:tcPr>
          <w:p w14:paraId="42FDD398">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工况</w:t>
            </w:r>
          </w:p>
        </w:tc>
        <w:tc>
          <w:tcPr>
            <w:tcW w:w="628" w:type="pct"/>
            <w:noWrap w:val="0"/>
            <w:vAlign w:val="center"/>
          </w:tcPr>
          <w:p w14:paraId="74F2CAC3">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预测因子</w:t>
            </w:r>
          </w:p>
        </w:tc>
        <w:tc>
          <w:tcPr>
            <w:tcW w:w="690" w:type="pct"/>
            <w:noWrap w:val="0"/>
            <w:vAlign w:val="center"/>
          </w:tcPr>
          <w:p w14:paraId="1325398E">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渗漏面积（m</w:t>
            </w:r>
            <w:r>
              <w:rPr>
                <w:rFonts w:hint="default" w:ascii="Times New Roman" w:hAnsi="Times New Roman" w:eastAsia="宋体" w:cs="Times New Roman"/>
                <w:snapToGrid w:val="0"/>
                <w:color w:val="auto"/>
                <w:kern w:val="2"/>
                <w:sz w:val="21"/>
                <w:szCs w:val="21"/>
                <w:highlight w:val="none"/>
                <w:vertAlign w:val="superscript"/>
                <w:lang w:val="zh-CN"/>
              </w:rPr>
              <w:t>2</w:t>
            </w:r>
            <w:r>
              <w:rPr>
                <w:rFonts w:hint="default" w:ascii="Times New Roman" w:hAnsi="Times New Roman" w:eastAsia="宋体" w:cs="Times New Roman"/>
                <w:snapToGrid w:val="0"/>
                <w:color w:val="auto"/>
                <w:kern w:val="2"/>
                <w:sz w:val="21"/>
                <w:szCs w:val="21"/>
                <w:highlight w:val="none"/>
                <w:lang w:val="zh-CN"/>
              </w:rPr>
              <w:t>）</w:t>
            </w:r>
          </w:p>
        </w:tc>
        <w:tc>
          <w:tcPr>
            <w:tcW w:w="803" w:type="pct"/>
            <w:noWrap w:val="0"/>
            <w:vAlign w:val="center"/>
          </w:tcPr>
          <w:p w14:paraId="0C55AAC2">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渗漏强度（L/m</w:t>
            </w:r>
            <w:r>
              <w:rPr>
                <w:rFonts w:hint="default" w:ascii="Times New Roman" w:hAnsi="Times New Roman" w:eastAsia="宋体" w:cs="Times New Roman"/>
                <w:snapToGrid w:val="0"/>
                <w:color w:val="auto"/>
                <w:kern w:val="2"/>
                <w:sz w:val="21"/>
                <w:szCs w:val="21"/>
                <w:highlight w:val="none"/>
                <w:vertAlign w:val="superscript"/>
                <w:lang w:val="zh-CN"/>
              </w:rPr>
              <w:t>2</w:t>
            </w:r>
            <w:r>
              <w:rPr>
                <w:rFonts w:hint="default" w:ascii="Times New Roman" w:hAnsi="Times New Roman" w:eastAsia="宋体" w:cs="Times New Roman"/>
                <w:snapToGrid w:val="0"/>
                <w:color w:val="auto"/>
                <w:kern w:val="2"/>
                <w:sz w:val="21"/>
                <w:szCs w:val="21"/>
                <w:highlight w:val="none"/>
                <w:lang w:val="zh-CN"/>
              </w:rPr>
              <w:t>﹒d）</w:t>
            </w:r>
          </w:p>
        </w:tc>
        <w:tc>
          <w:tcPr>
            <w:tcW w:w="578" w:type="pct"/>
            <w:noWrap w:val="0"/>
            <w:vAlign w:val="center"/>
          </w:tcPr>
          <w:p w14:paraId="08168678">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渗漏量（L/d）</w:t>
            </w:r>
          </w:p>
        </w:tc>
        <w:tc>
          <w:tcPr>
            <w:tcW w:w="664" w:type="pct"/>
            <w:noWrap w:val="0"/>
            <w:vAlign w:val="center"/>
          </w:tcPr>
          <w:p w14:paraId="4AFDDB2F">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浓度（mg/L）</w:t>
            </w:r>
          </w:p>
        </w:tc>
        <w:tc>
          <w:tcPr>
            <w:tcW w:w="885" w:type="pct"/>
            <w:noWrap w:val="0"/>
            <w:vAlign w:val="center"/>
          </w:tcPr>
          <w:p w14:paraId="266A4336">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污染物质量（kg/d）</w:t>
            </w:r>
          </w:p>
        </w:tc>
      </w:tr>
      <w:tr w14:paraId="6B3BD7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9" w:type="pct"/>
            <w:vMerge w:val="restart"/>
            <w:noWrap w:val="0"/>
            <w:vAlign w:val="center"/>
          </w:tcPr>
          <w:p w14:paraId="549782EC">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正常工况</w:t>
            </w:r>
          </w:p>
        </w:tc>
        <w:tc>
          <w:tcPr>
            <w:tcW w:w="628" w:type="pct"/>
            <w:noWrap w:val="0"/>
            <w:vAlign w:val="center"/>
          </w:tcPr>
          <w:p w14:paraId="3527AFC7">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color w:val="auto"/>
                <w:kern w:val="2"/>
                <w:sz w:val="21"/>
                <w:szCs w:val="21"/>
                <w:highlight w:val="none"/>
              </w:rPr>
              <w:t>COD</w:t>
            </w:r>
          </w:p>
        </w:tc>
        <w:tc>
          <w:tcPr>
            <w:tcW w:w="690" w:type="pct"/>
            <w:vMerge w:val="restart"/>
            <w:noWrap w:val="0"/>
            <w:vAlign w:val="center"/>
          </w:tcPr>
          <w:p w14:paraId="5D15A561">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ascii="Times New Roman" w:hAnsi="Times New Roman" w:eastAsia="宋体" w:cs="Times New Roman"/>
                <w:color w:val="auto"/>
                <w:kern w:val="0"/>
                <w:sz w:val="20"/>
                <w:szCs w:val="20"/>
                <w:highlight w:val="none"/>
                <w:lang w:val="en-US" w:eastAsia="zh-CN" w:bidi="ar-SA"/>
              </w:rPr>
              <w:t>3008</w:t>
            </w:r>
          </w:p>
        </w:tc>
        <w:tc>
          <w:tcPr>
            <w:tcW w:w="803" w:type="pct"/>
            <w:vMerge w:val="restart"/>
            <w:noWrap w:val="0"/>
            <w:vAlign w:val="center"/>
          </w:tcPr>
          <w:p w14:paraId="1575DCB2">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2</w:t>
            </w:r>
          </w:p>
        </w:tc>
        <w:tc>
          <w:tcPr>
            <w:tcW w:w="578" w:type="pct"/>
            <w:vMerge w:val="restart"/>
            <w:noWrap w:val="0"/>
            <w:vAlign w:val="center"/>
          </w:tcPr>
          <w:p w14:paraId="1A31E19A">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en-US"/>
              </w:rPr>
            </w:pPr>
            <w:r>
              <w:rPr>
                <w:rFonts w:hint="eastAsia" w:ascii="Times New Roman" w:hAnsi="Times New Roman" w:eastAsia="宋体" w:cs="Times New Roman"/>
                <w:color w:val="auto"/>
                <w:kern w:val="2"/>
                <w:sz w:val="21"/>
                <w:szCs w:val="21"/>
                <w:highlight w:val="none"/>
                <w:lang w:val="en-US" w:eastAsia="zh-CN"/>
              </w:rPr>
              <w:t>6016</w:t>
            </w:r>
          </w:p>
        </w:tc>
        <w:tc>
          <w:tcPr>
            <w:tcW w:w="1132" w:type="dxa"/>
            <w:noWrap w:val="0"/>
            <w:vAlign w:val="center"/>
          </w:tcPr>
          <w:p w14:paraId="2408E94A">
            <w:pPr>
              <w:pStyle w:val="152"/>
              <w:ind w:left="0" w:leftChars="0" w:firstLine="0" w:firstLineChars="0"/>
              <w:rPr>
                <w:rFonts w:hint="default" w:ascii="Times New Roman" w:hAnsi="Times New Roman" w:eastAsia="宋体" w:cs="Times New Roman"/>
                <w:snapToGrid w:val="0"/>
                <w:color w:val="auto"/>
                <w:kern w:val="2"/>
                <w:sz w:val="21"/>
                <w:szCs w:val="21"/>
                <w:highlight w:val="none"/>
                <w:lang w:val="zh-CN"/>
              </w:rPr>
            </w:pPr>
            <w:r>
              <w:rPr>
                <w:rFonts w:hint="eastAsia" w:ascii="Times New Roman" w:hAnsi="Times New Roman" w:cs="Times New Roman"/>
                <w:color w:val="auto"/>
                <w:highlight w:val="none"/>
                <w:lang w:val="en-US" w:eastAsia="zh-CN"/>
              </w:rPr>
              <w:t>2640</w:t>
            </w:r>
          </w:p>
        </w:tc>
        <w:tc>
          <w:tcPr>
            <w:tcW w:w="885" w:type="pct"/>
            <w:noWrap w:val="0"/>
            <w:vAlign w:val="center"/>
          </w:tcPr>
          <w:p w14:paraId="02D0124D">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rPr>
            </w:pPr>
            <w:r>
              <w:rPr>
                <w:rFonts w:hint="eastAsia" w:ascii="Times New Roman" w:hAnsi="Times New Roman" w:eastAsia="宋体" w:cs="Times New Roman"/>
                <w:snapToGrid w:val="0"/>
                <w:color w:val="auto"/>
                <w:kern w:val="2"/>
                <w:sz w:val="21"/>
                <w:szCs w:val="21"/>
                <w:highlight w:val="none"/>
                <w:lang w:val="en-US" w:eastAsia="zh-CN"/>
              </w:rPr>
              <w:t>15.88</w:t>
            </w:r>
          </w:p>
        </w:tc>
      </w:tr>
      <w:tr w14:paraId="415A57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49" w:type="pct"/>
            <w:vMerge w:val="continue"/>
            <w:noWrap w:val="0"/>
            <w:vAlign w:val="center"/>
          </w:tcPr>
          <w:p w14:paraId="38293F1C">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p>
        </w:tc>
        <w:tc>
          <w:tcPr>
            <w:tcW w:w="628" w:type="pct"/>
            <w:noWrap w:val="0"/>
            <w:vAlign w:val="center"/>
          </w:tcPr>
          <w:p w14:paraId="656B3F0F">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color w:val="auto"/>
                <w:kern w:val="2"/>
                <w:sz w:val="21"/>
                <w:szCs w:val="21"/>
                <w:highlight w:val="none"/>
              </w:rPr>
              <w:t>氨氮</w:t>
            </w:r>
          </w:p>
        </w:tc>
        <w:tc>
          <w:tcPr>
            <w:tcW w:w="690" w:type="pct"/>
            <w:vMerge w:val="continue"/>
            <w:noWrap w:val="0"/>
            <w:vAlign w:val="center"/>
          </w:tcPr>
          <w:p w14:paraId="4E6711D1">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803" w:type="pct"/>
            <w:vMerge w:val="continue"/>
            <w:noWrap w:val="0"/>
            <w:vAlign w:val="center"/>
          </w:tcPr>
          <w:p w14:paraId="0BCDF15D">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578" w:type="pct"/>
            <w:vMerge w:val="continue"/>
            <w:noWrap w:val="0"/>
            <w:vAlign w:val="center"/>
          </w:tcPr>
          <w:p w14:paraId="4B275805">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1132" w:type="dxa"/>
            <w:noWrap w:val="0"/>
            <w:vAlign w:val="center"/>
          </w:tcPr>
          <w:p w14:paraId="37811947">
            <w:pPr>
              <w:pStyle w:val="152"/>
              <w:ind w:left="0" w:leftChars="0" w:firstLine="0" w:firstLineChars="0"/>
              <w:rPr>
                <w:rFonts w:hint="default" w:ascii="Times New Roman" w:hAnsi="Times New Roman" w:eastAsia="宋体" w:cs="Times New Roman"/>
                <w:snapToGrid w:val="0"/>
                <w:color w:val="auto"/>
                <w:kern w:val="2"/>
                <w:sz w:val="21"/>
                <w:szCs w:val="21"/>
                <w:highlight w:val="none"/>
                <w:lang w:val="zh-CN"/>
              </w:rPr>
            </w:pPr>
            <w:r>
              <w:rPr>
                <w:rFonts w:hint="eastAsia" w:ascii="Times New Roman" w:hAnsi="Times New Roman" w:cs="Times New Roman"/>
                <w:color w:val="auto"/>
                <w:highlight w:val="none"/>
                <w:lang w:val="en-US" w:eastAsia="zh-CN"/>
              </w:rPr>
              <w:t>261</w:t>
            </w:r>
          </w:p>
        </w:tc>
        <w:tc>
          <w:tcPr>
            <w:tcW w:w="885" w:type="pct"/>
            <w:noWrap w:val="0"/>
            <w:vAlign w:val="center"/>
          </w:tcPr>
          <w:p w14:paraId="5382B0D9">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rPr>
            </w:pPr>
            <w:r>
              <w:rPr>
                <w:rFonts w:hint="eastAsia" w:ascii="Times New Roman" w:hAnsi="Times New Roman" w:eastAsia="宋体" w:cs="Times New Roman"/>
                <w:snapToGrid w:val="0"/>
                <w:color w:val="auto"/>
                <w:kern w:val="2"/>
                <w:sz w:val="21"/>
                <w:szCs w:val="21"/>
                <w:highlight w:val="none"/>
                <w:lang w:val="en-US" w:eastAsia="zh-CN"/>
              </w:rPr>
              <w:t>1.57</w:t>
            </w:r>
          </w:p>
        </w:tc>
      </w:tr>
      <w:tr w14:paraId="3F387A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49" w:type="pct"/>
            <w:vMerge w:val="continue"/>
            <w:noWrap w:val="0"/>
            <w:vAlign w:val="center"/>
          </w:tcPr>
          <w:p w14:paraId="5E975548">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p>
        </w:tc>
        <w:tc>
          <w:tcPr>
            <w:tcW w:w="628" w:type="pct"/>
            <w:noWrap w:val="0"/>
            <w:vAlign w:val="center"/>
          </w:tcPr>
          <w:p w14:paraId="6626ED6C">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color w:val="auto"/>
                <w:kern w:val="2"/>
                <w:sz w:val="21"/>
                <w:szCs w:val="21"/>
                <w:highlight w:val="none"/>
              </w:rPr>
              <w:t>TN</w:t>
            </w:r>
          </w:p>
        </w:tc>
        <w:tc>
          <w:tcPr>
            <w:tcW w:w="690" w:type="pct"/>
            <w:vMerge w:val="continue"/>
            <w:noWrap w:val="0"/>
            <w:vAlign w:val="center"/>
          </w:tcPr>
          <w:p w14:paraId="79072BDF">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803" w:type="pct"/>
            <w:vMerge w:val="continue"/>
            <w:noWrap w:val="0"/>
            <w:vAlign w:val="center"/>
          </w:tcPr>
          <w:p w14:paraId="3CEEAED6">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578" w:type="pct"/>
            <w:vMerge w:val="continue"/>
            <w:noWrap w:val="0"/>
            <w:vAlign w:val="center"/>
          </w:tcPr>
          <w:p w14:paraId="759F0537">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1132" w:type="dxa"/>
            <w:noWrap w:val="0"/>
            <w:vAlign w:val="center"/>
          </w:tcPr>
          <w:p w14:paraId="5612F77E">
            <w:pPr>
              <w:pStyle w:val="152"/>
              <w:ind w:left="0" w:leftChars="0" w:firstLine="0" w:firstLineChars="0"/>
              <w:rPr>
                <w:rFonts w:hint="default" w:ascii="Times New Roman" w:hAnsi="Times New Roman" w:eastAsia="宋体" w:cs="Times New Roman"/>
                <w:snapToGrid w:val="0"/>
                <w:color w:val="auto"/>
                <w:kern w:val="2"/>
                <w:sz w:val="21"/>
                <w:szCs w:val="21"/>
                <w:highlight w:val="none"/>
                <w:lang w:val="zh-CN"/>
              </w:rPr>
            </w:pPr>
            <w:r>
              <w:rPr>
                <w:rFonts w:hint="eastAsia" w:ascii="Times New Roman" w:hAnsi="Times New Roman" w:cs="Times New Roman"/>
                <w:color w:val="auto"/>
                <w:highlight w:val="none"/>
                <w:lang w:val="en-US" w:eastAsia="zh-CN"/>
              </w:rPr>
              <w:t>370</w:t>
            </w:r>
          </w:p>
        </w:tc>
        <w:tc>
          <w:tcPr>
            <w:tcW w:w="885" w:type="pct"/>
            <w:noWrap w:val="0"/>
            <w:vAlign w:val="center"/>
          </w:tcPr>
          <w:p w14:paraId="57054CA4">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rPr>
            </w:pPr>
            <w:r>
              <w:rPr>
                <w:rFonts w:hint="eastAsia" w:ascii="Times New Roman" w:hAnsi="Times New Roman" w:eastAsia="宋体" w:cs="Times New Roman"/>
                <w:snapToGrid w:val="0"/>
                <w:color w:val="auto"/>
                <w:kern w:val="2"/>
                <w:sz w:val="21"/>
                <w:szCs w:val="21"/>
                <w:highlight w:val="none"/>
                <w:lang w:val="en-US" w:eastAsia="zh-CN"/>
              </w:rPr>
              <w:t>2.23</w:t>
            </w:r>
          </w:p>
        </w:tc>
      </w:tr>
      <w:tr w14:paraId="59D8B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49" w:type="pct"/>
            <w:vMerge w:val="continue"/>
            <w:noWrap w:val="0"/>
            <w:vAlign w:val="center"/>
          </w:tcPr>
          <w:p w14:paraId="7BEB12CA">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p>
        </w:tc>
        <w:tc>
          <w:tcPr>
            <w:tcW w:w="628" w:type="pct"/>
            <w:noWrap w:val="0"/>
            <w:vAlign w:val="center"/>
          </w:tcPr>
          <w:p w14:paraId="7D4BF25E">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color w:val="auto"/>
                <w:kern w:val="2"/>
                <w:sz w:val="21"/>
                <w:szCs w:val="21"/>
                <w:highlight w:val="none"/>
              </w:rPr>
              <w:t>TP</w:t>
            </w:r>
          </w:p>
        </w:tc>
        <w:tc>
          <w:tcPr>
            <w:tcW w:w="690" w:type="pct"/>
            <w:vMerge w:val="continue"/>
            <w:noWrap w:val="0"/>
            <w:vAlign w:val="center"/>
          </w:tcPr>
          <w:p w14:paraId="36CD9AEA">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803" w:type="pct"/>
            <w:vMerge w:val="continue"/>
            <w:noWrap w:val="0"/>
            <w:vAlign w:val="center"/>
          </w:tcPr>
          <w:p w14:paraId="001996A3">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578" w:type="pct"/>
            <w:vMerge w:val="continue"/>
            <w:noWrap w:val="0"/>
            <w:vAlign w:val="center"/>
          </w:tcPr>
          <w:p w14:paraId="5059D4D9">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1132" w:type="dxa"/>
            <w:noWrap w:val="0"/>
            <w:vAlign w:val="center"/>
          </w:tcPr>
          <w:p w14:paraId="3DAD5BA4">
            <w:pPr>
              <w:pStyle w:val="152"/>
              <w:ind w:left="0" w:leftChars="0" w:firstLine="0" w:firstLineChars="0"/>
              <w:rPr>
                <w:rFonts w:hint="default" w:ascii="Times New Roman" w:hAnsi="Times New Roman" w:eastAsia="宋体" w:cs="Times New Roman"/>
                <w:snapToGrid w:val="0"/>
                <w:color w:val="auto"/>
                <w:kern w:val="2"/>
                <w:sz w:val="21"/>
                <w:szCs w:val="21"/>
                <w:highlight w:val="none"/>
                <w:lang w:val="zh-CN"/>
              </w:rPr>
            </w:pPr>
            <w:r>
              <w:rPr>
                <w:rFonts w:hint="eastAsia" w:ascii="Times New Roman" w:hAnsi="Times New Roman" w:cs="Times New Roman"/>
                <w:color w:val="auto"/>
                <w:highlight w:val="none"/>
                <w:lang w:val="en-US" w:eastAsia="zh-CN"/>
              </w:rPr>
              <w:t>43.5</w:t>
            </w:r>
          </w:p>
        </w:tc>
        <w:tc>
          <w:tcPr>
            <w:tcW w:w="885" w:type="pct"/>
            <w:noWrap w:val="0"/>
            <w:vAlign w:val="center"/>
          </w:tcPr>
          <w:p w14:paraId="067B929D">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rPr>
            </w:pPr>
            <w:r>
              <w:rPr>
                <w:rFonts w:hint="eastAsia" w:ascii="Times New Roman" w:hAnsi="Times New Roman" w:eastAsia="宋体" w:cs="Times New Roman"/>
                <w:snapToGrid w:val="0"/>
                <w:color w:val="auto"/>
                <w:kern w:val="2"/>
                <w:sz w:val="21"/>
                <w:szCs w:val="21"/>
                <w:highlight w:val="none"/>
                <w:lang w:val="en-US" w:eastAsia="zh-CN"/>
              </w:rPr>
              <w:t>0.262</w:t>
            </w:r>
          </w:p>
        </w:tc>
      </w:tr>
      <w:tr w14:paraId="6B21C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49" w:type="pct"/>
            <w:vMerge w:val="restart"/>
            <w:noWrap w:val="0"/>
            <w:vAlign w:val="center"/>
          </w:tcPr>
          <w:p w14:paraId="13716910">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snapToGrid w:val="0"/>
                <w:color w:val="auto"/>
                <w:kern w:val="2"/>
                <w:sz w:val="21"/>
                <w:szCs w:val="21"/>
                <w:highlight w:val="none"/>
                <w:lang w:val="zh-CN"/>
              </w:rPr>
              <w:t>非正常工况</w:t>
            </w:r>
          </w:p>
        </w:tc>
        <w:tc>
          <w:tcPr>
            <w:tcW w:w="628" w:type="pct"/>
            <w:noWrap w:val="0"/>
            <w:vAlign w:val="center"/>
          </w:tcPr>
          <w:p w14:paraId="73F4471E">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color w:val="auto"/>
                <w:kern w:val="2"/>
                <w:sz w:val="21"/>
                <w:szCs w:val="21"/>
                <w:highlight w:val="none"/>
              </w:rPr>
              <w:t>COD</w:t>
            </w:r>
          </w:p>
        </w:tc>
        <w:tc>
          <w:tcPr>
            <w:tcW w:w="690" w:type="pct"/>
            <w:vMerge w:val="restart"/>
            <w:noWrap w:val="0"/>
            <w:vAlign w:val="center"/>
          </w:tcPr>
          <w:p w14:paraId="5ECE7495">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ascii="Times New Roman" w:hAnsi="Times New Roman" w:eastAsia="宋体" w:cs="Times New Roman"/>
                <w:color w:val="auto"/>
                <w:kern w:val="0"/>
                <w:sz w:val="20"/>
                <w:szCs w:val="20"/>
                <w:highlight w:val="none"/>
                <w:lang w:val="en-US" w:eastAsia="zh-CN" w:bidi="ar-SA"/>
              </w:rPr>
              <w:t>3008</w:t>
            </w:r>
          </w:p>
        </w:tc>
        <w:tc>
          <w:tcPr>
            <w:tcW w:w="803" w:type="pct"/>
            <w:vMerge w:val="restart"/>
            <w:noWrap w:val="0"/>
            <w:vAlign w:val="center"/>
          </w:tcPr>
          <w:p w14:paraId="6D99995C">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r>
              <w:rPr>
                <w:rFonts w:hint="default" w:ascii="Times New Roman" w:hAnsi="Times New Roman" w:eastAsia="宋体" w:cs="Times New Roman"/>
                <w:snapToGrid w:val="0"/>
                <w:color w:val="auto"/>
                <w:kern w:val="2"/>
                <w:sz w:val="21"/>
                <w:szCs w:val="21"/>
                <w:highlight w:val="none"/>
                <w:lang w:val="zh-CN"/>
              </w:rPr>
              <w:t>20</w:t>
            </w:r>
          </w:p>
        </w:tc>
        <w:tc>
          <w:tcPr>
            <w:tcW w:w="578" w:type="pct"/>
            <w:vMerge w:val="restart"/>
            <w:noWrap w:val="0"/>
            <w:vAlign w:val="center"/>
          </w:tcPr>
          <w:p w14:paraId="26F957F9">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en-US"/>
              </w:rPr>
            </w:pPr>
            <w:r>
              <w:rPr>
                <w:rFonts w:hint="eastAsia" w:ascii="Times New Roman" w:hAnsi="Times New Roman" w:eastAsia="宋体" w:cs="Times New Roman"/>
                <w:color w:val="auto"/>
                <w:kern w:val="2"/>
                <w:sz w:val="21"/>
                <w:szCs w:val="21"/>
                <w:highlight w:val="none"/>
                <w:lang w:val="en-US" w:eastAsia="zh-CN"/>
              </w:rPr>
              <w:t>60160</w:t>
            </w:r>
          </w:p>
        </w:tc>
        <w:tc>
          <w:tcPr>
            <w:tcW w:w="1132" w:type="dxa"/>
            <w:noWrap w:val="0"/>
            <w:vAlign w:val="center"/>
          </w:tcPr>
          <w:p w14:paraId="357BD706">
            <w:pPr>
              <w:pStyle w:val="152"/>
              <w:ind w:left="0" w:leftChars="0" w:firstLine="0" w:firstLineChars="0"/>
              <w:rPr>
                <w:rFonts w:hint="default" w:ascii="Times New Roman" w:hAnsi="Times New Roman" w:eastAsia="宋体" w:cs="Times New Roman"/>
                <w:snapToGrid w:val="0"/>
                <w:color w:val="auto"/>
                <w:kern w:val="2"/>
                <w:sz w:val="21"/>
                <w:szCs w:val="21"/>
                <w:highlight w:val="none"/>
                <w:lang w:val="zh-CN"/>
              </w:rPr>
            </w:pPr>
            <w:r>
              <w:rPr>
                <w:rFonts w:hint="eastAsia" w:ascii="Times New Roman" w:hAnsi="Times New Roman" w:cs="Times New Roman"/>
                <w:color w:val="auto"/>
                <w:highlight w:val="none"/>
                <w:lang w:val="en-US" w:eastAsia="zh-CN"/>
              </w:rPr>
              <w:t>2640</w:t>
            </w:r>
          </w:p>
        </w:tc>
        <w:tc>
          <w:tcPr>
            <w:tcW w:w="885" w:type="pct"/>
            <w:noWrap w:val="0"/>
            <w:vAlign w:val="center"/>
          </w:tcPr>
          <w:p w14:paraId="28A28681">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rPr>
            </w:pPr>
            <w:r>
              <w:rPr>
                <w:rFonts w:hint="eastAsia" w:ascii="Times New Roman" w:hAnsi="Times New Roman" w:eastAsia="宋体" w:cs="Times New Roman"/>
                <w:snapToGrid w:val="0"/>
                <w:color w:val="auto"/>
                <w:kern w:val="2"/>
                <w:sz w:val="21"/>
                <w:szCs w:val="21"/>
                <w:highlight w:val="none"/>
                <w:lang w:val="en-US" w:eastAsia="zh-CN"/>
              </w:rPr>
              <w:t>158.8</w:t>
            </w:r>
          </w:p>
        </w:tc>
      </w:tr>
      <w:tr w14:paraId="7DCB5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49" w:type="pct"/>
            <w:vMerge w:val="continue"/>
            <w:noWrap w:val="0"/>
            <w:vAlign w:val="center"/>
          </w:tcPr>
          <w:p w14:paraId="604B3DC1">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p>
        </w:tc>
        <w:tc>
          <w:tcPr>
            <w:tcW w:w="628" w:type="pct"/>
            <w:noWrap w:val="0"/>
            <w:vAlign w:val="center"/>
          </w:tcPr>
          <w:p w14:paraId="5C438B79">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color w:val="auto"/>
                <w:kern w:val="2"/>
                <w:sz w:val="21"/>
                <w:szCs w:val="21"/>
                <w:highlight w:val="none"/>
              </w:rPr>
              <w:t>氨氮</w:t>
            </w:r>
          </w:p>
        </w:tc>
        <w:tc>
          <w:tcPr>
            <w:tcW w:w="690" w:type="pct"/>
            <w:vMerge w:val="continue"/>
            <w:noWrap w:val="0"/>
            <w:vAlign w:val="center"/>
          </w:tcPr>
          <w:p w14:paraId="2065BBCC">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803" w:type="pct"/>
            <w:vMerge w:val="continue"/>
            <w:noWrap w:val="0"/>
            <w:vAlign w:val="center"/>
          </w:tcPr>
          <w:p w14:paraId="2A69B638">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578" w:type="pct"/>
            <w:vMerge w:val="continue"/>
            <w:noWrap w:val="0"/>
            <w:vAlign w:val="center"/>
          </w:tcPr>
          <w:p w14:paraId="323C5EF9">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1132" w:type="dxa"/>
            <w:noWrap w:val="0"/>
            <w:vAlign w:val="center"/>
          </w:tcPr>
          <w:p w14:paraId="2E6DFDAA">
            <w:pPr>
              <w:pStyle w:val="152"/>
              <w:ind w:left="0" w:leftChars="0" w:firstLine="0" w:firstLineChars="0"/>
              <w:rPr>
                <w:rFonts w:hint="default" w:ascii="Times New Roman" w:hAnsi="Times New Roman" w:eastAsia="宋体" w:cs="Times New Roman"/>
                <w:snapToGrid w:val="0"/>
                <w:color w:val="auto"/>
                <w:kern w:val="2"/>
                <w:sz w:val="21"/>
                <w:szCs w:val="21"/>
                <w:highlight w:val="none"/>
                <w:lang w:val="zh-CN"/>
              </w:rPr>
            </w:pPr>
            <w:r>
              <w:rPr>
                <w:rFonts w:hint="eastAsia" w:ascii="Times New Roman" w:hAnsi="Times New Roman" w:cs="Times New Roman"/>
                <w:color w:val="auto"/>
                <w:highlight w:val="none"/>
                <w:lang w:val="en-US" w:eastAsia="zh-CN"/>
              </w:rPr>
              <w:t>261</w:t>
            </w:r>
          </w:p>
        </w:tc>
        <w:tc>
          <w:tcPr>
            <w:tcW w:w="885" w:type="pct"/>
            <w:noWrap w:val="0"/>
            <w:vAlign w:val="center"/>
          </w:tcPr>
          <w:p w14:paraId="4B65A0EE">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rPr>
            </w:pPr>
            <w:r>
              <w:rPr>
                <w:rFonts w:hint="eastAsia" w:ascii="Times New Roman" w:hAnsi="Times New Roman" w:eastAsia="宋体" w:cs="Times New Roman"/>
                <w:snapToGrid w:val="0"/>
                <w:color w:val="auto"/>
                <w:kern w:val="2"/>
                <w:sz w:val="21"/>
                <w:szCs w:val="21"/>
                <w:highlight w:val="none"/>
                <w:lang w:val="en-US" w:eastAsia="zh-CN"/>
              </w:rPr>
              <w:t>15.7</w:t>
            </w:r>
          </w:p>
        </w:tc>
      </w:tr>
      <w:tr w14:paraId="4B53B9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49" w:type="pct"/>
            <w:vMerge w:val="continue"/>
            <w:noWrap w:val="0"/>
            <w:vAlign w:val="center"/>
          </w:tcPr>
          <w:p w14:paraId="5BA380EA">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p>
        </w:tc>
        <w:tc>
          <w:tcPr>
            <w:tcW w:w="628" w:type="pct"/>
            <w:noWrap w:val="0"/>
            <w:vAlign w:val="center"/>
          </w:tcPr>
          <w:p w14:paraId="569ACA53">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color w:val="auto"/>
                <w:kern w:val="2"/>
                <w:sz w:val="21"/>
                <w:szCs w:val="21"/>
                <w:highlight w:val="none"/>
              </w:rPr>
              <w:t>TN</w:t>
            </w:r>
          </w:p>
        </w:tc>
        <w:tc>
          <w:tcPr>
            <w:tcW w:w="690" w:type="pct"/>
            <w:vMerge w:val="continue"/>
            <w:noWrap w:val="0"/>
            <w:vAlign w:val="center"/>
          </w:tcPr>
          <w:p w14:paraId="0270BB76">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803" w:type="pct"/>
            <w:vMerge w:val="continue"/>
            <w:noWrap w:val="0"/>
            <w:vAlign w:val="center"/>
          </w:tcPr>
          <w:p w14:paraId="0FFE7217">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578" w:type="pct"/>
            <w:vMerge w:val="continue"/>
            <w:noWrap w:val="0"/>
            <w:vAlign w:val="center"/>
          </w:tcPr>
          <w:p w14:paraId="7AEEDBAB">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1132" w:type="dxa"/>
            <w:noWrap w:val="0"/>
            <w:vAlign w:val="center"/>
          </w:tcPr>
          <w:p w14:paraId="04D51D1B">
            <w:pPr>
              <w:pStyle w:val="152"/>
              <w:ind w:left="0" w:leftChars="0" w:firstLine="0" w:firstLineChars="0"/>
              <w:rPr>
                <w:rFonts w:hint="default" w:ascii="Times New Roman" w:hAnsi="Times New Roman" w:eastAsia="宋体" w:cs="Times New Roman"/>
                <w:snapToGrid w:val="0"/>
                <w:color w:val="auto"/>
                <w:kern w:val="2"/>
                <w:sz w:val="21"/>
                <w:szCs w:val="21"/>
                <w:highlight w:val="none"/>
                <w:lang w:val="zh-CN"/>
              </w:rPr>
            </w:pPr>
            <w:r>
              <w:rPr>
                <w:rFonts w:hint="eastAsia" w:ascii="Times New Roman" w:hAnsi="Times New Roman" w:cs="Times New Roman"/>
                <w:color w:val="auto"/>
                <w:highlight w:val="none"/>
                <w:lang w:val="en-US" w:eastAsia="zh-CN"/>
              </w:rPr>
              <w:t>370</w:t>
            </w:r>
          </w:p>
        </w:tc>
        <w:tc>
          <w:tcPr>
            <w:tcW w:w="885" w:type="pct"/>
            <w:noWrap w:val="0"/>
            <w:vAlign w:val="center"/>
          </w:tcPr>
          <w:p w14:paraId="4BC10E1E">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rPr>
            </w:pPr>
            <w:r>
              <w:rPr>
                <w:rFonts w:hint="eastAsia" w:ascii="Times New Roman" w:hAnsi="Times New Roman" w:eastAsia="宋体" w:cs="Times New Roman"/>
                <w:snapToGrid w:val="0"/>
                <w:color w:val="auto"/>
                <w:kern w:val="2"/>
                <w:sz w:val="21"/>
                <w:szCs w:val="21"/>
                <w:highlight w:val="none"/>
                <w:lang w:val="en-US" w:eastAsia="zh-CN"/>
              </w:rPr>
              <w:t>22.3</w:t>
            </w:r>
          </w:p>
        </w:tc>
      </w:tr>
      <w:tr w14:paraId="53A60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49" w:type="pct"/>
            <w:vMerge w:val="continue"/>
            <w:noWrap w:val="0"/>
            <w:vAlign w:val="center"/>
          </w:tcPr>
          <w:p w14:paraId="547F34E9">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p>
        </w:tc>
        <w:tc>
          <w:tcPr>
            <w:tcW w:w="628" w:type="pct"/>
            <w:noWrap w:val="0"/>
            <w:vAlign w:val="center"/>
          </w:tcPr>
          <w:p w14:paraId="48635352">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rPr>
            </w:pPr>
            <w:r>
              <w:rPr>
                <w:rFonts w:hint="default" w:ascii="Times New Roman" w:hAnsi="Times New Roman" w:eastAsia="宋体" w:cs="Times New Roman"/>
                <w:color w:val="auto"/>
                <w:kern w:val="2"/>
                <w:sz w:val="21"/>
                <w:szCs w:val="21"/>
                <w:highlight w:val="none"/>
              </w:rPr>
              <w:t>TP</w:t>
            </w:r>
          </w:p>
        </w:tc>
        <w:tc>
          <w:tcPr>
            <w:tcW w:w="690" w:type="pct"/>
            <w:vMerge w:val="continue"/>
            <w:noWrap w:val="0"/>
            <w:vAlign w:val="center"/>
          </w:tcPr>
          <w:p w14:paraId="7C72C873">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803" w:type="pct"/>
            <w:vMerge w:val="continue"/>
            <w:noWrap w:val="0"/>
            <w:vAlign w:val="center"/>
          </w:tcPr>
          <w:p w14:paraId="2A08562D">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578" w:type="pct"/>
            <w:vMerge w:val="continue"/>
            <w:noWrap w:val="0"/>
            <w:vAlign w:val="center"/>
          </w:tcPr>
          <w:p w14:paraId="6E8FD55B">
            <w:pPr>
              <w:widowControl w:val="0"/>
              <w:adjustRightInd/>
              <w:snapToGrid/>
              <w:spacing w:line="240" w:lineRule="auto"/>
              <w:ind w:firstLine="0" w:firstLineChars="0"/>
              <w:jc w:val="center"/>
              <w:rPr>
                <w:rFonts w:hint="default" w:ascii="Times New Roman" w:hAnsi="Times New Roman" w:eastAsia="宋体" w:cs="Times New Roman"/>
                <w:snapToGrid w:val="0"/>
                <w:color w:val="auto"/>
                <w:kern w:val="2"/>
                <w:sz w:val="21"/>
                <w:szCs w:val="21"/>
                <w:highlight w:val="none"/>
                <w:lang w:val="zh-CN" w:eastAsia="zh-CN"/>
              </w:rPr>
            </w:pPr>
          </w:p>
        </w:tc>
        <w:tc>
          <w:tcPr>
            <w:tcW w:w="1132" w:type="dxa"/>
            <w:noWrap w:val="0"/>
            <w:vAlign w:val="center"/>
          </w:tcPr>
          <w:p w14:paraId="7B39AE39">
            <w:pPr>
              <w:pStyle w:val="152"/>
              <w:ind w:left="0" w:leftChars="0" w:firstLine="0" w:firstLineChars="0"/>
              <w:rPr>
                <w:rFonts w:hint="default" w:ascii="Times New Roman" w:hAnsi="Times New Roman" w:eastAsia="宋体" w:cs="Times New Roman"/>
                <w:snapToGrid w:val="0"/>
                <w:color w:val="auto"/>
                <w:kern w:val="2"/>
                <w:sz w:val="21"/>
                <w:szCs w:val="21"/>
                <w:highlight w:val="none"/>
                <w:lang w:val="zh-CN"/>
              </w:rPr>
            </w:pPr>
            <w:r>
              <w:rPr>
                <w:rFonts w:hint="eastAsia" w:ascii="Times New Roman" w:hAnsi="Times New Roman" w:cs="Times New Roman"/>
                <w:color w:val="auto"/>
                <w:highlight w:val="none"/>
                <w:lang w:val="en-US" w:eastAsia="zh-CN"/>
              </w:rPr>
              <w:t>43.5</w:t>
            </w:r>
          </w:p>
        </w:tc>
        <w:tc>
          <w:tcPr>
            <w:tcW w:w="885" w:type="pct"/>
            <w:noWrap w:val="0"/>
            <w:vAlign w:val="center"/>
          </w:tcPr>
          <w:p w14:paraId="7B84B5D8">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rPr>
            </w:pPr>
            <w:r>
              <w:rPr>
                <w:rFonts w:hint="eastAsia" w:ascii="Times New Roman" w:hAnsi="Times New Roman" w:eastAsia="宋体" w:cs="Times New Roman"/>
                <w:snapToGrid w:val="0"/>
                <w:color w:val="auto"/>
                <w:kern w:val="2"/>
                <w:sz w:val="21"/>
                <w:szCs w:val="21"/>
                <w:highlight w:val="none"/>
                <w:lang w:val="en-US" w:eastAsia="zh-CN"/>
              </w:rPr>
              <w:t>2.62</w:t>
            </w:r>
          </w:p>
        </w:tc>
      </w:tr>
    </w:tbl>
    <w:p w14:paraId="71627D99">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bookmarkStart w:id="510" w:name="_Toc24449"/>
      <w:bookmarkStart w:id="511" w:name="_Toc26659"/>
      <w:bookmarkStart w:id="512" w:name="_Toc15261"/>
      <w:bookmarkStart w:id="513" w:name="_Toc7243"/>
      <w:r>
        <w:rPr>
          <w:rFonts w:hint="eastAsia" w:ascii="Times New Roman" w:hAnsi="Times New Roman" w:eastAsia="黑体" w:cs="Times New Roman"/>
          <w:b w:val="0"/>
          <w:bCs/>
          <w:smallCaps w:val="0"/>
          <w:snapToGrid/>
          <w:kern w:val="2"/>
          <w:sz w:val="21"/>
          <w:szCs w:val="24"/>
          <w:highlight w:val="none"/>
          <w:lang w:val="en-US" w:eastAsia="zh-CN" w:bidi="ar-SA"/>
        </w:rPr>
        <w:t>表3.5-21  地下水污染防渗分区参照表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8"/>
        <w:gridCol w:w="1075"/>
        <w:gridCol w:w="1150"/>
        <w:gridCol w:w="1068"/>
        <w:gridCol w:w="799"/>
        <w:gridCol w:w="2617"/>
      </w:tblGrid>
      <w:tr w14:paraId="79A68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1" w:type="pct"/>
            <w:noWrap w:val="0"/>
            <w:vAlign w:val="center"/>
          </w:tcPr>
          <w:p w14:paraId="570A1D76">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构筑物</w:t>
            </w:r>
          </w:p>
        </w:tc>
        <w:tc>
          <w:tcPr>
            <w:tcW w:w="631" w:type="pct"/>
            <w:noWrap w:val="0"/>
            <w:vAlign w:val="center"/>
          </w:tcPr>
          <w:p w14:paraId="0B811B44">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天然包气带防污性能</w:t>
            </w:r>
          </w:p>
        </w:tc>
        <w:tc>
          <w:tcPr>
            <w:tcW w:w="675" w:type="pct"/>
            <w:noWrap w:val="0"/>
            <w:vAlign w:val="center"/>
          </w:tcPr>
          <w:p w14:paraId="41EB4692">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污染控制难易程度</w:t>
            </w:r>
          </w:p>
        </w:tc>
        <w:tc>
          <w:tcPr>
            <w:tcW w:w="627" w:type="pct"/>
            <w:noWrap w:val="0"/>
            <w:vAlign w:val="center"/>
          </w:tcPr>
          <w:p w14:paraId="435067EA">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污染物类型</w:t>
            </w:r>
          </w:p>
        </w:tc>
        <w:tc>
          <w:tcPr>
            <w:tcW w:w="469" w:type="pct"/>
            <w:noWrap w:val="0"/>
            <w:vAlign w:val="center"/>
          </w:tcPr>
          <w:p w14:paraId="7CAF3DFA">
            <w:pPr>
              <w:pStyle w:val="152"/>
              <w:adjustRightInd w:val="0"/>
              <w:snapToGrid w:val="0"/>
              <w:rPr>
                <w:rFonts w:hint="eastAsia"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防渗分区</w:t>
            </w:r>
          </w:p>
        </w:tc>
        <w:tc>
          <w:tcPr>
            <w:tcW w:w="1535" w:type="pct"/>
            <w:noWrap w:val="0"/>
            <w:vAlign w:val="center"/>
          </w:tcPr>
          <w:p w14:paraId="1587D393">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防渗技术要求</w:t>
            </w:r>
          </w:p>
        </w:tc>
      </w:tr>
      <w:tr w14:paraId="312BA9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1061" w:type="pct"/>
            <w:noWrap w:val="0"/>
            <w:vAlign w:val="center"/>
          </w:tcPr>
          <w:p w14:paraId="33848600">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医疗废物暂存间</w:t>
            </w:r>
          </w:p>
        </w:tc>
        <w:tc>
          <w:tcPr>
            <w:tcW w:w="631" w:type="pct"/>
            <w:noWrap w:val="0"/>
            <w:vAlign w:val="center"/>
          </w:tcPr>
          <w:p w14:paraId="2E41CA40">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弱</w:t>
            </w:r>
          </w:p>
        </w:tc>
        <w:tc>
          <w:tcPr>
            <w:tcW w:w="675" w:type="pct"/>
            <w:noWrap w:val="0"/>
            <w:vAlign w:val="center"/>
          </w:tcPr>
          <w:p w14:paraId="63FDC153">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易</w:t>
            </w:r>
          </w:p>
        </w:tc>
        <w:tc>
          <w:tcPr>
            <w:tcW w:w="627" w:type="pct"/>
            <w:vMerge w:val="restart"/>
            <w:noWrap w:val="0"/>
            <w:vAlign w:val="center"/>
          </w:tcPr>
          <w:p w14:paraId="4F020185">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其他类型</w:t>
            </w:r>
          </w:p>
        </w:tc>
        <w:tc>
          <w:tcPr>
            <w:tcW w:w="469" w:type="pct"/>
            <w:vMerge w:val="restart"/>
            <w:noWrap w:val="0"/>
            <w:vAlign w:val="center"/>
          </w:tcPr>
          <w:p w14:paraId="0E061E9C">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重点防渗区</w:t>
            </w:r>
          </w:p>
        </w:tc>
        <w:tc>
          <w:tcPr>
            <w:tcW w:w="1535" w:type="pct"/>
            <w:vMerge w:val="restart"/>
            <w:noWrap w:val="0"/>
            <w:vAlign w:val="center"/>
          </w:tcPr>
          <w:p w14:paraId="0F8F0C7C">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等效黏土防渗层Mb≥6.0m，K&lt;1×10</w:t>
            </w:r>
            <w:r>
              <w:rPr>
                <w:rFonts w:hint="default" w:ascii="Times New Roman" w:hAnsi="Times New Roman" w:eastAsia="宋体" w:cs="Times New Roman"/>
                <w:snapToGrid w:val="0"/>
                <w:color w:val="auto"/>
                <w:highlight w:val="none"/>
                <w:vertAlign w:val="superscript"/>
                <w:lang w:eastAsia="zh-CN"/>
              </w:rPr>
              <w:t>-7</w:t>
            </w:r>
            <w:r>
              <w:rPr>
                <w:rFonts w:hint="default" w:ascii="Times New Roman" w:hAnsi="Times New Roman" w:eastAsia="宋体" w:cs="Times New Roman"/>
                <w:snapToGrid w:val="0"/>
                <w:color w:val="auto"/>
                <w:highlight w:val="none"/>
                <w:lang w:eastAsia="zh-CN"/>
              </w:rPr>
              <w:t>cm/s，或参照GB18598</w:t>
            </w:r>
            <w:r>
              <w:rPr>
                <w:rFonts w:hint="eastAsia" w:ascii="Times New Roman" w:hAnsi="Times New Roman" w:cs="Times New Roman"/>
                <w:snapToGrid w:val="0"/>
                <w:color w:val="auto"/>
                <w:highlight w:val="none"/>
                <w:lang w:eastAsia="zh-CN"/>
              </w:rPr>
              <w:t>、</w:t>
            </w:r>
            <w:r>
              <w:rPr>
                <w:rFonts w:hint="eastAsia" w:ascii="Times New Roman" w:hAnsi="Times New Roman" w:eastAsia="宋体" w:cs="Times New Roman"/>
                <w:snapToGrid w:val="0"/>
                <w:color w:val="auto"/>
                <w:highlight w:val="none"/>
                <w:lang w:eastAsia="zh-CN"/>
              </w:rPr>
              <w:t>GB18597</w:t>
            </w:r>
            <w:r>
              <w:rPr>
                <w:rFonts w:hint="default" w:ascii="Times New Roman" w:hAnsi="Times New Roman" w:eastAsia="宋体" w:cs="Times New Roman"/>
                <w:snapToGrid w:val="0"/>
                <w:color w:val="auto"/>
                <w:highlight w:val="none"/>
                <w:lang w:eastAsia="zh-CN"/>
              </w:rPr>
              <w:t>执行</w:t>
            </w:r>
          </w:p>
        </w:tc>
      </w:tr>
      <w:tr w14:paraId="412A1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1" w:type="pct"/>
            <w:noWrap w:val="0"/>
            <w:vAlign w:val="center"/>
          </w:tcPr>
          <w:p w14:paraId="15C60D7B">
            <w:pPr>
              <w:pStyle w:val="152"/>
              <w:adjustRightInd w:val="0"/>
              <w:snapToGrid w:val="0"/>
              <w:rPr>
                <w:rFonts w:hint="eastAsia"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黑膜厌氧池</w:t>
            </w:r>
          </w:p>
        </w:tc>
        <w:tc>
          <w:tcPr>
            <w:tcW w:w="631" w:type="pct"/>
            <w:noWrap w:val="0"/>
            <w:vAlign w:val="center"/>
          </w:tcPr>
          <w:p w14:paraId="199C486D">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弱</w:t>
            </w:r>
          </w:p>
        </w:tc>
        <w:tc>
          <w:tcPr>
            <w:tcW w:w="675" w:type="pct"/>
            <w:noWrap w:val="0"/>
            <w:vAlign w:val="center"/>
          </w:tcPr>
          <w:p w14:paraId="3B17E22D">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易</w:t>
            </w:r>
          </w:p>
        </w:tc>
        <w:tc>
          <w:tcPr>
            <w:tcW w:w="627" w:type="pct"/>
            <w:vMerge w:val="continue"/>
            <w:noWrap w:val="0"/>
            <w:vAlign w:val="center"/>
          </w:tcPr>
          <w:p w14:paraId="137873FA">
            <w:pPr>
              <w:pStyle w:val="152"/>
              <w:adjustRightInd w:val="0"/>
              <w:snapToGrid w:val="0"/>
              <w:rPr>
                <w:rFonts w:hint="default" w:ascii="Times New Roman" w:hAnsi="Times New Roman" w:eastAsia="宋体" w:cs="Times New Roman"/>
                <w:snapToGrid w:val="0"/>
                <w:color w:val="auto"/>
                <w:highlight w:val="none"/>
                <w:lang w:eastAsia="zh-CN"/>
              </w:rPr>
            </w:pPr>
          </w:p>
        </w:tc>
        <w:tc>
          <w:tcPr>
            <w:tcW w:w="469" w:type="pct"/>
            <w:vMerge w:val="continue"/>
            <w:noWrap w:val="0"/>
            <w:vAlign w:val="center"/>
          </w:tcPr>
          <w:p w14:paraId="08C29C38">
            <w:pPr>
              <w:pStyle w:val="152"/>
              <w:adjustRightInd w:val="0"/>
              <w:snapToGrid w:val="0"/>
              <w:rPr>
                <w:rFonts w:hint="default" w:ascii="Times New Roman" w:hAnsi="Times New Roman" w:eastAsia="宋体" w:cs="Times New Roman"/>
                <w:snapToGrid w:val="0"/>
                <w:color w:val="auto"/>
                <w:highlight w:val="none"/>
                <w:lang w:eastAsia="zh-CN"/>
              </w:rPr>
            </w:pPr>
          </w:p>
        </w:tc>
        <w:tc>
          <w:tcPr>
            <w:tcW w:w="1535" w:type="pct"/>
            <w:vMerge w:val="continue"/>
            <w:noWrap w:val="0"/>
            <w:vAlign w:val="center"/>
          </w:tcPr>
          <w:p w14:paraId="106D5740">
            <w:pPr>
              <w:pStyle w:val="152"/>
              <w:adjustRightInd w:val="0"/>
              <w:snapToGrid w:val="0"/>
              <w:rPr>
                <w:rFonts w:hint="default" w:ascii="Times New Roman" w:hAnsi="Times New Roman" w:eastAsia="宋体" w:cs="Times New Roman"/>
                <w:snapToGrid w:val="0"/>
                <w:color w:val="auto"/>
                <w:highlight w:val="none"/>
                <w:lang w:eastAsia="zh-CN"/>
              </w:rPr>
            </w:pPr>
          </w:p>
        </w:tc>
      </w:tr>
      <w:tr w14:paraId="35E56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1061" w:type="pct"/>
            <w:noWrap w:val="0"/>
            <w:vAlign w:val="center"/>
          </w:tcPr>
          <w:p w14:paraId="60FF1DE5">
            <w:pPr>
              <w:pStyle w:val="152"/>
              <w:adjustRightInd w:val="0"/>
              <w:snapToGrid w:val="0"/>
              <w:rPr>
                <w:rFonts w:hint="eastAsia"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固液分离间</w:t>
            </w:r>
          </w:p>
        </w:tc>
        <w:tc>
          <w:tcPr>
            <w:tcW w:w="631" w:type="pct"/>
            <w:noWrap w:val="0"/>
            <w:vAlign w:val="center"/>
          </w:tcPr>
          <w:p w14:paraId="08E84F13">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弱</w:t>
            </w:r>
          </w:p>
        </w:tc>
        <w:tc>
          <w:tcPr>
            <w:tcW w:w="675" w:type="pct"/>
            <w:noWrap w:val="0"/>
            <w:vAlign w:val="center"/>
          </w:tcPr>
          <w:p w14:paraId="1355AFBA">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易</w:t>
            </w:r>
          </w:p>
        </w:tc>
        <w:tc>
          <w:tcPr>
            <w:tcW w:w="627" w:type="pct"/>
            <w:vMerge w:val="restart"/>
            <w:noWrap w:val="0"/>
            <w:vAlign w:val="center"/>
          </w:tcPr>
          <w:p w14:paraId="01D7FB8F">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其他类型</w:t>
            </w:r>
          </w:p>
        </w:tc>
        <w:tc>
          <w:tcPr>
            <w:tcW w:w="469" w:type="pct"/>
            <w:vMerge w:val="restart"/>
            <w:noWrap w:val="0"/>
            <w:vAlign w:val="center"/>
          </w:tcPr>
          <w:p w14:paraId="71B44C3D">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一般防渗区</w:t>
            </w:r>
          </w:p>
        </w:tc>
        <w:tc>
          <w:tcPr>
            <w:tcW w:w="1535" w:type="pct"/>
            <w:vMerge w:val="restart"/>
            <w:noWrap w:val="0"/>
            <w:vAlign w:val="center"/>
          </w:tcPr>
          <w:p w14:paraId="2A5E72F9">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等效黏土防渗层Mb&gt;1.5m</w:t>
            </w:r>
            <w:r>
              <w:rPr>
                <w:rFonts w:hint="eastAsia"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lang w:eastAsia="zh-CN"/>
              </w:rPr>
              <w:t>K&lt;1×10</w:t>
            </w:r>
            <w:r>
              <w:rPr>
                <w:rFonts w:hint="default" w:ascii="Times New Roman" w:hAnsi="Times New Roman" w:eastAsia="宋体" w:cs="Times New Roman"/>
                <w:snapToGrid w:val="0"/>
                <w:color w:val="auto"/>
                <w:highlight w:val="none"/>
                <w:vertAlign w:val="superscript"/>
                <w:lang w:eastAsia="zh-CN"/>
              </w:rPr>
              <w:t>-7</w:t>
            </w:r>
            <w:r>
              <w:rPr>
                <w:rFonts w:hint="default" w:ascii="Times New Roman" w:hAnsi="Times New Roman" w:eastAsia="宋体" w:cs="Times New Roman"/>
                <w:snapToGrid w:val="0"/>
                <w:color w:val="auto"/>
                <w:highlight w:val="none"/>
                <w:lang w:eastAsia="zh-CN"/>
              </w:rPr>
              <w:t>cm/s，或参照GB16889执行</w:t>
            </w:r>
          </w:p>
        </w:tc>
      </w:tr>
      <w:tr w14:paraId="5498F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1" w:type="pct"/>
            <w:noWrap w:val="0"/>
            <w:vAlign w:val="center"/>
          </w:tcPr>
          <w:p w14:paraId="70AF904A">
            <w:pPr>
              <w:pStyle w:val="152"/>
              <w:adjustRightInd w:val="0"/>
              <w:snapToGrid w:val="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猪舍、</w:t>
            </w:r>
            <w:r>
              <w:rPr>
                <w:rFonts w:hint="eastAsia" w:ascii="Times New Roman" w:hAnsi="Times New Roman" w:cs="Times New Roman"/>
                <w:snapToGrid w:val="0"/>
                <w:color w:val="auto"/>
                <w:highlight w:val="none"/>
                <w:lang w:val="en-US" w:eastAsia="zh-CN"/>
              </w:rPr>
              <w:t>干粪堆积场</w:t>
            </w:r>
          </w:p>
        </w:tc>
        <w:tc>
          <w:tcPr>
            <w:tcW w:w="631" w:type="pct"/>
            <w:noWrap w:val="0"/>
            <w:vAlign w:val="center"/>
          </w:tcPr>
          <w:p w14:paraId="7D18DA82">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弱</w:t>
            </w:r>
          </w:p>
        </w:tc>
        <w:tc>
          <w:tcPr>
            <w:tcW w:w="675" w:type="pct"/>
            <w:noWrap w:val="0"/>
            <w:vAlign w:val="center"/>
          </w:tcPr>
          <w:p w14:paraId="5C0D4726">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易</w:t>
            </w:r>
          </w:p>
        </w:tc>
        <w:tc>
          <w:tcPr>
            <w:tcW w:w="627" w:type="pct"/>
            <w:vMerge w:val="continue"/>
            <w:noWrap w:val="0"/>
            <w:vAlign w:val="center"/>
          </w:tcPr>
          <w:p w14:paraId="012893F2">
            <w:pPr>
              <w:pStyle w:val="152"/>
              <w:adjustRightInd w:val="0"/>
              <w:snapToGrid w:val="0"/>
              <w:rPr>
                <w:rFonts w:hint="default" w:ascii="Times New Roman" w:hAnsi="Times New Roman" w:eastAsia="宋体" w:cs="Times New Roman"/>
                <w:snapToGrid w:val="0"/>
                <w:color w:val="auto"/>
                <w:highlight w:val="none"/>
                <w:lang w:eastAsia="zh-CN"/>
              </w:rPr>
            </w:pPr>
          </w:p>
        </w:tc>
        <w:tc>
          <w:tcPr>
            <w:tcW w:w="469" w:type="pct"/>
            <w:vMerge w:val="continue"/>
            <w:noWrap w:val="0"/>
            <w:vAlign w:val="center"/>
          </w:tcPr>
          <w:p w14:paraId="678F1173">
            <w:pPr>
              <w:pStyle w:val="152"/>
              <w:adjustRightInd w:val="0"/>
              <w:snapToGrid w:val="0"/>
              <w:rPr>
                <w:rFonts w:hint="default" w:ascii="Times New Roman" w:hAnsi="Times New Roman" w:eastAsia="宋体" w:cs="Times New Roman"/>
                <w:snapToGrid w:val="0"/>
                <w:color w:val="auto"/>
                <w:highlight w:val="none"/>
                <w:lang w:eastAsia="zh-CN"/>
              </w:rPr>
            </w:pPr>
          </w:p>
        </w:tc>
        <w:tc>
          <w:tcPr>
            <w:tcW w:w="1535" w:type="pct"/>
            <w:vMerge w:val="continue"/>
            <w:noWrap w:val="0"/>
            <w:vAlign w:val="center"/>
          </w:tcPr>
          <w:p w14:paraId="2128991A">
            <w:pPr>
              <w:pStyle w:val="152"/>
              <w:adjustRightInd w:val="0"/>
              <w:snapToGrid w:val="0"/>
              <w:rPr>
                <w:rFonts w:hint="default" w:ascii="Times New Roman" w:hAnsi="Times New Roman" w:eastAsia="宋体" w:cs="Times New Roman"/>
                <w:snapToGrid w:val="0"/>
                <w:color w:val="auto"/>
                <w:highlight w:val="none"/>
                <w:lang w:eastAsia="zh-CN"/>
              </w:rPr>
            </w:pPr>
          </w:p>
        </w:tc>
      </w:tr>
    </w:tbl>
    <w:p w14:paraId="012C627A">
      <w:pPr>
        <w:pStyle w:val="7"/>
        <w:bidi w:val="0"/>
        <w:rPr>
          <w:rFonts w:hint="default"/>
          <w:highlight w:val="none"/>
        </w:rPr>
      </w:pPr>
      <w:r>
        <w:rPr>
          <w:rFonts w:hint="default"/>
          <w:highlight w:val="none"/>
        </w:rPr>
        <w:t>3.</w:t>
      </w:r>
      <w:r>
        <w:rPr>
          <w:rFonts w:hint="eastAsia"/>
          <w:highlight w:val="none"/>
          <w:lang w:val="en-US" w:eastAsia="zh-CN"/>
        </w:rPr>
        <w:t>5</w:t>
      </w:r>
      <w:r>
        <w:rPr>
          <w:rFonts w:hint="default"/>
          <w:highlight w:val="none"/>
        </w:rPr>
        <w:t>.3环境风险</w:t>
      </w:r>
      <w:bookmarkEnd w:id="510"/>
      <w:bookmarkEnd w:id="511"/>
      <w:bookmarkEnd w:id="512"/>
      <w:bookmarkEnd w:id="513"/>
    </w:p>
    <w:p w14:paraId="760025D6">
      <w:pPr>
        <w:pStyle w:val="8"/>
        <w:bidi w:val="0"/>
        <w:rPr>
          <w:rFonts w:hint="default" w:ascii="Times New Roman" w:hAnsi="Times New Roman" w:eastAsia="宋体" w:cs="Times New Roman"/>
          <w:snapToGrid w:val="0"/>
          <w:color w:val="auto"/>
          <w:highlight w:val="none"/>
        </w:rPr>
      </w:pPr>
      <w:bookmarkStart w:id="514" w:name="_Toc28116"/>
      <w:bookmarkStart w:id="515" w:name="_Toc23087"/>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.3.1环境风险识别</w:t>
      </w:r>
      <w:bookmarkEnd w:id="514"/>
      <w:bookmarkEnd w:id="515"/>
    </w:p>
    <w:bookmarkEnd w:id="507"/>
    <w:bookmarkEnd w:id="508"/>
    <w:p w14:paraId="35732AE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1）物质危险性分析</w:t>
      </w:r>
    </w:p>
    <w:p w14:paraId="65499E1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本项目生产过程中涉及的危险物质为沼气。</w:t>
      </w:r>
    </w:p>
    <w:p w14:paraId="38FB6A0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沼气的主要成分是甲烷，沼气中甲烷（CH</w:t>
      </w:r>
      <w:r>
        <w:rPr>
          <w:rFonts w:hint="default" w:ascii="Times New Roman" w:hAnsi="Times New Roman" w:eastAsia="宋体" w:cs="Times New Roman"/>
          <w:snapToGrid w:val="0"/>
          <w:color w:val="auto"/>
          <w:highlight w:val="none"/>
          <w:vertAlign w:val="subscript"/>
        </w:rPr>
        <w:t>4</w:t>
      </w:r>
      <w:r>
        <w:rPr>
          <w:rFonts w:hint="default" w:ascii="Times New Roman" w:hAnsi="Times New Roman" w:eastAsia="宋体" w:cs="Times New Roman"/>
          <w:snapToGrid w:val="0"/>
          <w:color w:val="auto"/>
          <w:highlight w:val="none"/>
        </w:rPr>
        <w:t>）含量为50%～80%、CO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含量为20%～40%、N</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含量为0%～5%、H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含量小于1%、H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S含量为0.1%～3%。由于沼气含有少量H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S，所以略带臭味。沼气在空气中爆炸极限为8.6～20.8％（按体积比）。</w:t>
      </w:r>
    </w:p>
    <w:p w14:paraId="7F7F590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沼气的主要成分是CH</w:t>
      </w:r>
      <w:r>
        <w:rPr>
          <w:rFonts w:hint="default" w:ascii="Times New Roman" w:hAnsi="Times New Roman" w:eastAsia="宋体" w:cs="Times New Roman"/>
          <w:snapToGrid w:val="0"/>
          <w:color w:val="auto"/>
          <w:highlight w:val="none"/>
          <w:vertAlign w:val="subscript"/>
        </w:rPr>
        <w:t>4</w:t>
      </w:r>
      <w:r>
        <w:rPr>
          <w:rFonts w:hint="default" w:ascii="Times New Roman" w:hAnsi="Times New Roman" w:eastAsia="宋体" w:cs="Times New Roman"/>
          <w:snapToGrid w:val="0"/>
          <w:color w:val="auto"/>
          <w:highlight w:val="none"/>
        </w:rPr>
        <w:t>，其他危险物质较少。沼气理化性质及危险特性见下表。</w:t>
      </w:r>
    </w:p>
    <w:p w14:paraId="6609C46C">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-2</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en-US" w:eastAsia="zh-CN" w:bidi="ar-SA"/>
        </w:rPr>
        <w:t xml:space="preserve">  沼气理化性质及危险特性一览表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7"/>
        <w:gridCol w:w="1139"/>
        <w:gridCol w:w="1670"/>
        <w:gridCol w:w="859"/>
        <w:gridCol w:w="266"/>
        <w:gridCol w:w="586"/>
        <w:gridCol w:w="709"/>
        <w:gridCol w:w="1147"/>
        <w:gridCol w:w="63"/>
        <w:gridCol w:w="476"/>
      </w:tblGrid>
      <w:tr w14:paraId="0C7FC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05D3B3F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中文名称</w:t>
            </w:r>
          </w:p>
        </w:tc>
        <w:tc>
          <w:tcPr>
            <w:tcW w:w="1526" w:type="pct"/>
            <w:gridSpan w:val="2"/>
            <w:vAlign w:val="center"/>
          </w:tcPr>
          <w:p w14:paraId="384BAE7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甲烷：沼气</w:t>
            </w:r>
          </w:p>
        </w:tc>
        <w:tc>
          <w:tcPr>
            <w:tcW w:w="668" w:type="pct"/>
            <w:gridSpan w:val="2"/>
            <w:vAlign w:val="center"/>
          </w:tcPr>
          <w:p w14:paraId="49F8D24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英文名称</w:t>
            </w:r>
          </w:p>
        </w:tc>
        <w:tc>
          <w:tcPr>
            <w:tcW w:w="1857" w:type="pct"/>
            <w:gridSpan w:val="5"/>
            <w:vAlign w:val="center"/>
          </w:tcPr>
          <w:p w14:paraId="7B6AD69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Methane：Marsh gas</w:t>
            </w:r>
          </w:p>
        </w:tc>
      </w:tr>
      <w:tr w14:paraId="3A7F8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61FE070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外观与气味</w:t>
            </w:r>
          </w:p>
        </w:tc>
        <w:tc>
          <w:tcPr>
            <w:tcW w:w="4051" w:type="pct"/>
            <w:gridSpan w:val="9"/>
            <w:vAlign w:val="center"/>
          </w:tcPr>
          <w:p w14:paraId="7AFE6C2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无色无臭气体</w:t>
            </w:r>
          </w:p>
        </w:tc>
      </w:tr>
      <w:tr w14:paraId="7FD6B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6141B83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熔点（℃）</w:t>
            </w:r>
          </w:p>
        </w:tc>
        <w:tc>
          <w:tcPr>
            <w:tcW w:w="674" w:type="pct"/>
            <w:vAlign w:val="center"/>
          </w:tcPr>
          <w:p w14:paraId="77B484C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-182.5</w:t>
            </w:r>
          </w:p>
        </w:tc>
        <w:tc>
          <w:tcPr>
            <w:tcW w:w="852" w:type="pct"/>
            <w:vAlign w:val="center"/>
          </w:tcPr>
          <w:p w14:paraId="4841B12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沸点（℃）</w:t>
            </w:r>
          </w:p>
        </w:tc>
        <w:tc>
          <w:tcPr>
            <w:tcW w:w="509" w:type="pct"/>
            <w:vAlign w:val="center"/>
          </w:tcPr>
          <w:p w14:paraId="7810CCB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-161.5</w:t>
            </w:r>
          </w:p>
        </w:tc>
        <w:tc>
          <w:tcPr>
            <w:tcW w:w="510" w:type="pct"/>
            <w:gridSpan w:val="2"/>
            <w:vAlign w:val="center"/>
          </w:tcPr>
          <w:p w14:paraId="55DD41A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闪点（℃）</w:t>
            </w:r>
          </w:p>
        </w:tc>
        <w:tc>
          <w:tcPr>
            <w:tcW w:w="422" w:type="pct"/>
            <w:vAlign w:val="center"/>
          </w:tcPr>
          <w:p w14:paraId="33CED9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＜-50</w:t>
            </w:r>
          </w:p>
        </w:tc>
        <w:tc>
          <w:tcPr>
            <w:tcW w:w="678" w:type="pct"/>
            <w:vAlign w:val="center"/>
          </w:tcPr>
          <w:p w14:paraId="45792BE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自燃温度（℃）</w:t>
            </w:r>
          </w:p>
        </w:tc>
        <w:tc>
          <w:tcPr>
            <w:tcW w:w="406" w:type="pct"/>
            <w:gridSpan w:val="2"/>
            <w:vAlign w:val="center"/>
          </w:tcPr>
          <w:p w14:paraId="7202FA6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537</w:t>
            </w:r>
          </w:p>
        </w:tc>
      </w:tr>
      <w:tr w14:paraId="4761C8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Merge w:val="restart"/>
            <w:vAlign w:val="center"/>
          </w:tcPr>
          <w:p w14:paraId="27C478F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相对密度</w:t>
            </w:r>
          </w:p>
        </w:tc>
        <w:tc>
          <w:tcPr>
            <w:tcW w:w="674" w:type="pct"/>
            <w:vAlign w:val="center"/>
          </w:tcPr>
          <w:p w14:paraId="04AFED7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水=1</w:t>
            </w:r>
          </w:p>
        </w:tc>
        <w:tc>
          <w:tcPr>
            <w:tcW w:w="852" w:type="pct"/>
            <w:vAlign w:val="center"/>
          </w:tcPr>
          <w:p w14:paraId="470CB52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0.42（-164℃）</w:t>
            </w:r>
          </w:p>
        </w:tc>
        <w:tc>
          <w:tcPr>
            <w:tcW w:w="509" w:type="pct"/>
            <w:vMerge w:val="restart"/>
            <w:vAlign w:val="center"/>
          </w:tcPr>
          <w:p w14:paraId="3D85992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毒性</w:t>
            </w:r>
          </w:p>
        </w:tc>
        <w:tc>
          <w:tcPr>
            <w:tcW w:w="932" w:type="pct"/>
            <w:gridSpan w:val="3"/>
            <w:vAlign w:val="center"/>
          </w:tcPr>
          <w:p w14:paraId="1860D2C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级别</w:t>
            </w:r>
          </w:p>
        </w:tc>
        <w:tc>
          <w:tcPr>
            <w:tcW w:w="1084" w:type="pct"/>
            <w:gridSpan w:val="3"/>
            <w:vAlign w:val="center"/>
          </w:tcPr>
          <w:p w14:paraId="3833B35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0FE7F9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Merge w:val="continue"/>
            <w:vAlign w:val="center"/>
          </w:tcPr>
          <w:p w14:paraId="60417F92">
            <w:pPr>
              <w:pStyle w:val="152"/>
              <w:adjustRightInd w:val="0"/>
              <w:snapToGrid w:val="0"/>
              <w:rPr>
                <w:rFonts w:hint="default" w:ascii="Times New Roman" w:hAnsi="Times New Roman" w:eastAsia="宋体" w:cs="Times New Roman"/>
                <w:snapToGrid w:val="0"/>
                <w:color w:val="auto"/>
                <w:highlight w:val="none"/>
              </w:rPr>
            </w:pPr>
          </w:p>
        </w:tc>
        <w:tc>
          <w:tcPr>
            <w:tcW w:w="674" w:type="pct"/>
            <w:vAlign w:val="center"/>
          </w:tcPr>
          <w:p w14:paraId="34116CF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空气=1</w:t>
            </w:r>
          </w:p>
        </w:tc>
        <w:tc>
          <w:tcPr>
            <w:tcW w:w="852" w:type="pct"/>
            <w:vAlign w:val="center"/>
          </w:tcPr>
          <w:p w14:paraId="57198F3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0.55</w:t>
            </w:r>
          </w:p>
        </w:tc>
        <w:tc>
          <w:tcPr>
            <w:tcW w:w="509" w:type="pct"/>
            <w:vMerge w:val="continue"/>
            <w:vAlign w:val="center"/>
          </w:tcPr>
          <w:p w14:paraId="615C2B0E">
            <w:pPr>
              <w:pStyle w:val="152"/>
              <w:adjustRightInd w:val="0"/>
              <w:snapToGrid w:val="0"/>
              <w:rPr>
                <w:rFonts w:hint="default" w:ascii="Times New Roman" w:hAnsi="Times New Roman" w:eastAsia="宋体" w:cs="Times New Roman"/>
                <w:snapToGrid w:val="0"/>
                <w:color w:val="auto"/>
                <w:highlight w:val="none"/>
              </w:rPr>
            </w:pPr>
          </w:p>
        </w:tc>
        <w:tc>
          <w:tcPr>
            <w:tcW w:w="932" w:type="pct"/>
            <w:gridSpan w:val="3"/>
            <w:vAlign w:val="center"/>
          </w:tcPr>
          <w:p w14:paraId="7AFDAB4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危害程度</w:t>
            </w:r>
          </w:p>
        </w:tc>
        <w:tc>
          <w:tcPr>
            <w:tcW w:w="1084" w:type="pct"/>
            <w:gridSpan w:val="3"/>
            <w:vAlign w:val="center"/>
          </w:tcPr>
          <w:p w14:paraId="72878C8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33736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2D84577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爆炸极限（V%）</w:t>
            </w:r>
          </w:p>
        </w:tc>
        <w:tc>
          <w:tcPr>
            <w:tcW w:w="1526" w:type="pct"/>
            <w:gridSpan w:val="2"/>
            <w:vAlign w:val="center"/>
          </w:tcPr>
          <w:p w14:paraId="24D3925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5.3-15</w:t>
            </w:r>
          </w:p>
        </w:tc>
        <w:tc>
          <w:tcPr>
            <w:tcW w:w="509" w:type="pct"/>
            <w:vAlign w:val="center"/>
          </w:tcPr>
          <w:p w14:paraId="709380A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灭火剂</w:t>
            </w:r>
          </w:p>
        </w:tc>
        <w:tc>
          <w:tcPr>
            <w:tcW w:w="2016" w:type="pct"/>
            <w:gridSpan w:val="6"/>
            <w:vAlign w:val="center"/>
          </w:tcPr>
          <w:p w14:paraId="11F6704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雾状水、泡沫、二氧化碳、干粉</w:t>
            </w:r>
          </w:p>
        </w:tc>
      </w:tr>
      <w:tr w14:paraId="0DF59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1F455D0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毒物侵入途径</w:t>
            </w:r>
          </w:p>
        </w:tc>
        <w:tc>
          <w:tcPr>
            <w:tcW w:w="4051" w:type="pct"/>
            <w:gridSpan w:val="9"/>
            <w:vAlign w:val="center"/>
          </w:tcPr>
          <w:p w14:paraId="574F0B7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吸入、食入、经皮吸收</w:t>
            </w:r>
          </w:p>
        </w:tc>
      </w:tr>
      <w:tr w14:paraId="7BB4F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pct"/>
            <w:gridSpan w:val="2"/>
            <w:vAlign w:val="center"/>
          </w:tcPr>
          <w:p w14:paraId="11982A0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物质危险性类别</w:t>
            </w:r>
          </w:p>
        </w:tc>
        <w:tc>
          <w:tcPr>
            <w:tcW w:w="1494" w:type="pct"/>
            <w:gridSpan w:val="2"/>
            <w:vAlign w:val="center"/>
          </w:tcPr>
          <w:p w14:paraId="5F8270D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第2.</w:t>
            </w:r>
            <w:r>
              <w:rPr>
                <w:rFonts w:hint="eastAsia" w:ascii="Times New Roman" w:hAnsi="Times New Roman" w:cs="Times New Roman"/>
                <w:snapToGrid w:val="0"/>
                <w:color w:val="auto"/>
                <w:highlight w:val="none"/>
                <w:lang w:eastAsia="zh-CN"/>
              </w:rPr>
              <w:t>2类</w:t>
            </w:r>
            <w:r>
              <w:rPr>
                <w:rFonts w:hint="default" w:ascii="Times New Roman" w:hAnsi="Times New Roman" w:eastAsia="宋体" w:cs="Times New Roman"/>
                <w:snapToGrid w:val="0"/>
                <w:color w:val="auto"/>
                <w:highlight w:val="none"/>
              </w:rPr>
              <w:t>易燃气体</w:t>
            </w:r>
          </w:p>
        </w:tc>
        <w:tc>
          <w:tcPr>
            <w:tcW w:w="1652" w:type="pct"/>
            <w:gridSpan w:val="5"/>
            <w:vAlign w:val="center"/>
          </w:tcPr>
          <w:p w14:paraId="2B4F85E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火灾危险性分类</w:t>
            </w:r>
          </w:p>
        </w:tc>
        <w:tc>
          <w:tcPr>
            <w:tcW w:w="364" w:type="pct"/>
            <w:vAlign w:val="center"/>
          </w:tcPr>
          <w:p w14:paraId="2DBBF56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甲B</w:t>
            </w:r>
          </w:p>
        </w:tc>
      </w:tr>
      <w:tr w14:paraId="54629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pct"/>
            <w:gridSpan w:val="2"/>
            <w:vAlign w:val="center"/>
          </w:tcPr>
          <w:p w14:paraId="14C10C4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爆炸物质级别及组别</w:t>
            </w:r>
          </w:p>
        </w:tc>
        <w:tc>
          <w:tcPr>
            <w:tcW w:w="985" w:type="pct"/>
            <w:vAlign w:val="center"/>
          </w:tcPr>
          <w:p w14:paraId="5E968FD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级别</w:t>
            </w:r>
          </w:p>
        </w:tc>
        <w:tc>
          <w:tcPr>
            <w:tcW w:w="509" w:type="pct"/>
            <w:vAlign w:val="center"/>
          </w:tcPr>
          <w:p w14:paraId="6BC15C9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w:t>
            </w:r>
            <w:r>
              <w:rPr>
                <w:rFonts w:hint="default" w:ascii="Times New Roman" w:hAnsi="Times New Roman" w:eastAsia="宋体" w:cs="Times New Roman"/>
                <w:snapToGrid w:val="0"/>
                <w:color w:val="auto"/>
                <w:highlight w:val="none"/>
              </w:rPr>
              <w:fldChar w:fldCharType="end"/>
            </w:r>
          </w:p>
        </w:tc>
        <w:tc>
          <w:tcPr>
            <w:tcW w:w="932" w:type="pct"/>
            <w:gridSpan w:val="3"/>
            <w:vAlign w:val="center"/>
          </w:tcPr>
          <w:p w14:paraId="0EBCC17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组别</w:t>
            </w:r>
          </w:p>
        </w:tc>
        <w:tc>
          <w:tcPr>
            <w:tcW w:w="1084" w:type="pct"/>
            <w:gridSpan w:val="3"/>
            <w:vAlign w:val="center"/>
          </w:tcPr>
          <w:p w14:paraId="1B67514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w:t>
            </w:r>
            <w:r>
              <w:rPr>
                <w:rFonts w:hint="default" w:ascii="Times New Roman" w:hAnsi="Times New Roman" w:eastAsia="宋体" w:cs="Times New Roman"/>
                <w:snapToGrid w:val="0"/>
                <w:color w:val="auto"/>
                <w:highlight w:val="none"/>
                <w:vertAlign w:val="subscript"/>
              </w:rPr>
              <w:t>1</w:t>
            </w:r>
          </w:p>
        </w:tc>
      </w:tr>
      <w:tr w14:paraId="69775F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F43D2B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危险货物编号</w:t>
            </w:r>
          </w:p>
        </w:tc>
        <w:tc>
          <w:tcPr>
            <w:tcW w:w="541" w:type="pct"/>
            <w:vAlign w:val="center"/>
          </w:tcPr>
          <w:p w14:paraId="485A38B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21007</w:t>
            </w:r>
          </w:p>
        </w:tc>
        <w:tc>
          <w:tcPr>
            <w:tcW w:w="985" w:type="pct"/>
            <w:vAlign w:val="center"/>
          </w:tcPr>
          <w:p w14:paraId="283DBE0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UN编号</w:t>
            </w:r>
          </w:p>
        </w:tc>
        <w:tc>
          <w:tcPr>
            <w:tcW w:w="509" w:type="pct"/>
            <w:vAlign w:val="center"/>
          </w:tcPr>
          <w:p w14:paraId="368754F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1971</w:t>
            </w:r>
          </w:p>
        </w:tc>
        <w:tc>
          <w:tcPr>
            <w:tcW w:w="932" w:type="pct"/>
            <w:gridSpan w:val="3"/>
            <w:vAlign w:val="center"/>
          </w:tcPr>
          <w:p w14:paraId="4BB789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CAS NO.</w:t>
            </w:r>
          </w:p>
        </w:tc>
        <w:tc>
          <w:tcPr>
            <w:tcW w:w="1084" w:type="pct"/>
            <w:gridSpan w:val="3"/>
            <w:vAlign w:val="center"/>
          </w:tcPr>
          <w:p w14:paraId="6D60E95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74-82-8</w:t>
            </w:r>
          </w:p>
        </w:tc>
      </w:tr>
      <w:tr w14:paraId="583DDF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pct"/>
            <w:gridSpan w:val="2"/>
            <w:vAlign w:val="center"/>
          </w:tcPr>
          <w:p w14:paraId="58E3820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包装类别</w:t>
            </w:r>
          </w:p>
        </w:tc>
        <w:tc>
          <w:tcPr>
            <w:tcW w:w="1494" w:type="pct"/>
            <w:gridSpan w:val="2"/>
            <w:vAlign w:val="center"/>
          </w:tcPr>
          <w:p w14:paraId="2B20F3B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类包装</w:t>
            </w:r>
          </w:p>
        </w:tc>
        <w:tc>
          <w:tcPr>
            <w:tcW w:w="932" w:type="pct"/>
            <w:gridSpan w:val="3"/>
            <w:vAlign w:val="center"/>
          </w:tcPr>
          <w:p w14:paraId="2BE1ACF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包装标志</w:t>
            </w:r>
          </w:p>
        </w:tc>
        <w:tc>
          <w:tcPr>
            <w:tcW w:w="1084" w:type="pct"/>
            <w:gridSpan w:val="3"/>
            <w:vAlign w:val="center"/>
          </w:tcPr>
          <w:p w14:paraId="3BA8E42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易燃气体</w:t>
            </w:r>
          </w:p>
        </w:tc>
      </w:tr>
      <w:tr w14:paraId="76E4C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AD1317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危险特性</w:t>
            </w:r>
          </w:p>
        </w:tc>
        <w:tc>
          <w:tcPr>
            <w:tcW w:w="4051" w:type="pct"/>
            <w:gridSpan w:val="9"/>
            <w:vAlign w:val="center"/>
          </w:tcPr>
          <w:p w14:paraId="35B53A2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与空气混合能形成爆炸性混合物；遇明火、高热会引起燃烧爆炸。</w:t>
            </w:r>
          </w:p>
        </w:tc>
      </w:tr>
      <w:tr w14:paraId="48AB8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154815F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灭火</w:t>
            </w:r>
          </w:p>
          <w:p w14:paraId="51725A1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方法</w:t>
            </w:r>
          </w:p>
        </w:tc>
        <w:tc>
          <w:tcPr>
            <w:tcW w:w="4051" w:type="pct"/>
            <w:gridSpan w:val="9"/>
            <w:vAlign w:val="center"/>
          </w:tcPr>
          <w:p w14:paraId="6750FAD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切断气源。若不能切断气源，则不允许熄灭泄漏处的火焰。喷水冷却容器，可能的话将容器从火场移至空旷处。</w:t>
            </w:r>
          </w:p>
        </w:tc>
      </w:tr>
      <w:tr w14:paraId="7DD5F7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756B9CD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健康</w:t>
            </w:r>
          </w:p>
          <w:p w14:paraId="1B21143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危害</w:t>
            </w:r>
          </w:p>
        </w:tc>
        <w:tc>
          <w:tcPr>
            <w:tcW w:w="4051" w:type="pct"/>
            <w:gridSpan w:val="9"/>
            <w:vAlign w:val="center"/>
          </w:tcPr>
          <w:p w14:paraId="2CBBBA2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空气中甲烷浓度过高，能使人窒息。当空气中甲烷达25-30%时，可引起头痛、头晕、乏力、注意力不集中、呼吸和心跳加速、精细动作障碍等，甚至因缺氧而窒息、昏迷。</w:t>
            </w:r>
          </w:p>
        </w:tc>
      </w:tr>
    </w:tbl>
    <w:p w14:paraId="5FC9A29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Cs/>
          <w:snapToGrid w:val="0"/>
          <w:color w:val="auto"/>
          <w:highlight w:val="none"/>
        </w:rPr>
        <w:t>由以上列表分析可知，</w:t>
      </w:r>
      <w:r>
        <w:rPr>
          <w:rFonts w:hint="default" w:ascii="Times New Roman" w:hAnsi="Times New Roman" w:eastAsia="宋体" w:cs="Times New Roman"/>
          <w:snapToGrid w:val="0"/>
          <w:color w:val="auto"/>
          <w:highlight w:val="none"/>
        </w:rPr>
        <w:t>沼气主要成分为甲烷，为易燃、易爆物质，发生泄漏后与空气混合有爆炸危险性。</w:t>
      </w:r>
    </w:p>
    <w:p w14:paraId="344CD2AC">
      <w:pPr>
        <w:pStyle w:val="2"/>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i w:val="0"/>
          <w:iCs w:val="0"/>
          <w:snapToGrid w:val="0"/>
          <w:color w:val="auto"/>
          <w:highlight w:val="none"/>
          <w:lang w:val="en-US" w:eastAsia="zh-CN"/>
        </w:rPr>
        <w:t>本项目</w:t>
      </w:r>
      <w:r>
        <w:rPr>
          <w:rFonts w:hint="default" w:ascii="Times New Roman" w:hAnsi="Times New Roman" w:eastAsia="宋体" w:cs="Times New Roman"/>
          <w:b w:val="0"/>
          <w:bCs w:val="0"/>
          <w:i w:val="0"/>
          <w:iCs w:val="0"/>
          <w:snapToGrid w:val="0"/>
          <w:color w:val="auto"/>
          <w:highlight w:val="none"/>
        </w:rPr>
        <w:t>污水处理工艺产</w:t>
      </w:r>
      <w:r>
        <w:rPr>
          <w:rFonts w:hint="default" w:ascii="Times New Roman" w:hAnsi="Times New Roman" w:eastAsia="宋体" w:cs="Times New Roman"/>
          <w:i w:val="0"/>
          <w:iCs w:val="0"/>
          <w:snapToGrid w:val="0"/>
          <w:color w:val="auto"/>
          <w:highlight w:val="none"/>
        </w:rPr>
        <w:t>生的沼气火炬</w:t>
      </w:r>
      <w:r>
        <w:rPr>
          <w:rFonts w:hint="default" w:ascii="Times New Roman" w:hAnsi="Times New Roman" w:eastAsia="宋体" w:cs="Times New Roman"/>
          <w:i w:val="0"/>
          <w:iCs w:val="0"/>
          <w:snapToGrid w:val="0"/>
          <w:color w:val="auto"/>
          <w:highlight w:val="none"/>
          <w:lang w:val="en-US" w:eastAsia="zh-CN"/>
        </w:rPr>
        <w:t>直接</w:t>
      </w:r>
      <w:r>
        <w:rPr>
          <w:rFonts w:hint="default" w:ascii="Times New Roman" w:hAnsi="Times New Roman" w:eastAsia="宋体" w:cs="Times New Roman"/>
          <w:i w:val="0"/>
          <w:iCs w:val="0"/>
          <w:snapToGrid w:val="0"/>
          <w:color w:val="auto"/>
          <w:highlight w:val="none"/>
        </w:rPr>
        <w:t>燃烧排放</w:t>
      </w:r>
      <w:r>
        <w:rPr>
          <w:rFonts w:hint="default" w:ascii="Times New Roman" w:hAnsi="Times New Roman" w:eastAsia="宋体" w:cs="Times New Roman"/>
          <w:i w:val="0"/>
          <w:iCs w:val="0"/>
          <w:snapToGrid w:val="0"/>
          <w:color w:val="auto"/>
          <w:highlight w:val="none"/>
          <w:lang w:eastAsia="zh-CN"/>
        </w:rPr>
        <w:t>，沼气火炬设有火焰控制系统，在供气管路上安装有检测器，达到燃烧条件时，沼气火炬自动运行点燃烧，</w:t>
      </w:r>
      <w:r>
        <w:rPr>
          <w:rFonts w:hint="default" w:ascii="Times New Roman" w:hAnsi="Times New Roman" w:eastAsia="宋体" w:cs="Times New Roman"/>
          <w:i w:val="0"/>
          <w:iCs w:val="0"/>
          <w:snapToGrid w:val="0"/>
          <w:color w:val="auto"/>
          <w:highlight w:val="none"/>
          <w:lang w:val="en-US" w:eastAsia="zh-CN"/>
        </w:rPr>
        <w:t>不设置沼气供气管道，沼气火炬</w:t>
      </w:r>
      <w:r>
        <w:rPr>
          <w:rFonts w:hint="default" w:ascii="Times New Roman" w:hAnsi="Times New Roman" w:eastAsia="宋体" w:cs="Times New Roman"/>
          <w:i w:val="0"/>
          <w:iCs w:val="0"/>
          <w:snapToGrid w:val="0"/>
          <w:color w:val="auto"/>
          <w:highlight w:val="none"/>
          <w:lang w:eastAsia="zh-CN"/>
        </w:rPr>
        <w:t>管路</w:t>
      </w:r>
      <w:r>
        <w:rPr>
          <w:rFonts w:hint="default" w:ascii="Times New Roman" w:hAnsi="Times New Roman" w:eastAsia="宋体" w:cs="Times New Roman"/>
          <w:i w:val="0"/>
          <w:iCs w:val="0"/>
          <w:snapToGrid w:val="0"/>
          <w:color w:val="auto"/>
          <w:highlight w:val="none"/>
          <w:lang w:val="en-US" w:eastAsia="zh-CN"/>
        </w:rPr>
        <w:t>长10m，直径0.1m，体积为</w:t>
      </w:r>
      <w:r>
        <w:rPr>
          <w:rFonts w:hint="eastAsia" w:ascii="Times New Roman" w:hAnsi="Times New Roman" w:cs="Times New Roman"/>
          <w:i w:val="0"/>
          <w:iCs w:val="0"/>
          <w:snapToGrid w:val="0"/>
          <w:color w:val="auto"/>
          <w:highlight w:val="none"/>
          <w:lang w:val="en-US" w:eastAsia="zh-CN"/>
        </w:rPr>
        <w:t>0.0785</w:t>
      </w:r>
      <w:r>
        <w:rPr>
          <w:rFonts w:hint="default" w:ascii="Times New Roman" w:hAnsi="Times New Roman" w:eastAsia="宋体" w:cs="Times New Roman"/>
          <w:i w:val="0"/>
          <w:iCs w:val="0"/>
          <w:snapToGrid w:val="0"/>
          <w:color w:val="auto"/>
          <w:highlight w:val="none"/>
          <w:lang w:val="en-US" w:eastAsia="zh-CN"/>
        </w:rPr>
        <w:t>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。通常情况下，沼气中甲烷含量占60%左右，甲烷密度为0.71kg/m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（标准状况下，1个标准大气压，20℃）</w:t>
      </w:r>
      <w:r>
        <w:rPr>
          <w:rFonts w:hint="default" w:ascii="Times New Roman" w:hAnsi="Times New Roman" w:cs="Times New Roman"/>
          <w:color w:val="auto"/>
          <w:highlight w:val="none"/>
        </w:rPr>
        <w:t>，则甲烷最大暂存量为</w:t>
      </w:r>
      <w:r>
        <w:rPr>
          <w:rFonts w:hint="eastAsia" w:ascii="Times New Roman" w:cs="Times New Roman"/>
          <w:color w:val="auto"/>
          <w:highlight w:val="none"/>
          <w:lang w:val="en-US" w:eastAsia="zh-CN"/>
        </w:rPr>
        <w:t>0.000055735</w:t>
      </w:r>
      <w:r>
        <w:rPr>
          <w:rFonts w:hint="default" w:ascii="Times New Roman" w:hAnsi="Times New Roman" w:cs="Times New Roman"/>
          <w:color w:val="auto"/>
          <w:highlight w:val="none"/>
        </w:rPr>
        <w:t>t。</w:t>
      </w:r>
    </w:p>
    <w:p w14:paraId="42016A98">
      <w:pPr>
        <w:pStyle w:val="2"/>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本项目存在的危险物质的量未超过临界量。危险物质临界量对照结果见</w:t>
      </w:r>
      <w:r>
        <w:rPr>
          <w:rFonts w:hint="default" w:ascii="Times New Roman" w:hAnsi="Times New Roman" w:cs="Times New Roman"/>
          <w:color w:val="auto"/>
          <w:highlight w:val="none"/>
          <w:lang w:val="en-US" w:eastAsia="zh-CN"/>
        </w:rPr>
        <w:t>下</w:t>
      </w:r>
      <w:r>
        <w:rPr>
          <w:rFonts w:hint="default" w:ascii="Times New Roman" w:hAnsi="Times New Roman" w:cs="Times New Roman"/>
          <w:color w:val="auto"/>
          <w:highlight w:val="none"/>
        </w:rPr>
        <w:t>表。</w:t>
      </w:r>
    </w:p>
    <w:p w14:paraId="4014974B">
      <w:pPr>
        <w:pStyle w:val="2"/>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表3</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w:t>
      </w:r>
      <w:r>
        <w:rPr>
          <w:rFonts w:hint="eastAsia" w:ascii="Times New Roman" w:eastAsia="黑体" w:cs="Times New Roman"/>
          <w:b w:val="0"/>
          <w:bCs/>
          <w:smallCaps w:val="0"/>
          <w:snapToGrid/>
          <w:color w:val="auto"/>
          <w:kern w:val="2"/>
          <w:sz w:val="21"/>
          <w:szCs w:val="24"/>
          <w:highlight w:val="none"/>
          <w:lang w:val="en-US" w:eastAsia="zh-CN" w:bidi="ar-SA"/>
        </w:rPr>
        <w:t>23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危险物质数量与临界量对比结果</w:t>
      </w:r>
    </w:p>
    <w:tbl>
      <w:tblPr>
        <w:tblStyle w:val="48"/>
        <w:tblW w:w="4994"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59"/>
        <w:gridCol w:w="1156"/>
        <w:gridCol w:w="1509"/>
        <w:gridCol w:w="1388"/>
        <w:gridCol w:w="2061"/>
        <w:gridCol w:w="1739"/>
      </w:tblGrid>
      <w:tr w14:paraId="44D6865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87" w:type="pct"/>
            <w:noWrap w:val="0"/>
            <w:vAlign w:val="center"/>
          </w:tcPr>
          <w:p w14:paraId="69E6164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679" w:type="pct"/>
            <w:noWrap w:val="0"/>
            <w:vAlign w:val="center"/>
          </w:tcPr>
          <w:p w14:paraId="7F73B60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物质名称</w:t>
            </w:r>
          </w:p>
        </w:tc>
        <w:tc>
          <w:tcPr>
            <w:tcW w:w="886" w:type="pct"/>
            <w:noWrap w:val="0"/>
            <w:vAlign w:val="center"/>
          </w:tcPr>
          <w:p w14:paraId="6C0D587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最大储存量（t）</w:t>
            </w:r>
          </w:p>
        </w:tc>
        <w:tc>
          <w:tcPr>
            <w:tcW w:w="815" w:type="pct"/>
            <w:noWrap w:val="0"/>
            <w:vAlign w:val="center"/>
          </w:tcPr>
          <w:p w14:paraId="4A5057D6">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临界量（t）</w:t>
            </w:r>
          </w:p>
        </w:tc>
        <w:tc>
          <w:tcPr>
            <w:tcW w:w="1210" w:type="pct"/>
            <w:noWrap w:val="0"/>
            <w:vAlign w:val="center"/>
          </w:tcPr>
          <w:p w14:paraId="16A018D8">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功能单元</w:t>
            </w:r>
          </w:p>
        </w:tc>
        <w:tc>
          <w:tcPr>
            <w:tcW w:w="1021" w:type="pct"/>
            <w:noWrap w:val="0"/>
            <w:vAlign w:val="center"/>
          </w:tcPr>
          <w:p w14:paraId="21147488">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是否超过临界量</w:t>
            </w:r>
          </w:p>
        </w:tc>
      </w:tr>
      <w:tr w14:paraId="5A60A10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87" w:type="pct"/>
            <w:noWrap w:val="0"/>
            <w:vAlign w:val="center"/>
          </w:tcPr>
          <w:p w14:paraId="587F27CB">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79" w:type="pct"/>
            <w:noWrap w:val="0"/>
            <w:vAlign w:val="center"/>
          </w:tcPr>
          <w:p w14:paraId="6C6C2E2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甲烷</w:t>
            </w:r>
          </w:p>
        </w:tc>
        <w:tc>
          <w:tcPr>
            <w:tcW w:w="886" w:type="pct"/>
            <w:noWrap w:val="0"/>
            <w:vAlign w:val="center"/>
          </w:tcPr>
          <w:p w14:paraId="70826CD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0.000055735</w:t>
            </w:r>
          </w:p>
        </w:tc>
        <w:tc>
          <w:tcPr>
            <w:tcW w:w="815" w:type="pct"/>
            <w:noWrap w:val="0"/>
            <w:vAlign w:val="center"/>
          </w:tcPr>
          <w:p w14:paraId="1ECD89F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1210" w:type="pct"/>
            <w:noWrap w:val="0"/>
            <w:vAlign w:val="center"/>
          </w:tcPr>
          <w:p w14:paraId="7B56DD93">
            <w:pPr>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沼气燃烧火炬管道</w:t>
            </w:r>
          </w:p>
        </w:tc>
        <w:tc>
          <w:tcPr>
            <w:tcW w:w="1021" w:type="pct"/>
            <w:noWrap w:val="0"/>
            <w:vAlign w:val="center"/>
          </w:tcPr>
          <w:p w14:paraId="7597D0FB">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bl>
    <w:p w14:paraId="016F3368">
      <w:pPr>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cs="Times New Roman"/>
          <w:color w:val="auto"/>
          <w:highlight w:val="none"/>
        </w:rPr>
        <w:t>根据《建设项目环境风险评价技术导则》（HJ169-2018）附录B中表B.1突发环境事件风险物质及临界量。本项目Q=</w:t>
      </w:r>
      <w:r>
        <w:rPr>
          <w:rFonts w:hint="eastAsia" w:ascii="Times New Roman" w:hAnsi="Times New Roman" w:cs="Times New Roman"/>
          <w:color w:val="auto"/>
          <w:highlight w:val="none"/>
          <w:lang w:val="en-US" w:eastAsia="zh-CN"/>
        </w:rPr>
        <w:t>0.0000055735</w:t>
      </w:r>
      <w:r>
        <w:rPr>
          <w:rFonts w:hint="default" w:ascii="Times New Roman" w:hAnsi="Times New Roman" w:cs="Times New Roman"/>
          <w:color w:val="auto"/>
          <w:highlight w:val="none"/>
        </w:rPr>
        <w:t>＜1，因此不属于重大危险源，风险潜势为Ⅰ。</w:t>
      </w:r>
    </w:p>
    <w:p w14:paraId="08E7940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Cs/>
          <w:snapToGrid w:val="0"/>
          <w:color w:val="auto"/>
          <w:highlight w:val="none"/>
        </w:rPr>
        <w:t>2）</w:t>
      </w:r>
      <w:r>
        <w:rPr>
          <w:rFonts w:hint="default" w:ascii="Times New Roman" w:hAnsi="Times New Roman" w:eastAsia="宋体" w:cs="Times New Roman"/>
          <w:snapToGrid w:val="0"/>
          <w:color w:val="auto"/>
          <w:highlight w:val="none"/>
        </w:rPr>
        <w:t>生产设施风险识别</w:t>
      </w:r>
    </w:p>
    <w:p w14:paraId="0841220C">
      <w:pPr>
        <w:adjustRightInd w:val="0"/>
        <w:snapToGrid w:val="0"/>
        <w:spacing w:line="480" w:lineRule="exact"/>
        <w:ind w:firstLine="480" w:firstLineChars="200"/>
        <w:rPr>
          <w:rFonts w:hint="default" w:ascii="Times New Roman" w:hAnsi="Times New Roman" w:cs="Times New Roman"/>
          <w:bCs/>
          <w:snapToGrid w:val="0"/>
          <w:color w:val="auto"/>
          <w:szCs w:val="22"/>
          <w:highlight w:val="none"/>
        </w:rPr>
      </w:pPr>
      <w:r>
        <w:rPr>
          <w:rFonts w:hint="default" w:ascii="Times New Roman" w:hAnsi="Times New Roman" w:cs="Times New Roman"/>
          <w:bCs/>
          <w:snapToGrid w:val="0"/>
          <w:color w:val="auto"/>
          <w:szCs w:val="22"/>
          <w:highlight w:val="none"/>
        </w:rPr>
        <w:t>根据本项目工艺流程和平面布置功能分区，本项目生产系统危险性识别见</w:t>
      </w:r>
      <w:r>
        <w:rPr>
          <w:rFonts w:hint="default" w:ascii="Times New Roman" w:hAnsi="Times New Roman" w:cs="Times New Roman"/>
          <w:bCs/>
          <w:snapToGrid w:val="0"/>
          <w:color w:val="auto"/>
          <w:szCs w:val="22"/>
          <w:highlight w:val="none"/>
          <w:lang w:val="en-US" w:eastAsia="zh-CN"/>
        </w:rPr>
        <w:t>下</w:t>
      </w:r>
      <w:r>
        <w:rPr>
          <w:rFonts w:hint="default" w:ascii="Times New Roman" w:hAnsi="Times New Roman" w:cs="Times New Roman"/>
          <w:bCs/>
          <w:snapToGrid w:val="0"/>
          <w:color w:val="auto"/>
          <w:szCs w:val="22"/>
          <w:highlight w:val="none"/>
        </w:rPr>
        <w:t>表。</w:t>
      </w:r>
    </w:p>
    <w:p w14:paraId="64333142">
      <w:pPr>
        <w:pStyle w:val="216"/>
        <w:adjustRightInd w:val="0"/>
        <w:snapToGrid w:val="0"/>
        <w:textAlignment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表3</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w:t>
      </w:r>
      <w:r>
        <w:rPr>
          <w:rFonts w:hint="eastAsia" w:ascii="Times New Roman" w:hAnsi="Times New Roman" w:eastAsia="黑体" w:cs="Times New Roman"/>
          <w:b w:val="0"/>
          <w:bCs/>
          <w:smallCaps w:val="0"/>
          <w:snapToGrid/>
          <w:color w:val="auto"/>
          <w:kern w:val="2"/>
          <w:sz w:val="21"/>
          <w:szCs w:val="24"/>
          <w:highlight w:val="none"/>
          <w:lang w:val="en-US" w:eastAsia="zh-CN" w:bidi="ar-SA"/>
        </w:rPr>
        <w:t>24</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本项目生产系统危险性识别</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3"/>
        <w:gridCol w:w="914"/>
        <w:gridCol w:w="1377"/>
        <w:gridCol w:w="1138"/>
        <w:gridCol w:w="1356"/>
        <w:gridCol w:w="2374"/>
      </w:tblGrid>
      <w:tr w14:paraId="29951E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99" w:type="pct"/>
            <w:tcBorders>
              <w:top w:val="single" w:color="auto" w:sz="12" w:space="0"/>
              <w:left w:val="nil"/>
              <w:bottom w:val="single" w:color="auto" w:sz="4" w:space="0"/>
              <w:right w:val="single" w:color="auto" w:sz="4" w:space="0"/>
            </w:tcBorders>
            <w:noWrap w:val="0"/>
            <w:vAlign w:val="center"/>
          </w:tcPr>
          <w:p w14:paraId="32927B33">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危险单元</w:t>
            </w:r>
          </w:p>
        </w:tc>
        <w:tc>
          <w:tcPr>
            <w:tcW w:w="536" w:type="pct"/>
            <w:tcBorders>
              <w:top w:val="single" w:color="auto" w:sz="12" w:space="0"/>
              <w:left w:val="single" w:color="auto" w:sz="4" w:space="0"/>
              <w:bottom w:val="single" w:color="auto" w:sz="4" w:space="0"/>
              <w:right w:val="single" w:color="auto" w:sz="4" w:space="0"/>
            </w:tcBorders>
            <w:noWrap w:val="0"/>
            <w:vAlign w:val="center"/>
          </w:tcPr>
          <w:p w14:paraId="26F0DCC8">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风险源</w:t>
            </w:r>
          </w:p>
        </w:tc>
        <w:tc>
          <w:tcPr>
            <w:tcW w:w="807" w:type="pct"/>
            <w:tcBorders>
              <w:top w:val="single" w:color="auto" w:sz="12" w:space="0"/>
              <w:left w:val="single" w:color="auto" w:sz="4" w:space="0"/>
              <w:bottom w:val="single" w:color="auto" w:sz="4" w:space="0"/>
              <w:right w:val="single" w:color="auto" w:sz="4" w:space="0"/>
            </w:tcBorders>
            <w:noWrap w:val="0"/>
            <w:vAlign w:val="center"/>
          </w:tcPr>
          <w:p w14:paraId="7F550A25">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危险物质</w:t>
            </w:r>
          </w:p>
        </w:tc>
        <w:tc>
          <w:tcPr>
            <w:tcW w:w="667" w:type="pct"/>
            <w:tcBorders>
              <w:top w:val="single" w:color="auto" w:sz="12" w:space="0"/>
              <w:left w:val="single" w:color="auto" w:sz="4" w:space="0"/>
              <w:bottom w:val="single" w:color="auto" w:sz="4" w:space="0"/>
              <w:right w:val="single" w:color="auto" w:sz="4" w:space="0"/>
            </w:tcBorders>
            <w:noWrap w:val="0"/>
            <w:vAlign w:val="center"/>
          </w:tcPr>
          <w:p w14:paraId="198CBAB1">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危险性</w:t>
            </w:r>
          </w:p>
        </w:tc>
        <w:tc>
          <w:tcPr>
            <w:tcW w:w="795" w:type="pct"/>
            <w:tcBorders>
              <w:top w:val="single" w:color="auto" w:sz="12" w:space="0"/>
              <w:left w:val="single" w:color="auto" w:sz="4" w:space="0"/>
              <w:bottom w:val="single" w:color="auto" w:sz="4" w:space="0"/>
              <w:right w:val="single" w:color="auto" w:sz="4" w:space="0"/>
            </w:tcBorders>
            <w:noWrap w:val="0"/>
            <w:vAlign w:val="center"/>
          </w:tcPr>
          <w:p w14:paraId="7FB0F326">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存在条件</w:t>
            </w:r>
          </w:p>
        </w:tc>
        <w:tc>
          <w:tcPr>
            <w:tcW w:w="1392" w:type="pct"/>
            <w:tcBorders>
              <w:top w:val="single" w:color="auto" w:sz="12" w:space="0"/>
              <w:left w:val="single" w:color="auto" w:sz="4" w:space="0"/>
              <w:bottom w:val="single" w:color="auto" w:sz="4" w:space="0"/>
              <w:right w:val="nil"/>
            </w:tcBorders>
            <w:noWrap w:val="0"/>
            <w:vAlign w:val="center"/>
          </w:tcPr>
          <w:p w14:paraId="1F07E041">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转化为事故的触发因素</w:t>
            </w:r>
          </w:p>
        </w:tc>
      </w:tr>
      <w:tr w14:paraId="7D6A8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99" w:type="pct"/>
            <w:tcBorders>
              <w:top w:val="single" w:color="auto" w:sz="4" w:space="0"/>
              <w:left w:val="nil"/>
              <w:bottom w:val="single" w:color="auto" w:sz="4" w:space="0"/>
              <w:right w:val="single" w:color="auto" w:sz="4" w:space="0"/>
            </w:tcBorders>
            <w:noWrap w:val="0"/>
            <w:vAlign w:val="center"/>
          </w:tcPr>
          <w:p w14:paraId="7F994939">
            <w:pPr>
              <w:adjustRightInd w:val="0"/>
              <w:snapToGrid w:val="0"/>
              <w:jc w:val="center"/>
              <w:rPr>
                <w:rFonts w:hint="default" w:ascii="Times New Roman" w:hAnsi="Times New Roman" w:cs="Times New Roman"/>
                <w:bCs/>
                <w:color w:val="auto"/>
                <w:sz w:val="21"/>
                <w:szCs w:val="21"/>
                <w:highlight w:val="none"/>
              </w:rPr>
            </w:pPr>
            <w:r>
              <w:rPr>
                <w:rFonts w:hint="eastAsia" w:ascii="Times New Roman" w:hAnsi="Times New Roman" w:cs="Times New Roman"/>
                <w:color w:val="auto"/>
                <w:sz w:val="21"/>
                <w:szCs w:val="21"/>
                <w:highlight w:val="none"/>
                <w:lang w:eastAsia="zh-CN"/>
              </w:rPr>
              <w:t>沼气燃烧火炬管道</w:t>
            </w:r>
          </w:p>
        </w:tc>
        <w:tc>
          <w:tcPr>
            <w:tcW w:w="536" w:type="pct"/>
            <w:tcBorders>
              <w:top w:val="single" w:color="auto" w:sz="4" w:space="0"/>
              <w:left w:val="single" w:color="auto" w:sz="4" w:space="0"/>
              <w:bottom w:val="single" w:color="auto" w:sz="4" w:space="0"/>
              <w:right w:val="single" w:color="auto" w:sz="4" w:space="0"/>
            </w:tcBorders>
            <w:noWrap w:val="0"/>
            <w:vAlign w:val="center"/>
          </w:tcPr>
          <w:p w14:paraId="468E0D05">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沼气</w:t>
            </w:r>
          </w:p>
        </w:tc>
        <w:tc>
          <w:tcPr>
            <w:tcW w:w="807" w:type="pct"/>
            <w:tcBorders>
              <w:top w:val="single" w:color="auto" w:sz="4" w:space="0"/>
              <w:left w:val="single" w:color="auto" w:sz="4" w:space="0"/>
              <w:bottom w:val="single" w:color="auto" w:sz="4" w:space="0"/>
              <w:right w:val="single" w:color="auto" w:sz="4" w:space="0"/>
            </w:tcBorders>
            <w:noWrap w:val="0"/>
            <w:vAlign w:val="center"/>
          </w:tcPr>
          <w:p w14:paraId="31E81797">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甲烷</w:t>
            </w:r>
          </w:p>
        </w:tc>
        <w:tc>
          <w:tcPr>
            <w:tcW w:w="667" w:type="pct"/>
            <w:tcBorders>
              <w:top w:val="single" w:color="auto" w:sz="4" w:space="0"/>
              <w:left w:val="single" w:color="auto" w:sz="4" w:space="0"/>
              <w:bottom w:val="single" w:color="auto" w:sz="4" w:space="0"/>
              <w:right w:val="single" w:color="auto" w:sz="4" w:space="0"/>
            </w:tcBorders>
            <w:noWrap w:val="0"/>
            <w:vAlign w:val="center"/>
          </w:tcPr>
          <w:p w14:paraId="6A61D360">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见表</w:t>
            </w:r>
            <w:r>
              <w:rPr>
                <w:rFonts w:hint="default" w:ascii="Times New Roman" w:hAnsi="Times New Roman" w:cs="Times New Roman"/>
                <w:bCs/>
                <w:color w:val="auto"/>
                <w:sz w:val="21"/>
                <w:szCs w:val="21"/>
                <w:highlight w:val="none"/>
                <w:lang w:val="en-US" w:eastAsia="zh-CN"/>
              </w:rPr>
              <w:t>3-5-26</w:t>
            </w:r>
          </w:p>
        </w:tc>
        <w:tc>
          <w:tcPr>
            <w:tcW w:w="795" w:type="pct"/>
            <w:tcBorders>
              <w:top w:val="single" w:color="auto" w:sz="4" w:space="0"/>
              <w:left w:val="single" w:color="auto" w:sz="4" w:space="0"/>
              <w:bottom w:val="single" w:color="auto" w:sz="4" w:space="0"/>
              <w:right w:val="single" w:color="auto" w:sz="4" w:space="0"/>
            </w:tcBorders>
            <w:noWrap w:val="0"/>
            <w:vAlign w:val="center"/>
          </w:tcPr>
          <w:p w14:paraId="08C323F0">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15-40℃</w:t>
            </w:r>
          </w:p>
          <w:p w14:paraId="210B0730">
            <w:pPr>
              <w:pStyle w:val="72"/>
              <w:adjustRightInd w:val="0"/>
              <w:snapToGrid w:val="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2.5-3.5kPa</w:t>
            </w:r>
          </w:p>
          <w:p w14:paraId="48AF9DC8">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化学性质稳定</w:t>
            </w:r>
          </w:p>
        </w:tc>
        <w:tc>
          <w:tcPr>
            <w:tcW w:w="1392" w:type="pct"/>
            <w:tcBorders>
              <w:top w:val="single" w:color="auto" w:sz="4" w:space="0"/>
              <w:left w:val="single" w:color="auto" w:sz="4" w:space="0"/>
              <w:bottom w:val="single" w:color="auto" w:sz="4" w:space="0"/>
              <w:right w:val="nil"/>
            </w:tcBorders>
            <w:noWrap w:val="0"/>
            <w:vAlign w:val="center"/>
          </w:tcPr>
          <w:p w14:paraId="01CC654F">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设备故障，管道破裂或操作失误等引发泄露，以及遇火源发生火灾、爆炸事故。</w:t>
            </w:r>
          </w:p>
        </w:tc>
      </w:tr>
    </w:tbl>
    <w:p w14:paraId="1C0935FA">
      <w:pPr>
        <w:pStyle w:val="8"/>
        <w:bidi w:val="0"/>
        <w:rPr>
          <w:rFonts w:hint="default" w:ascii="Times New Roman" w:hAnsi="Times New Roman" w:cs="Times New Roman"/>
          <w:snapToGrid w:val="0"/>
          <w:color w:val="auto"/>
          <w:highlight w:val="none"/>
          <w:lang w:val="en-US"/>
        </w:rPr>
      </w:pPr>
      <w:bookmarkStart w:id="516" w:name="_Toc17426"/>
      <w:bookmarkStart w:id="517" w:name="_Toc12122"/>
      <w:bookmarkStart w:id="518" w:name="_Toc9571"/>
      <w:bookmarkStart w:id="519" w:name="_Toc2938"/>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rPr>
        <w:t>5</w:t>
      </w:r>
      <w:r>
        <w:rPr>
          <w:rFonts w:hint="default" w:ascii="Times New Roman" w:hAnsi="Times New Roman" w:cs="Times New Roman"/>
          <w:snapToGrid w:val="0"/>
          <w:color w:val="auto"/>
          <w:highlight w:val="none"/>
        </w:rPr>
        <w:t>.3.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 xml:space="preserve"> 环境风险类型及危害分析</w:t>
      </w:r>
    </w:p>
    <w:p w14:paraId="64C1A382">
      <w:pPr>
        <w:adjustRightInd w:val="0"/>
        <w:snapToGrid w:val="0"/>
        <w:spacing w:line="480" w:lineRule="exact"/>
        <w:ind w:firstLine="480" w:firstLineChars="200"/>
        <w:rPr>
          <w:rFonts w:hint="default" w:ascii="Times New Roman" w:hAnsi="Times New Roman" w:cs="Times New Roman"/>
          <w:bCs/>
          <w:snapToGrid w:val="0"/>
          <w:color w:val="auto"/>
          <w:szCs w:val="22"/>
          <w:highlight w:val="none"/>
        </w:rPr>
      </w:pPr>
      <w:r>
        <w:rPr>
          <w:rFonts w:hint="default" w:ascii="Times New Roman" w:hAnsi="Times New Roman" w:cs="Times New Roman"/>
          <w:bCs/>
          <w:snapToGrid w:val="0"/>
          <w:color w:val="auto"/>
          <w:szCs w:val="22"/>
          <w:highlight w:val="none"/>
        </w:rPr>
        <w:t>甲烷泄露：进入空气对其造成不利影响。</w:t>
      </w:r>
    </w:p>
    <w:p w14:paraId="11A9017B">
      <w:pPr>
        <w:pStyle w:val="2"/>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bCs/>
          <w:snapToGrid w:val="0"/>
          <w:color w:val="auto"/>
          <w:szCs w:val="22"/>
          <w:highlight w:val="none"/>
        </w:rPr>
        <w:t>甲烷发生火灾、爆炸引起的伴生/次生污染物排放：首先通过放出辐射热影响周围环境，其次是伴随释放的CO</w:t>
      </w:r>
      <w:r>
        <w:rPr>
          <w:rFonts w:hint="default" w:ascii="Times New Roman" w:hAnsi="Times New Roman" w:cs="Times New Roman"/>
          <w:bCs/>
          <w:snapToGrid w:val="0"/>
          <w:color w:val="auto"/>
          <w:szCs w:val="22"/>
          <w:highlight w:val="none"/>
          <w:vertAlign w:val="subscript"/>
        </w:rPr>
        <w:t>2</w:t>
      </w:r>
      <w:r>
        <w:rPr>
          <w:rFonts w:hint="default" w:ascii="Times New Roman" w:hAnsi="Times New Roman" w:cs="Times New Roman"/>
          <w:bCs/>
          <w:snapToGrid w:val="0"/>
          <w:color w:val="auto"/>
          <w:szCs w:val="22"/>
          <w:highlight w:val="none"/>
        </w:rPr>
        <w:t>和CO会对环境空气和人群健康、植物造成不利影响；消防废水进入地表水和地下水对其造成不利影响。</w:t>
      </w:r>
    </w:p>
    <w:p w14:paraId="3E285105">
      <w:pPr>
        <w:pStyle w:val="8"/>
        <w:bidi w:val="0"/>
        <w:rPr>
          <w:rFonts w:hint="default" w:ascii="Times New Roman" w:hAnsi="Times New Roman" w:cs="Times New Roman"/>
          <w:snapToGrid w:val="0"/>
          <w:color w:val="auto"/>
          <w:highlight w:val="none"/>
          <w:lang w:val="en-US"/>
        </w:rPr>
      </w:pPr>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rPr>
        <w:t>5</w:t>
      </w:r>
      <w:r>
        <w:rPr>
          <w:rFonts w:hint="default" w:ascii="Times New Roman" w:hAnsi="Times New Roman" w:cs="Times New Roman"/>
          <w:snapToGrid w:val="0"/>
          <w:color w:val="auto"/>
          <w:highlight w:val="none"/>
        </w:rPr>
        <w:t>.3.</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 xml:space="preserve"> 危险物质向环境转移的途径</w:t>
      </w:r>
    </w:p>
    <w:p w14:paraId="2C9A44E0">
      <w:pPr>
        <w:autoSpaceDE w:val="0"/>
        <w:autoSpaceDN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根据有毒有害物质放散起因，风险类型分为火灾、爆炸和泄漏三种类型。本项目风险类型主要为贮存中出现的甲烷泄漏以及由此引发的火灾事故。不考虑自然灾害如地震、洪水、台风等引起的事故风险。具体如下：因贮存设施故障，造成甲烷的泄漏；因消防管理措施不当，造成的火灾或爆炸。</w:t>
      </w:r>
    </w:p>
    <w:p w14:paraId="57E292A5">
      <w:pPr>
        <w:pStyle w:val="8"/>
        <w:bidi w:val="0"/>
        <w:rPr>
          <w:rFonts w:hint="default" w:ascii="Times New Roman" w:hAnsi="Times New Roman" w:cs="Times New Roman"/>
          <w:snapToGrid w:val="0"/>
          <w:color w:val="auto"/>
          <w:highlight w:val="none"/>
          <w:lang w:val="en-US"/>
        </w:rPr>
      </w:pPr>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rPr>
        <w:t>5</w:t>
      </w:r>
      <w:r>
        <w:rPr>
          <w:rFonts w:hint="default" w:ascii="Times New Roman" w:hAnsi="Times New Roman" w:cs="Times New Roman"/>
          <w:snapToGrid w:val="0"/>
          <w:color w:val="auto"/>
          <w:highlight w:val="none"/>
        </w:rPr>
        <w:t>.3.</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风险识别结果</w:t>
      </w:r>
    </w:p>
    <w:p w14:paraId="796CEA2E">
      <w:pPr>
        <w:adjustRightInd w:val="0"/>
        <w:snapToGrid w:val="0"/>
        <w:spacing w:line="480" w:lineRule="exact"/>
        <w:ind w:firstLine="480" w:firstLineChars="200"/>
        <w:rPr>
          <w:rFonts w:hint="default" w:ascii="Times New Roman" w:hAnsi="Times New Roman" w:cs="Times New Roman"/>
          <w:bCs/>
          <w:snapToGrid w:val="0"/>
          <w:color w:val="auto"/>
          <w:szCs w:val="22"/>
          <w:highlight w:val="none"/>
        </w:rPr>
      </w:pPr>
      <w:r>
        <w:rPr>
          <w:rFonts w:hint="default" w:ascii="Times New Roman" w:hAnsi="Times New Roman" w:cs="Times New Roman"/>
          <w:bCs/>
          <w:snapToGrid w:val="0"/>
          <w:color w:val="auto"/>
          <w:szCs w:val="22"/>
          <w:highlight w:val="none"/>
        </w:rPr>
        <w:t>本项目风险识别结果见表3</w:t>
      </w:r>
      <w:r>
        <w:rPr>
          <w:rFonts w:hint="eastAsia" w:ascii="Times New Roman" w:hAnsi="Times New Roman" w:cs="Times New Roman"/>
          <w:bCs/>
          <w:snapToGrid w:val="0"/>
          <w:color w:val="auto"/>
          <w:szCs w:val="22"/>
          <w:highlight w:val="none"/>
          <w:lang w:val="en-US" w:eastAsia="zh-CN"/>
        </w:rPr>
        <w:t>.5</w:t>
      </w:r>
      <w:r>
        <w:rPr>
          <w:rFonts w:hint="default" w:ascii="Times New Roman" w:hAnsi="Times New Roman" w:cs="Times New Roman"/>
          <w:bCs/>
          <w:snapToGrid w:val="0"/>
          <w:color w:val="auto"/>
          <w:szCs w:val="22"/>
          <w:highlight w:val="none"/>
        </w:rPr>
        <w:t>-</w:t>
      </w:r>
      <w:r>
        <w:rPr>
          <w:rFonts w:hint="eastAsia" w:ascii="Times New Roman" w:hAnsi="Times New Roman" w:cs="Times New Roman"/>
          <w:bCs/>
          <w:snapToGrid w:val="0"/>
          <w:color w:val="auto"/>
          <w:szCs w:val="22"/>
          <w:highlight w:val="none"/>
          <w:lang w:val="en-US" w:eastAsia="zh-CN"/>
        </w:rPr>
        <w:t>25</w:t>
      </w:r>
      <w:r>
        <w:rPr>
          <w:rFonts w:hint="default" w:ascii="Times New Roman" w:hAnsi="Times New Roman" w:cs="Times New Roman"/>
          <w:bCs/>
          <w:snapToGrid w:val="0"/>
          <w:color w:val="auto"/>
          <w:szCs w:val="22"/>
          <w:highlight w:val="none"/>
        </w:rPr>
        <w:t>。</w:t>
      </w:r>
    </w:p>
    <w:p w14:paraId="286B88FE">
      <w:pPr>
        <w:pStyle w:val="216"/>
        <w:adjustRightInd w:val="0"/>
        <w:snapToGrid w:val="0"/>
        <w:textAlignment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表3</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w:t>
      </w:r>
      <w:r>
        <w:rPr>
          <w:rFonts w:hint="eastAsia" w:ascii="Times New Roman" w:hAnsi="Times New Roman" w:eastAsia="黑体" w:cs="Times New Roman"/>
          <w:b w:val="0"/>
          <w:bCs/>
          <w:smallCaps w:val="0"/>
          <w:snapToGrid/>
          <w:color w:val="auto"/>
          <w:kern w:val="2"/>
          <w:sz w:val="21"/>
          <w:szCs w:val="24"/>
          <w:highlight w:val="none"/>
          <w:lang w:val="en-US" w:eastAsia="zh-CN" w:bidi="ar-SA"/>
        </w:rPr>
        <w:t>25</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本项目风险识别结果</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0"/>
        <w:gridCol w:w="900"/>
        <w:gridCol w:w="950"/>
        <w:gridCol w:w="1777"/>
        <w:gridCol w:w="1577"/>
        <w:gridCol w:w="1978"/>
      </w:tblGrid>
      <w:tr w14:paraId="2BF5AB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86" w:type="pct"/>
            <w:tcBorders>
              <w:tl2br w:val="nil"/>
              <w:tr2bl w:val="nil"/>
            </w:tcBorders>
            <w:noWrap w:val="0"/>
            <w:vAlign w:val="center"/>
          </w:tcPr>
          <w:p w14:paraId="768B9F5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危险单元</w:t>
            </w:r>
          </w:p>
        </w:tc>
        <w:tc>
          <w:tcPr>
            <w:tcW w:w="528" w:type="pct"/>
            <w:tcBorders>
              <w:tl2br w:val="nil"/>
              <w:tr2bl w:val="nil"/>
            </w:tcBorders>
            <w:noWrap w:val="0"/>
            <w:vAlign w:val="center"/>
          </w:tcPr>
          <w:p w14:paraId="7C505A3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风险源</w:t>
            </w:r>
          </w:p>
        </w:tc>
        <w:tc>
          <w:tcPr>
            <w:tcW w:w="557" w:type="pct"/>
            <w:tcBorders>
              <w:tl2br w:val="nil"/>
              <w:tr2bl w:val="nil"/>
            </w:tcBorders>
            <w:noWrap w:val="0"/>
            <w:vAlign w:val="center"/>
          </w:tcPr>
          <w:p w14:paraId="1654FAEA">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危险物质</w:t>
            </w:r>
          </w:p>
        </w:tc>
        <w:tc>
          <w:tcPr>
            <w:tcW w:w="1042" w:type="pct"/>
            <w:tcBorders>
              <w:tl2br w:val="nil"/>
              <w:tr2bl w:val="nil"/>
            </w:tcBorders>
            <w:noWrap w:val="0"/>
            <w:vAlign w:val="center"/>
          </w:tcPr>
          <w:p w14:paraId="6F0212F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环境风险类型</w:t>
            </w:r>
          </w:p>
        </w:tc>
        <w:tc>
          <w:tcPr>
            <w:tcW w:w="925" w:type="pct"/>
            <w:tcBorders>
              <w:tl2br w:val="nil"/>
              <w:tr2bl w:val="nil"/>
            </w:tcBorders>
            <w:noWrap w:val="0"/>
            <w:vAlign w:val="center"/>
          </w:tcPr>
          <w:p w14:paraId="6CA4806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环境影响途径</w:t>
            </w:r>
          </w:p>
        </w:tc>
        <w:tc>
          <w:tcPr>
            <w:tcW w:w="1160" w:type="pct"/>
            <w:tcBorders>
              <w:tl2br w:val="nil"/>
              <w:tr2bl w:val="nil"/>
            </w:tcBorders>
            <w:noWrap w:val="0"/>
            <w:vAlign w:val="center"/>
          </w:tcPr>
          <w:p w14:paraId="4B10811A">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可能受影响的环境敏感目标</w:t>
            </w:r>
          </w:p>
        </w:tc>
      </w:tr>
      <w:tr w14:paraId="531789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86" w:type="pct"/>
            <w:tcBorders>
              <w:tl2br w:val="nil"/>
              <w:tr2bl w:val="nil"/>
            </w:tcBorders>
            <w:noWrap w:val="0"/>
            <w:vAlign w:val="center"/>
          </w:tcPr>
          <w:p w14:paraId="63E404A6">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沼气燃烧火炬管道</w:t>
            </w:r>
          </w:p>
        </w:tc>
        <w:tc>
          <w:tcPr>
            <w:tcW w:w="528" w:type="pct"/>
            <w:tcBorders>
              <w:tl2br w:val="nil"/>
              <w:tr2bl w:val="nil"/>
            </w:tcBorders>
            <w:noWrap w:val="0"/>
            <w:vAlign w:val="center"/>
          </w:tcPr>
          <w:p w14:paraId="749C724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沼气</w:t>
            </w:r>
          </w:p>
        </w:tc>
        <w:tc>
          <w:tcPr>
            <w:tcW w:w="557" w:type="pct"/>
            <w:tcBorders>
              <w:tl2br w:val="nil"/>
              <w:tr2bl w:val="nil"/>
            </w:tcBorders>
            <w:noWrap w:val="0"/>
            <w:vAlign w:val="center"/>
          </w:tcPr>
          <w:p w14:paraId="3186174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甲烷</w:t>
            </w:r>
          </w:p>
        </w:tc>
        <w:tc>
          <w:tcPr>
            <w:tcW w:w="1042" w:type="pct"/>
            <w:tcBorders>
              <w:tl2br w:val="nil"/>
              <w:tr2bl w:val="nil"/>
            </w:tcBorders>
            <w:noWrap w:val="0"/>
            <w:vAlign w:val="center"/>
          </w:tcPr>
          <w:p w14:paraId="7DD3223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泄露和火灾、爆炸引起的伴生/次生污染物排放</w:t>
            </w:r>
          </w:p>
        </w:tc>
        <w:tc>
          <w:tcPr>
            <w:tcW w:w="925" w:type="pct"/>
            <w:tcBorders>
              <w:tl2br w:val="nil"/>
              <w:tr2bl w:val="nil"/>
            </w:tcBorders>
            <w:noWrap w:val="0"/>
            <w:vAlign w:val="center"/>
          </w:tcPr>
          <w:p w14:paraId="27AE1B6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污染物进入空气，消防废水进入地表水和地下水</w:t>
            </w:r>
          </w:p>
        </w:tc>
        <w:tc>
          <w:tcPr>
            <w:tcW w:w="1160" w:type="pct"/>
            <w:tcBorders>
              <w:tl2br w:val="nil"/>
              <w:tr2bl w:val="nil"/>
            </w:tcBorders>
            <w:noWrap w:val="0"/>
            <w:vAlign w:val="center"/>
          </w:tcPr>
          <w:p w14:paraId="0B75925F">
            <w:pPr>
              <w:adjustRightInd w:val="0"/>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snapToGrid w:val="0"/>
                <w:color w:val="auto"/>
                <w:sz w:val="21"/>
                <w:szCs w:val="21"/>
                <w:highlight w:val="none"/>
                <w:lang w:val="en-US" w:eastAsia="zh-CN"/>
              </w:rPr>
              <w:t>半拉城子、王家店屯、团结村、团结村四组、同心村、同心六组、柳毛乡、双合五组</w:t>
            </w:r>
          </w:p>
        </w:tc>
      </w:tr>
    </w:tbl>
    <w:p w14:paraId="7447CDFF">
      <w:pPr>
        <w:pStyle w:val="7"/>
        <w:bidi w:val="0"/>
        <w:rPr>
          <w:rFonts w:hint="default"/>
          <w:highlight w:val="none"/>
        </w:rPr>
      </w:pPr>
      <w:r>
        <w:rPr>
          <w:rFonts w:hint="default"/>
          <w:highlight w:val="none"/>
        </w:rPr>
        <w:t>3.</w:t>
      </w:r>
      <w:r>
        <w:rPr>
          <w:rFonts w:hint="eastAsia"/>
          <w:highlight w:val="none"/>
          <w:lang w:val="en-US" w:eastAsia="zh-CN"/>
        </w:rPr>
        <w:t>5</w:t>
      </w:r>
      <w:r>
        <w:rPr>
          <w:rFonts w:hint="default"/>
          <w:highlight w:val="none"/>
        </w:rPr>
        <w:t>.4清洁生产</w:t>
      </w:r>
      <w:bookmarkEnd w:id="516"/>
      <w:bookmarkEnd w:id="517"/>
      <w:bookmarkEnd w:id="518"/>
      <w:bookmarkEnd w:id="519"/>
    </w:p>
    <w:p w14:paraId="20890D2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（1）生产工艺分析</w:t>
      </w:r>
    </w:p>
    <w:p w14:paraId="5EC07B2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①选用优良新品种，有利于养殖业健康稳定，持续发展。</w:t>
      </w:r>
    </w:p>
    <w:p w14:paraId="1CDD708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②采取适度规模的集约化养殖方式，有利于采用能耗物耗小，污染物排放量少的清洁生产工艺，提高经济效益，提高环境质量。</w:t>
      </w:r>
    </w:p>
    <w:p w14:paraId="56775AA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③养殖场设施完善，猪舍结构合理，设计和建设时将充分考虑环保的要求，猪舍里的粪便干法清除，猪尿、冲洗污水通过管道收集处理。</w:t>
      </w:r>
    </w:p>
    <w:p w14:paraId="2714885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④实现粪便无害化。</w:t>
      </w:r>
    </w:p>
    <w:p w14:paraId="4F7A924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⑤坚持农牧结合、种养平衡原则，严格根据土地对猪粪尿的消纳能力，控制养殖规模，做到畜禽养殖废水资源化利用，不向地表水体排放，以控制对环境的污染。</w:t>
      </w:r>
    </w:p>
    <w:p w14:paraId="7043961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（2）资源能源利用情况分析</w:t>
      </w:r>
    </w:p>
    <w:p w14:paraId="32EA442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按着国家有关节能技术规定，设计中对养殖各工序分别采取了相应的节能措施。厂区在设计过程中的主要节能措施如下所示。</w:t>
      </w:r>
    </w:p>
    <w:p w14:paraId="75E9716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①机电设备部分节能措施</w:t>
      </w:r>
    </w:p>
    <w:p w14:paraId="5D73DCB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a设备选型力求与生产能力相匹配，以免造成设备的闲置与不必要的浪费。</w:t>
      </w:r>
    </w:p>
    <w:p w14:paraId="484F589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b电器设备均选用节能型设备，包括水泵、电机、灯具等，力求做到用电及电力系统合理匹配，从而降低能耗。</w:t>
      </w:r>
    </w:p>
    <w:p w14:paraId="5CC645E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c供热设备选用效率高、能耗低的设备，管道敷设采用新型高效保温材料及施工方式，提高能源利用率。</w:t>
      </w:r>
    </w:p>
    <w:p w14:paraId="4A3D96E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d加强设备综合管理，对水、电等原料的使用，严格计量，提高设备运营效率。</w:t>
      </w:r>
    </w:p>
    <w:p w14:paraId="14B72E9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②建筑部分节能措施</w:t>
      </w:r>
    </w:p>
    <w:p w14:paraId="2D5A3F4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主要建筑物办公、消毒、生产办公室等属民用建筑类，设计严格按照《严寒和寒冷地区居住建筑节能设计标准》（JGJ26-20</w:t>
      </w:r>
      <w:r>
        <w:rPr>
          <w:rFonts w:hint="eastAsia" w:ascii="Times New Roman" w:hAnsi="Times New Roman" w:cs="Times New Roman"/>
          <w:snapToGrid w:val="0"/>
          <w:color w:val="auto"/>
          <w:highlight w:val="none"/>
          <w:lang w:val="en-US" w:eastAsia="zh-CN"/>
        </w:rPr>
        <w:t>18</w:t>
      </w:r>
      <w:r>
        <w:rPr>
          <w:rFonts w:hint="default" w:ascii="Times New Roman" w:hAnsi="Times New Roman" w:eastAsia="宋体" w:cs="Times New Roman"/>
          <w:snapToGrid w:val="0"/>
          <w:color w:val="auto"/>
          <w:highlight w:val="none"/>
        </w:rPr>
        <w:t>）执行。</w:t>
      </w:r>
    </w:p>
    <w:p w14:paraId="1D44390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在整个养殖过程中由于自动化较高，因此在能源方面较小型散养耗能较大，但从整体来看，单位产品的能耗却大大降低。</w:t>
      </w:r>
    </w:p>
    <w:p w14:paraId="6B8BAB9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（3）产品指标分析</w:t>
      </w:r>
    </w:p>
    <w:p w14:paraId="567267E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本工程规划养殖规模为存栏</w:t>
      </w:r>
      <w:r>
        <w:rPr>
          <w:rFonts w:hint="eastAsia" w:ascii="Times New Roman" w:hAnsi="Times New Roman" w:cs="Times New Roman"/>
          <w:color w:val="auto"/>
          <w:highlight w:val="none"/>
          <w:lang w:val="en-US" w:eastAsia="zh-CN"/>
        </w:rPr>
        <w:t>8000</w:t>
      </w:r>
      <w:r>
        <w:rPr>
          <w:rFonts w:hint="default" w:ascii="Times New Roman" w:hAnsi="Times New Roman" w:eastAsia="宋体" w:cs="Times New Roman"/>
          <w:color w:val="auto"/>
          <w:highlight w:val="none"/>
          <w:lang w:eastAsia="zh-CN"/>
        </w:rPr>
        <w:t>头</w:t>
      </w:r>
      <w:r>
        <w:rPr>
          <w:rFonts w:hint="default" w:ascii="Times New Roman" w:hAnsi="Times New Roman" w:eastAsia="宋体" w:cs="Times New Roman"/>
          <w:snapToGrid w:val="0"/>
          <w:color w:val="auto"/>
          <w:highlight w:val="none"/>
        </w:rPr>
        <w:t>。建设单位从猪的品种选择、养殖的厂址选择、养殖基础设施建设等多方面进行严格的考量，以确保生猪的品质。</w:t>
      </w:r>
    </w:p>
    <w:p w14:paraId="4F3AFFE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（4）污染物产生情况分析</w:t>
      </w:r>
    </w:p>
    <w:p w14:paraId="79083803">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①废水</w:t>
      </w:r>
    </w:p>
    <w:p w14:paraId="27F5DF19">
      <w:pPr>
        <w:pStyle w:val="94"/>
        <w:ind w:firstLine="480"/>
        <w:rPr>
          <w:rFonts w:hint="default" w:ascii="Times New Roman" w:hAnsi="Times New Roman" w:eastAsia="宋体" w:cs="Times New Roman"/>
          <w:snapToGrid w:val="0"/>
          <w:color w:val="auto"/>
          <w:sz w:val="24"/>
          <w:szCs w:val="24"/>
          <w:highlight w:val="none"/>
          <w:lang w:val="zh-CN"/>
        </w:rPr>
      </w:pPr>
      <w:bookmarkStart w:id="520" w:name="_Hlk479528944"/>
      <w:r>
        <w:rPr>
          <w:rFonts w:hint="default" w:ascii="Times New Roman" w:hAnsi="Times New Roman" w:eastAsia="宋体" w:cs="Times New Roman"/>
          <w:snapToGrid w:val="0"/>
          <w:color w:val="auto"/>
          <w:highlight w:val="none"/>
          <w:lang w:val="en-US" w:eastAsia="zh-CN"/>
        </w:rPr>
        <w:t>猪舍清粪方式为新型的</w:t>
      </w:r>
      <w:r>
        <w:rPr>
          <w:rFonts w:hint="eastAsia" w:ascii="Times New Roman" w:hAnsi="Times New Roman" w:cs="Times New Roman"/>
          <w:snapToGrid w:val="0"/>
          <w:color w:val="auto"/>
          <w:highlight w:val="none"/>
          <w:lang w:val="en-US" w:eastAsia="zh-CN"/>
        </w:rPr>
        <w:t>尿泡粪—干清粪</w:t>
      </w:r>
      <w:r>
        <w:rPr>
          <w:rFonts w:hint="default" w:ascii="Times New Roman" w:hAnsi="Times New Roman" w:eastAsia="宋体" w:cs="Times New Roman"/>
          <w:snapToGrid w:val="0"/>
          <w:color w:val="auto"/>
          <w:highlight w:val="none"/>
          <w:lang w:val="en-US" w:eastAsia="zh-CN"/>
        </w:rPr>
        <w:t>工艺。项目使用</w:t>
      </w:r>
      <w:r>
        <w:rPr>
          <w:rFonts w:hint="eastAsia" w:ascii="Times New Roman" w:hAnsi="Times New Roman" w:cs="Times New Roman"/>
          <w:snapToGrid w:val="0"/>
          <w:color w:val="auto"/>
          <w:highlight w:val="none"/>
          <w:lang w:val="en-US" w:eastAsia="zh-CN"/>
        </w:rPr>
        <w:t>尿泡粪—干清粪</w:t>
      </w:r>
      <w:r>
        <w:rPr>
          <w:rFonts w:hint="default" w:ascii="Times New Roman" w:hAnsi="Times New Roman" w:eastAsia="宋体" w:cs="Times New Roman"/>
          <w:snapToGrid w:val="0"/>
          <w:color w:val="auto"/>
          <w:highlight w:val="none"/>
          <w:lang w:val="en-US" w:eastAsia="zh-CN"/>
        </w:rPr>
        <w:t>工艺，猪粪和尿液混合收集，用猪本身产生的尿液来软化粪便，粪便在粪沟中被尿液浸泡稀释成粪液，储存</w:t>
      </w:r>
      <w:r>
        <w:rPr>
          <w:rFonts w:hint="eastAsia" w:ascii="Times New Roman" w:hAnsi="Times New Roman" w:cs="Times New Roman"/>
          <w:snapToGrid w:val="0"/>
          <w:color w:val="auto"/>
          <w:highlight w:val="none"/>
          <w:lang w:val="en-US" w:eastAsia="zh-CN"/>
        </w:rPr>
        <w:t>30天</w:t>
      </w:r>
      <w:r>
        <w:rPr>
          <w:rFonts w:hint="default" w:ascii="Times New Roman" w:hAnsi="Times New Roman" w:eastAsia="宋体" w:cs="Times New Roman"/>
          <w:snapToGrid w:val="0"/>
          <w:color w:val="auto"/>
          <w:highlight w:val="none"/>
          <w:lang w:val="en-US" w:eastAsia="zh-CN"/>
        </w:rPr>
        <w:t>后打开排污塞子，将沟中粪水排出，随后通过固液分离，固体粪污进入</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rPr>
        <w:t>减少了废水的产生量和排放量，项目产生的废水主要包括猪尿、猪舍冲洗废水、职工生活污水。本项目所产生的废水总量为</w:t>
      </w:r>
      <w:r>
        <w:rPr>
          <w:rFonts w:hint="eastAsia" w:ascii="Times New Roman" w:hAnsi="Times New Roman" w:cs="Times New Roman"/>
          <w:snapToGrid w:val="0"/>
          <w:color w:val="auto"/>
          <w:highlight w:val="none"/>
          <w:lang w:eastAsia="zh-CN"/>
        </w:rPr>
        <w:t>9539.567</w:t>
      </w:r>
      <w:r>
        <w:rPr>
          <w:rFonts w:hint="default" w:ascii="Times New Roman" w:hAnsi="Times New Roman" w:eastAsia="宋体" w:cs="Times New Roman"/>
          <w:snapToGrid w:val="0"/>
          <w:color w:val="auto"/>
          <w:highlight w:val="none"/>
        </w:rPr>
        <w:t>t/a。废水中的主要污染因子有COD、NH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-N。其中COD的产生量为</w:t>
      </w:r>
      <w:r>
        <w:rPr>
          <w:rFonts w:hint="eastAsia" w:ascii="Times New Roman" w:hAnsi="Times New Roman" w:cs="Times New Roman"/>
          <w:snapToGrid w:val="0"/>
          <w:color w:val="auto"/>
          <w:highlight w:val="none"/>
          <w:lang w:val="en-US" w:eastAsia="zh-CN"/>
        </w:rPr>
        <w:t>24.587</w:t>
      </w:r>
      <w:r>
        <w:rPr>
          <w:rFonts w:hint="default" w:ascii="Times New Roman" w:hAnsi="Times New Roman" w:eastAsia="宋体" w:cs="Times New Roman"/>
          <w:snapToGrid w:val="0"/>
          <w:color w:val="auto"/>
          <w:highlight w:val="none"/>
        </w:rPr>
        <w:t>t/a，NH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-N的产生量为</w:t>
      </w:r>
      <w:r>
        <w:rPr>
          <w:rFonts w:hint="default" w:ascii="Times New Roman" w:hAnsi="Times New Roman" w:eastAsia="宋体" w:cs="Times New Roman"/>
          <w:snapToGrid w:val="0"/>
          <w:color w:val="auto"/>
          <w:highlight w:val="none"/>
          <w:lang w:val="en-US" w:eastAsia="zh-CN"/>
        </w:rPr>
        <w:t>2.42</w:t>
      </w:r>
      <w:r>
        <w:rPr>
          <w:rFonts w:hint="eastAsia" w:ascii="Times New Roman" w:hAnsi="Times New Roman" w:cs="Times New Roman"/>
          <w:snapToGrid w:val="0"/>
          <w:color w:val="auto"/>
          <w:highlight w:val="none"/>
          <w:lang w:val="en-US" w:eastAsia="zh-CN"/>
        </w:rPr>
        <w:t>77</w:t>
      </w:r>
      <w:r>
        <w:rPr>
          <w:rFonts w:hint="default" w:ascii="Times New Roman" w:hAnsi="Times New Roman" w:eastAsia="宋体" w:cs="Times New Roman"/>
          <w:snapToGrid w:val="0"/>
          <w:color w:val="auto"/>
          <w:highlight w:val="none"/>
        </w:rPr>
        <w:t>t/a。</w:t>
      </w:r>
      <w:bookmarkEnd w:id="520"/>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cs="Times New Roman"/>
          <w:snapToGrid w:val="0"/>
          <w:color w:val="auto"/>
          <w:highlight w:val="none"/>
          <w:lang w:val="zh-CN" w:eastAsia="zh-CN"/>
        </w:rPr>
        <w:t>沼液贮存池</w:t>
      </w:r>
      <w:r>
        <w:rPr>
          <w:rFonts w:hint="default" w:ascii="Times New Roman" w:hAnsi="Times New Roman" w:cs="Times New Roman"/>
          <w:snapToGrid w:val="0"/>
          <w:color w:val="auto"/>
          <w:highlight w:val="none"/>
          <w:lang w:val="zh-CN"/>
        </w:rPr>
        <w:t>。</w:t>
      </w:r>
      <w:r>
        <w:rPr>
          <w:rFonts w:hint="default" w:ascii="Times New Roman" w:hAnsi="Times New Roman" w:eastAsia="宋体" w:cs="Times New Roman"/>
          <w:snapToGrid w:val="0"/>
          <w:color w:val="auto"/>
          <w:sz w:val="24"/>
          <w:szCs w:val="24"/>
          <w:highlight w:val="none"/>
        </w:rPr>
        <w:t>运行期养殖废水排放量为</w:t>
      </w:r>
      <w:r>
        <w:rPr>
          <w:rFonts w:hint="eastAsia" w:ascii="Times New Roman" w:hAnsi="Times New Roman" w:cs="Times New Roman"/>
          <w:i w:val="0"/>
          <w:iCs w:val="0"/>
          <w:snapToGrid w:val="0"/>
          <w:color w:val="auto"/>
          <w:kern w:val="0"/>
          <w:sz w:val="24"/>
          <w:szCs w:val="24"/>
          <w:highlight w:val="none"/>
          <w:u w:val="none"/>
          <w:lang w:val="en-US" w:eastAsia="zh-CN" w:bidi="ar"/>
        </w:rPr>
        <w:t>25.4316</w:t>
      </w:r>
      <w:r>
        <w:rPr>
          <w:rFonts w:hint="default" w:ascii="Times New Roman" w:hAnsi="Times New Roman" w:eastAsia="宋体" w:cs="Times New Roman"/>
          <w:snapToGrid w:val="0"/>
          <w:color w:val="auto"/>
          <w:sz w:val="24"/>
          <w:szCs w:val="24"/>
          <w:highlight w:val="none"/>
        </w:rPr>
        <w:t>t/d</w:t>
      </w:r>
      <w:r>
        <w:rPr>
          <w:rFonts w:hint="default" w:ascii="Times New Roman" w:hAnsi="Times New Roman" w:eastAsia="宋体" w:cs="Times New Roman"/>
          <w:snapToGrid w:val="0"/>
          <w:color w:val="auto"/>
          <w:sz w:val="24"/>
          <w:szCs w:val="24"/>
          <w:highlight w:val="none"/>
          <w:lang w:val="zh-CN"/>
        </w:rPr>
        <w:t>，</w:t>
      </w:r>
      <w:r>
        <w:rPr>
          <w:rFonts w:hint="default" w:ascii="Times New Roman" w:hAnsi="Times New Roman" w:eastAsia="宋体" w:cs="Times New Roman"/>
          <w:snapToGrid w:val="0"/>
          <w:color w:val="auto"/>
          <w:sz w:val="24"/>
          <w:szCs w:val="24"/>
          <w:highlight w:val="none"/>
          <w:lang w:val="en-GB"/>
        </w:rPr>
        <w:t>折算为百头猪废水排放量为</w:t>
      </w:r>
      <w:r>
        <w:rPr>
          <w:rFonts w:hint="eastAsia" w:ascii="Times New Roman" w:hAnsi="Times New Roman" w:cs="Times New Roman"/>
          <w:snapToGrid w:val="0"/>
          <w:color w:val="auto"/>
          <w:sz w:val="24"/>
          <w:szCs w:val="24"/>
          <w:highlight w:val="none"/>
          <w:lang w:val="en-GB" w:eastAsia="zh-CN"/>
        </w:rPr>
        <w:t>0.32</w:t>
      </w:r>
      <w:r>
        <w:rPr>
          <w:rFonts w:hint="default" w:ascii="Times New Roman" w:hAnsi="Times New Roman" w:eastAsia="宋体" w:cs="Times New Roman"/>
          <w:snapToGrid w:val="0"/>
          <w:color w:val="auto"/>
          <w:sz w:val="24"/>
          <w:szCs w:val="24"/>
          <w:highlight w:val="none"/>
          <w:lang w:val="en-GB"/>
        </w:rPr>
        <w:t>m</w:t>
      </w:r>
      <w:r>
        <w:rPr>
          <w:rFonts w:hint="default" w:ascii="Times New Roman" w:hAnsi="Times New Roman" w:eastAsia="宋体" w:cs="Times New Roman"/>
          <w:snapToGrid w:val="0"/>
          <w:color w:val="auto"/>
          <w:sz w:val="24"/>
          <w:szCs w:val="24"/>
          <w:highlight w:val="none"/>
          <w:vertAlign w:val="superscript"/>
          <w:lang w:val="en-GB"/>
        </w:rPr>
        <w:t>3</w:t>
      </w:r>
      <w:r>
        <w:rPr>
          <w:rFonts w:hint="default" w:ascii="Times New Roman" w:hAnsi="Times New Roman" w:eastAsia="宋体" w:cs="Times New Roman"/>
          <w:snapToGrid w:val="0"/>
          <w:color w:val="auto"/>
          <w:sz w:val="24"/>
          <w:szCs w:val="24"/>
          <w:highlight w:val="none"/>
          <w:lang w:val="en-GB"/>
        </w:rPr>
        <w:t>/d，</w:t>
      </w:r>
      <w:r>
        <w:rPr>
          <w:rFonts w:hint="default" w:ascii="Times New Roman" w:hAnsi="Times New Roman" w:eastAsia="宋体" w:cs="Times New Roman"/>
          <w:snapToGrid w:val="0"/>
          <w:color w:val="auto"/>
          <w:sz w:val="24"/>
          <w:szCs w:val="24"/>
          <w:highlight w:val="none"/>
          <w:lang w:val="zh-CN"/>
        </w:rPr>
        <w:t>冬季排放量为</w:t>
      </w:r>
      <w:r>
        <w:rPr>
          <w:rFonts w:hint="eastAsia" w:ascii="Times New Roman" w:hAnsi="Times New Roman" w:cs="Times New Roman"/>
          <w:snapToGrid w:val="0"/>
          <w:color w:val="auto"/>
          <w:sz w:val="24"/>
          <w:szCs w:val="24"/>
          <w:highlight w:val="none"/>
          <w:lang w:val="zh-CN" w:eastAsia="zh-CN"/>
        </w:rPr>
        <w:t>25.4316</w:t>
      </w:r>
      <w:r>
        <w:rPr>
          <w:rFonts w:hint="default" w:ascii="Times New Roman" w:hAnsi="Times New Roman" w:eastAsia="宋体" w:cs="Times New Roman"/>
          <w:snapToGrid w:val="0"/>
          <w:color w:val="auto"/>
          <w:sz w:val="24"/>
          <w:szCs w:val="24"/>
          <w:highlight w:val="none"/>
          <w:lang w:val="zh-CN"/>
        </w:rPr>
        <w:t>t/d，</w:t>
      </w:r>
      <w:r>
        <w:rPr>
          <w:rFonts w:hint="default" w:ascii="Times New Roman" w:hAnsi="Times New Roman" w:eastAsia="宋体" w:cs="Times New Roman"/>
          <w:snapToGrid w:val="0"/>
          <w:color w:val="auto"/>
          <w:sz w:val="24"/>
          <w:szCs w:val="24"/>
          <w:highlight w:val="none"/>
          <w:lang w:val="en-GB"/>
        </w:rPr>
        <w:t>折算为百头猪废水排放量为</w:t>
      </w:r>
      <w:r>
        <w:rPr>
          <w:rFonts w:hint="eastAsia" w:ascii="Times New Roman" w:hAnsi="Times New Roman" w:cs="Times New Roman"/>
          <w:snapToGrid w:val="0"/>
          <w:color w:val="auto"/>
          <w:sz w:val="24"/>
          <w:szCs w:val="24"/>
          <w:highlight w:val="none"/>
          <w:lang w:val="en-GB" w:eastAsia="zh-CN"/>
        </w:rPr>
        <w:t>0.32</w:t>
      </w:r>
      <w:r>
        <w:rPr>
          <w:rFonts w:hint="default" w:ascii="Times New Roman" w:hAnsi="Times New Roman" w:eastAsia="宋体" w:cs="Times New Roman"/>
          <w:snapToGrid w:val="0"/>
          <w:color w:val="auto"/>
          <w:sz w:val="24"/>
          <w:szCs w:val="24"/>
          <w:highlight w:val="none"/>
          <w:lang w:val="en-GB"/>
        </w:rPr>
        <w:t>m</w:t>
      </w:r>
      <w:r>
        <w:rPr>
          <w:rFonts w:hint="default" w:ascii="Times New Roman" w:hAnsi="Times New Roman" w:eastAsia="宋体" w:cs="Times New Roman"/>
          <w:snapToGrid w:val="0"/>
          <w:color w:val="auto"/>
          <w:sz w:val="24"/>
          <w:szCs w:val="24"/>
          <w:highlight w:val="none"/>
          <w:vertAlign w:val="superscript"/>
          <w:lang w:val="en-GB"/>
        </w:rPr>
        <w:t>3</w:t>
      </w:r>
      <w:r>
        <w:rPr>
          <w:rFonts w:hint="default" w:ascii="Times New Roman" w:hAnsi="Times New Roman" w:eastAsia="宋体" w:cs="Times New Roman"/>
          <w:snapToGrid w:val="0"/>
          <w:color w:val="auto"/>
          <w:sz w:val="24"/>
          <w:szCs w:val="24"/>
          <w:highlight w:val="none"/>
          <w:lang w:val="en-GB"/>
        </w:rPr>
        <w:t>/d，</w:t>
      </w:r>
      <w:r>
        <w:rPr>
          <w:rFonts w:hint="default" w:ascii="Times New Roman" w:hAnsi="Times New Roman" w:eastAsia="宋体" w:cs="Times New Roman"/>
          <w:snapToGrid w:val="0"/>
          <w:color w:val="auto"/>
          <w:sz w:val="24"/>
          <w:szCs w:val="24"/>
          <w:highlight w:val="none"/>
        </w:rPr>
        <w:t>满足</w:t>
      </w:r>
      <w:r>
        <w:rPr>
          <w:rFonts w:hint="default" w:ascii="Times New Roman" w:hAnsi="Times New Roman" w:eastAsia="宋体" w:cs="Times New Roman"/>
          <w:snapToGrid w:val="0"/>
          <w:color w:val="auto"/>
          <w:sz w:val="24"/>
          <w:szCs w:val="24"/>
          <w:highlight w:val="none"/>
          <w:lang w:val="zh-CN"/>
        </w:rPr>
        <w:t>《畜禽养殖业污染物排放标准》（GB18596-2001）中“集约化畜禽养殖业</w:t>
      </w:r>
      <w:r>
        <w:rPr>
          <w:rFonts w:hint="eastAsia" w:ascii="Times New Roman" w:hAnsi="Times New Roman" w:cs="Times New Roman"/>
          <w:snapToGrid w:val="0"/>
          <w:color w:val="auto"/>
          <w:sz w:val="24"/>
          <w:szCs w:val="24"/>
          <w:highlight w:val="none"/>
          <w:lang w:val="zh-CN"/>
        </w:rPr>
        <w:t>干清粪</w:t>
      </w:r>
      <w:r>
        <w:rPr>
          <w:rFonts w:hint="default" w:ascii="Times New Roman" w:hAnsi="Times New Roman" w:eastAsia="宋体" w:cs="Times New Roman"/>
          <w:snapToGrid w:val="0"/>
          <w:color w:val="auto"/>
          <w:sz w:val="24"/>
          <w:szCs w:val="24"/>
          <w:highlight w:val="none"/>
          <w:lang w:val="zh-CN"/>
        </w:rPr>
        <w:t>工艺最高允许排水量标准”（</w:t>
      </w:r>
      <w:r>
        <w:rPr>
          <w:rFonts w:hint="eastAsia" w:ascii="Times New Roman" w:hAnsi="Times New Roman" w:cs="Times New Roman"/>
          <w:snapToGrid w:val="0"/>
          <w:color w:val="auto"/>
          <w:sz w:val="24"/>
          <w:szCs w:val="24"/>
          <w:highlight w:val="none"/>
          <w:lang w:eastAsia="zh-CN"/>
        </w:rPr>
        <w:t>冬季1.2m</w:t>
      </w:r>
      <w:r>
        <w:rPr>
          <w:rFonts w:hint="eastAsia" w:ascii="Times New Roman" w:hAnsi="Times New Roman" w:cs="Times New Roman"/>
          <w:snapToGrid w:val="0"/>
          <w:color w:val="auto"/>
          <w:sz w:val="24"/>
          <w:szCs w:val="24"/>
          <w:highlight w:val="none"/>
          <w:vertAlign w:val="superscript"/>
          <w:lang w:eastAsia="zh-CN"/>
        </w:rPr>
        <w:t>3</w:t>
      </w:r>
      <w:r>
        <w:rPr>
          <w:rFonts w:hint="eastAsia" w:ascii="Times New Roman" w:hAnsi="Times New Roman" w:cs="Times New Roman"/>
          <w:snapToGrid w:val="0"/>
          <w:color w:val="auto"/>
          <w:sz w:val="24"/>
          <w:szCs w:val="24"/>
          <w:highlight w:val="none"/>
          <w:lang w:eastAsia="zh-CN"/>
        </w:rPr>
        <w:t>/百头﹒天，夏季1.8m</w:t>
      </w:r>
      <w:r>
        <w:rPr>
          <w:rFonts w:hint="eastAsia" w:ascii="Times New Roman" w:hAnsi="Times New Roman" w:cs="Times New Roman"/>
          <w:snapToGrid w:val="0"/>
          <w:color w:val="auto"/>
          <w:sz w:val="24"/>
          <w:szCs w:val="24"/>
          <w:highlight w:val="none"/>
          <w:vertAlign w:val="superscript"/>
          <w:lang w:eastAsia="zh-CN"/>
        </w:rPr>
        <w:t>3</w:t>
      </w:r>
      <w:r>
        <w:rPr>
          <w:rFonts w:hint="eastAsia" w:ascii="Times New Roman" w:hAnsi="Times New Roman" w:cs="Times New Roman"/>
          <w:snapToGrid w:val="0"/>
          <w:color w:val="auto"/>
          <w:sz w:val="24"/>
          <w:szCs w:val="24"/>
          <w:highlight w:val="none"/>
          <w:lang w:eastAsia="zh-CN"/>
        </w:rPr>
        <w:t>/百头﹒天</w:t>
      </w:r>
      <w:r>
        <w:rPr>
          <w:rFonts w:hint="default" w:ascii="Times New Roman" w:hAnsi="Times New Roman" w:eastAsia="宋体" w:cs="Times New Roman"/>
          <w:snapToGrid w:val="0"/>
          <w:color w:val="auto"/>
          <w:sz w:val="24"/>
          <w:szCs w:val="24"/>
          <w:highlight w:val="none"/>
          <w:lang w:val="zh-CN"/>
        </w:rPr>
        <w:t>）。</w:t>
      </w:r>
    </w:p>
    <w:p w14:paraId="6B20A27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②固体废物</w:t>
      </w:r>
    </w:p>
    <w:p w14:paraId="57A7C3E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rPr>
        <w:t>项目产生的猪粪</w:t>
      </w:r>
      <w:r>
        <w:rPr>
          <w:rFonts w:hint="default" w:ascii="Times New Roman" w:hAnsi="Times New Roman" w:cs="Times New Roman"/>
          <w:snapToGrid w:val="0"/>
          <w:color w:val="auto"/>
          <w:highlight w:val="none"/>
          <w:lang w:eastAsia="zh-CN"/>
        </w:rPr>
        <w:t>采取</w:t>
      </w:r>
      <w:r>
        <w:rPr>
          <w:rFonts w:hint="eastAsia" w:ascii="Times New Roman" w:hAnsi="Times New Roman" w:cs="Times New Roman"/>
          <w:snapToGrid w:val="0"/>
          <w:color w:val="auto"/>
          <w:highlight w:val="none"/>
          <w:lang w:eastAsia="zh-CN"/>
        </w:rPr>
        <w:t>尿泡粪—干清粪</w:t>
      </w:r>
      <w:r>
        <w:rPr>
          <w:rFonts w:hint="default" w:ascii="Times New Roman" w:hAnsi="Times New Roman" w:cs="Times New Roman"/>
          <w:snapToGrid w:val="0"/>
          <w:color w:val="auto"/>
          <w:highlight w:val="none"/>
          <w:lang w:eastAsia="zh-CN"/>
        </w:rPr>
        <w:t>方式进行清粪，</w:t>
      </w:r>
      <w:r>
        <w:rPr>
          <w:rFonts w:hint="eastAsia" w:ascii="Times New Roman" w:hAnsi="Times New Roman" w:cs="Times New Roman"/>
          <w:snapToGrid w:val="0"/>
          <w:color w:val="auto"/>
          <w:highlight w:val="none"/>
          <w:lang w:eastAsia="zh-CN"/>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w:t>
      </w:r>
      <w:r>
        <w:rPr>
          <w:rFonts w:hint="default" w:ascii="Times New Roman" w:hAnsi="Times New Roman" w:cs="Times New Roman"/>
          <w:snapToGrid w:val="0"/>
          <w:color w:val="auto"/>
          <w:highlight w:val="none"/>
          <w:lang w:eastAsia="zh-CN"/>
        </w:rPr>
        <w:t>根据《畜禽养殖业污染治理工程技术规范》（HJ497-2009）中附录，生猪</w:t>
      </w:r>
      <w:r>
        <w:rPr>
          <w:rFonts w:hint="eastAsia" w:ascii="Times New Roman" w:hAnsi="Times New Roman" w:cs="Times New Roman"/>
          <w:snapToGrid w:val="0"/>
          <w:color w:val="auto"/>
          <w:highlight w:val="none"/>
          <w:lang w:val="en-US" w:eastAsia="zh-CN"/>
        </w:rPr>
        <w:t>粪便</w:t>
      </w:r>
      <w:r>
        <w:rPr>
          <w:rFonts w:hint="default"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2.0</w:t>
      </w:r>
      <w:r>
        <w:rPr>
          <w:rFonts w:hint="default" w:ascii="Times New Roman" w:hAnsi="Times New Roman" w:cs="Times New Roman"/>
          <w:snapToGrid w:val="0"/>
          <w:color w:val="auto"/>
          <w:highlight w:val="none"/>
          <w:lang w:eastAsia="zh-CN"/>
        </w:rPr>
        <w:t>kg/只·d</w:t>
      </w:r>
      <w:r>
        <w:rPr>
          <w:rFonts w:hint="eastAsia"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lang w:eastAsia="zh-CN"/>
        </w:rPr>
        <w:t>粪便产生量为</w:t>
      </w:r>
      <w:r>
        <w:rPr>
          <w:rFonts w:hint="eastAsia" w:ascii="Times New Roman" w:hAnsi="Times New Roman" w:cs="Times New Roman"/>
          <w:snapToGrid w:val="0"/>
          <w:color w:val="auto"/>
          <w:highlight w:val="none"/>
          <w:lang w:val="en-US" w:eastAsia="zh-CN"/>
        </w:rPr>
        <w:t>8.723t/d、3184t/a</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则干粪</w:t>
      </w:r>
      <w:r>
        <w:rPr>
          <w:rFonts w:hint="default" w:ascii="Times New Roman" w:hAnsi="Times New Roman" w:cs="Times New Roman"/>
          <w:snapToGrid w:val="0"/>
          <w:color w:val="auto"/>
          <w:highlight w:val="none"/>
          <w:lang w:eastAsia="zh-CN"/>
        </w:rPr>
        <w:t>产生量为</w:t>
      </w:r>
      <w:r>
        <w:rPr>
          <w:rFonts w:hint="eastAsia" w:ascii="Times New Roman" w:hAnsi="Times New Roman" w:cs="Times New Roman"/>
          <w:snapToGrid w:val="0"/>
          <w:color w:val="auto"/>
          <w:highlight w:val="none"/>
          <w:lang w:val="en-US" w:eastAsia="zh-CN"/>
        </w:rPr>
        <w:t>1.7446t/d、636.779t/a</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可作为肥料施用于项目周边区域的农</w:t>
      </w:r>
      <w:r>
        <w:rPr>
          <w:rFonts w:hint="default" w:ascii="Times New Roman" w:hAnsi="Times New Roman" w:eastAsia="宋体" w:cs="Times New Roman"/>
          <w:snapToGrid w:val="0"/>
          <w:color w:val="auto"/>
          <w:highlight w:val="none"/>
        </w:rPr>
        <w:t>田</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本项目</w:t>
      </w:r>
      <w:r>
        <w:rPr>
          <w:rFonts w:hint="default" w:ascii="Times New Roman" w:hAnsi="Times New Roman" w:eastAsia="宋体" w:cs="Times New Roman"/>
          <w:bCs/>
          <w:iCs/>
          <w:snapToGrid w:val="0"/>
          <w:color w:val="auto"/>
          <w:szCs w:val="28"/>
          <w:highlight w:val="none"/>
        </w:rPr>
        <w:t>固体废物处置率达到100%</w:t>
      </w:r>
      <w:r>
        <w:rPr>
          <w:rFonts w:hint="default" w:ascii="Times New Roman" w:hAnsi="Times New Roman" w:eastAsia="宋体" w:cs="Times New Roman"/>
          <w:snapToGrid w:val="0"/>
          <w:color w:val="auto"/>
          <w:highlight w:val="none"/>
        </w:rPr>
        <w:t>，产生良好的经济效益和社会效益，符合循环经济和清洁生产要求。</w:t>
      </w:r>
    </w:p>
    <w:p w14:paraId="60E9F01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（5）废物处理与综合利用指标分析</w:t>
      </w:r>
    </w:p>
    <w:p w14:paraId="2AF66E4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本项目建成后猪粪、黑膜厌氧池中产生的沼渣进行统一收集，作为固体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+生产原料，在场区内建设</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，将猪粪、沼渣直接堆肥发酵生产固体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用于农业生产，实现固废100%综合利用。</w:t>
      </w:r>
    </w:p>
    <w:p w14:paraId="46D238A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（6）环境管理分析</w:t>
      </w:r>
    </w:p>
    <w:p w14:paraId="13E726C5">
      <w:pPr>
        <w:pStyle w:val="94"/>
        <w:ind w:firstLine="480"/>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highlight w:val="none"/>
        </w:rPr>
        <w:t>本项目各生产环节均符合国家和地方有关法律、法规，污染物排放达到国家、地方和行业现行排放标准、总量控制和排放许可证要求；养殖废物进行无害化处理；养殖过程进行严格的管理，各岗位需进行清洁生产相关内容的培训，完善管理制度并严格执行，规定严格的检验、计量措施、统计原始记录；为了环境保护的目的，对本项目施工期间和运营期，对于原料供应商、生产协作方等相关方的行为提出相应的环保要求，双方明确各自环境管理程序。</w:t>
      </w:r>
    </w:p>
    <w:p w14:paraId="20F69050">
      <w:pPr>
        <w:pStyle w:val="94"/>
        <w:ind w:firstLine="480"/>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（7）清洁生产结论</w:t>
      </w:r>
    </w:p>
    <w:p w14:paraId="62F1728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工程清洁生产处于国内先进水平，考虑到清洁生产是以节能、降耗、减污为主要目标，以技术、管理为手段，通过产品的开发设计、原料的充分使用、良好的企业管理、合理的工艺流程、有效的物料循环以及综合利用等途径，实现养殖生产中包括生产、产品和消费的全过程控制，使污染物的产生量和排放量最小化的一种综合性措施。在养殖过程中应加强环境管理，发挥环保职能，使各项环保措施得到充分的发挥和利用。此外，在项目运营过程中，应强化企业管理，提高生产管理水平及环境管理水平，在实践中不断地改进工艺技术、最大限度地提高资源、能源的利用水平和改变产品体系，采取养殖工艺过程控制与末端治理相结合的污染防治措施。</w:t>
      </w:r>
    </w:p>
    <w:p w14:paraId="4CA31BC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在项目实施的各个阶段应加强监督及环保措施、及时监测各污染物排放浓度变化情况，保证污染物达标排放，对环境影响较小，可以实现废物的“无害化、资源化，减量化”的清洁生产原则。</w:t>
      </w:r>
    </w:p>
    <w:p w14:paraId="78F28F9B">
      <w:pPr>
        <w:pStyle w:val="7"/>
        <w:bidi w:val="0"/>
        <w:rPr>
          <w:rFonts w:hint="default"/>
          <w:highlight w:val="none"/>
        </w:rPr>
      </w:pPr>
      <w:bookmarkStart w:id="521" w:name="_Toc30136"/>
      <w:bookmarkStart w:id="522" w:name="_Toc8593"/>
      <w:bookmarkStart w:id="523" w:name="_Toc20528"/>
      <w:bookmarkStart w:id="524" w:name="_Toc31094"/>
      <w:r>
        <w:rPr>
          <w:rFonts w:hint="default"/>
          <w:highlight w:val="none"/>
        </w:rPr>
        <w:t>3.</w:t>
      </w:r>
      <w:r>
        <w:rPr>
          <w:rFonts w:hint="eastAsia"/>
          <w:highlight w:val="none"/>
          <w:lang w:val="en-US" w:eastAsia="zh-CN"/>
        </w:rPr>
        <w:t>5</w:t>
      </w:r>
      <w:r>
        <w:rPr>
          <w:rFonts w:hint="default"/>
          <w:highlight w:val="none"/>
        </w:rPr>
        <w:t>.5非正常工况分析</w:t>
      </w:r>
      <w:bookmarkEnd w:id="521"/>
      <w:bookmarkEnd w:id="522"/>
      <w:bookmarkEnd w:id="523"/>
      <w:bookmarkEnd w:id="524"/>
    </w:p>
    <w:p w14:paraId="39BBBD7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非正常工况是指：正常开、停车或部分设备检修及工艺设备或环保设施达不到设计规定指标运行时的工况；非正常工况时排放的污染物为非正常工况排污。</w:t>
      </w:r>
    </w:p>
    <w:p w14:paraId="65EBDC6C">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（1）废水</w:t>
      </w:r>
    </w:p>
    <w:p w14:paraId="555A2744">
      <w:pPr>
        <w:widowControl w:val="0"/>
        <w:adjustRightInd w:val="0"/>
        <w:snapToGrid w:val="0"/>
        <w:spacing w:line="480" w:lineRule="exact"/>
        <w:ind w:firstLine="480" w:firstLineChars="200"/>
        <w:jc w:val="left"/>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本项目运营期非正常工况主要为</w:t>
      </w:r>
      <w:r>
        <w:rPr>
          <w:rFonts w:hint="eastAsia" w:ascii="Times New Roman" w:hAnsi="Times New Roman" w:eastAsia="宋体" w:cs="Times New Roman"/>
          <w:color w:val="auto"/>
          <w:kern w:val="0"/>
          <w:sz w:val="24"/>
          <w:szCs w:val="20"/>
          <w:highlight w:val="none"/>
          <w:lang w:val="en-US" w:eastAsia="zh-CN" w:bidi="ar-SA"/>
        </w:rPr>
        <w:t>黑膜厌氧池</w:t>
      </w:r>
      <w:r>
        <w:rPr>
          <w:rFonts w:hint="default" w:ascii="Times New Roman" w:hAnsi="Times New Roman" w:eastAsia="宋体" w:cs="Times New Roman"/>
          <w:color w:val="auto"/>
          <w:kern w:val="0"/>
          <w:sz w:val="24"/>
          <w:szCs w:val="20"/>
          <w:highlight w:val="none"/>
          <w:lang w:val="en-US" w:eastAsia="zh-CN" w:bidi="ar-SA"/>
        </w:rPr>
        <w:t>渗漏，导致场区内产生的污水未经处理直接污染地下水，非正常状况下地下水源强见表3.5-20。本项目对可能产生地下水影响的各项途径均进行有效预防，在确保各项防渗措施得以落实，并加强设备维护、监管和厂区环境管理的前提下，可有效控制场区内的废水污染物下渗现象，避免污染地下水。</w:t>
      </w:r>
    </w:p>
    <w:p w14:paraId="28AAD900">
      <w:pPr>
        <w:pStyle w:val="94"/>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rPr>
        <w:t>本项目运营期非正常工况主要为</w:t>
      </w:r>
      <w:r>
        <w:rPr>
          <w:rFonts w:hint="default"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出现故障或正常检修时导致环保设施未达到设计规定指标运行时的工况。</w:t>
      </w:r>
      <w:r>
        <w:rPr>
          <w:rFonts w:hint="default" w:ascii="Times New Roman" w:hAnsi="Times New Roman" w:eastAsia="宋体" w:cs="Times New Roman"/>
          <w:color w:val="auto"/>
          <w:highlight w:val="none"/>
        </w:rPr>
        <w:t>如果出现设备故障，将影响整体处理效率，使污水水质浓度较预测值增高，最不利情况为场区内产生的污水未经处理。</w:t>
      </w:r>
      <w:bookmarkStart w:id="525" w:name="_Hlk479543456"/>
      <w:bookmarkStart w:id="526" w:name="_Hlk480392322"/>
      <w:r>
        <w:rPr>
          <w:rFonts w:hint="default" w:ascii="Times New Roman" w:hAnsi="Times New Roman" w:cs="Times New Roman"/>
          <w:color w:val="auto"/>
          <w:highlight w:val="none"/>
        </w:rPr>
        <w:t>本项目不设置事故池，黑膜厌氧池</w:t>
      </w:r>
      <w:r>
        <w:rPr>
          <w:rFonts w:hint="default" w:ascii="Times New Roman" w:hAnsi="Times New Roman" w:cs="Times New Roman"/>
          <w:bCs/>
          <w:color w:val="auto"/>
          <w:highlight w:val="none"/>
        </w:rPr>
        <w:t>的容积设计时即考虑了事故池的功能，</w:t>
      </w:r>
      <w:r>
        <w:rPr>
          <w:rFonts w:hint="default" w:ascii="Times New Roman" w:hAnsi="Times New Roman" w:cs="Times New Roman"/>
          <w:color w:val="auto"/>
          <w:highlight w:val="none"/>
        </w:rPr>
        <w:t>在上述工况下产生的废水，要求全部收集在黑膜厌氧池中，禁止回用及外排；待设备状况运营正常后，进行再处理后可进行利用。由于本项目产生的综合废水不外排，全部进行资源化利用，沼液回用于养殖场周边农田，对地表水环境不产生直接影响</w:t>
      </w:r>
      <w:bookmarkEnd w:id="525"/>
      <w:bookmarkEnd w:id="526"/>
      <w:r>
        <w:rPr>
          <w:rFonts w:hint="default" w:ascii="Times New Roman" w:hAnsi="Times New Roman" w:eastAsia="宋体" w:cs="Times New Roman"/>
          <w:color w:val="auto"/>
          <w:highlight w:val="none"/>
        </w:rPr>
        <w:t>。</w:t>
      </w:r>
    </w:p>
    <w:p w14:paraId="6F0CA706">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）废</w:t>
      </w:r>
      <w:r>
        <w:rPr>
          <w:rFonts w:hint="eastAsia" w:ascii="Times New Roman" w:hAnsi="Times New Roman" w:eastAsia="宋体" w:cs="Times New Roman"/>
          <w:color w:val="auto"/>
          <w:highlight w:val="none"/>
          <w:lang w:val="en-US" w:eastAsia="zh-CN"/>
        </w:rPr>
        <w:t>气</w:t>
      </w:r>
    </w:p>
    <w:p w14:paraId="0935E914">
      <w:pPr>
        <w:widowControl w:val="0"/>
        <w:adjustRightInd w:val="0"/>
        <w:snapToGrid w:val="0"/>
        <w:spacing w:line="480" w:lineRule="exact"/>
        <w:ind w:firstLine="480" w:firstLineChars="200"/>
        <w:jc w:val="left"/>
        <w:rPr>
          <w:rFonts w:hint="default" w:ascii="Times New Roman" w:hAnsi="Times New Roman" w:eastAsia="宋体" w:cs="Times New Roman"/>
          <w:snapToGrid w:val="0"/>
          <w:color w:val="auto"/>
          <w:kern w:val="0"/>
          <w:sz w:val="24"/>
          <w:szCs w:val="20"/>
          <w:highlight w:val="none"/>
          <w:lang w:val="en-US" w:eastAsia="zh-CN" w:bidi="ar-SA"/>
        </w:rPr>
      </w:pPr>
      <w:r>
        <w:rPr>
          <w:rFonts w:hint="default" w:ascii="Times New Roman" w:hAnsi="Times New Roman" w:eastAsia="宋体" w:cs="Times New Roman"/>
          <w:snapToGrid w:val="0"/>
          <w:color w:val="auto"/>
          <w:kern w:val="0"/>
          <w:sz w:val="24"/>
          <w:szCs w:val="20"/>
          <w:highlight w:val="none"/>
          <w:lang w:val="en-US" w:eastAsia="zh-CN" w:bidi="ar-SA"/>
        </w:rPr>
        <w:t>生产过程中设备检修、工艺设备运转异常等非正常工况下的污染物排放，以及污染物排放控制措施达不到应有效率等情况下，会导致污染物超标排放，此时，应停止生产，立刻检修设备及环保设施，无法修补时及时更换，保证污染物达标排放。</w:t>
      </w:r>
    </w:p>
    <w:p w14:paraId="20C879B2">
      <w:pPr>
        <w:widowControl w:val="0"/>
        <w:adjustRightInd w:val="0"/>
        <w:snapToGrid w:val="0"/>
        <w:spacing w:line="480" w:lineRule="exact"/>
        <w:ind w:firstLine="480" w:firstLineChars="200"/>
        <w:jc w:val="left"/>
        <w:rPr>
          <w:rFonts w:hint="default" w:ascii="Times New Roman" w:hAnsi="Times New Roman" w:eastAsia="宋体" w:cs="Times New Roman"/>
          <w:snapToGrid w:val="0"/>
          <w:color w:val="auto"/>
          <w:kern w:val="0"/>
          <w:sz w:val="24"/>
          <w:szCs w:val="20"/>
          <w:highlight w:val="none"/>
          <w:lang w:val="en-US" w:eastAsia="zh-CN" w:bidi="ar-SA"/>
        </w:rPr>
      </w:pPr>
      <w:r>
        <w:rPr>
          <w:rFonts w:hint="default" w:ascii="Times New Roman" w:hAnsi="Times New Roman" w:eastAsia="宋体" w:cs="Times New Roman"/>
          <w:snapToGrid w:val="0"/>
          <w:color w:val="auto"/>
          <w:kern w:val="0"/>
          <w:sz w:val="24"/>
          <w:szCs w:val="20"/>
          <w:highlight w:val="none"/>
          <w:lang w:val="en-US" w:eastAsia="zh-CN" w:bidi="ar-SA"/>
        </w:rPr>
        <w:t>如果活性炭装置发生故障或遇到突发事故，将会导致废气无法正常处理直接排放至大气环境中的情况，活性炭处理装置发生故障时，处理效率按0%计，则非正常工况下，废气源强见下表。</w:t>
      </w:r>
    </w:p>
    <w:p w14:paraId="58AE92FE">
      <w:pPr>
        <w:pStyle w:val="216"/>
        <w:adjustRightInd w:val="0"/>
        <w:snapToGrid w:val="0"/>
        <w:textAlignment w:val="center"/>
        <w:rPr>
          <w:rFonts w:hint="default" w:ascii="Times New Roman" w:hAnsi="Times New Roman" w:eastAsia="宋体" w:cs="Times New Roman"/>
          <w:b/>
          <w:bCs/>
          <w:color w:val="auto"/>
          <w:kern w:val="2"/>
          <w:sz w:val="24"/>
          <w:highlight w:val="none"/>
          <w:lang w:val="zh-CN" w:eastAsia="zh-CN"/>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w:t>
      </w:r>
      <w:r>
        <w:rPr>
          <w:rFonts w:hint="default" w:ascii="Times New Roman" w:hAnsi="Times New Roman" w:eastAsia="黑体" w:cs="Times New Roman"/>
          <w:b w:val="0"/>
          <w:bCs/>
          <w:smallCaps w:val="0"/>
          <w:snapToGrid/>
          <w:color w:val="auto"/>
          <w:kern w:val="2"/>
          <w:sz w:val="21"/>
          <w:szCs w:val="24"/>
          <w:highlight w:val="none"/>
          <w:lang w:val="en-US" w:eastAsia="zh-CN" w:bidi="ar-SA"/>
        </w:rPr>
        <w:t>3.5-2</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非正常工况下污染物参数</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1235"/>
        <w:gridCol w:w="997"/>
        <w:gridCol w:w="997"/>
        <w:gridCol w:w="1342"/>
        <w:gridCol w:w="1046"/>
        <w:gridCol w:w="860"/>
        <w:gridCol w:w="867"/>
      </w:tblGrid>
      <w:tr w14:paraId="76F775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90" w:type="pct"/>
            <w:noWrap w:val="0"/>
            <w:vAlign w:val="center"/>
          </w:tcPr>
          <w:p w14:paraId="03E8020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非正常排放源</w:t>
            </w:r>
          </w:p>
        </w:tc>
        <w:tc>
          <w:tcPr>
            <w:tcW w:w="725" w:type="pct"/>
            <w:noWrap w:val="0"/>
            <w:vAlign w:val="center"/>
          </w:tcPr>
          <w:p w14:paraId="5C51A029">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非正常排放原因</w:t>
            </w:r>
          </w:p>
        </w:tc>
        <w:tc>
          <w:tcPr>
            <w:tcW w:w="585" w:type="pct"/>
            <w:noWrap w:val="0"/>
            <w:vAlign w:val="center"/>
          </w:tcPr>
          <w:p w14:paraId="14B3371D">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处理效率</w:t>
            </w:r>
          </w:p>
        </w:tc>
        <w:tc>
          <w:tcPr>
            <w:tcW w:w="585" w:type="pct"/>
            <w:noWrap w:val="0"/>
            <w:vAlign w:val="center"/>
          </w:tcPr>
          <w:p w14:paraId="4AEA79EC">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污染物</w:t>
            </w:r>
          </w:p>
        </w:tc>
        <w:tc>
          <w:tcPr>
            <w:tcW w:w="788" w:type="pct"/>
            <w:noWrap w:val="0"/>
            <w:vAlign w:val="center"/>
          </w:tcPr>
          <w:p w14:paraId="741D222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非正常排放速率/(kg/h)</w:t>
            </w:r>
          </w:p>
        </w:tc>
        <w:tc>
          <w:tcPr>
            <w:tcW w:w="614" w:type="pct"/>
            <w:noWrap w:val="0"/>
            <w:vAlign w:val="center"/>
          </w:tcPr>
          <w:p w14:paraId="1419689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单次持续时间/h</w:t>
            </w:r>
          </w:p>
        </w:tc>
        <w:tc>
          <w:tcPr>
            <w:tcW w:w="505" w:type="pct"/>
            <w:noWrap w:val="0"/>
            <w:vAlign w:val="center"/>
          </w:tcPr>
          <w:p w14:paraId="03D1ED0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年发生频次/次</w:t>
            </w:r>
          </w:p>
        </w:tc>
        <w:tc>
          <w:tcPr>
            <w:tcW w:w="862" w:type="dxa"/>
            <w:noWrap w:val="0"/>
            <w:vAlign w:val="center"/>
          </w:tcPr>
          <w:p w14:paraId="4F7D40A0">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zh-CN"/>
              </w:rPr>
              <w:t>应对措施</w:t>
            </w:r>
          </w:p>
        </w:tc>
      </w:tr>
      <w:tr w14:paraId="41384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90" w:type="pct"/>
            <w:vMerge w:val="restart"/>
            <w:noWrap w:val="0"/>
            <w:vAlign w:val="center"/>
          </w:tcPr>
          <w:p w14:paraId="0FB8D500">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DA001</w:t>
            </w:r>
          </w:p>
        </w:tc>
        <w:tc>
          <w:tcPr>
            <w:tcW w:w="725" w:type="pct"/>
            <w:vMerge w:val="restart"/>
            <w:noWrap w:val="0"/>
            <w:vAlign w:val="center"/>
          </w:tcPr>
          <w:p w14:paraId="1CF4663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活性炭处理装置故障</w:t>
            </w:r>
          </w:p>
        </w:tc>
        <w:tc>
          <w:tcPr>
            <w:tcW w:w="585" w:type="pct"/>
            <w:vMerge w:val="restart"/>
            <w:noWrap w:val="0"/>
            <w:vAlign w:val="center"/>
          </w:tcPr>
          <w:p w14:paraId="0CA8FCAB">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w:t>
            </w:r>
          </w:p>
        </w:tc>
        <w:tc>
          <w:tcPr>
            <w:tcW w:w="585" w:type="pct"/>
            <w:noWrap w:val="0"/>
            <w:vAlign w:val="center"/>
          </w:tcPr>
          <w:p w14:paraId="4D4298D0">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NH</w:t>
            </w:r>
            <w:r>
              <w:rPr>
                <w:rFonts w:hint="default" w:ascii="Times New Roman" w:hAnsi="Times New Roman" w:eastAsia="宋体" w:cs="Times New Roman"/>
                <w:snapToGrid w:val="0"/>
                <w:color w:val="auto"/>
                <w:kern w:val="0"/>
                <w:sz w:val="21"/>
                <w:szCs w:val="21"/>
                <w:highlight w:val="none"/>
                <w:vertAlign w:val="subscript"/>
                <w:lang w:val="en-US" w:eastAsia="zh-CN" w:bidi="ar-SA"/>
              </w:rPr>
              <w:t>3</w:t>
            </w:r>
          </w:p>
        </w:tc>
        <w:tc>
          <w:tcPr>
            <w:tcW w:w="788" w:type="pct"/>
            <w:noWrap w:val="0"/>
            <w:vAlign w:val="center"/>
          </w:tcPr>
          <w:p w14:paraId="6DAB21D1">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0.0735</w:t>
            </w:r>
          </w:p>
        </w:tc>
        <w:tc>
          <w:tcPr>
            <w:tcW w:w="614" w:type="pct"/>
            <w:vMerge w:val="restart"/>
            <w:noWrap w:val="0"/>
            <w:vAlign w:val="center"/>
          </w:tcPr>
          <w:p w14:paraId="4A20DCD6">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0.5</w:t>
            </w:r>
          </w:p>
        </w:tc>
        <w:tc>
          <w:tcPr>
            <w:tcW w:w="505" w:type="pct"/>
            <w:vMerge w:val="restart"/>
            <w:noWrap w:val="0"/>
            <w:vAlign w:val="center"/>
          </w:tcPr>
          <w:p w14:paraId="0C98FAF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w:t>
            </w:r>
          </w:p>
        </w:tc>
        <w:tc>
          <w:tcPr>
            <w:tcW w:w="862" w:type="dxa"/>
            <w:noWrap w:val="0"/>
            <w:vAlign w:val="center"/>
          </w:tcPr>
          <w:p w14:paraId="2DBD0DFD">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zh-CN"/>
              </w:rPr>
              <w:t>定期检修</w:t>
            </w:r>
          </w:p>
        </w:tc>
      </w:tr>
      <w:tr w14:paraId="7924CE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90" w:type="pct"/>
            <w:vMerge w:val="continue"/>
            <w:noWrap w:val="0"/>
            <w:vAlign w:val="center"/>
          </w:tcPr>
          <w:p w14:paraId="33BFF83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25" w:type="pct"/>
            <w:vMerge w:val="continue"/>
            <w:noWrap w:val="0"/>
            <w:vAlign w:val="center"/>
          </w:tcPr>
          <w:p w14:paraId="09A125E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585" w:type="pct"/>
            <w:vMerge w:val="continue"/>
            <w:noWrap w:val="0"/>
            <w:vAlign w:val="center"/>
          </w:tcPr>
          <w:p w14:paraId="7817CF4D">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585" w:type="pct"/>
            <w:noWrap w:val="0"/>
            <w:vAlign w:val="center"/>
          </w:tcPr>
          <w:p w14:paraId="1A6F94E8">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H</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S</w:t>
            </w:r>
          </w:p>
        </w:tc>
        <w:tc>
          <w:tcPr>
            <w:tcW w:w="788" w:type="pct"/>
            <w:noWrap w:val="0"/>
            <w:vAlign w:val="center"/>
          </w:tcPr>
          <w:p w14:paraId="75984049">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0.00288</w:t>
            </w:r>
          </w:p>
        </w:tc>
        <w:tc>
          <w:tcPr>
            <w:tcW w:w="614" w:type="pct"/>
            <w:vMerge w:val="continue"/>
            <w:noWrap w:val="0"/>
            <w:vAlign w:val="center"/>
          </w:tcPr>
          <w:p w14:paraId="60774C9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505" w:type="pct"/>
            <w:vMerge w:val="continue"/>
            <w:noWrap w:val="0"/>
            <w:vAlign w:val="center"/>
          </w:tcPr>
          <w:p w14:paraId="074E9F70">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62" w:type="dxa"/>
            <w:noWrap w:val="0"/>
            <w:vAlign w:val="center"/>
          </w:tcPr>
          <w:p w14:paraId="4B52D4B4">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zh-CN"/>
              </w:rPr>
              <w:t>定期检修</w:t>
            </w:r>
          </w:p>
        </w:tc>
      </w:tr>
    </w:tbl>
    <w:p w14:paraId="7873933F">
      <w:pPr>
        <w:pStyle w:val="5"/>
        <w:bidi w:val="0"/>
        <w:rPr>
          <w:rFonts w:hint="default"/>
          <w:highlight w:val="none"/>
        </w:rPr>
      </w:pPr>
      <w:bookmarkStart w:id="527" w:name="_Toc6103"/>
      <w:r>
        <w:rPr>
          <w:rFonts w:hint="default"/>
          <w:highlight w:val="none"/>
        </w:rPr>
        <w:t>3.</w:t>
      </w:r>
      <w:r>
        <w:rPr>
          <w:rFonts w:hint="eastAsia"/>
          <w:highlight w:val="none"/>
          <w:lang w:val="en-US" w:eastAsia="zh-CN"/>
        </w:rPr>
        <w:t>6本项目污染物排放“三本帐”</w:t>
      </w:r>
      <w:bookmarkEnd w:id="527"/>
    </w:p>
    <w:p w14:paraId="68D350E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本项目改扩建后污染排放“三本帐”见表</w:t>
      </w:r>
      <w:r>
        <w:rPr>
          <w:rFonts w:hint="default" w:ascii="Times New Roman" w:hAnsi="Times New Roman" w:eastAsia="宋体" w:cs="Times New Roman"/>
          <w:snapToGrid w:val="0"/>
          <w:color w:val="auto"/>
          <w:highlight w:val="none"/>
          <w:lang w:val="en-US" w:eastAsia="zh-CN"/>
        </w:rPr>
        <w:t>3.</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w:t>
      </w:r>
    </w:p>
    <w:p w14:paraId="63DA322A">
      <w:pPr>
        <w:pStyle w:val="216"/>
        <w:adjustRightInd w:val="0"/>
        <w:snapToGrid w:val="0"/>
        <w:textAlignment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表3.</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en-US" w:eastAsia="zh-CN" w:bidi="ar-SA"/>
        </w:rPr>
        <w:t>-1  本项目改扩建后污染物排放“三本帐”   单位：t/a</w:t>
      </w:r>
    </w:p>
    <w:tbl>
      <w:tblPr>
        <w:tblStyle w:val="48"/>
        <w:tblW w:w="4997"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57" w:type="dxa"/>
          <w:bottom w:w="0" w:type="dxa"/>
          <w:right w:w="57" w:type="dxa"/>
        </w:tblCellMar>
      </w:tblPr>
      <w:tblGrid>
        <w:gridCol w:w="593"/>
        <w:gridCol w:w="1270"/>
        <w:gridCol w:w="808"/>
        <w:gridCol w:w="1027"/>
        <w:gridCol w:w="1244"/>
        <w:gridCol w:w="1143"/>
        <w:gridCol w:w="1292"/>
        <w:gridCol w:w="1038"/>
      </w:tblGrid>
      <w:tr w14:paraId="30628BA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1181" w:hRule="atLeast"/>
        </w:trPr>
        <w:tc>
          <w:tcPr>
            <w:tcW w:w="352" w:type="pct"/>
            <w:noWrap w:val="0"/>
            <w:vAlign w:val="center"/>
          </w:tcPr>
          <w:p w14:paraId="7FBA613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类别</w:t>
            </w:r>
          </w:p>
        </w:tc>
        <w:tc>
          <w:tcPr>
            <w:tcW w:w="1234" w:type="pct"/>
            <w:gridSpan w:val="2"/>
            <w:noWrap w:val="0"/>
            <w:vAlign w:val="center"/>
          </w:tcPr>
          <w:p w14:paraId="7E783E6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污染物</w:t>
            </w:r>
          </w:p>
        </w:tc>
        <w:tc>
          <w:tcPr>
            <w:tcW w:w="610" w:type="pct"/>
            <w:noWrap w:val="0"/>
            <w:vAlign w:val="center"/>
          </w:tcPr>
          <w:p w14:paraId="1FA9279C">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原有工程排放量</w:t>
            </w:r>
          </w:p>
        </w:tc>
        <w:tc>
          <w:tcPr>
            <w:tcW w:w="739" w:type="pct"/>
            <w:noWrap w:val="0"/>
            <w:vAlign w:val="center"/>
          </w:tcPr>
          <w:p w14:paraId="2DCED820">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本项目</w:t>
            </w:r>
          </w:p>
          <w:p w14:paraId="1FE2850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预测排放量</w:t>
            </w:r>
          </w:p>
        </w:tc>
        <w:tc>
          <w:tcPr>
            <w:tcW w:w="679" w:type="pct"/>
            <w:noWrap w:val="0"/>
            <w:vAlign w:val="center"/>
          </w:tcPr>
          <w:p w14:paraId="1379C40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以新带老削减量</w:t>
            </w:r>
          </w:p>
        </w:tc>
        <w:tc>
          <w:tcPr>
            <w:tcW w:w="767" w:type="pct"/>
            <w:noWrap w:val="0"/>
            <w:vAlign w:val="center"/>
          </w:tcPr>
          <w:p w14:paraId="1EF2CF18">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改扩建后全厂排放总量</w:t>
            </w:r>
          </w:p>
        </w:tc>
        <w:tc>
          <w:tcPr>
            <w:tcW w:w="616" w:type="pct"/>
            <w:noWrap w:val="0"/>
            <w:vAlign w:val="center"/>
          </w:tcPr>
          <w:p w14:paraId="6C8D761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增减量</w:t>
            </w:r>
          </w:p>
        </w:tc>
      </w:tr>
      <w:tr w14:paraId="6579255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restart"/>
            <w:noWrap w:val="0"/>
            <w:vAlign w:val="center"/>
          </w:tcPr>
          <w:p w14:paraId="4191905D">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废气</w:t>
            </w:r>
          </w:p>
        </w:tc>
        <w:tc>
          <w:tcPr>
            <w:tcW w:w="754" w:type="pct"/>
            <w:vMerge w:val="restart"/>
            <w:tcBorders>
              <w:right w:val="single" w:color="auto" w:sz="4" w:space="0"/>
            </w:tcBorders>
            <w:noWrap w:val="0"/>
            <w:vAlign w:val="center"/>
          </w:tcPr>
          <w:p w14:paraId="1C55542D">
            <w:pPr>
              <w:pStyle w:val="152"/>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snapToGrid w:val="0"/>
                <w:color w:val="auto"/>
                <w:sz w:val="21"/>
                <w:szCs w:val="21"/>
                <w:highlight w:val="none"/>
                <w:lang w:val="en-US" w:eastAsia="zh-CN"/>
              </w:rPr>
              <w:t>猪舍</w:t>
            </w:r>
          </w:p>
        </w:tc>
        <w:tc>
          <w:tcPr>
            <w:tcW w:w="480" w:type="pct"/>
            <w:tcBorders>
              <w:left w:val="single" w:color="auto" w:sz="4" w:space="0"/>
            </w:tcBorders>
            <w:noWrap w:val="0"/>
            <w:vAlign w:val="center"/>
          </w:tcPr>
          <w:p w14:paraId="51E67719">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610" w:type="pct"/>
            <w:noWrap w:val="0"/>
            <w:vAlign w:val="center"/>
          </w:tcPr>
          <w:p w14:paraId="599AFA72">
            <w:pPr>
              <w:widowControl w:val="0"/>
              <w:adjustRightInd w:val="0"/>
              <w:snapToGrid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2"/>
                <w:sz w:val="21"/>
                <w:highlight w:val="none"/>
                <w:lang w:val="en-US" w:eastAsia="zh-CN"/>
              </w:rPr>
              <w:t>0.00223</w:t>
            </w:r>
          </w:p>
        </w:tc>
        <w:tc>
          <w:tcPr>
            <w:tcW w:w="739" w:type="pct"/>
            <w:noWrap w:val="0"/>
            <w:vAlign w:val="center"/>
          </w:tcPr>
          <w:p w14:paraId="41799926">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0.155</w:t>
            </w:r>
          </w:p>
        </w:tc>
        <w:tc>
          <w:tcPr>
            <w:tcW w:w="679" w:type="pct"/>
            <w:shd w:val="clear" w:color="auto" w:fill="auto"/>
            <w:noWrap w:val="0"/>
            <w:vAlign w:val="center"/>
          </w:tcPr>
          <w:p w14:paraId="0A0C0B19">
            <w:pPr>
              <w:widowControl w:val="0"/>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2"/>
                <w:sz w:val="21"/>
                <w:highlight w:val="none"/>
                <w:lang w:val="en-US" w:eastAsia="zh-CN"/>
              </w:rPr>
              <w:t>0.00223</w:t>
            </w:r>
          </w:p>
        </w:tc>
        <w:tc>
          <w:tcPr>
            <w:tcW w:w="767" w:type="pct"/>
            <w:shd w:val="clear" w:color="auto" w:fill="auto"/>
            <w:noWrap w:val="0"/>
            <w:vAlign w:val="center"/>
          </w:tcPr>
          <w:p w14:paraId="2EFB7CDF">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0.155</w:t>
            </w:r>
          </w:p>
        </w:tc>
        <w:tc>
          <w:tcPr>
            <w:tcW w:w="616" w:type="pct"/>
            <w:noWrap w:val="0"/>
            <w:vAlign w:val="center"/>
          </w:tcPr>
          <w:p w14:paraId="562F93A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+0.15277</w:t>
            </w:r>
          </w:p>
        </w:tc>
      </w:tr>
      <w:tr w14:paraId="31B4756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0539153E">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153EADB4">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470C6DF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610" w:type="pct"/>
            <w:noWrap w:val="0"/>
            <w:vAlign w:val="center"/>
          </w:tcPr>
          <w:p w14:paraId="1D52835E">
            <w:pPr>
              <w:widowControl w:val="0"/>
              <w:adjustRightInd w:val="0"/>
              <w:snapToGrid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2"/>
                <w:sz w:val="21"/>
                <w:highlight w:val="none"/>
                <w:lang w:val="en-US" w:eastAsia="zh-CN"/>
              </w:rPr>
              <w:t>0.00011</w:t>
            </w:r>
          </w:p>
        </w:tc>
        <w:tc>
          <w:tcPr>
            <w:tcW w:w="739" w:type="pct"/>
            <w:noWrap w:val="0"/>
            <w:vAlign w:val="center"/>
          </w:tcPr>
          <w:p w14:paraId="3EEB473F">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0.0219</w:t>
            </w:r>
          </w:p>
        </w:tc>
        <w:tc>
          <w:tcPr>
            <w:tcW w:w="679" w:type="pct"/>
            <w:shd w:val="clear" w:color="auto" w:fill="auto"/>
            <w:noWrap w:val="0"/>
            <w:vAlign w:val="center"/>
          </w:tcPr>
          <w:p w14:paraId="69956485">
            <w:pPr>
              <w:widowControl w:val="0"/>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2"/>
                <w:sz w:val="21"/>
                <w:highlight w:val="none"/>
                <w:lang w:val="en-US" w:eastAsia="zh-CN"/>
              </w:rPr>
              <w:t>0.00011</w:t>
            </w:r>
          </w:p>
        </w:tc>
        <w:tc>
          <w:tcPr>
            <w:tcW w:w="767" w:type="pct"/>
            <w:shd w:val="clear" w:color="auto" w:fill="auto"/>
            <w:noWrap w:val="0"/>
            <w:vAlign w:val="center"/>
          </w:tcPr>
          <w:p w14:paraId="2EB0049A">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0.0219</w:t>
            </w:r>
          </w:p>
        </w:tc>
        <w:tc>
          <w:tcPr>
            <w:tcW w:w="616" w:type="pct"/>
            <w:noWrap w:val="0"/>
            <w:vAlign w:val="center"/>
          </w:tcPr>
          <w:p w14:paraId="19CE85C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+0.02179</w:t>
            </w:r>
          </w:p>
        </w:tc>
      </w:tr>
      <w:tr w14:paraId="1B95A6C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663A0B24">
            <w:pPr>
              <w:widowControl w:val="0"/>
              <w:jc w:val="center"/>
              <w:rPr>
                <w:rFonts w:hint="default" w:ascii="Times New Roman" w:hAnsi="Times New Roman" w:eastAsia="宋体" w:cs="Times New Roman"/>
                <w:color w:val="auto"/>
                <w:kern w:val="2"/>
                <w:sz w:val="21"/>
                <w:szCs w:val="21"/>
                <w:highlight w:val="none"/>
              </w:rPr>
            </w:pPr>
          </w:p>
        </w:tc>
        <w:tc>
          <w:tcPr>
            <w:tcW w:w="754" w:type="pct"/>
            <w:vMerge w:val="restart"/>
            <w:tcBorders>
              <w:right w:val="single" w:color="auto" w:sz="4" w:space="0"/>
            </w:tcBorders>
            <w:noWrap w:val="0"/>
            <w:vAlign w:val="center"/>
          </w:tcPr>
          <w:p w14:paraId="1FA3D1C9">
            <w:pPr>
              <w:pStyle w:val="152"/>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snapToGrid w:val="0"/>
                <w:kern w:val="0"/>
                <w:sz w:val="21"/>
                <w:szCs w:val="21"/>
                <w:highlight w:val="none"/>
                <w:lang w:val="zh-CN" w:eastAsia="zh-CN"/>
              </w:rPr>
              <w:t>粪污贮存区</w:t>
            </w:r>
          </w:p>
        </w:tc>
        <w:tc>
          <w:tcPr>
            <w:tcW w:w="480" w:type="pct"/>
            <w:tcBorders>
              <w:left w:val="single" w:color="auto" w:sz="4" w:space="0"/>
            </w:tcBorders>
            <w:noWrap w:val="0"/>
            <w:vAlign w:val="center"/>
          </w:tcPr>
          <w:p w14:paraId="5943F7C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610" w:type="pct"/>
            <w:noWrap w:val="0"/>
            <w:vAlign w:val="center"/>
          </w:tcPr>
          <w:p w14:paraId="3D37D2A8">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snapToGrid w:val="0"/>
                <w:color w:val="auto"/>
                <w:kern w:val="2"/>
                <w:sz w:val="21"/>
                <w:highlight w:val="none"/>
                <w:lang w:val="en-US" w:eastAsia="zh-CN"/>
              </w:rPr>
              <w:t>0.00876</w:t>
            </w:r>
          </w:p>
        </w:tc>
        <w:tc>
          <w:tcPr>
            <w:tcW w:w="739" w:type="pct"/>
            <w:noWrap w:val="0"/>
            <w:vAlign w:val="center"/>
          </w:tcPr>
          <w:p w14:paraId="5D43B892">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0.06965</w:t>
            </w:r>
          </w:p>
        </w:tc>
        <w:tc>
          <w:tcPr>
            <w:tcW w:w="679" w:type="pct"/>
            <w:shd w:val="clear" w:color="auto" w:fill="auto"/>
            <w:noWrap w:val="0"/>
            <w:vAlign w:val="center"/>
          </w:tcPr>
          <w:p w14:paraId="447BD8E1">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napToGrid w:val="0"/>
                <w:color w:val="auto"/>
                <w:kern w:val="2"/>
                <w:sz w:val="21"/>
                <w:highlight w:val="none"/>
                <w:lang w:val="en-US" w:eastAsia="zh-CN"/>
              </w:rPr>
              <w:t>0.00876</w:t>
            </w:r>
          </w:p>
        </w:tc>
        <w:tc>
          <w:tcPr>
            <w:tcW w:w="1292" w:type="dxa"/>
            <w:shd w:val="clear" w:color="auto" w:fill="auto"/>
            <w:noWrap w:val="0"/>
            <w:vAlign w:val="center"/>
          </w:tcPr>
          <w:p w14:paraId="6A296E99">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0.06965</w:t>
            </w:r>
          </w:p>
        </w:tc>
        <w:tc>
          <w:tcPr>
            <w:tcW w:w="616" w:type="pct"/>
            <w:noWrap w:val="0"/>
            <w:vAlign w:val="center"/>
          </w:tcPr>
          <w:p w14:paraId="65158F7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+0.06089</w:t>
            </w:r>
          </w:p>
        </w:tc>
      </w:tr>
      <w:tr w14:paraId="424ECEB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42A434ED">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50C3F72C">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68007AF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610" w:type="pct"/>
            <w:noWrap w:val="0"/>
            <w:vAlign w:val="center"/>
          </w:tcPr>
          <w:p w14:paraId="2575C4C4">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snapToGrid w:val="0"/>
                <w:color w:val="auto"/>
                <w:kern w:val="2"/>
                <w:sz w:val="21"/>
                <w:highlight w:val="none"/>
                <w:lang w:val="en-US" w:eastAsia="zh-CN"/>
              </w:rPr>
              <w:t>0.000588</w:t>
            </w:r>
          </w:p>
        </w:tc>
        <w:tc>
          <w:tcPr>
            <w:tcW w:w="739" w:type="pct"/>
            <w:noWrap w:val="0"/>
            <w:vAlign w:val="center"/>
          </w:tcPr>
          <w:p w14:paraId="21854BB6">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0.00283</w:t>
            </w:r>
          </w:p>
        </w:tc>
        <w:tc>
          <w:tcPr>
            <w:tcW w:w="679" w:type="pct"/>
            <w:shd w:val="clear" w:color="auto" w:fill="auto"/>
            <w:noWrap w:val="0"/>
            <w:vAlign w:val="center"/>
          </w:tcPr>
          <w:p w14:paraId="69235898">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napToGrid w:val="0"/>
                <w:color w:val="auto"/>
                <w:kern w:val="2"/>
                <w:sz w:val="21"/>
                <w:highlight w:val="none"/>
                <w:lang w:val="en-US" w:eastAsia="zh-CN"/>
              </w:rPr>
              <w:t>0.000588</w:t>
            </w:r>
          </w:p>
        </w:tc>
        <w:tc>
          <w:tcPr>
            <w:tcW w:w="1292" w:type="dxa"/>
            <w:shd w:val="clear" w:color="auto" w:fill="auto"/>
            <w:noWrap w:val="0"/>
            <w:vAlign w:val="center"/>
          </w:tcPr>
          <w:p w14:paraId="2339E3C6">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0.00283</w:t>
            </w:r>
          </w:p>
        </w:tc>
        <w:tc>
          <w:tcPr>
            <w:tcW w:w="616" w:type="pct"/>
            <w:noWrap w:val="0"/>
            <w:vAlign w:val="center"/>
          </w:tcPr>
          <w:p w14:paraId="3161ED1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+0.002242</w:t>
            </w:r>
          </w:p>
        </w:tc>
      </w:tr>
      <w:tr w14:paraId="2CBAED4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1D4E64E1">
            <w:pPr>
              <w:widowControl w:val="0"/>
              <w:jc w:val="center"/>
              <w:rPr>
                <w:rFonts w:hint="default" w:ascii="Times New Roman" w:hAnsi="Times New Roman" w:eastAsia="宋体" w:cs="Times New Roman"/>
                <w:color w:val="auto"/>
                <w:kern w:val="2"/>
                <w:sz w:val="21"/>
                <w:szCs w:val="21"/>
                <w:highlight w:val="none"/>
              </w:rPr>
            </w:pPr>
          </w:p>
        </w:tc>
        <w:tc>
          <w:tcPr>
            <w:tcW w:w="754" w:type="pct"/>
            <w:vMerge w:val="restart"/>
            <w:tcBorders>
              <w:right w:val="single" w:color="auto" w:sz="4" w:space="0"/>
            </w:tcBorders>
            <w:noWrap w:val="0"/>
            <w:vAlign w:val="center"/>
          </w:tcPr>
          <w:p w14:paraId="644F0643">
            <w:pPr>
              <w:adjustRightInd w:val="0"/>
              <w:snapToGrid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沼气燃烧</w:t>
            </w:r>
          </w:p>
        </w:tc>
        <w:tc>
          <w:tcPr>
            <w:tcW w:w="480" w:type="pct"/>
            <w:tcBorders>
              <w:left w:val="single" w:color="auto" w:sz="4" w:space="0"/>
            </w:tcBorders>
            <w:noWrap w:val="0"/>
            <w:vAlign w:val="center"/>
          </w:tcPr>
          <w:p w14:paraId="4BEC8C5C">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zh-CN" w:eastAsia="zh-CN"/>
              </w:rPr>
              <w:t>颗粒物</w:t>
            </w:r>
          </w:p>
        </w:tc>
        <w:tc>
          <w:tcPr>
            <w:tcW w:w="610" w:type="pct"/>
            <w:noWrap w:val="0"/>
            <w:vAlign w:val="center"/>
          </w:tcPr>
          <w:p w14:paraId="3D9DEAB3">
            <w:pPr>
              <w:adjustRightInd w:val="0"/>
              <w:snapToGrid w:val="0"/>
              <w:ind w:left="0" w:leftChars="0" w:firstLine="0" w:firstLineChars="0"/>
              <w:jc w:val="center"/>
              <w:rPr>
                <w:rFonts w:hint="default" w:ascii="Times New Roman" w:hAnsi="Times New Roman" w:eastAsia="宋体" w:cs="Times New Roman"/>
                <w:snapToGrid w:val="0"/>
                <w:kern w:val="0"/>
                <w:sz w:val="21"/>
                <w:szCs w:val="21"/>
                <w:highlight w:val="none"/>
                <w:lang w:val="en-US" w:eastAsia="zh-CN" w:bidi="ar-SA"/>
              </w:rPr>
            </w:pPr>
            <w:r>
              <w:rPr>
                <w:rFonts w:hint="eastAsia" w:ascii="Times New Roman" w:hAnsi="Times New Roman" w:eastAsia="宋体" w:cs="Times New Roman"/>
                <w:snapToGrid w:val="0"/>
                <w:kern w:val="0"/>
                <w:sz w:val="21"/>
                <w:szCs w:val="21"/>
                <w:highlight w:val="none"/>
                <w:lang w:val="en-US" w:eastAsia="zh-CN" w:bidi="ar-SA"/>
              </w:rPr>
              <w:t>0</w:t>
            </w:r>
          </w:p>
        </w:tc>
        <w:tc>
          <w:tcPr>
            <w:tcW w:w="739" w:type="pct"/>
            <w:noWrap w:val="0"/>
            <w:vAlign w:val="center"/>
          </w:tcPr>
          <w:p w14:paraId="37EF6ADB">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0.00160</w:t>
            </w:r>
          </w:p>
        </w:tc>
        <w:tc>
          <w:tcPr>
            <w:tcW w:w="679" w:type="pct"/>
            <w:noWrap w:val="0"/>
            <w:vAlign w:val="center"/>
          </w:tcPr>
          <w:p w14:paraId="71D581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767" w:type="pct"/>
            <w:shd w:val="clear" w:color="auto" w:fill="auto"/>
            <w:noWrap w:val="0"/>
            <w:vAlign w:val="center"/>
          </w:tcPr>
          <w:p w14:paraId="65069043">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0.00160</w:t>
            </w:r>
          </w:p>
        </w:tc>
        <w:tc>
          <w:tcPr>
            <w:tcW w:w="616" w:type="pct"/>
            <w:shd w:val="clear" w:color="auto" w:fill="auto"/>
            <w:noWrap w:val="0"/>
            <w:vAlign w:val="center"/>
          </w:tcPr>
          <w:p w14:paraId="7BFB7794">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cs="Times New Roman"/>
                <w:snapToGrid w:val="0"/>
                <w:color w:val="auto"/>
                <w:kern w:val="0"/>
                <w:sz w:val="21"/>
                <w:szCs w:val="21"/>
                <w:highlight w:val="none"/>
                <w:lang w:val="en-US" w:eastAsia="zh-CN" w:bidi="ar-SA"/>
              </w:rPr>
              <w:t>0.00160</w:t>
            </w:r>
          </w:p>
        </w:tc>
      </w:tr>
      <w:tr w14:paraId="41B9606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6EE3F934">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17095188">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53B5D8DB">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zh-CN" w:eastAsia="zh-CN"/>
              </w:rPr>
              <w:t>SO</w:t>
            </w:r>
            <w:r>
              <w:rPr>
                <w:rFonts w:hint="default" w:ascii="Times New Roman" w:hAnsi="Times New Roman" w:eastAsia="宋体" w:cs="Times New Roman"/>
                <w:color w:val="auto"/>
                <w:sz w:val="21"/>
                <w:szCs w:val="21"/>
                <w:highlight w:val="none"/>
                <w:vertAlign w:val="subscript"/>
                <w:lang w:val="zh-CN" w:eastAsia="zh-CN"/>
              </w:rPr>
              <w:t>2</w:t>
            </w:r>
          </w:p>
        </w:tc>
        <w:tc>
          <w:tcPr>
            <w:tcW w:w="610" w:type="pct"/>
            <w:noWrap w:val="0"/>
            <w:vAlign w:val="center"/>
          </w:tcPr>
          <w:p w14:paraId="445A7D47">
            <w:pPr>
              <w:adjustRightInd w:val="0"/>
              <w:snapToGrid w:val="0"/>
              <w:ind w:left="0" w:leftChars="0" w:firstLine="0" w:firstLineChars="0"/>
              <w:jc w:val="center"/>
              <w:rPr>
                <w:rFonts w:hint="default" w:ascii="Times New Roman" w:hAnsi="Times New Roman" w:eastAsia="宋体" w:cs="Times New Roman"/>
                <w:snapToGrid w:val="0"/>
                <w:kern w:val="0"/>
                <w:sz w:val="21"/>
                <w:szCs w:val="21"/>
                <w:highlight w:val="none"/>
                <w:lang w:val="en-US" w:eastAsia="zh-CN" w:bidi="ar-SA"/>
              </w:rPr>
            </w:pPr>
            <w:r>
              <w:rPr>
                <w:rFonts w:hint="eastAsia" w:ascii="Times New Roman" w:hAnsi="Times New Roman" w:eastAsia="宋体" w:cs="Times New Roman"/>
                <w:snapToGrid w:val="0"/>
                <w:kern w:val="0"/>
                <w:sz w:val="21"/>
                <w:szCs w:val="21"/>
                <w:highlight w:val="none"/>
                <w:lang w:val="en-US" w:eastAsia="zh-CN" w:bidi="ar-SA"/>
              </w:rPr>
              <w:t>0</w:t>
            </w:r>
          </w:p>
        </w:tc>
        <w:tc>
          <w:tcPr>
            <w:tcW w:w="739" w:type="pct"/>
            <w:noWrap w:val="0"/>
            <w:vAlign w:val="center"/>
          </w:tcPr>
          <w:p w14:paraId="2BCB28D8">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0.00038</w:t>
            </w:r>
          </w:p>
        </w:tc>
        <w:tc>
          <w:tcPr>
            <w:tcW w:w="679" w:type="pct"/>
            <w:noWrap w:val="0"/>
            <w:vAlign w:val="center"/>
          </w:tcPr>
          <w:p w14:paraId="1C2B48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767" w:type="pct"/>
            <w:shd w:val="clear" w:color="auto" w:fill="auto"/>
            <w:noWrap w:val="0"/>
            <w:vAlign w:val="center"/>
          </w:tcPr>
          <w:p w14:paraId="7FAFC09A">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0.00038</w:t>
            </w:r>
          </w:p>
        </w:tc>
        <w:tc>
          <w:tcPr>
            <w:tcW w:w="616" w:type="pct"/>
            <w:shd w:val="clear" w:color="auto" w:fill="auto"/>
            <w:noWrap w:val="0"/>
            <w:vAlign w:val="center"/>
          </w:tcPr>
          <w:p w14:paraId="03BE559D">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cs="Times New Roman"/>
                <w:snapToGrid w:val="0"/>
                <w:color w:val="auto"/>
                <w:kern w:val="0"/>
                <w:sz w:val="21"/>
                <w:szCs w:val="21"/>
                <w:highlight w:val="none"/>
                <w:lang w:val="en-US" w:eastAsia="zh-CN" w:bidi="ar-SA"/>
              </w:rPr>
              <w:t>0.00038</w:t>
            </w:r>
          </w:p>
        </w:tc>
      </w:tr>
      <w:tr w14:paraId="5DB5827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4F418122">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1091AF35">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7B5F4F31">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zh-CN" w:eastAsia="zh-CN"/>
              </w:rPr>
              <w:t>NO</w:t>
            </w:r>
            <w:r>
              <w:rPr>
                <w:rFonts w:hint="default" w:ascii="Times New Roman" w:hAnsi="Times New Roman" w:eastAsia="宋体" w:cs="Times New Roman"/>
                <w:color w:val="auto"/>
                <w:sz w:val="21"/>
                <w:szCs w:val="21"/>
                <w:highlight w:val="none"/>
                <w:vertAlign w:val="subscript"/>
                <w:lang w:val="zh-CN" w:eastAsia="zh-CN"/>
              </w:rPr>
              <w:t>X</w:t>
            </w:r>
          </w:p>
        </w:tc>
        <w:tc>
          <w:tcPr>
            <w:tcW w:w="610" w:type="pct"/>
            <w:noWrap w:val="0"/>
            <w:vAlign w:val="center"/>
          </w:tcPr>
          <w:p w14:paraId="6087BA97">
            <w:pPr>
              <w:adjustRightInd w:val="0"/>
              <w:snapToGrid w:val="0"/>
              <w:ind w:left="0" w:leftChars="0" w:firstLine="0" w:firstLineChars="0"/>
              <w:jc w:val="center"/>
              <w:rPr>
                <w:rFonts w:hint="default" w:ascii="Times New Roman" w:hAnsi="Times New Roman" w:eastAsia="宋体" w:cs="Times New Roman"/>
                <w:snapToGrid w:val="0"/>
                <w:kern w:val="0"/>
                <w:sz w:val="21"/>
                <w:szCs w:val="21"/>
                <w:highlight w:val="none"/>
                <w:lang w:val="en-US" w:eastAsia="zh-CN" w:bidi="ar-SA"/>
              </w:rPr>
            </w:pPr>
            <w:r>
              <w:rPr>
                <w:rFonts w:hint="eastAsia" w:ascii="Times New Roman" w:hAnsi="Times New Roman" w:eastAsia="宋体" w:cs="Times New Roman"/>
                <w:snapToGrid w:val="0"/>
                <w:kern w:val="0"/>
                <w:sz w:val="21"/>
                <w:szCs w:val="21"/>
                <w:highlight w:val="none"/>
                <w:lang w:val="en-US" w:eastAsia="zh-CN" w:bidi="ar-SA"/>
              </w:rPr>
              <w:t>0</w:t>
            </w:r>
          </w:p>
        </w:tc>
        <w:tc>
          <w:tcPr>
            <w:tcW w:w="739" w:type="pct"/>
            <w:noWrap w:val="0"/>
            <w:vAlign w:val="center"/>
          </w:tcPr>
          <w:p w14:paraId="74470901">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0.0158</w:t>
            </w:r>
          </w:p>
        </w:tc>
        <w:tc>
          <w:tcPr>
            <w:tcW w:w="679" w:type="pct"/>
            <w:noWrap w:val="0"/>
            <w:vAlign w:val="center"/>
          </w:tcPr>
          <w:p w14:paraId="6E19A6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767" w:type="pct"/>
            <w:shd w:val="clear" w:color="auto" w:fill="auto"/>
            <w:noWrap w:val="0"/>
            <w:vAlign w:val="center"/>
          </w:tcPr>
          <w:p w14:paraId="2E3B78A1">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0.0158</w:t>
            </w:r>
          </w:p>
        </w:tc>
        <w:tc>
          <w:tcPr>
            <w:tcW w:w="616" w:type="pct"/>
            <w:shd w:val="clear" w:color="auto" w:fill="auto"/>
            <w:noWrap w:val="0"/>
            <w:vAlign w:val="center"/>
          </w:tcPr>
          <w:p w14:paraId="0085802D">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cs="Times New Roman"/>
                <w:snapToGrid w:val="0"/>
                <w:color w:val="auto"/>
                <w:kern w:val="0"/>
                <w:sz w:val="21"/>
                <w:szCs w:val="21"/>
                <w:highlight w:val="none"/>
                <w:lang w:val="en-US" w:eastAsia="zh-CN" w:bidi="ar-SA"/>
              </w:rPr>
              <w:t>0.0158</w:t>
            </w:r>
          </w:p>
        </w:tc>
      </w:tr>
      <w:tr w14:paraId="011149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restart"/>
            <w:noWrap w:val="0"/>
            <w:vAlign w:val="center"/>
          </w:tcPr>
          <w:p w14:paraId="65CBE0E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废水</w:t>
            </w:r>
          </w:p>
        </w:tc>
        <w:tc>
          <w:tcPr>
            <w:tcW w:w="1234" w:type="pct"/>
            <w:gridSpan w:val="2"/>
            <w:noWrap w:val="0"/>
            <w:vAlign w:val="center"/>
          </w:tcPr>
          <w:p w14:paraId="25D30D76">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kern w:val="0"/>
                <w:sz w:val="21"/>
                <w:szCs w:val="21"/>
                <w:highlight w:val="none"/>
                <w:lang w:val="zh-CN" w:eastAsia="zh-CN" w:bidi="ar-SA"/>
              </w:rPr>
              <w:t>猪尿</w:t>
            </w:r>
          </w:p>
        </w:tc>
        <w:tc>
          <w:tcPr>
            <w:tcW w:w="610" w:type="pct"/>
            <w:noWrap w:val="0"/>
            <w:vAlign w:val="center"/>
          </w:tcPr>
          <w:p w14:paraId="039FD2A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3B54DB95">
            <w:pPr>
              <w:widowControl w:val="0"/>
              <w:tabs>
                <w:tab w:val="left" w:pos="567"/>
              </w:tabs>
              <w:snapToGrid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w:t>
            </w:r>
          </w:p>
        </w:tc>
        <w:tc>
          <w:tcPr>
            <w:tcW w:w="679" w:type="pct"/>
            <w:noWrap w:val="0"/>
            <w:vAlign w:val="center"/>
          </w:tcPr>
          <w:p w14:paraId="740293F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0A849BA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369D1EEA">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40A74F0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1A4C1C4E">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685DAFDE">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kern w:val="0"/>
                <w:sz w:val="21"/>
                <w:szCs w:val="21"/>
                <w:highlight w:val="none"/>
                <w:lang w:val="zh-CN" w:eastAsia="zh-CN" w:bidi="ar-SA"/>
              </w:rPr>
              <w:t>猪舍冲洗废水</w:t>
            </w:r>
          </w:p>
        </w:tc>
        <w:tc>
          <w:tcPr>
            <w:tcW w:w="610" w:type="pct"/>
            <w:noWrap w:val="0"/>
            <w:vAlign w:val="center"/>
          </w:tcPr>
          <w:p w14:paraId="694FD2B8">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11F60626">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79" w:type="pct"/>
            <w:noWrap w:val="0"/>
            <w:vAlign w:val="center"/>
          </w:tcPr>
          <w:p w14:paraId="5EEFEEC7">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7D536C4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7C33085A">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212D1EE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3E29E3D2">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4F9B2610">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0"/>
                <w:highlight w:val="none"/>
                <w:lang w:val="en-US" w:eastAsia="zh-CN" w:bidi="ar-SA"/>
              </w:rPr>
              <w:t>固液分离废水</w:t>
            </w:r>
          </w:p>
        </w:tc>
        <w:tc>
          <w:tcPr>
            <w:tcW w:w="610" w:type="pct"/>
            <w:noWrap w:val="0"/>
            <w:vAlign w:val="center"/>
          </w:tcPr>
          <w:p w14:paraId="339672F2">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28D8CF9D">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79" w:type="pct"/>
            <w:noWrap w:val="0"/>
            <w:vAlign w:val="center"/>
          </w:tcPr>
          <w:p w14:paraId="75A6B0A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60137000">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760B211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1785130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40E117E1">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663A4610">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kern w:val="0"/>
                <w:sz w:val="21"/>
                <w:szCs w:val="21"/>
                <w:highlight w:val="none"/>
                <w:lang w:val="en-US" w:eastAsia="zh-CN" w:bidi="ar-SA"/>
              </w:rPr>
              <w:t>洗消车间废水</w:t>
            </w:r>
          </w:p>
        </w:tc>
        <w:tc>
          <w:tcPr>
            <w:tcW w:w="610" w:type="pct"/>
            <w:noWrap w:val="0"/>
            <w:vAlign w:val="center"/>
          </w:tcPr>
          <w:p w14:paraId="46323E32">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46838881">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79" w:type="pct"/>
            <w:noWrap w:val="0"/>
            <w:vAlign w:val="center"/>
          </w:tcPr>
          <w:p w14:paraId="6E9B611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1F25E5B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6D74BAC7">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50D8DC1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2737CC8A">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4743B235">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kern w:val="0"/>
                <w:sz w:val="21"/>
                <w:szCs w:val="21"/>
                <w:highlight w:val="none"/>
                <w:lang w:val="en-US" w:eastAsia="zh-CN" w:bidi="ar-SA"/>
              </w:rPr>
              <w:t>职工生活污水</w:t>
            </w:r>
          </w:p>
        </w:tc>
        <w:tc>
          <w:tcPr>
            <w:tcW w:w="610" w:type="pct"/>
            <w:noWrap w:val="0"/>
            <w:vAlign w:val="center"/>
          </w:tcPr>
          <w:p w14:paraId="5767C917">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5A5EF635">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79" w:type="pct"/>
            <w:noWrap w:val="0"/>
            <w:vAlign w:val="center"/>
          </w:tcPr>
          <w:p w14:paraId="7838FD70">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4639A3C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171F5D4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5824EDE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restart"/>
            <w:noWrap w:val="0"/>
            <w:vAlign w:val="center"/>
          </w:tcPr>
          <w:p w14:paraId="07BFC36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固废</w:t>
            </w:r>
          </w:p>
        </w:tc>
        <w:tc>
          <w:tcPr>
            <w:tcW w:w="1234" w:type="pct"/>
            <w:gridSpan w:val="2"/>
            <w:noWrap w:val="0"/>
            <w:vAlign w:val="center"/>
          </w:tcPr>
          <w:p w14:paraId="1E1F1336">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猪粪</w:t>
            </w:r>
          </w:p>
        </w:tc>
        <w:tc>
          <w:tcPr>
            <w:tcW w:w="610" w:type="pct"/>
            <w:noWrap w:val="0"/>
            <w:vAlign w:val="center"/>
          </w:tcPr>
          <w:p w14:paraId="7453607A">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191.04</w:t>
            </w:r>
          </w:p>
        </w:tc>
        <w:tc>
          <w:tcPr>
            <w:tcW w:w="739" w:type="pct"/>
            <w:shd w:val="clear" w:color="auto" w:fill="auto"/>
            <w:noWrap w:val="0"/>
            <w:vAlign w:val="center"/>
          </w:tcPr>
          <w:p w14:paraId="2505BBDD">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636.779</w:t>
            </w:r>
          </w:p>
        </w:tc>
        <w:tc>
          <w:tcPr>
            <w:tcW w:w="679" w:type="pct"/>
            <w:shd w:val="clear" w:color="auto" w:fill="auto"/>
            <w:noWrap w:val="0"/>
            <w:vAlign w:val="center"/>
          </w:tcPr>
          <w:p w14:paraId="3DA82289">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zh-CN" w:eastAsia="zh-CN" w:bidi="ar-SA"/>
              </w:rPr>
              <w:t>191.04</w:t>
            </w:r>
          </w:p>
        </w:tc>
        <w:tc>
          <w:tcPr>
            <w:tcW w:w="1292" w:type="dxa"/>
            <w:shd w:val="clear" w:color="auto" w:fill="auto"/>
            <w:noWrap w:val="0"/>
            <w:vAlign w:val="center"/>
          </w:tcPr>
          <w:p w14:paraId="02CE9625">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636.779</w:t>
            </w:r>
          </w:p>
        </w:tc>
        <w:tc>
          <w:tcPr>
            <w:tcW w:w="616" w:type="pct"/>
            <w:noWrap w:val="0"/>
            <w:vAlign w:val="center"/>
          </w:tcPr>
          <w:p w14:paraId="7A87E3C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+445.739</w:t>
            </w:r>
          </w:p>
        </w:tc>
      </w:tr>
      <w:tr w14:paraId="415301E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18B2B159">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4A62D250">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snapToGrid w:val="0"/>
                <w:color w:val="auto"/>
                <w:kern w:val="0"/>
                <w:sz w:val="21"/>
                <w:szCs w:val="21"/>
                <w:highlight w:val="none"/>
                <w:lang w:val="zh-CN" w:eastAsia="zh-CN" w:bidi="ar-SA"/>
              </w:rPr>
              <w:t>动物医疗废物</w:t>
            </w:r>
          </w:p>
        </w:tc>
        <w:tc>
          <w:tcPr>
            <w:tcW w:w="610" w:type="pct"/>
            <w:noWrap w:val="0"/>
            <w:vAlign w:val="center"/>
          </w:tcPr>
          <w:p w14:paraId="688BE5E4">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0.15</w:t>
            </w:r>
          </w:p>
        </w:tc>
        <w:tc>
          <w:tcPr>
            <w:tcW w:w="739" w:type="pct"/>
            <w:shd w:val="clear" w:color="auto" w:fill="auto"/>
            <w:noWrap w:val="0"/>
            <w:vAlign w:val="center"/>
          </w:tcPr>
          <w:p w14:paraId="0EB59AC1">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0.9125</w:t>
            </w:r>
          </w:p>
        </w:tc>
        <w:tc>
          <w:tcPr>
            <w:tcW w:w="679" w:type="pct"/>
            <w:shd w:val="clear" w:color="auto" w:fill="auto"/>
            <w:noWrap w:val="0"/>
            <w:vAlign w:val="center"/>
          </w:tcPr>
          <w:p w14:paraId="02DD9EF8">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0.15</w:t>
            </w:r>
          </w:p>
        </w:tc>
        <w:tc>
          <w:tcPr>
            <w:tcW w:w="1292" w:type="dxa"/>
            <w:shd w:val="clear" w:color="auto" w:fill="auto"/>
            <w:noWrap w:val="0"/>
            <w:vAlign w:val="center"/>
          </w:tcPr>
          <w:p w14:paraId="4E62975A">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0.9125</w:t>
            </w:r>
          </w:p>
        </w:tc>
        <w:tc>
          <w:tcPr>
            <w:tcW w:w="1038" w:type="dxa"/>
            <w:noWrap w:val="0"/>
            <w:vAlign w:val="center"/>
          </w:tcPr>
          <w:p w14:paraId="1067069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+0.7625</w:t>
            </w:r>
          </w:p>
        </w:tc>
      </w:tr>
      <w:tr w14:paraId="1882729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3AF0FB65">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48A8A8A4">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病死猪尸体</w:t>
            </w:r>
          </w:p>
        </w:tc>
        <w:tc>
          <w:tcPr>
            <w:tcW w:w="610" w:type="pct"/>
            <w:noWrap w:val="0"/>
            <w:vAlign w:val="center"/>
          </w:tcPr>
          <w:p w14:paraId="3BEEA1F4">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0.9</w:t>
            </w:r>
          </w:p>
        </w:tc>
        <w:tc>
          <w:tcPr>
            <w:tcW w:w="739" w:type="pct"/>
            <w:shd w:val="clear" w:color="auto" w:fill="auto"/>
            <w:noWrap w:val="0"/>
            <w:vAlign w:val="center"/>
          </w:tcPr>
          <w:p w14:paraId="11679C94">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3.2</w:t>
            </w:r>
          </w:p>
        </w:tc>
        <w:tc>
          <w:tcPr>
            <w:tcW w:w="679" w:type="pct"/>
            <w:shd w:val="clear" w:color="auto" w:fill="auto"/>
            <w:noWrap w:val="0"/>
            <w:vAlign w:val="center"/>
          </w:tcPr>
          <w:p w14:paraId="06118E62">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0.9</w:t>
            </w:r>
          </w:p>
        </w:tc>
        <w:tc>
          <w:tcPr>
            <w:tcW w:w="1292" w:type="dxa"/>
            <w:shd w:val="clear" w:color="auto" w:fill="auto"/>
            <w:noWrap w:val="0"/>
            <w:vAlign w:val="center"/>
          </w:tcPr>
          <w:p w14:paraId="66CB49DB">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3.2</w:t>
            </w:r>
          </w:p>
        </w:tc>
        <w:tc>
          <w:tcPr>
            <w:tcW w:w="1038" w:type="dxa"/>
            <w:noWrap w:val="0"/>
            <w:vAlign w:val="center"/>
          </w:tcPr>
          <w:p w14:paraId="3B93C93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+2.3</w:t>
            </w:r>
          </w:p>
        </w:tc>
      </w:tr>
      <w:tr w14:paraId="59BC363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6657B37C">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7CFE1097">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胎盘</w:t>
            </w:r>
          </w:p>
        </w:tc>
        <w:tc>
          <w:tcPr>
            <w:tcW w:w="610" w:type="pct"/>
            <w:noWrap w:val="0"/>
            <w:vAlign w:val="center"/>
          </w:tcPr>
          <w:p w14:paraId="6A5C9F41">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1.254</w:t>
            </w:r>
          </w:p>
        </w:tc>
        <w:tc>
          <w:tcPr>
            <w:tcW w:w="739" w:type="pct"/>
            <w:shd w:val="clear" w:color="auto" w:fill="auto"/>
            <w:noWrap w:val="0"/>
            <w:vAlign w:val="center"/>
          </w:tcPr>
          <w:p w14:paraId="7E8D8DBE">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rPr>
              <w:t>4.18</w:t>
            </w:r>
          </w:p>
        </w:tc>
        <w:tc>
          <w:tcPr>
            <w:tcW w:w="679" w:type="pct"/>
            <w:shd w:val="clear" w:color="auto" w:fill="auto"/>
            <w:noWrap w:val="0"/>
            <w:vAlign w:val="center"/>
          </w:tcPr>
          <w:p w14:paraId="7911D0EC">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1.254</w:t>
            </w:r>
          </w:p>
        </w:tc>
        <w:tc>
          <w:tcPr>
            <w:tcW w:w="1292" w:type="dxa"/>
            <w:shd w:val="clear" w:color="auto" w:fill="auto"/>
            <w:noWrap w:val="0"/>
            <w:vAlign w:val="center"/>
          </w:tcPr>
          <w:p w14:paraId="74FFC603">
            <w:pPr>
              <w:pStyle w:val="15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rPr>
              <w:t>4.18</w:t>
            </w:r>
          </w:p>
        </w:tc>
        <w:tc>
          <w:tcPr>
            <w:tcW w:w="1038" w:type="dxa"/>
            <w:noWrap w:val="0"/>
            <w:vAlign w:val="center"/>
          </w:tcPr>
          <w:p w14:paraId="0127996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+2.926</w:t>
            </w:r>
          </w:p>
        </w:tc>
      </w:tr>
      <w:tr w14:paraId="7CF3505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05CDB505">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22347C03">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沼渣</w:t>
            </w:r>
          </w:p>
        </w:tc>
        <w:tc>
          <w:tcPr>
            <w:tcW w:w="610" w:type="pct"/>
            <w:noWrap w:val="0"/>
            <w:vAlign w:val="center"/>
          </w:tcPr>
          <w:p w14:paraId="7875ADEE">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106.98</w:t>
            </w:r>
          </w:p>
        </w:tc>
        <w:tc>
          <w:tcPr>
            <w:tcW w:w="739" w:type="pct"/>
            <w:noWrap w:val="0"/>
            <w:vAlign w:val="center"/>
          </w:tcPr>
          <w:p w14:paraId="0AC839A8">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356.608</w:t>
            </w:r>
          </w:p>
        </w:tc>
        <w:tc>
          <w:tcPr>
            <w:tcW w:w="679" w:type="pct"/>
            <w:shd w:val="clear" w:color="auto" w:fill="auto"/>
            <w:noWrap w:val="0"/>
            <w:vAlign w:val="center"/>
          </w:tcPr>
          <w:p w14:paraId="027106D9">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106.98</w:t>
            </w:r>
          </w:p>
        </w:tc>
        <w:tc>
          <w:tcPr>
            <w:tcW w:w="1292" w:type="dxa"/>
            <w:shd w:val="clear" w:color="auto" w:fill="auto"/>
            <w:noWrap w:val="0"/>
            <w:vAlign w:val="center"/>
          </w:tcPr>
          <w:p w14:paraId="74A73214">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356.608</w:t>
            </w:r>
          </w:p>
        </w:tc>
        <w:tc>
          <w:tcPr>
            <w:tcW w:w="1038" w:type="dxa"/>
            <w:noWrap w:val="0"/>
            <w:vAlign w:val="center"/>
          </w:tcPr>
          <w:p w14:paraId="58AED6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+249.628</w:t>
            </w:r>
          </w:p>
        </w:tc>
      </w:tr>
      <w:tr w14:paraId="5AF19F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39ED2293">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1C3E7C85">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废除臭剂桶</w:t>
            </w:r>
          </w:p>
        </w:tc>
        <w:tc>
          <w:tcPr>
            <w:tcW w:w="610" w:type="pct"/>
            <w:noWrap w:val="0"/>
            <w:vAlign w:val="center"/>
          </w:tcPr>
          <w:p w14:paraId="4F1C51D0">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w:t>
            </w:r>
          </w:p>
        </w:tc>
        <w:tc>
          <w:tcPr>
            <w:tcW w:w="739" w:type="pct"/>
            <w:noWrap w:val="0"/>
            <w:vAlign w:val="center"/>
          </w:tcPr>
          <w:p w14:paraId="79645FCE">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c>
          <w:tcPr>
            <w:tcW w:w="679" w:type="pct"/>
            <w:shd w:val="clear" w:color="auto" w:fill="auto"/>
            <w:noWrap w:val="0"/>
            <w:vAlign w:val="center"/>
          </w:tcPr>
          <w:p w14:paraId="517C1ECB">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1</w:t>
            </w:r>
          </w:p>
        </w:tc>
        <w:tc>
          <w:tcPr>
            <w:tcW w:w="1292" w:type="dxa"/>
            <w:shd w:val="clear" w:color="auto" w:fill="auto"/>
            <w:noWrap w:val="0"/>
            <w:vAlign w:val="center"/>
          </w:tcPr>
          <w:p w14:paraId="0CCD53C2">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3.5</w:t>
            </w:r>
          </w:p>
        </w:tc>
        <w:tc>
          <w:tcPr>
            <w:tcW w:w="1038" w:type="dxa"/>
            <w:noWrap w:val="0"/>
            <w:vAlign w:val="center"/>
          </w:tcPr>
          <w:p w14:paraId="53BE32E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+2.5</w:t>
            </w:r>
          </w:p>
        </w:tc>
      </w:tr>
      <w:tr w14:paraId="67FC56F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41FD5CC8">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2C275525">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废活性炭</w:t>
            </w:r>
          </w:p>
        </w:tc>
        <w:tc>
          <w:tcPr>
            <w:tcW w:w="610" w:type="pct"/>
            <w:noWrap w:val="0"/>
            <w:vAlign w:val="center"/>
          </w:tcPr>
          <w:p w14:paraId="2C1231AC">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w:t>
            </w:r>
          </w:p>
        </w:tc>
        <w:tc>
          <w:tcPr>
            <w:tcW w:w="739" w:type="pct"/>
            <w:noWrap w:val="0"/>
            <w:vAlign w:val="center"/>
          </w:tcPr>
          <w:p w14:paraId="6CFF946C">
            <w:pPr>
              <w:widowControl w:val="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3.84</w:t>
            </w:r>
          </w:p>
        </w:tc>
        <w:tc>
          <w:tcPr>
            <w:tcW w:w="679" w:type="pct"/>
            <w:shd w:val="clear" w:color="auto" w:fill="auto"/>
            <w:noWrap w:val="0"/>
            <w:vAlign w:val="center"/>
          </w:tcPr>
          <w:p w14:paraId="1122AE12">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w:t>
            </w:r>
          </w:p>
        </w:tc>
        <w:tc>
          <w:tcPr>
            <w:tcW w:w="1292" w:type="dxa"/>
            <w:shd w:val="clear" w:color="auto" w:fill="auto"/>
            <w:noWrap w:val="0"/>
            <w:vAlign w:val="center"/>
          </w:tcPr>
          <w:p w14:paraId="66F76B96">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rPr>
              <w:t>3.84</w:t>
            </w:r>
          </w:p>
        </w:tc>
        <w:tc>
          <w:tcPr>
            <w:tcW w:w="1038" w:type="dxa"/>
            <w:noWrap w:val="0"/>
            <w:vAlign w:val="center"/>
          </w:tcPr>
          <w:p w14:paraId="4B797CB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+3.84</w:t>
            </w:r>
          </w:p>
        </w:tc>
      </w:tr>
      <w:tr w14:paraId="4E8B850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58E30B10">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11F5D459">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废脱硫剂</w:t>
            </w:r>
          </w:p>
        </w:tc>
        <w:tc>
          <w:tcPr>
            <w:tcW w:w="610" w:type="pct"/>
            <w:noWrap w:val="0"/>
            <w:vAlign w:val="center"/>
          </w:tcPr>
          <w:p w14:paraId="4FA639BB">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0</w:t>
            </w:r>
          </w:p>
        </w:tc>
        <w:tc>
          <w:tcPr>
            <w:tcW w:w="739" w:type="pct"/>
            <w:noWrap w:val="0"/>
            <w:vAlign w:val="center"/>
          </w:tcPr>
          <w:p w14:paraId="0C5E320C">
            <w:pPr>
              <w:widowControl w:val="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snapToGrid w:val="0"/>
                <w:color w:val="auto"/>
                <w:sz w:val="21"/>
                <w:szCs w:val="21"/>
                <w:highlight w:val="none"/>
                <w:lang w:eastAsia="zh-CN"/>
              </w:rPr>
              <w:t>0.0363</w:t>
            </w:r>
          </w:p>
        </w:tc>
        <w:tc>
          <w:tcPr>
            <w:tcW w:w="679" w:type="pct"/>
            <w:shd w:val="clear" w:color="auto" w:fill="auto"/>
            <w:noWrap w:val="0"/>
            <w:vAlign w:val="center"/>
          </w:tcPr>
          <w:p w14:paraId="2000BACC">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w:t>
            </w:r>
          </w:p>
        </w:tc>
        <w:tc>
          <w:tcPr>
            <w:tcW w:w="1292" w:type="dxa"/>
            <w:shd w:val="clear" w:color="auto" w:fill="auto"/>
            <w:noWrap w:val="0"/>
            <w:vAlign w:val="center"/>
          </w:tcPr>
          <w:p w14:paraId="4E28F75C">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napToGrid w:val="0"/>
                <w:color w:val="auto"/>
                <w:sz w:val="21"/>
                <w:szCs w:val="21"/>
                <w:highlight w:val="none"/>
                <w:lang w:eastAsia="zh-CN"/>
              </w:rPr>
              <w:t>0.0363</w:t>
            </w:r>
          </w:p>
        </w:tc>
        <w:tc>
          <w:tcPr>
            <w:tcW w:w="1038" w:type="dxa"/>
            <w:noWrap w:val="0"/>
            <w:vAlign w:val="center"/>
          </w:tcPr>
          <w:p w14:paraId="2C6B7E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color w:val="auto"/>
                <w:kern w:val="2"/>
                <w:sz w:val="21"/>
                <w:szCs w:val="21"/>
                <w:highlight w:val="none"/>
                <w:lang w:val="en-US" w:eastAsia="zh-CN"/>
              </w:rPr>
              <w:t>+0.0363</w:t>
            </w:r>
          </w:p>
        </w:tc>
      </w:tr>
    </w:tbl>
    <w:p w14:paraId="51DF0D65">
      <w:pPr>
        <w:spacing w:line="360" w:lineRule="auto"/>
        <w:ind w:firstLine="420"/>
        <w:jc w:val="both"/>
        <w:rPr>
          <w:rFonts w:hint="default" w:ascii="Times New Roman" w:hAnsi="Times New Roman" w:eastAsia="宋体" w:cs="Times New Roman"/>
          <w:snapToGrid w:val="0"/>
          <w:color w:val="auto"/>
          <w:highlight w:val="none"/>
        </w:rPr>
      </w:pPr>
    </w:p>
    <w:p w14:paraId="46C52164">
      <w:pPr>
        <w:pStyle w:val="2"/>
        <w:rPr>
          <w:rFonts w:hint="default"/>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2"/>
    <w:p w14:paraId="0A81395A">
      <w:pPr>
        <w:pStyle w:val="4"/>
        <w:bidi w:val="0"/>
        <w:rPr>
          <w:rFonts w:hint="default"/>
          <w:highlight w:val="none"/>
        </w:rPr>
      </w:pPr>
      <w:bookmarkStart w:id="528" w:name="_Toc25360"/>
      <w:bookmarkStart w:id="529" w:name="_Toc29778"/>
      <w:bookmarkStart w:id="530" w:name="_Toc16477"/>
      <w:bookmarkStart w:id="531" w:name="_Toc26392"/>
      <w:bookmarkStart w:id="532" w:name="_Toc13890"/>
      <w:r>
        <w:rPr>
          <w:rFonts w:hint="default"/>
          <w:highlight w:val="none"/>
        </w:rPr>
        <w:t>4环境现状调查与评价</w:t>
      </w:r>
      <w:bookmarkEnd w:id="528"/>
      <w:bookmarkEnd w:id="529"/>
      <w:bookmarkEnd w:id="530"/>
      <w:bookmarkEnd w:id="531"/>
      <w:bookmarkEnd w:id="532"/>
    </w:p>
    <w:p w14:paraId="2FA7B560">
      <w:pPr>
        <w:pStyle w:val="5"/>
        <w:bidi w:val="0"/>
        <w:rPr>
          <w:rFonts w:hint="default"/>
          <w:highlight w:val="none"/>
        </w:rPr>
      </w:pPr>
      <w:bookmarkStart w:id="533" w:name="_Toc15794"/>
      <w:bookmarkStart w:id="534" w:name="_Toc475378598"/>
      <w:bookmarkStart w:id="535" w:name="_Toc32725"/>
      <w:bookmarkStart w:id="536" w:name="_Toc13223"/>
      <w:bookmarkStart w:id="537" w:name="_Toc9634"/>
      <w:bookmarkStart w:id="538" w:name="_Toc508022089"/>
      <w:bookmarkStart w:id="539" w:name="_Toc25560"/>
      <w:bookmarkStart w:id="540" w:name="_Toc255391947"/>
      <w:bookmarkStart w:id="541" w:name="_Toc101092159"/>
      <w:bookmarkStart w:id="542" w:name="_Toc472585619"/>
      <w:bookmarkStart w:id="543" w:name="_Toc472590896"/>
      <w:bookmarkStart w:id="544" w:name="_Toc296952023"/>
      <w:bookmarkStart w:id="545" w:name="_Toc449393546"/>
      <w:bookmarkStart w:id="546" w:name="_Toc127950100"/>
      <w:r>
        <w:rPr>
          <w:rFonts w:hint="default"/>
          <w:highlight w:val="none"/>
        </w:rPr>
        <w:t>4.1环境现状调查</w:t>
      </w:r>
      <w:bookmarkEnd w:id="533"/>
      <w:bookmarkEnd w:id="534"/>
      <w:bookmarkEnd w:id="535"/>
      <w:bookmarkEnd w:id="536"/>
      <w:bookmarkEnd w:id="537"/>
      <w:bookmarkEnd w:id="538"/>
      <w:bookmarkEnd w:id="539"/>
    </w:p>
    <w:p w14:paraId="303EA048">
      <w:pPr>
        <w:pStyle w:val="7"/>
        <w:bidi w:val="0"/>
        <w:rPr>
          <w:rFonts w:hint="default"/>
          <w:highlight w:val="none"/>
        </w:rPr>
      </w:pPr>
      <w:bookmarkStart w:id="547" w:name="_Toc14935"/>
      <w:bookmarkStart w:id="548" w:name="_Toc5"/>
      <w:bookmarkStart w:id="549" w:name="_Toc4423"/>
      <w:bookmarkStart w:id="550" w:name="_Toc26223"/>
      <w:bookmarkStart w:id="551" w:name="_Toc508022090"/>
      <w:r>
        <w:rPr>
          <w:rFonts w:hint="default"/>
          <w:highlight w:val="none"/>
        </w:rPr>
        <w:t>4.1.1自然环境</w:t>
      </w:r>
      <w:bookmarkEnd w:id="540"/>
      <w:bookmarkEnd w:id="541"/>
      <w:bookmarkEnd w:id="542"/>
      <w:bookmarkEnd w:id="543"/>
      <w:bookmarkEnd w:id="544"/>
      <w:bookmarkEnd w:id="545"/>
      <w:bookmarkEnd w:id="546"/>
      <w:bookmarkEnd w:id="547"/>
      <w:bookmarkEnd w:id="548"/>
      <w:bookmarkEnd w:id="549"/>
      <w:bookmarkEnd w:id="550"/>
      <w:bookmarkEnd w:id="551"/>
      <w:bookmarkStart w:id="552" w:name="_Toc402352943"/>
      <w:bookmarkStart w:id="553" w:name="_Toc244330360"/>
      <w:bookmarkStart w:id="554" w:name="_Toc244329286"/>
      <w:bookmarkStart w:id="555" w:name="_Toc422224741"/>
      <w:bookmarkStart w:id="556" w:name="_Toc244330526"/>
    </w:p>
    <w:p w14:paraId="7DE36666">
      <w:pPr>
        <w:pStyle w:val="8"/>
        <w:bidi w:val="0"/>
        <w:rPr>
          <w:rFonts w:hint="default"/>
          <w:highlight w:val="none"/>
        </w:rPr>
      </w:pPr>
      <w:bookmarkStart w:id="557" w:name="_Toc5985"/>
      <w:bookmarkStart w:id="558" w:name="_Toc21806"/>
      <w:r>
        <w:rPr>
          <w:rFonts w:hint="default"/>
          <w:highlight w:val="none"/>
        </w:rPr>
        <w:t>4.1.1.1地理位置</w:t>
      </w:r>
      <w:bookmarkEnd w:id="552"/>
      <w:bookmarkEnd w:id="553"/>
      <w:bookmarkEnd w:id="554"/>
      <w:bookmarkEnd w:id="555"/>
      <w:bookmarkEnd w:id="556"/>
      <w:bookmarkEnd w:id="557"/>
      <w:bookmarkEnd w:id="558"/>
    </w:p>
    <w:p w14:paraId="575BCC7C">
      <w:pPr>
        <w:pStyle w:val="94"/>
        <w:ind w:firstLine="480"/>
        <w:rPr>
          <w:rFonts w:hint="default" w:ascii="Times New Roman" w:hAnsi="Times New Roman" w:eastAsia="宋体" w:cs="Times New Roman"/>
          <w:color w:val="auto"/>
          <w:kern w:val="0"/>
          <w:szCs w:val="24"/>
          <w:highlight w:val="none"/>
          <w:lang w:bidi="ar"/>
        </w:rPr>
      </w:pPr>
      <w:r>
        <w:rPr>
          <w:rFonts w:hint="default" w:ascii="Times New Roman" w:hAnsi="Times New Roman" w:eastAsia="宋体" w:cs="Times New Roman"/>
          <w:color w:val="auto"/>
          <w:kern w:val="0"/>
          <w:szCs w:val="24"/>
          <w:highlight w:val="none"/>
          <w:lang w:val="en-US" w:eastAsia="zh-CN" w:bidi="ar"/>
        </w:rPr>
        <w:t>本项目的选址位于黑龙江省鸡西市密山市柳毛乡团结村4组。中心地理坐标：东经132°10′34.521″，北纬45°34′7.140″。</w:t>
      </w:r>
    </w:p>
    <w:p w14:paraId="16C942B3">
      <w:pPr>
        <w:pStyle w:val="8"/>
        <w:bidi w:val="0"/>
        <w:rPr>
          <w:rFonts w:hint="default"/>
          <w:highlight w:val="none"/>
        </w:rPr>
      </w:pPr>
      <w:bookmarkStart w:id="559" w:name="_Toc13496"/>
      <w:bookmarkStart w:id="560" w:name="_Toc10070"/>
      <w:r>
        <w:rPr>
          <w:rFonts w:hint="default"/>
          <w:highlight w:val="none"/>
        </w:rPr>
        <w:t>4.1.1.2地质地貌</w:t>
      </w:r>
      <w:bookmarkEnd w:id="559"/>
      <w:bookmarkEnd w:id="560"/>
    </w:p>
    <w:p w14:paraId="274371FA">
      <w:pPr>
        <w:pStyle w:val="467"/>
        <w:keepNext w:val="0"/>
        <w:keepLines w:val="0"/>
        <w:pageBreakBefore w:val="0"/>
        <w:widowControl w:val="0"/>
        <w:kinsoku/>
        <w:wordWrap/>
        <w:overflowPunct/>
        <w:topLinePunct w:val="0"/>
        <w:autoSpaceDE/>
        <w:autoSpaceDN/>
        <w:bidi w:val="0"/>
        <w:adjustRightInd w:val="0"/>
        <w:snapToGrid w:val="0"/>
        <w:spacing w:line="360" w:lineRule="auto"/>
        <w:ind w:firstLine="480"/>
        <w:jc w:val="both"/>
        <w:textAlignment w:val="auto"/>
        <w:rPr>
          <w:rFonts w:hint="default" w:ascii="Times New Roman" w:hAnsi="Times New Roman" w:eastAsia="宋体" w:cs="Times New Roman"/>
          <w:color w:val="auto"/>
          <w:spacing w:val="0"/>
          <w:szCs w:val="28"/>
          <w:highlight w:val="none"/>
          <w:lang w:val="en-US" w:eastAsia="zh-CN"/>
        </w:rPr>
      </w:pPr>
      <w:r>
        <w:rPr>
          <w:rFonts w:hint="default" w:ascii="Times New Roman" w:hAnsi="Times New Roman" w:eastAsia="宋体" w:cs="Times New Roman"/>
          <w:color w:val="auto"/>
          <w:spacing w:val="0"/>
          <w:szCs w:val="28"/>
          <w:highlight w:val="none"/>
          <w:lang w:val="en-US" w:eastAsia="zh-CN"/>
        </w:rPr>
        <w:t>鸡西地区地貌类型属以中低山的丘陵为主，全市地处三江平原东南部，属三江平原第二区，境内山地均属长白山系，完达山余脉那丹哈达阿岭由东向西环抱着北部，太平岭余尾波格拉尼池内山脉由西向东横卧于南部，域内北、西、南三面环山，构成由西南向东北倾斜、开阔的马蹄形盆地，穆棱河由西向东贯通中部，南北低山连结着丘陵漫岗和开阔的穆棱河冲积平原，构成了南北高中间低和西高东低的地势。平原区和山区之间由坡岗地相连，形成了低山丘陵，丘陵漫岗和冲积平原三种地貌类型，地貌特征为</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七山、半水、二分半田</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。地势南北高，中间低，西高东低。低山丘陵区占总面积的66</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、丘陵漫岗区占24</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、冲积平原区占10</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。穆棱河流域东西长南北窄，东部以穆兴东堤与松阿察河分界，海拔高程60～90m，南部以太平岭与绥芬河、兴凯湖流域分界、海拔高程80～1040m。</w:t>
      </w:r>
    </w:p>
    <w:p w14:paraId="0EBF59B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pacing w:val="0"/>
          <w:szCs w:val="28"/>
          <w:highlight w:val="none"/>
          <w:lang w:val="en-US" w:eastAsia="zh-CN"/>
        </w:rPr>
        <w:t>密山市属三江平原第二区，北部为完达山脉，南部为长白山脉，中部为穆棱河冲积平原，地貌特征为“三山二水五分田”。由北向南分别为低山丘陵、山前漫岗、河谷平原、湖积平原四种类型，其中以低山丘陵为主要地貌类型。总的地势是西北高、东南低，最高山峰老黑背山海拔683.70米，东南部湖积平原海拔65~80米。柳毛乡地处丘陵地带，地势开阔，地形起伏平缓，地形主要由穆棱河和柳毛河冲积形成。</w:t>
      </w:r>
    </w:p>
    <w:p w14:paraId="2F498C6B">
      <w:pPr>
        <w:pStyle w:val="8"/>
        <w:bidi w:val="0"/>
        <w:rPr>
          <w:rFonts w:hint="default"/>
          <w:highlight w:val="none"/>
        </w:rPr>
      </w:pPr>
      <w:bookmarkStart w:id="561" w:name="_Toc31394"/>
      <w:bookmarkStart w:id="562" w:name="_Toc28033"/>
      <w:r>
        <w:rPr>
          <w:rFonts w:hint="default"/>
          <w:highlight w:val="none"/>
        </w:rPr>
        <w:t>4.1.1.3气候气象</w:t>
      </w:r>
      <w:bookmarkEnd w:id="561"/>
      <w:bookmarkEnd w:id="562"/>
    </w:p>
    <w:p w14:paraId="51178D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eastAsia="宋体" w:cs="Times New Roman"/>
          <w:color w:val="auto"/>
          <w:kern w:val="2"/>
          <w:sz w:val="24"/>
          <w:szCs w:val="24"/>
          <w:highlight w:val="none"/>
          <w:lang w:val="en-US" w:eastAsia="zh-CN"/>
        </w:rPr>
        <w:t>（1）资料来源</w:t>
      </w:r>
    </w:p>
    <w:p w14:paraId="25024B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本评价区地面历史气象资料利用鸡西市气象台气象观测站提供的地面多年（30年）观测资料。鸡西市气象台气象观测站地理位置位于北纬45°18′，东经130°56′，海拔高度280.8m。</w:t>
      </w:r>
    </w:p>
    <w:p w14:paraId="461C30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地面气象特征</w:t>
      </w:r>
    </w:p>
    <w:p w14:paraId="30001D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①</w:t>
      </w:r>
      <w:r>
        <w:rPr>
          <w:rFonts w:hint="default" w:ascii="Times New Roman" w:hAnsi="Times New Roman" w:eastAsia="宋体" w:cs="Times New Roman"/>
          <w:color w:val="auto"/>
          <w:kern w:val="2"/>
          <w:sz w:val="24"/>
          <w:szCs w:val="24"/>
          <w:highlight w:val="none"/>
        </w:rPr>
        <w:t>气候特征</w:t>
      </w:r>
    </w:p>
    <w:p w14:paraId="5672E9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鸡西市地处中温带，属大陆性季风气候，受极地大陆气团和季风的影响，四季分明，冬季漫长，干燥而寒冷，夏季湿热多雨，春季干燥少雨、多风，秋季凉爽，多晴暖天气且春秋两季短暂，气温变化急剧，年温差较大。年均气温4.2℃，冰冻深度1.6~1.8m，年降水量400~600mm，年平均降雨量5</w:t>
      </w:r>
      <w:r>
        <w:rPr>
          <w:rFonts w:hint="default" w:ascii="Times New Roman" w:hAnsi="Times New Roman" w:eastAsia="宋体" w:cs="Times New Roman"/>
          <w:color w:val="auto"/>
          <w:kern w:val="2"/>
          <w:sz w:val="24"/>
          <w:szCs w:val="24"/>
          <w:highlight w:val="none"/>
          <w:lang w:val="en-US" w:eastAsia="zh-CN"/>
        </w:rPr>
        <w:t>42</w:t>
      </w:r>
      <w:r>
        <w:rPr>
          <w:rFonts w:hint="default" w:ascii="Times New Roman" w:hAnsi="Times New Roman" w:eastAsia="宋体" w:cs="Times New Roman"/>
          <w:color w:val="auto"/>
          <w:kern w:val="2"/>
          <w:sz w:val="24"/>
          <w:szCs w:val="24"/>
          <w:highlight w:val="none"/>
        </w:rPr>
        <w:t>.0mm</w:t>
      </w:r>
      <w:r>
        <w:rPr>
          <w:rFonts w:hint="default" w:ascii="Times New Roman" w:hAnsi="Times New Roman" w:eastAsia="宋体" w:cs="Times New Roman"/>
          <w:color w:val="auto"/>
          <w:kern w:val="2"/>
          <w:sz w:val="24"/>
          <w:szCs w:val="24"/>
          <w:highlight w:val="none"/>
          <w:lang w:eastAsia="zh-CN"/>
        </w:rPr>
        <w:t>，年均蒸发量为1</w:t>
      </w:r>
      <w:r>
        <w:rPr>
          <w:rFonts w:hint="default" w:ascii="Times New Roman" w:hAnsi="Times New Roman" w:eastAsia="宋体" w:cs="Times New Roman"/>
          <w:color w:val="auto"/>
          <w:kern w:val="2"/>
          <w:sz w:val="24"/>
          <w:szCs w:val="24"/>
          <w:highlight w:val="none"/>
          <w:lang w:val="en-US" w:eastAsia="zh-CN"/>
        </w:rPr>
        <w:t>237.7</w:t>
      </w:r>
      <w:r>
        <w:rPr>
          <w:rFonts w:hint="default" w:ascii="Times New Roman" w:hAnsi="Times New Roman" w:eastAsia="宋体" w:cs="Times New Roman"/>
          <w:color w:val="auto"/>
          <w:kern w:val="2"/>
          <w:sz w:val="24"/>
          <w:szCs w:val="24"/>
          <w:highlight w:val="none"/>
          <w:lang w:eastAsia="zh-CN"/>
        </w:rPr>
        <w:t>mm</w:t>
      </w:r>
      <w:r>
        <w:rPr>
          <w:rFonts w:hint="default" w:ascii="Times New Roman" w:hAnsi="Times New Roman" w:eastAsia="宋体" w:cs="Times New Roman"/>
          <w:color w:val="auto"/>
          <w:kern w:val="2"/>
          <w:sz w:val="24"/>
          <w:szCs w:val="24"/>
          <w:highlight w:val="none"/>
        </w:rPr>
        <w:t>，其中70%集中在7、8月两个月；年平均相对湿度64%；年日照时数为2564.5小时，年日照百分率为58%；鸡西市常年主导风向是西风。</w:t>
      </w:r>
    </w:p>
    <w:p w14:paraId="619699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②温度</w:t>
      </w:r>
    </w:p>
    <w:p w14:paraId="616809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鸡西市年年平均气温为4.2℃，最高气温出现在7月，为21.9℃，最低气温出现在1月，为-16.4℃；极端最高气温为37.6℃，出现在1982年，极端最低气温为-35.1℃，出现在1951年；各月及全年气温见表4</w:t>
      </w:r>
      <w:r>
        <w:rPr>
          <w:rFonts w:hint="eastAsia" w:ascii="Times New Roman" w:hAnsi="Times New Roman"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rPr>
        <w:t>1-</w:t>
      </w:r>
      <w:r>
        <w:rPr>
          <w:rFonts w:hint="eastAsia"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rPr>
        <w:t>和图4</w:t>
      </w:r>
      <w:r>
        <w:rPr>
          <w:rFonts w:hint="eastAsia" w:ascii="Times New Roman" w:hAnsi="Times New Roman"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rPr>
        <w:t>1-</w:t>
      </w:r>
      <w:r>
        <w:rPr>
          <w:rFonts w:hint="eastAsia"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rPr>
        <w:t>。</w:t>
      </w:r>
    </w:p>
    <w:p w14:paraId="16F5E9A7">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评价区各月及全年平均气温  单位：℃</w:t>
      </w:r>
    </w:p>
    <w:tbl>
      <w:tblPr>
        <w:tblStyle w:val="48"/>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1199"/>
        <w:gridCol w:w="593"/>
        <w:gridCol w:w="596"/>
        <w:gridCol w:w="594"/>
        <w:gridCol w:w="594"/>
        <w:gridCol w:w="596"/>
        <w:gridCol w:w="594"/>
        <w:gridCol w:w="594"/>
        <w:gridCol w:w="596"/>
        <w:gridCol w:w="594"/>
        <w:gridCol w:w="594"/>
        <w:gridCol w:w="596"/>
        <w:gridCol w:w="594"/>
      </w:tblGrid>
      <w:tr w14:paraId="3CDD7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719" w:type="pct"/>
            <w:tcBorders>
              <w:tl2br w:val="nil"/>
              <w:tr2bl w:val="nil"/>
            </w:tcBorders>
            <w:shd w:val="clear" w:color="auto" w:fill="FFFFFF"/>
            <w:noWrap w:val="0"/>
            <w:vAlign w:val="center"/>
          </w:tcPr>
          <w:p w14:paraId="71915467">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月份</w:t>
            </w:r>
          </w:p>
        </w:tc>
        <w:tc>
          <w:tcPr>
            <w:tcW w:w="356" w:type="pct"/>
            <w:tcBorders>
              <w:tl2br w:val="nil"/>
              <w:tr2bl w:val="nil"/>
            </w:tcBorders>
            <w:shd w:val="clear" w:color="auto" w:fill="FFFFFF"/>
            <w:noWrap w:val="0"/>
            <w:vAlign w:val="center"/>
          </w:tcPr>
          <w:p w14:paraId="61585D7C">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1月</w:t>
            </w:r>
          </w:p>
        </w:tc>
        <w:tc>
          <w:tcPr>
            <w:tcW w:w="357" w:type="pct"/>
            <w:tcBorders>
              <w:tl2br w:val="nil"/>
              <w:tr2bl w:val="nil"/>
            </w:tcBorders>
            <w:shd w:val="clear" w:color="auto" w:fill="FFFFFF"/>
            <w:noWrap w:val="0"/>
            <w:vAlign w:val="center"/>
          </w:tcPr>
          <w:p w14:paraId="52FF32D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2月</w:t>
            </w:r>
          </w:p>
        </w:tc>
        <w:tc>
          <w:tcPr>
            <w:tcW w:w="356" w:type="pct"/>
            <w:tcBorders>
              <w:tl2br w:val="nil"/>
              <w:tr2bl w:val="nil"/>
            </w:tcBorders>
            <w:shd w:val="clear" w:color="auto" w:fill="FFFFFF"/>
            <w:noWrap w:val="0"/>
            <w:vAlign w:val="center"/>
          </w:tcPr>
          <w:p w14:paraId="018395F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3月</w:t>
            </w:r>
          </w:p>
        </w:tc>
        <w:tc>
          <w:tcPr>
            <w:tcW w:w="356" w:type="pct"/>
            <w:tcBorders>
              <w:tl2br w:val="nil"/>
              <w:tr2bl w:val="nil"/>
            </w:tcBorders>
            <w:shd w:val="clear" w:color="auto" w:fill="FFFFFF"/>
            <w:noWrap w:val="0"/>
            <w:vAlign w:val="center"/>
          </w:tcPr>
          <w:p w14:paraId="5DA1845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4月</w:t>
            </w:r>
          </w:p>
        </w:tc>
        <w:tc>
          <w:tcPr>
            <w:tcW w:w="357" w:type="pct"/>
            <w:tcBorders>
              <w:tl2br w:val="nil"/>
              <w:tr2bl w:val="nil"/>
            </w:tcBorders>
            <w:shd w:val="clear" w:color="auto" w:fill="FFFFFF"/>
            <w:noWrap w:val="0"/>
            <w:vAlign w:val="center"/>
          </w:tcPr>
          <w:p w14:paraId="2038CC2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5月</w:t>
            </w:r>
          </w:p>
        </w:tc>
        <w:tc>
          <w:tcPr>
            <w:tcW w:w="356" w:type="pct"/>
            <w:tcBorders>
              <w:tl2br w:val="nil"/>
              <w:tr2bl w:val="nil"/>
            </w:tcBorders>
            <w:shd w:val="clear" w:color="auto" w:fill="FFFFFF"/>
            <w:noWrap w:val="0"/>
            <w:vAlign w:val="center"/>
          </w:tcPr>
          <w:p w14:paraId="1DE0ADC2">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6月</w:t>
            </w:r>
          </w:p>
        </w:tc>
        <w:tc>
          <w:tcPr>
            <w:tcW w:w="356" w:type="pct"/>
            <w:tcBorders>
              <w:tl2br w:val="nil"/>
              <w:tr2bl w:val="nil"/>
            </w:tcBorders>
            <w:shd w:val="clear" w:color="auto" w:fill="FFFFFF"/>
            <w:noWrap w:val="0"/>
            <w:vAlign w:val="center"/>
          </w:tcPr>
          <w:p w14:paraId="4A4D18AD">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7月</w:t>
            </w:r>
          </w:p>
        </w:tc>
        <w:tc>
          <w:tcPr>
            <w:tcW w:w="357" w:type="pct"/>
            <w:tcBorders>
              <w:tl2br w:val="nil"/>
              <w:tr2bl w:val="nil"/>
            </w:tcBorders>
            <w:shd w:val="clear" w:color="auto" w:fill="FFFFFF"/>
            <w:noWrap w:val="0"/>
            <w:vAlign w:val="center"/>
          </w:tcPr>
          <w:p w14:paraId="5A140796">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8月</w:t>
            </w:r>
          </w:p>
        </w:tc>
        <w:tc>
          <w:tcPr>
            <w:tcW w:w="356" w:type="pct"/>
            <w:tcBorders>
              <w:tl2br w:val="nil"/>
              <w:tr2bl w:val="nil"/>
            </w:tcBorders>
            <w:shd w:val="clear" w:color="auto" w:fill="FFFFFF"/>
            <w:noWrap w:val="0"/>
            <w:vAlign w:val="center"/>
          </w:tcPr>
          <w:p w14:paraId="1CC5CA1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9月</w:t>
            </w:r>
          </w:p>
        </w:tc>
        <w:tc>
          <w:tcPr>
            <w:tcW w:w="356" w:type="pct"/>
            <w:tcBorders>
              <w:tl2br w:val="nil"/>
              <w:tr2bl w:val="nil"/>
            </w:tcBorders>
            <w:shd w:val="clear" w:color="auto" w:fill="FFFFFF"/>
            <w:noWrap w:val="0"/>
            <w:vAlign w:val="center"/>
          </w:tcPr>
          <w:p w14:paraId="5FC3F493">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10月</w:t>
            </w:r>
          </w:p>
        </w:tc>
        <w:tc>
          <w:tcPr>
            <w:tcW w:w="357" w:type="pct"/>
            <w:tcBorders>
              <w:tl2br w:val="nil"/>
              <w:tr2bl w:val="nil"/>
            </w:tcBorders>
            <w:shd w:val="clear" w:color="auto" w:fill="FFFFFF"/>
            <w:noWrap w:val="0"/>
            <w:vAlign w:val="center"/>
          </w:tcPr>
          <w:p w14:paraId="5DB10E71">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11月</w:t>
            </w:r>
          </w:p>
        </w:tc>
        <w:tc>
          <w:tcPr>
            <w:tcW w:w="356" w:type="pct"/>
            <w:tcBorders>
              <w:tl2br w:val="nil"/>
              <w:tr2bl w:val="nil"/>
            </w:tcBorders>
            <w:shd w:val="clear" w:color="auto" w:fill="FFFFFF"/>
            <w:noWrap w:val="0"/>
            <w:vAlign w:val="center"/>
          </w:tcPr>
          <w:p w14:paraId="7F9EFE3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12月</w:t>
            </w:r>
          </w:p>
        </w:tc>
      </w:tr>
      <w:tr w14:paraId="02DB0C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719" w:type="pct"/>
            <w:tcBorders>
              <w:tl2br w:val="nil"/>
              <w:tr2bl w:val="nil"/>
            </w:tcBorders>
            <w:shd w:val="clear" w:color="auto" w:fill="FFFFFF"/>
            <w:noWrap w:val="0"/>
            <w:vAlign w:val="center"/>
          </w:tcPr>
          <w:p w14:paraId="5FC8ED88">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eastAsia"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气温</w:t>
            </w:r>
            <w:r>
              <w:rPr>
                <w:rFonts w:hint="eastAsia"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eastAsia="zh-CN"/>
              </w:rPr>
              <w:t>）</w:t>
            </w:r>
          </w:p>
        </w:tc>
        <w:tc>
          <w:tcPr>
            <w:tcW w:w="356" w:type="pct"/>
            <w:tcBorders>
              <w:tl2br w:val="nil"/>
              <w:tr2bl w:val="nil"/>
            </w:tcBorders>
            <w:shd w:val="clear" w:color="auto" w:fill="FFFFFF"/>
            <w:noWrap w:val="0"/>
            <w:vAlign w:val="center"/>
          </w:tcPr>
          <w:p w14:paraId="0D56A435">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-16.4</w:t>
            </w:r>
          </w:p>
        </w:tc>
        <w:tc>
          <w:tcPr>
            <w:tcW w:w="357" w:type="pct"/>
            <w:tcBorders>
              <w:tl2br w:val="nil"/>
              <w:tr2bl w:val="nil"/>
            </w:tcBorders>
            <w:shd w:val="clear" w:color="auto" w:fill="FFFFFF"/>
            <w:noWrap w:val="0"/>
            <w:vAlign w:val="center"/>
          </w:tcPr>
          <w:p w14:paraId="29DF2139">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-12.1</w:t>
            </w:r>
          </w:p>
        </w:tc>
        <w:tc>
          <w:tcPr>
            <w:tcW w:w="356" w:type="pct"/>
            <w:tcBorders>
              <w:tl2br w:val="nil"/>
              <w:tr2bl w:val="nil"/>
            </w:tcBorders>
            <w:shd w:val="clear" w:color="auto" w:fill="FFFFFF"/>
            <w:noWrap w:val="0"/>
            <w:vAlign w:val="center"/>
          </w:tcPr>
          <w:p w14:paraId="64FC793B">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-3.5</w:t>
            </w:r>
          </w:p>
        </w:tc>
        <w:tc>
          <w:tcPr>
            <w:tcW w:w="356" w:type="pct"/>
            <w:tcBorders>
              <w:tl2br w:val="nil"/>
              <w:tr2bl w:val="nil"/>
            </w:tcBorders>
            <w:shd w:val="clear" w:color="auto" w:fill="FFFFFF"/>
            <w:noWrap w:val="0"/>
            <w:vAlign w:val="center"/>
          </w:tcPr>
          <w:p w14:paraId="41F1429F">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6.4</w:t>
            </w:r>
          </w:p>
        </w:tc>
        <w:tc>
          <w:tcPr>
            <w:tcW w:w="357" w:type="pct"/>
            <w:tcBorders>
              <w:tl2br w:val="nil"/>
              <w:tr2bl w:val="nil"/>
            </w:tcBorders>
            <w:shd w:val="clear" w:color="auto" w:fill="FFFFFF"/>
            <w:noWrap w:val="0"/>
            <w:vAlign w:val="center"/>
          </w:tcPr>
          <w:p w14:paraId="6D13AE06">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13.6</w:t>
            </w:r>
          </w:p>
        </w:tc>
        <w:tc>
          <w:tcPr>
            <w:tcW w:w="356" w:type="pct"/>
            <w:tcBorders>
              <w:tl2br w:val="nil"/>
              <w:tr2bl w:val="nil"/>
            </w:tcBorders>
            <w:shd w:val="clear" w:color="auto" w:fill="FFFFFF"/>
            <w:noWrap w:val="0"/>
            <w:vAlign w:val="center"/>
          </w:tcPr>
          <w:p w14:paraId="73C9F02A">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18.7</w:t>
            </w:r>
          </w:p>
        </w:tc>
        <w:tc>
          <w:tcPr>
            <w:tcW w:w="356" w:type="pct"/>
            <w:tcBorders>
              <w:tl2br w:val="nil"/>
              <w:tr2bl w:val="nil"/>
            </w:tcBorders>
            <w:shd w:val="clear" w:color="auto" w:fill="FFFFFF"/>
            <w:noWrap w:val="0"/>
            <w:vAlign w:val="center"/>
          </w:tcPr>
          <w:p w14:paraId="5776E054">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21.9</w:t>
            </w:r>
          </w:p>
        </w:tc>
        <w:tc>
          <w:tcPr>
            <w:tcW w:w="357" w:type="pct"/>
            <w:tcBorders>
              <w:tl2br w:val="nil"/>
              <w:tr2bl w:val="nil"/>
            </w:tcBorders>
            <w:shd w:val="clear" w:color="auto" w:fill="FFFFFF"/>
            <w:noWrap w:val="0"/>
            <w:vAlign w:val="center"/>
          </w:tcPr>
          <w:p w14:paraId="13ACB92A">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20.6</w:t>
            </w:r>
          </w:p>
        </w:tc>
        <w:tc>
          <w:tcPr>
            <w:tcW w:w="356" w:type="pct"/>
            <w:tcBorders>
              <w:tl2br w:val="nil"/>
              <w:tr2bl w:val="nil"/>
            </w:tcBorders>
            <w:shd w:val="clear" w:color="auto" w:fill="FFFFFF"/>
            <w:noWrap w:val="0"/>
            <w:vAlign w:val="center"/>
          </w:tcPr>
          <w:p w14:paraId="369764F5">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14.2</w:t>
            </w:r>
          </w:p>
        </w:tc>
        <w:tc>
          <w:tcPr>
            <w:tcW w:w="356" w:type="pct"/>
            <w:tcBorders>
              <w:tl2br w:val="nil"/>
              <w:tr2bl w:val="nil"/>
            </w:tcBorders>
            <w:shd w:val="clear" w:color="auto" w:fill="FFFFFF"/>
            <w:noWrap w:val="0"/>
            <w:vAlign w:val="center"/>
          </w:tcPr>
          <w:p w14:paraId="43D5BEA4">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5.8</w:t>
            </w:r>
          </w:p>
        </w:tc>
        <w:tc>
          <w:tcPr>
            <w:tcW w:w="357" w:type="pct"/>
            <w:tcBorders>
              <w:tl2br w:val="nil"/>
              <w:tr2bl w:val="nil"/>
            </w:tcBorders>
            <w:shd w:val="clear" w:color="auto" w:fill="FFFFFF"/>
            <w:noWrap w:val="0"/>
            <w:vAlign w:val="center"/>
          </w:tcPr>
          <w:p w14:paraId="691B52B8">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-4.8</w:t>
            </w:r>
          </w:p>
        </w:tc>
        <w:tc>
          <w:tcPr>
            <w:tcW w:w="356" w:type="pct"/>
            <w:tcBorders>
              <w:tl2br w:val="nil"/>
              <w:tr2bl w:val="nil"/>
            </w:tcBorders>
            <w:shd w:val="clear" w:color="auto" w:fill="FFFFFF"/>
            <w:noWrap w:val="0"/>
            <w:vAlign w:val="center"/>
          </w:tcPr>
          <w:p w14:paraId="032F63B2">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-13.6</w:t>
            </w:r>
          </w:p>
        </w:tc>
      </w:tr>
    </w:tbl>
    <w:p w14:paraId="346F75CB">
      <w:pPr>
        <w:spacing w:line="440" w:lineRule="exact"/>
        <w:ind w:firstLine="0" w:firstLineChars="0"/>
        <w:jc w:val="both"/>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color w:val="auto"/>
          <w:kern w:val="2"/>
          <w:sz w:val="21"/>
          <w:szCs w:val="24"/>
          <w:highlight w:val="none"/>
        </w:rPr>
        <w:drawing>
          <wp:anchor distT="0" distB="0" distL="114300" distR="114300" simplePos="0" relativeHeight="251665408" behindDoc="0" locked="0" layoutInCell="1" allowOverlap="1">
            <wp:simplePos x="0" y="0"/>
            <wp:positionH relativeFrom="column">
              <wp:posOffset>440690</wp:posOffset>
            </wp:positionH>
            <wp:positionV relativeFrom="paragraph">
              <wp:posOffset>148590</wp:posOffset>
            </wp:positionV>
            <wp:extent cx="4615180" cy="2506345"/>
            <wp:effectExtent l="0" t="0" r="7620" b="8255"/>
            <wp:wrapNone/>
            <wp:docPr id="71" name="图片 4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51" descr="IMG_256"/>
                    <pic:cNvPicPr>
                      <a:picLocks noChangeAspect="1"/>
                    </pic:cNvPicPr>
                  </pic:nvPicPr>
                  <pic:blipFill>
                    <a:blip r:embed="rId60"/>
                    <a:stretch>
                      <a:fillRect/>
                    </a:stretch>
                  </pic:blipFill>
                  <pic:spPr>
                    <a:xfrm>
                      <a:off x="0" y="0"/>
                      <a:ext cx="4615180" cy="2506345"/>
                    </a:xfrm>
                    <a:prstGeom prst="rect">
                      <a:avLst/>
                    </a:prstGeom>
                    <a:noFill/>
                    <a:ln>
                      <a:noFill/>
                    </a:ln>
                  </pic:spPr>
                </pic:pic>
              </a:graphicData>
            </a:graphic>
          </wp:anchor>
        </w:drawing>
      </w:r>
    </w:p>
    <w:p w14:paraId="0E11CDE7">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3C960899">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52A3DD09">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66CB6C8F">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513DEF62">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048FC9A2">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23329B0A">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7AEC90A4">
      <w:pPr>
        <w:keepNext w:val="0"/>
        <w:keepLines w:val="0"/>
        <w:pageBreakBefore w:val="0"/>
        <w:widowControl w:val="0"/>
        <w:kinsoku/>
        <w:wordWrap/>
        <w:overflowPunct/>
        <w:topLinePunct w:val="0"/>
        <w:autoSpaceDE/>
        <w:autoSpaceDN/>
        <w:bidi w:val="0"/>
        <w:adjustRightInd/>
        <w:snapToGrid/>
        <w:spacing w:line="440" w:lineRule="exact"/>
        <w:ind w:firstLine="0" w:firstLineChars="0"/>
        <w:jc w:val="both"/>
        <w:textAlignment w:val="auto"/>
        <w:rPr>
          <w:rFonts w:hint="default" w:ascii="Times New Roman" w:hAnsi="Times New Roman" w:eastAsia="宋体" w:cs="Times New Roman"/>
          <w:b/>
          <w:bCs/>
          <w:color w:val="auto"/>
          <w:kern w:val="2"/>
          <w:sz w:val="24"/>
          <w:szCs w:val="24"/>
          <w:highlight w:val="none"/>
        </w:rPr>
      </w:pPr>
    </w:p>
    <w:p w14:paraId="4DAFD1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rPr>
      </w:pPr>
    </w:p>
    <w:p w14:paraId="378B58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评价区</w:t>
      </w:r>
      <w:r>
        <w:rPr>
          <w:rFonts w:hint="default" w:ascii="Times New Roman" w:hAnsi="Times New Roman" w:eastAsia="黑体" w:cs="Times New Roman"/>
          <w:b w:val="0"/>
          <w:bCs/>
          <w:smallCaps w:val="0"/>
          <w:snapToGrid/>
          <w:color w:val="auto"/>
          <w:kern w:val="2"/>
          <w:sz w:val="21"/>
          <w:szCs w:val="24"/>
          <w:highlight w:val="none"/>
          <w:lang w:val="zh-CN" w:eastAsia="zh-CN" w:bidi="ar-SA"/>
        </w:rPr>
        <w:t>多年月平均温度变化图（30年）</w:t>
      </w:r>
    </w:p>
    <w:p w14:paraId="70360CB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③风速</w:t>
      </w:r>
    </w:p>
    <w:p w14:paraId="61F4A4A1">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鸡西市多年（30年）统计年平均风速为3.1m/s，最大风速出现在4月，月平均风速为4.0m/s；最小风速出现在8月，月平均风速均为2.1m/s。各月及全年平均风速见表</w:t>
      </w:r>
      <w:r>
        <w:rPr>
          <w:rFonts w:hint="default" w:ascii="Times New Roman" w:hAnsi="Times New Roman" w:eastAsia="宋体" w:cs="Times New Roman"/>
          <w:color w:val="auto"/>
          <w:kern w:val="2"/>
          <w:sz w:val="24"/>
          <w:szCs w:val="24"/>
          <w:highlight w:val="none"/>
          <w:lang w:val="en-US" w:eastAsia="zh-CN"/>
        </w:rPr>
        <w:t>4</w:t>
      </w:r>
      <w:r>
        <w:rPr>
          <w:rFonts w:hint="eastAsia" w:ascii="Times New Roman" w:hAnsi="Times New Roman"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1-</w:t>
      </w:r>
      <w:r>
        <w:rPr>
          <w:rFonts w:hint="eastAsia"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和图</w:t>
      </w:r>
      <w:r>
        <w:rPr>
          <w:rFonts w:hint="default" w:ascii="Times New Roman" w:hAnsi="Times New Roman" w:eastAsia="宋体" w:cs="Times New Roman"/>
          <w:color w:val="auto"/>
          <w:kern w:val="2"/>
          <w:sz w:val="24"/>
          <w:szCs w:val="24"/>
          <w:highlight w:val="none"/>
          <w:lang w:val="en-US" w:eastAsia="zh-CN"/>
        </w:rPr>
        <w:t>4</w:t>
      </w:r>
      <w:r>
        <w:rPr>
          <w:rFonts w:hint="eastAsia" w:ascii="Times New Roman" w:hAnsi="Times New Roman"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1-</w:t>
      </w:r>
      <w:r>
        <w:rPr>
          <w:rFonts w:hint="eastAsia"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w:t>
      </w:r>
    </w:p>
    <w:p w14:paraId="5CDEA81A">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评价区多年平均风速的月变化  单位：m/s</w:t>
      </w:r>
    </w:p>
    <w:tbl>
      <w:tblPr>
        <w:tblStyle w:val="48"/>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1199"/>
        <w:gridCol w:w="593"/>
        <w:gridCol w:w="596"/>
        <w:gridCol w:w="594"/>
        <w:gridCol w:w="594"/>
        <w:gridCol w:w="596"/>
        <w:gridCol w:w="594"/>
        <w:gridCol w:w="594"/>
        <w:gridCol w:w="596"/>
        <w:gridCol w:w="594"/>
        <w:gridCol w:w="594"/>
        <w:gridCol w:w="596"/>
        <w:gridCol w:w="594"/>
      </w:tblGrid>
      <w:tr w14:paraId="1A0788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719" w:type="pct"/>
            <w:tcBorders>
              <w:tl2br w:val="nil"/>
              <w:tr2bl w:val="nil"/>
            </w:tcBorders>
            <w:shd w:val="clear" w:color="auto" w:fill="FFFFFF"/>
            <w:noWrap w:val="0"/>
            <w:vAlign w:val="center"/>
          </w:tcPr>
          <w:p w14:paraId="1CB9C9FC">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月份</w:t>
            </w:r>
          </w:p>
        </w:tc>
        <w:tc>
          <w:tcPr>
            <w:tcW w:w="356" w:type="pct"/>
            <w:tcBorders>
              <w:tl2br w:val="nil"/>
              <w:tr2bl w:val="nil"/>
            </w:tcBorders>
            <w:shd w:val="clear" w:color="auto" w:fill="FFFFFF"/>
            <w:noWrap w:val="0"/>
            <w:vAlign w:val="center"/>
          </w:tcPr>
          <w:p w14:paraId="746BA042">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1月</w:t>
            </w:r>
          </w:p>
        </w:tc>
        <w:tc>
          <w:tcPr>
            <w:tcW w:w="357" w:type="pct"/>
            <w:tcBorders>
              <w:tl2br w:val="nil"/>
              <w:tr2bl w:val="nil"/>
            </w:tcBorders>
            <w:shd w:val="clear" w:color="auto" w:fill="FFFFFF"/>
            <w:noWrap w:val="0"/>
            <w:vAlign w:val="center"/>
          </w:tcPr>
          <w:p w14:paraId="1DA74AC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2月</w:t>
            </w:r>
          </w:p>
        </w:tc>
        <w:tc>
          <w:tcPr>
            <w:tcW w:w="356" w:type="pct"/>
            <w:tcBorders>
              <w:tl2br w:val="nil"/>
              <w:tr2bl w:val="nil"/>
            </w:tcBorders>
            <w:shd w:val="clear" w:color="auto" w:fill="FFFFFF"/>
            <w:noWrap w:val="0"/>
            <w:vAlign w:val="center"/>
          </w:tcPr>
          <w:p w14:paraId="60D94447">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3月</w:t>
            </w:r>
          </w:p>
        </w:tc>
        <w:tc>
          <w:tcPr>
            <w:tcW w:w="356" w:type="pct"/>
            <w:tcBorders>
              <w:tl2br w:val="nil"/>
              <w:tr2bl w:val="nil"/>
            </w:tcBorders>
            <w:shd w:val="clear" w:color="auto" w:fill="FFFFFF"/>
            <w:noWrap w:val="0"/>
            <w:vAlign w:val="center"/>
          </w:tcPr>
          <w:p w14:paraId="5A8351C3">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4月</w:t>
            </w:r>
          </w:p>
        </w:tc>
        <w:tc>
          <w:tcPr>
            <w:tcW w:w="357" w:type="pct"/>
            <w:tcBorders>
              <w:tl2br w:val="nil"/>
              <w:tr2bl w:val="nil"/>
            </w:tcBorders>
            <w:shd w:val="clear" w:color="auto" w:fill="FFFFFF"/>
            <w:noWrap w:val="0"/>
            <w:vAlign w:val="center"/>
          </w:tcPr>
          <w:p w14:paraId="026CEBB4">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5月</w:t>
            </w:r>
          </w:p>
        </w:tc>
        <w:tc>
          <w:tcPr>
            <w:tcW w:w="356" w:type="pct"/>
            <w:tcBorders>
              <w:tl2br w:val="nil"/>
              <w:tr2bl w:val="nil"/>
            </w:tcBorders>
            <w:shd w:val="clear" w:color="auto" w:fill="FFFFFF"/>
            <w:noWrap w:val="0"/>
            <w:vAlign w:val="center"/>
          </w:tcPr>
          <w:p w14:paraId="614648C9">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6月</w:t>
            </w:r>
          </w:p>
        </w:tc>
        <w:tc>
          <w:tcPr>
            <w:tcW w:w="356" w:type="pct"/>
            <w:tcBorders>
              <w:tl2br w:val="nil"/>
              <w:tr2bl w:val="nil"/>
            </w:tcBorders>
            <w:shd w:val="clear" w:color="auto" w:fill="FFFFFF"/>
            <w:noWrap w:val="0"/>
            <w:vAlign w:val="center"/>
          </w:tcPr>
          <w:p w14:paraId="38AF8F9F">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7月</w:t>
            </w:r>
          </w:p>
        </w:tc>
        <w:tc>
          <w:tcPr>
            <w:tcW w:w="357" w:type="pct"/>
            <w:tcBorders>
              <w:tl2br w:val="nil"/>
              <w:tr2bl w:val="nil"/>
            </w:tcBorders>
            <w:shd w:val="clear" w:color="auto" w:fill="FFFFFF"/>
            <w:noWrap w:val="0"/>
            <w:vAlign w:val="center"/>
          </w:tcPr>
          <w:p w14:paraId="0581C909">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8月</w:t>
            </w:r>
          </w:p>
        </w:tc>
        <w:tc>
          <w:tcPr>
            <w:tcW w:w="356" w:type="pct"/>
            <w:tcBorders>
              <w:tl2br w:val="nil"/>
              <w:tr2bl w:val="nil"/>
            </w:tcBorders>
            <w:shd w:val="clear" w:color="auto" w:fill="FFFFFF"/>
            <w:noWrap w:val="0"/>
            <w:vAlign w:val="center"/>
          </w:tcPr>
          <w:p w14:paraId="74AE054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9月</w:t>
            </w:r>
          </w:p>
        </w:tc>
        <w:tc>
          <w:tcPr>
            <w:tcW w:w="356" w:type="pct"/>
            <w:tcBorders>
              <w:tl2br w:val="nil"/>
              <w:tr2bl w:val="nil"/>
            </w:tcBorders>
            <w:shd w:val="clear" w:color="auto" w:fill="FFFFFF"/>
            <w:noWrap w:val="0"/>
            <w:vAlign w:val="center"/>
          </w:tcPr>
          <w:p w14:paraId="4AA98E96">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10月</w:t>
            </w:r>
          </w:p>
        </w:tc>
        <w:tc>
          <w:tcPr>
            <w:tcW w:w="357" w:type="pct"/>
            <w:tcBorders>
              <w:tl2br w:val="nil"/>
              <w:tr2bl w:val="nil"/>
            </w:tcBorders>
            <w:shd w:val="clear" w:color="auto" w:fill="FFFFFF"/>
            <w:noWrap w:val="0"/>
            <w:vAlign w:val="center"/>
          </w:tcPr>
          <w:p w14:paraId="4321A4C3">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11月</w:t>
            </w:r>
          </w:p>
        </w:tc>
        <w:tc>
          <w:tcPr>
            <w:tcW w:w="356" w:type="pct"/>
            <w:tcBorders>
              <w:tl2br w:val="nil"/>
              <w:tr2bl w:val="nil"/>
            </w:tcBorders>
            <w:shd w:val="clear" w:color="auto" w:fill="FFFFFF"/>
            <w:noWrap w:val="0"/>
            <w:vAlign w:val="center"/>
          </w:tcPr>
          <w:p w14:paraId="4E35A36E">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12月</w:t>
            </w:r>
          </w:p>
        </w:tc>
      </w:tr>
      <w:tr w14:paraId="5CDFD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719" w:type="pct"/>
            <w:tcBorders>
              <w:tl2br w:val="nil"/>
              <w:tr2bl w:val="nil"/>
            </w:tcBorders>
            <w:shd w:val="clear" w:color="auto" w:fill="FFFFFF"/>
            <w:noWrap w:val="0"/>
            <w:vAlign w:val="center"/>
          </w:tcPr>
          <w:p w14:paraId="3998BF3C">
            <w:pPr>
              <w:widowControl/>
              <w:spacing w:line="360" w:lineRule="exact"/>
              <w:ind w:firstLine="0" w:firstLineChars="0"/>
              <w:jc w:val="center"/>
              <w:textAlignment w:val="bottom"/>
              <w:rPr>
                <w:rFonts w:hint="eastAsia"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风速</w:t>
            </w:r>
            <w:r>
              <w:rPr>
                <w:rFonts w:hint="eastAsia"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rPr>
              <w:t>m/s</w:t>
            </w:r>
            <w:r>
              <w:rPr>
                <w:rFonts w:hint="eastAsia" w:ascii="Times New Roman" w:hAnsi="Times New Roman" w:eastAsia="宋体" w:cs="Times New Roman"/>
                <w:color w:val="auto"/>
                <w:kern w:val="2"/>
                <w:sz w:val="21"/>
                <w:szCs w:val="21"/>
                <w:highlight w:val="none"/>
                <w:lang w:eastAsia="zh-CN"/>
              </w:rPr>
              <w:t>）</w:t>
            </w:r>
          </w:p>
        </w:tc>
        <w:tc>
          <w:tcPr>
            <w:tcW w:w="356" w:type="pct"/>
            <w:tcBorders>
              <w:tl2br w:val="nil"/>
              <w:tr2bl w:val="nil"/>
            </w:tcBorders>
            <w:shd w:val="clear" w:color="auto" w:fill="FFFFFF"/>
            <w:noWrap w:val="0"/>
            <w:vAlign w:val="center"/>
          </w:tcPr>
          <w:p w14:paraId="58B486D6">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3.5</w:t>
            </w:r>
          </w:p>
        </w:tc>
        <w:tc>
          <w:tcPr>
            <w:tcW w:w="357" w:type="pct"/>
            <w:tcBorders>
              <w:tl2br w:val="nil"/>
              <w:tr2bl w:val="nil"/>
            </w:tcBorders>
            <w:shd w:val="clear" w:color="auto" w:fill="FFFFFF"/>
            <w:noWrap w:val="0"/>
            <w:vAlign w:val="center"/>
          </w:tcPr>
          <w:p w14:paraId="1A76B75C">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3.7</w:t>
            </w:r>
          </w:p>
        </w:tc>
        <w:tc>
          <w:tcPr>
            <w:tcW w:w="356" w:type="pct"/>
            <w:tcBorders>
              <w:tl2br w:val="nil"/>
              <w:tr2bl w:val="nil"/>
            </w:tcBorders>
            <w:shd w:val="clear" w:color="auto" w:fill="FFFFFF"/>
            <w:noWrap w:val="0"/>
            <w:vAlign w:val="center"/>
          </w:tcPr>
          <w:p w14:paraId="05B8C49B">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3.8</w:t>
            </w:r>
          </w:p>
        </w:tc>
        <w:tc>
          <w:tcPr>
            <w:tcW w:w="356" w:type="pct"/>
            <w:tcBorders>
              <w:tl2br w:val="nil"/>
              <w:tr2bl w:val="nil"/>
            </w:tcBorders>
            <w:shd w:val="clear" w:color="auto" w:fill="FFFFFF"/>
            <w:noWrap w:val="0"/>
            <w:vAlign w:val="center"/>
          </w:tcPr>
          <w:p w14:paraId="18E45DBB">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4.0</w:t>
            </w:r>
          </w:p>
        </w:tc>
        <w:tc>
          <w:tcPr>
            <w:tcW w:w="357" w:type="pct"/>
            <w:tcBorders>
              <w:tl2br w:val="nil"/>
              <w:tr2bl w:val="nil"/>
            </w:tcBorders>
            <w:shd w:val="clear" w:color="auto" w:fill="FFFFFF"/>
            <w:noWrap w:val="0"/>
            <w:vAlign w:val="center"/>
          </w:tcPr>
          <w:p w14:paraId="5D78916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3.6</w:t>
            </w:r>
          </w:p>
        </w:tc>
        <w:tc>
          <w:tcPr>
            <w:tcW w:w="356" w:type="pct"/>
            <w:tcBorders>
              <w:tl2br w:val="nil"/>
              <w:tr2bl w:val="nil"/>
            </w:tcBorders>
            <w:shd w:val="clear" w:color="auto" w:fill="FFFFFF"/>
            <w:noWrap w:val="0"/>
            <w:vAlign w:val="center"/>
          </w:tcPr>
          <w:p w14:paraId="2C049F98">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2.5</w:t>
            </w:r>
          </w:p>
        </w:tc>
        <w:tc>
          <w:tcPr>
            <w:tcW w:w="356" w:type="pct"/>
            <w:tcBorders>
              <w:tl2br w:val="nil"/>
              <w:tr2bl w:val="nil"/>
            </w:tcBorders>
            <w:shd w:val="clear" w:color="auto" w:fill="FFFFFF"/>
            <w:noWrap w:val="0"/>
            <w:vAlign w:val="center"/>
          </w:tcPr>
          <w:p w14:paraId="78770E89">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2.2</w:t>
            </w:r>
          </w:p>
        </w:tc>
        <w:tc>
          <w:tcPr>
            <w:tcW w:w="357" w:type="pct"/>
            <w:tcBorders>
              <w:tl2br w:val="nil"/>
              <w:tr2bl w:val="nil"/>
            </w:tcBorders>
            <w:shd w:val="clear" w:color="auto" w:fill="FFFFFF"/>
            <w:noWrap w:val="0"/>
            <w:vAlign w:val="center"/>
          </w:tcPr>
          <w:p w14:paraId="7B821CD6">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2.1</w:t>
            </w:r>
          </w:p>
        </w:tc>
        <w:tc>
          <w:tcPr>
            <w:tcW w:w="356" w:type="pct"/>
            <w:tcBorders>
              <w:tl2br w:val="nil"/>
              <w:tr2bl w:val="nil"/>
            </w:tcBorders>
            <w:shd w:val="clear" w:color="auto" w:fill="FFFFFF"/>
            <w:noWrap w:val="0"/>
            <w:vAlign w:val="center"/>
          </w:tcPr>
          <w:p w14:paraId="7BF83069">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2.4</w:t>
            </w:r>
          </w:p>
        </w:tc>
        <w:tc>
          <w:tcPr>
            <w:tcW w:w="356" w:type="pct"/>
            <w:tcBorders>
              <w:tl2br w:val="nil"/>
              <w:tr2bl w:val="nil"/>
            </w:tcBorders>
            <w:shd w:val="clear" w:color="auto" w:fill="FFFFFF"/>
            <w:noWrap w:val="0"/>
            <w:vAlign w:val="center"/>
          </w:tcPr>
          <w:p w14:paraId="12A4E281">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3.2</w:t>
            </w:r>
          </w:p>
        </w:tc>
        <w:tc>
          <w:tcPr>
            <w:tcW w:w="357" w:type="pct"/>
            <w:tcBorders>
              <w:tl2br w:val="nil"/>
              <w:tr2bl w:val="nil"/>
            </w:tcBorders>
            <w:shd w:val="clear" w:color="auto" w:fill="FFFFFF"/>
            <w:noWrap w:val="0"/>
            <w:vAlign w:val="center"/>
          </w:tcPr>
          <w:p w14:paraId="04C359A3">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3.4</w:t>
            </w:r>
          </w:p>
        </w:tc>
        <w:tc>
          <w:tcPr>
            <w:tcW w:w="356" w:type="pct"/>
            <w:tcBorders>
              <w:tl2br w:val="nil"/>
              <w:tr2bl w:val="nil"/>
            </w:tcBorders>
            <w:shd w:val="clear" w:color="auto" w:fill="FFFFFF"/>
            <w:noWrap w:val="0"/>
            <w:vAlign w:val="center"/>
          </w:tcPr>
          <w:p w14:paraId="4376FFD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3.3</w:t>
            </w:r>
          </w:p>
        </w:tc>
      </w:tr>
    </w:tbl>
    <w:p w14:paraId="356FD42A">
      <w:pPr>
        <w:spacing w:line="240" w:lineRule="auto"/>
        <w:ind w:firstLine="0" w:firstLineChars="0"/>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drawing>
          <wp:anchor distT="0" distB="0" distL="114300" distR="114300" simplePos="0" relativeHeight="251666432" behindDoc="0" locked="0" layoutInCell="1" allowOverlap="1">
            <wp:simplePos x="0" y="0"/>
            <wp:positionH relativeFrom="column">
              <wp:posOffset>1270</wp:posOffset>
            </wp:positionH>
            <wp:positionV relativeFrom="paragraph">
              <wp:posOffset>48260</wp:posOffset>
            </wp:positionV>
            <wp:extent cx="5415280" cy="2875280"/>
            <wp:effectExtent l="0" t="0" r="7620" b="7620"/>
            <wp:wrapNone/>
            <wp:docPr id="41" name="图片 4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52" descr="IMG_256"/>
                    <pic:cNvPicPr>
                      <a:picLocks noChangeAspect="1"/>
                    </pic:cNvPicPr>
                  </pic:nvPicPr>
                  <pic:blipFill>
                    <a:blip r:embed="rId61"/>
                    <a:stretch>
                      <a:fillRect/>
                    </a:stretch>
                  </pic:blipFill>
                  <pic:spPr>
                    <a:xfrm>
                      <a:off x="0" y="0"/>
                      <a:ext cx="5415280" cy="2875280"/>
                    </a:xfrm>
                    <a:prstGeom prst="rect">
                      <a:avLst/>
                    </a:prstGeom>
                    <a:noFill/>
                    <a:ln>
                      <a:noFill/>
                    </a:ln>
                  </pic:spPr>
                </pic:pic>
              </a:graphicData>
            </a:graphic>
          </wp:anchor>
        </w:drawing>
      </w:r>
    </w:p>
    <w:p w14:paraId="711CC455">
      <w:pPr>
        <w:widowControl w:val="0"/>
        <w:ind w:firstLine="480" w:firstLineChars="200"/>
        <w:jc w:val="both"/>
        <w:rPr>
          <w:rFonts w:hint="default" w:ascii="Times New Roman" w:hAnsi="Times New Roman" w:eastAsia="宋体" w:cs="Times New Roman"/>
          <w:b/>
          <w:color w:val="auto"/>
          <w:kern w:val="2"/>
          <w:sz w:val="24"/>
          <w:szCs w:val="24"/>
          <w:highlight w:val="none"/>
          <w:lang w:val="en-US" w:eastAsia="zh-CN" w:bidi="ar-SA"/>
        </w:rPr>
      </w:pPr>
    </w:p>
    <w:p w14:paraId="11302FEA">
      <w:pPr>
        <w:spacing w:line="240" w:lineRule="auto"/>
        <w:ind w:firstLine="0" w:firstLineChars="0"/>
        <w:jc w:val="center"/>
        <w:rPr>
          <w:rFonts w:hint="default" w:ascii="Times New Roman" w:hAnsi="Times New Roman" w:eastAsia="宋体" w:cs="Times New Roman"/>
          <w:b/>
          <w:color w:val="auto"/>
          <w:kern w:val="2"/>
          <w:sz w:val="24"/>
          <w:szCs w:val="24"/>
          <w:highlight w:val="none"/>
        </w:rPr>
      </w:pPr>
    </w:p>
    <w:p w14:paraId="0B1C6C10">
      <w:pPr>
        <w:widowControl w:val="0"/>
        <w:ind w:left="0" w:leftChars="0" w:firstLine="0" w:firstLineChars="0"/>
        <w:jc w:val="both"/>
        <w:rPr>
          <w:rFonts w:hint="default" w:ascii="Times New Roman" w:hAnsi="Times New Roman" w:eastAsia="宋体" w:cs="Times New Roman"/>
          <w:b/>
          <w:color w:val="auto"/>
          <w:kern w:val="2"/>
          <w:sz w:val="24"/>
          <w:szCs w:val="24"/>
          <w:highlight w:val="none"/>
          <w:lang w:val="en-US" w:eastAsia="zh-CN" w:bidi="ar-SA"/>
        </w:rPr>
      </w:pPr>
    </w:p>
    <w:p w14:paraId="6EBABBCD">
      <w:pPr>
        <w:pStyle w:val="19"/>
        <w:rPr>
          <w:rFonts w:hint="default" w:ascii="Times New Roman" w:hAnsi="Times New Roman" w:eastAsia="宋体" w:cs="Times New Roman"/>
          <w:b/>
          <w:color w:val="auto"/>
          <w:kern w:val="2"/>
          <w:sz w:val="24"/>
          <w:szCs w:val="24"/>
          <w:highlight w:val="none"/>
          <w:lang w:val="en-US" w:eastAsia="zh-CN" w:bidi="ar-SA"/>
        </w:rPr>
      </w:pPr>
    </w:p>
    <w:p w14:paraId="4E55C96B">
      <w:pPr>
        <w:pStyle w:val="64"/>
        <w:rPr>
          <w:rFonts w:hint="default" w:ascii="Times New Roman" w:hAnsi="Times New Roman" w:eastAsia="宋体" w:cs="Times New Roman"/>
          <w:b/>
          <w:color w:val="auto"/>
          <w:kern w:val="2"/>
          <w:sz w:val="24"/>
          <w:szCs w:val="24"/>
          <w:highlight w:val="none"/>
          <w:lang w:val="en-US" w:eastAsia="zh-CN" w:bidi="ar-SA"/>
        </w:rPr>
      </w:pPr>
    </w:p>
    <w:p w14:paraId="3F2500F8">
      <w:pPr>
        <w:pStyle w:val="65"/>
        <w:rPr>
          <w:rFonts w:hint="default" w:ascii="Times New Roman" w:hAnsi="Times New Roman" w:eastAsia="宋体" w:cs="Times New Roman"/>
          <w:b/>
          <w:color w:val="auto"/>
          <w:kern w:val="2"/>
          <w:sz w:val="24"/>
          <w:szCs w:val="24"/>
          <w:highlight w:val="none"/>
          <w:lang w:val="en-US" w:eastAsia="zh-CN" w:bidi="ar-SA"/>
        </w:rPr>
      </w:pPr>
    </w:p>
    <w:p w14:paraId="16B35A34">
      <w:pPr>
        <w:rPr>
          <w:rFonts w:hint="default" w:ascii="Times New Roman" w:hAnsi="Times New Roman" w:eastAsia="宋体" w:cs="Times New Roman"/>
          <w:b/>
          <w:color w:val="auto"/>
          <w:kern w:val="2"/>
          <w:sz w:val="24"/>
          <w:szCs w:val="24"/>
          <w:highlight w:val="none"/>
          <w:lang w:val="en-US" w:eastAsia="zh-CN" w:bidi="ar-SA"/>
        </w:rPr>
      </w:pPr>
    </w:p>
    <w:p w14:paraId="7182072E">
      <w:pPr>
        <w:pStyle w:val="19"/>
        <w:rPr>
          <w:rFonts w:hint="default" w:ascii="Times New Roman" w:hAnsi="Times New Roman" w:eastAsia="宋体" w:cs="Times New Roman"/>
          <w:b/>
          <w:color w:val="auto"/>
          <w:kern w:val="2"/>
          <w:sz w:val="24"/>
          <w:szCs w:val="24"/>
          <w:highlight w:val="none"/>
          <w:lang w:val="en-US" w:eastAsia="zh-CN" w:bidi="ar-SA"/>
        </w:rPr>
      </w:pPr>
    </w:p>
    <w:p w14:paraId="6356CB76">
      <w:pPr>
        <w:pStyle w:val="64"/>
        <w:rPr>
          <w:rFonts w:hint="default" w:ascii="Times New Roman" w:hAnsi="Times New Roman" w:eastAsia="宋体" w:cs="Times New Roman"/>
          <w:b/>
          <w:color w:val="auto"/>
          <w:kern w:val="2"/>
          <w:sz w:val="24"/>
          <w:szCs w:val="24"/>
          <w:highlight w:val="none"/>
          <w:lang w:val="en-US" w:eastAsia="zh-CN" w:bidi="ar-SA"/>
        </w:rPr>
      </w:pPr>
    </w:p>
    <w:p w14:paraId="3439E5BB">
      <w:pPr>
        <w:pStyle w:val="65"/>
        <w:rPr>
          <w:rFonts w:hint="default" w:ascii="Times New Roman" w:hAnsi="Times New Roman" w:eastAsia="宋体" w:cs="Times New Roman"/>
          <w:b/>
          <w:color w:val="auto"/>
          <w:kern w:val="2"/>
          <w:sz w:val="24"/>
          <w:szCs w:val="24"/>
          <w:highlight w:val="none"/>
          <w:lang w:val="en-US" w:eastAsia="zh-CN" w:bidi="ar-SA"/>
        </w:rPr>
      </w:pPr>
    </w:p>
    <w:p w14:paraId="1C62927A">
      <w:pPr>
        <w:rPr>
          <w:rFonts w:hint="default" w:ascii="Times New Roman" w:hAnsi="Times New Roman" w:eastAsia="宋体" w:cs="Times New Roman"/>
          <w:b/>
          <w:color w:val="auto"/>
          <w:kern w:val="2"/>
          <w:sz w:val="24"/>
          <w:szCs w:val="24"/>
          <w:highlight w:val="none"/>
          <w:lang w:val="en-US" w:eastAsia="zh-CN" w:bidi="ar-SA"/>
        </w:rPr>
      </w:pPr>
    </w:p>
    <w:p w14:paraId="0BBD7486">
      <w:pPr>
        <w:pStyle w:val="19"/>
        <w:rPr>
          <w:rFonts w:hint="default" w:ascii="Times New Roman" w:hAnsi="Times New Roman" w:eastAsia="宋体" w:cs="Times New Roman"/>
          <w:b/>
          <w:color w:val="auto"/>
          <w:kern w:val="2"/>
          <w:sz w:val="24"/>
          <w:szCs w:val="24"/>
          <w:highlight w:val="none"/>
          <w:lang w:val="en-US" w:eastAsia="zh-CN" w:bidi="ar-SA"/>
        </w:rPr>
      </w:pPr>
    </w:p>
    <w:p w14:paraId="1A78E2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评价区多年月平均风速变化图（30年）</w:t>
      </w:r>
    </w:p>
    <w:p w14:paraId="0A5755C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④风向、风频</w:t>
      </w:r>
    </w:p>
    <w:p w14:paraId="5D7B2C3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鸡西市多年主导风向为WNW-W-WSW的风向范围，占风频之和为43%，全年静风频率为18%，多年（30年）全年风向频率玫瑰图见图4-1-</w:t>
      </w:r>
      <w:r>
        <w:rPr>
          <w:rFonts w:hint="eastAsia" w:ascii="Times New Roman" w:hAnsi="Times New Roman" w:eastAsia="宋体" w:cs="Times New Roman"/>
          <w:color w:val="auto"/>
          <w:kern w:val="2"/>
          <w:sz w:val="24"/>
          <w:szCs w:val="24"/>
          <w:highlight w:val="none"/>
          <w:lang w:val="en-US" w:eastAsia="zh-CN"/>
        </w:rPr>
        <w:t>3</w:t>
      </w:r>
      <w:r>
        <w:rPr>
          <w:rFonts w:hint="default" w:ascii="Times New Roman" w:hAnsi="Times New Roman" w:eastAsia="宋体" w:cs="Times New Roman"/>
          <w:color w:val="auto"/>
          <w:kern w:val="2"/>
          <w:sz w:val="24"/>
          <w:szCs w:val="24"/>
          <w:highlight w:val="none"/>
          <w:lang w:val="en-US" w:eastAsia="zh-CN"/>
        </w:rPr>
        <w:t>。</w:t>
      </w:r>
    </w:p>
    <w:p w14:paraId="3AE2A6AC">
      <w:pPr>
        <w:widowControl/>
        <w:spacing w:line="240" w:lineRule="auto"/>
        <w:ind w:firstLine="0" w:firstLineChars="0"/>
        <w:jc w:val="center"/>
        <w:rPr>
          <w:rFonts w:hint="default" w:ascii="Times New Roman" w:hAnsi="Times New Roman" w:eastAsia="宋体" w:cs="Times New Roman"/>
          <w:color w:val="auto"/>
          <w:kern w:val="2"/>
          <w:sz w:val="21"/>
          <w:szCs w:val="24"/>
          <w:highlight w:val="none"/>
        </w:rPr>
      </w:pPr>
      <w:r>
        <w:rPr>
          <w:rFonts w:hint="default" w:ascii="Times New Roman" w:hAnsi="Times New Roman" w:eastAsia="宋体" w:cs="Times New Roman"/>
          <w:color w:val="auto"/>
          <w:kern w:val="2"/>
          <w:sz w:val="21"/>
          <w:szCs w:val="24"/>
          <w:highlight w:val="none"/>
        </w:rPr>
        <w:drawing>
          <wp:anchor distT="0" distB="0" distL="114300" distR="114300" simplePos="0" relativeHeight="251667456" behindDoc="0" locked="0" layoutInCell="1" allowOverlap="1">
            <wp:simplePos x="0" y="0"/>
            <wp:positionH relativeFrom="column">
              <wp:posOffset>109855</wp:posOffset>
            </wp:positionH>
            <wp:positionV relativeFrom="paragraph">
              <wp:posOffset>104140</wp:posOffset>
            </wp:positionV>
            <wp:extent cx="5181600" cy="2590165"/>
            <wp:effectExtent l="0" t="0" r="0" b="635"/>
            <wp:wrapNone/>
            <wp:docPr id="106" name="图片 4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53" descr="IMG_256"/>
                    <pic:cNvPicPr>
                      <a:picLocks noChangeAspect="1"/>
                    </pic:cNvPicPr>
                  </pic:nvPicPr>
                  <pic:blipFill>
                    <a:blip r:embed="rId62"/>
                    <a:stretch>
                      <a:fillRect/>
                    </a:stretch>
                  </pic:blipFill>
                  <pic:spPr>
                    <a:xfrm>
                      <a:off x="0" y="0"/>
                      <a:ext cx="5181600" cy="2590165"/>
                    </a:xfrm>
                    <a:prstGeom prst="rect">
                      <a:avLst/>
                    </a:prstGeom>
                    <a:noFill/>
                    <a:ln>
                      <a:noFill/>
                    </a:ln>
                  </pic:spPr>
                </pic:pic>
              </a:graphicData>
            </a:graphic>
          </wp:anchor>
        </w:drawing>
      </w:r>
    </w:p>
    <w:p w14:paraId="30700ECE">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612AD2A2">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1185AAEE">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21CCF1BD">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7A503C21">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7706A2A7">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69585958">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34377D12">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0345BAA3">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50114FE6">
      <w:pPr>
        <w:adjustRightInd w:val="0"/>
        <w:snapToGrid w:val="0"/>
        <w:spacing w:before="120" w:beforeLines="50" w:line="240" w:lineRule="auto"/>
        <w:ind w:firstLine="0" w:firstLineChars="0"/>
        <w:jc w:val="both"/>
        <w:textAlignment w:val="center"/>
        <w:rPr>
          <w:rFonts w:hint="default" w:ascii="Times New Roman" w:hAnsi="Times New Roman" w:eastAsia="宋体" w:cs="Times New Roman"/>
          <w:b/>
          <w:bCs/>
          <w:color w:val="auto"/>
          <w:kern w:val="2"/>
          <w:sz w:val="21"/>
          <w:szCs w:val="28"/>
          <w:highlight w:val="none"/>
        </w:rPr>
      </w:pPr>
    </w:p>
    <w:p w14:paraId="5614C1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鸡西市多年（30年）风向频率玫瑰图</w:t>
      </w:r>
    </w:p>
    <w:p w14:paraId="70DD289C">
      <w:pPr>
        <w:topLinePunct/>
        <w:adjustRightInd w:val="0"/>
        <w:snapToGrid w:val="0"/>
        <w:spacing w:line="360" w:lineRule="auto"/>
        <w:ind w:firstLine="480"/>
        <w:rPr>
          <w:rFonts w:hint="default" w:ascii="Times New Roman" w:hAnsi="Times New Roman" w:eastAsia="宋体" w:cs="Times New Roman"/>
          <w:color w:val="auto"/>
          <w:kern w:val="2"/>
          <w:szCs w:val="20"/>
          <w:highlight w:val="none"/>
          <w:lang w:eastAsia="zh-CN"/>
        </w:rPr>
      </w:pPr>
      <w:r>
        <w:rPr>
          <w:rFonts w:hint="default" w:ascii="Times New Roman" w:hAnsi="Times New Roman" w:eastAsia="宋体" w:cs="Times New Roman"/>
          <w:color w:val="auto"/>
          <w:kern w:val="2"/>
          <w:szCs w:val="20"/>
          <w:highlight w:val="none"/>
        </w:rPr>
        <w:t>⑤</w:t>
      </w:r>
      <w:r>
        <w:rPr>
          <w:rFonts w:hint="default" w:ascii="Times New Roman" w:hAnsi="Times New Roman" w:eastAsia="宋体" w:cs="Times New Roman"/>
          <w:color w:val="auto"/>
          <w:kern w:val="2"/>
          <w:szCs w:val="20"/>
          <w:highlight w:val="none"/>
          <w:lang w:eastAsia="zh-CN"/>
        </w:rPr>
        <w:t>地震</w:t>
      </w:r>
    </w:p>
    <w:p w14:paraId="3A7CB1A4">
      <w:pPr>
        <w:topLinePunct/>
        <w:adjustRightInd w:val="0"/>
        <w:snapToGrid w:val="0"/>
        <w:spacing w:line="360" w:lineRule="auto"/>
        <w:ind w:firstLine="480"/>
        <w:rPr>
          <w:rFonts w:hint="default" w:ascii="Times New Roman" w:hAnsi="Times New Roman" w:eastAsia="宋体" w:cs="Times New Roman"/>
          <w:color w:val="auto"/>
          <w:kern w:val="2"/>
          <w:szCs w:val="20"/>
          <w:highlight w:val="none"/>
        </w:rPr>
      </w:pPr>
      <w:r>
        <w:rPr>
          <w:rFonts w:hint="default" w:ascii="Times New Roman" w:hAnsi="Times New Roman" w:eastAsia="宋体" w:cs="Times New Roman"/>
          <w:color w:val="auto"/>
          <w:kern w:val="2"/>
          <w:szCs w:val="20"/>
          <w:highlight w:val="none"/>
        </w:rPr>
        <w:t>鸡西市地壳多呈块状结构，发育有盖层断裂，历史上曾发生过烈度小于Ⅵ度的地震，活动断裂微弱一般活动速率为0.07mm/a。地震动峰值加速度在0.026～0.05g之间，部分地区曾发生过火山喷发活动。新构造运动升降速率多在0.01mm/a，个别山地隆起达几毫米/年。局部地带重力异常梯度大于0.5毫伽/公里。该区的断裂活动、地震活动及火山活动都较弱。</w:t>
      </w:r>
    </w:p>
    <w:p w14:paraId="18455702">
      <w:pPr>
        <w:topLinePunct/>
        <w:adjustRightInd w:val="0"/>
        <w:snapToGrid w:val="0"/>
        <w:spacing w:line="360" w:lineRule="auto"/>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kern w:val="2"/>
          <w:szCs w:val="20"/>
          <w:highlight w:val="none"/>
        </w:rPr>
        <w:t>根据黑龙江省区域地壳稳定性分区图可知，鸡西市地壳基本处于稳定状态，为基本稳定。</w:t>
      </w:r>
    </w:p>
    <w:p w14:paraId="6DCEB00F">
      <w:pPr>
        <w:pStyle w:val="8"/>
        <w:bidi w:val="0"/>
        <w:rPr>
          <w:rFonts w:hint="default" w:ascii="Times New Roman" w:hAnsi="Times New Roman" w:eastAsia="宋体" w:cs="Times New Roman"/>
          <w:snapToGrid w:val="0"/>
          <w:color w:val="auto"/>
          <w:highlight w:val="none"/>
        </w:rPr>
      </w:pPr>
      <w:bookmarkStart w:id="563" w:name="_Toc17963"/>
      <w:bookmarkStart w:id="564" w:name="_Toc29863"/>
      <w:r>
        <w:rPr>
          <w:rFonts w:hint="default" w:ascii="Times New Roman" w:hAnsi="Times New Roman" w:eastAsia="宋体" w:cs="Times New Roman"/>
          <w:snapToGrid w:val="0"/>
          <w:color w:val="auto"/>
          <w:highlight w:val="none"/>
        </w:rPr>
        <w:t>4.1.</w:t>
      </w:r>
      <w:r>
        <w:rPr>
          <w:rFonts w:hint="default" w:ascii="Times New Roman" w:hAnsi="Times New Roman" w:eastAsia="宋体" w:cs="Times New Roman"/>
          <w:snapToGrid w:val="0"/>
          <w:color w:val="auto"/>
          <w:highlight w:val="none"/>
          <w:lang w:val="en-US" w:eastAsia="zh-CN"/>
        </w:rPr>
        <w:t>1</w:t>
      </w:r>
      <w:bookmarkStart w:id="565" w:name="_Toc244330529"/>
      <w:bookmarkStart w:id="566" w:name="_Toc422224750"/>
      <w:bookmarkStart w:id="567" w:name="_Toc472590898"/>
      <w:bookmarkStart w:id="568" w:name="_Toc244329289"/>
      <w:bookmarkStart w:id="569" w:name="_Toc472585621"/>
      <w:bookmarkStart w:id="570" w:name="_Toc402352952"/>
      <w:bookmarkStart w:id="571" w:name="_Toc244330363"/>
      <w:bookmarkStart w:id="572" w:name="_Toc449393548"/>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水文地质</w:t>
      </w:r>
      <w:bookmarkEnd w:id="563"/>
      <w:bookmarkEnd w:id="564"/>
    </w:p>
    <w:bookmarkEnd w:id="565"/>
    <w:bookmarkEnd w:id="566"/>
    <w:bookmarkEnd w:id="567"/>
    <w:bookmarkEnd w:id="568"/>
    <w:bookmarkEnd w:id="569"/>
    <w:bookmarkEnd w:id="570"/>
    <w:bookmarkEnd w:id="571"/>
    <w:bookmarkEnd w:id="572"/>
    <w:p w14:paraId="7976EEF9">
      <w:pPr>
        <w:widowControl/>
        <w:spacing w:line="360" w:lineRule="auto"/>
        <w:ind w:firstLine="480"/>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szCs w:val="24"/>
          <w:highlight w:val="none"/>
          <w:lang w:val="en-US" w:eastAsia="zh-CN"/>
        </w:rPr>
        <w:t>鸡西市地表水系属乌苏里江水系，境内穆棱河全长635km，西起穆棱市的窝集岭，东至乌苏里江，南至松阿察河和兴凯湖，北至完达山分水岭。流域内包括穆棱、鸡西、鸡东、密山、虎林五个市县，流域面积17490km</w:t>
      </w:r>
      <w:r>
        <w:rPr>
          <w:rFonts w:hint="default" w:ascii="Times New Roman" w:hAnsi="Times New Roman" w:cs="Times New Roman"/>
          <w:color w:val="auto"/>
          <w:szCs w:val="24"/>
          <w:highlight w:val="none"/>
          <w:vertAlign w:val="superscript"/>
          <w:lang w:val="en-US" w:eastAsia="zh-CN"/>
        </w:rPr>
        <w:t>2</w:t>
      </w:r>
      <w:r>
        <w:rPr>
          <w:rFonts w:hint="default" w:ascii="Times New Roman" w:hAnsi="Times New Roman" w:cs="Times New Roman"/>
          <w:color w:val="auto"/>
          <w:szCs w:val="24"/>
          <w:highlight w:val="none"/>
          <w:lang w:val="en-US" w:eastAsia="zh-CN"/>
        </w:rPr>
        <w:t>，流经五个市县，在虎头镇南注入乌苏里江。</w:t>
      </w:r>
    </w:p>
    <w:p w14:paraId="7CFE373A">
      <w:pPr>
        <w:widowControl/>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Cs w:val="24"/>
          <w:highlight w:val="none"/>
          <w:lang w:val="en-US" w:eastAsia="zh-CN"/>
        </w:rPr>
        <w:t>依据地下水的赋存、分布状态分类，结合我国地下水的赋存、分布特点，并考虑分类描述的通俗性编制而成，将鸡西市地下水类型划分为第四系冲洪积砂砾石层孔隙潜水、基岩风化裂隙水、构造裂隙水、第四系孔隙潜水四种，主要接受大气降水的渗入补给和基岩风化裂隙水的侧向补给。项目</w:t>
      </w:r>
      <w:r>
        <w:rPr>
          <w:rFonts w:hint="eastAsia" w:ascii="Times New Roman" w:hAnsi="Times New Roman" w:cs="Times New Roman"/>
          <w:color w:val="auto"/>
          <w:szCs w:val="24"/>
          <w:highlight w:val="none"/>
          <w:lang w:val="en-US" w:eastAsia="zh-CN"/>
        </w:rPr>
        <w:t>评价</w:t>
      </w:r>
      <w:r>
        <w:rPr>
          <w:rFonts w:hint="default" w:ascii="Times New Roman" w:hAnsi="Times New Roman" w:cs="Times New Roman"/>
          <w:color w:val="auto"/>
          <w:szCs w:val="24"/>
          <w:highlight w:val="none"/>
          <w:lang w:val="en-US" w:eastAsia="zh-CN"/>
        </w:rPr>
        <w:t>区地下水分为二种类型：一是第四系孔隙潜水，主要赋含于第四系地层中，埋深</w:t>
      </w:r>
      <w:r>
        <w:rPr>
          <w:rFonts w:hint="eastAsia" w:ascii="Times New Roman" w:hAnsi="Times New Roman" w:cs="Times New Roman"/>
          <w:color w:val="auto"/>
          <w:szCs w:val="24"/>
          <w:highlight w:val="none"/>
          <w:lang w:val="en-US" w:eastAsia="zh-CN"/>
        </w:rPr>
        <w:t>5</w:t>
      </w:r>
      <w:r>
        <w:rPr>
          <w:rFonts w:hint="default" w:ascii="Times New Roman" w:hAnsi="Times New Roman" w:cs="Times New Roman"/>
          <w:color w:val="auto"/>
          <w:szCs w:val="24"/>
          <w:highlight w:val="none"/>
          <w:lang w:val="en-US" w:eastAsia="zh-CN"/>
        </w:rPr>
        <w:t>.0～</w:t>
      </w:r>
      <w:r>
        <w:rPr>
          <w:rFonts w:hint="eastAsia"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lang w:val="en-US" w:eastAsia="zh-CN"/>
        </w:rPr>
        <w:t>0.0m，主要分布在河谷冲洪积平原区和低山丘陵区沟谷区；二是基岩裂隙水，主要含于基岩裂隙中，分布在低山丘陵区。水位变化幅度为2.0～3.0m。</w:t>
      </w:r>
      <w:r>
        <w:rPr>
          <w:rFonts w:hint="default" w:ascii="Times New Roman" w:hAnsi="Times New Roman" w:cs="Times New Roman"/>
          <w:color w:val="auto"/>
          <w:szCs w:val="24"/>
          <w:highlight w:val="none"/>
        </w:rPr>
        <w:t>故水文地质图主要体现平面上第四系砂砾岩孔隙潜水、基岩风化裂隙水的位置分布</w:t>
      </w:r>
      <w:r>
        <w:rPr>
          <w:rFonts w:hint="default" w:ascii="Times New Roman" w:hAnsi="Times New Roman" w:eastAsia="宋体" w:cs="Times New Roman"/>
          <w:color w:val="auto"/>
          <w:sz w:val="24"/>
          <w:szCs w:val="24"/>
          <w:highlight w:val="none"/>
        </w:rPr>
        <w:t>。</w:t>
      </w:r>
    </w:p>
    <w:p w14:paraId="74D813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第四系松散岩类孔隙潜水含水岩组</w:t>
      </w:r>
    </w:p>
    <w:p w14:paraId="4FAECB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第四系松散岩类孔隙潜水分布于评价区</w:t>
      </w:r>
      <w:r>
        <w:rPr>
          <w:rFonts w:hint="default" w:ascii="Times New Roman" w:hAnsi="Times New Roman" w:cs="Times New Roman"/>
          <w:color w:val="auto"/>
          <w:highlight w:val="none"/>
          <w:lang w:eastAsia="zh-CN"/>
        </w:rPr>
        <w:t>东侧</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主要</w:t>
      </w:r>
      <w:r>
        <w:rPr>
          <w:rFonts w:hint="default" w:ascii="Times New Roman" w:hAnsi="Times New Roman" w:cs="Times New Roman"/>
          <w:color w:val="auto"/>
          <w:highlight w:val="none"/>
        </w:rPr>
        <w:t>堆积着分布稳定的松散砂砾石层，厚度8-45m。其孔隙发育，相互连通，上部有极少粘性土覆盖，大气降水后可直接渗入其中贮集起来，形成区内丰富的孔隙水。该潜水径流方向基本与地表水系的流向相吻合，其富水性随含水层厚度的变化有所差异。在下游河谷中部，含水层厚度较大，水量丰富，单井涌水量可达1000-5000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/d；沟谷与基岩山区过渡地带，含水层厚度减薄，水量中等，单井涌水量100-1000m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/d，第四系松散岩类孔隙潜水含水层平均渗水系数在42.5m/d左右。</w:t>
      </w:r>
    </w:p>
    <w:p w14:paraId="0B9D3E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基岩山区风化裂隙含水岩组</w:t>
      </w:r>
    </w:p>
    <w:p w14:paraId="2EDA1A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基岩山区风化裂隙水分布于评价区</w:t>
      </w:r>
      <w:r>
        <w:rPr>
          <w:rFonts w:hint="default" w:ascii="Times New Roman" w:hAnsi="Times New Roman" w:cs="Times New Roman"/>
          <w:color w:val="auto"/>
          <w:highlight w:val="none"/>
          <w:lang w:eastAsia="zh-CN"/>
        </w:rPr>
        <w:t>中部及西</w:t>
      </w:r>
      <w:r>
        <w:rPr>
          <w:rFonts w:hint="eastAsia" w:ascii="Times New Roman" w:hAnsi="Times New Roman" w:cs="Times New Roman"/>
          <w:color w:val="auto"/>
          <w:highlight w:val="none"/>
          <w:lang w:val="en-US" w:eastAsia="zh-CN"/>
        </w:rPr>
        <w:t>南</w:t>
      </w:r>
      <w:r>
        <w:rPr>
          <w:rFonts w:hint="default" w:ascii="Times New Roman" w:hAnsi="Times New Roman" w:cs="Times New Roman"/>
          <w:color w:val="auto"/>
          <w:highlight w:val="none"/>
          <w:lang w:eastAsia="zh-CN"/>
        </w:rPr>
        <w:t>侧</w:t>
      </w:r>
      <w:r>
        <w:rPr>
          <w:rFonts w:hint="default" w:ascii="Times New Roman" w:hAnsi="Times New Roman" w:cs="Times New Roman"/>
          <w:color w:val="auto"/>
          <w:highlight w:val="none"/>
        </w:rPr>
        <w:t>，主要由变质岩、花岗岩、火山岩以及胶结程度较高的中生代碎屑岩组成。基岩山区风化裂隙裂隙极为发育，为大气降水的渗入提供了良好的通道，并使之贮存于其中，从而形成了风化裂隙水。在漫长的地质历史时期中，尤其是新生代以来，大片的刚性岩石已经裸露地表。在各种物理及化学风化作用下，这些不同成分、不同结构的岩体虽然反映出不同的风化程度，但从区域上来看，各类岩体的上部风化均较强烈，致使区内风化壳较为发育，并且在有利的地形条件下，常常富集起来，或成泉排泄，显示潜水性质。风化裂隙深度一般为60m左右，具体和岩石性质及地形相关。裂隙一般宽2-3mm，上大下小呈楔状。地下水埋藏深度在7-40m，斜坡处水位变化较大，渗透系数为0.2-0.3m/d。</w:t>
      </w:r>
    </w:p>
    <w:p w14:paraId="47FA0A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根据本区地下水赋存条件、水力特征可将评价区地下水划分为第四系砂砾岩孔隙潜水、基岩风化裂隙水</w:t>
      </w:r>
      <w:r>
        <w:rPr>
          <w:rFonts w:hint="eastAsia" w:ascii="Times New Roman" w:hAnsi="Times New Roman" w:cs="Times New Roman"/>
          <w:color w:val="auto"/>
          <w:highlight w:val="none"/>
          <w:lang w:val="en-US" w:eastAsia="zh-CN"/>
        </w:rPr>
        <w:t>两</w:t>
      </w:r>
      <w:r>
        <w:rPr>
          <w:rFonts w:hint="default" w:ascii="Times New Roman" w:hAnsi="Times New Roman" w:eastAsia="宋体" w:cs="Times New Roman"/>
          <w:color w:val="auto"/>
          <w:highlight w:val="none"/>
          <w:lang w:val="en-US" w:eastAsia="zh-CN"/>
        </w:rPr>
        <w:t>种类型，故水文地质图主要体现平面上第四系砂砾岩孔隙潜水、基岩风化裂隙水的位置分布。现分述如下：</w:t>
      </w:r>
    </w:p>
    <w:p w14:paraId="43A063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（1）第四系砂砾岩孔隙潜水含水层</w:t>
      </w:r>
    </w:p>
    <w:p w14:paraId="34DCC2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本项目评价区域东南侧分布，只在穆棱河和</w:t>
      </w:r>
      <w:r>
        <w:rPr>
          <w:rFonts w:hint="eastAsia" w:ascii="Times New Roman" w:hAnsi="Times New Roman" w:cs="Times New Roman"/>
          <w:color w:val="auto"/>
          <w:highlight w:val="none"/>
          <w:lang w:val="en-US" w:eastAsia="zh-CN"/>
        </w:rPr>
        <w:t>柳毛河</w:t>
      </w:r>
      <w:r>
        <w:rPr>
          <w:rFonts w:hint="default" w:ascii="Times New Roman" w:hAnsi="Times New Roman" w:eastAsia="宋体" w:cs="Times New Roman"/>
          <w:color w:val="auto"/>
          <w:highlight w:val="none"/>
          <w:lang w:val="en-US" w:eastAsia="zh-CN"/>
        </w:rPr>
        <w:t>两岸地带发育，条带状发育，最大厚度达10</w:t>
      </w:r>
      <w:r>
        <w:rPr>
          <w:rFonts w:hint="eastAsia"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lang w:val="en-US" w:eastAsia="zh-CN"/>
        </w:rPr>
        <w:t>，由于中、粗砂及粗砂含砾组成，分选较差，为孔隙性充水，水力性质一般为潜水。单位涌水量小于0.15L/s.m，渗透系数为25.69-40.44m/d。该区域的主要含水层是第四纪冲积层，该层为冲积物或洪积物，分布在沟谷及河西侧，厚度1-10</w:t>
      </w:r>
      <w:r>
        <w:rPr>
          <w:rFonts w:hint="eastAsia"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，在河床，沟谷部位多由砂、砾石组成，在山坡地带多由原地风化物堆积而成。</w:t>
      </w:r>
    </w:p>
    <w:p w14:paraId="390FF6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（2）基岩风化裂隙水含水层</w:t>
      </w:r>
    </w:p>
    <w:p w14:paraId="4D2B75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本项目评价区域中部及西北侧分布，发育深度最大达65</w:t>
      </w:r>
      <w:r>
        <w:rPr>
          <w:rFonts w:hint="eastAsia"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，岩性以中砂岩、细砂岩为主，裂隙性充水、水力性质为潜水。钻孔单位涌水量0.10L/s</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m，渗透系数小于0.225m/d。该含水层非均质性特别明显，不同地段富水程度差别大，在垂直分带上可视为渐变趋势，由浅至深富水程度逐渐减弱。本区煤系风化裂隙含水层，主要受大气降水直接补给，部分地段受第四纪冲积含水层水所补给。</w:t>
      </w:r>
    </w:p>
    <w:p w14:paraId="49F593DF">
      <w:pPr>
        <w:widowControl/>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266690" cy="3387725"/>
            <wp:effectExtent l="0" t="0" r="10160" b="3175"/>
            <wp:docPr id="7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
                    <pic:cNvPicPr>
                      <a:picLocks noChangeAspect="1"/>
                    </pic:cNvPicPr>
                  </pic:nvPicPr>
                  <pic:blipFill>
                    <a:blip r:embed="rId63"/>
                    <a:stretch>
                      <a:fillRect/>
                    </a:stretch>
                  </pic:blipFill>
                  <pic:spPr>
                    <a:xfrm>
                      <a:off x="0" y="0"/>
                      <a:ext cx="5266690" cy="3387725"/>
                    </a:xfrm>
                    <a:prstGeom prst="rect">
                      <a:avLst/>
                    </a:prstGeom>
                    <a:noFill/>
                    <a:ln>
                      <a:noFill/>
                    </a:ln>
                  </pic:spPr>
                </pic:pic>
              </a:graphicData>
            </a:graphic>
          </wp:inline>
        </w:drawing>
      </w:r>
    </w:p>
    <w:p w14:paraId="4042FD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4</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项目区水文地质图</w:t>
      </w:r>
    </w:p>
    <w:p w14:paraId="339B57C2">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23B68EE0">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4A37183D">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742D7729">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33BC3D2D">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r>
        <w:rPr>
          <w:rFonts w:hint="default" w:ascii="Times New Roman" w:hAnsi="Times New Roman" w:cs="Times New Roman"/>
          <w:color w:val="auto"/>
          <w:highlight w:val="none"/>
        </w:rPr>
        <w:drawing>
          <wp:anchor distT="0" distB="0" distL="114300" distR="114300" simplePos="0" relativeHeight="251668480" behindDoc="0" locked="0" layoutInCell="1" allowOverlap="1">
            <wp:simplePos x="0" y="0"/>
            <wp:positionH relativeFrom="column">
              <wp:posOffset>-71755</wp:posOffset>
            </wp:positionH>
            <wp:positionV relativeFrom="paragraph">
              <wp:posOffset>294640</wp:posOffset>
            </wp:positionV>
            <wp:extent cx="5954395" cy="1594485"/>
            <wp:effectExtent l="0" t="0" r="1905" b="5715"/>
            <wp:wrapNone/>
            <wp:docPr id="1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7"/>
                    <pic:cNvPicPr>
                      <a:picLocks noChangeAspect="1"/>
                    </pic:cNvPicPr>
                  </pic:nvPicPr>
                  <pic:blipFill>
                    <a:blip r:embed="rId64"/>
                    <a:stretch>
                      <a:fillRect/>
                    </a:stretch>
                  </pic:blipFill>
                  <pic:spPr>
                    <a:xfrm>
                      <a:off x="0" y="0"/>
                      <a:ext cx="5954395" cy="1594485"/>
                    </a:xfrm>
                    <a:prstGeom prst="rect">
                      <a:avLst/>
                    </a:prstGeom>
                    <a:noFill/>
                    <a:ln>
                      <a:noFill/>
                    </a:ln>
                  </pic:spPr>
                </pic:pic>
              </a:graphicData>
            </a:graphic>
          </wp:anchor>
        </w:drawing>
      </w:r>
    </w:p>
    <w:p w14:paraId="76269619">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41A3F5AC">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6D2500EB">
      <w:pPr>
        <w:keepNext w:val="0"/>
        <w:keepLines w:val="0"/>
        <w:pageBreakBefore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color w:val="auto"/>
          <w:sz w:val="24"/>
          <w:szCs w:val="24"/>
          <w:highlight w:val="none"/>
        </w:rPr>
      </w:pPr>
    </w:p>
    <w:p w14:paraId="799E2A8F">
      <w:pPr>
        <w:pStyle w:val="19"/>
        <w:keepNext w:val="0"/>
        <w:keepLines w:val="0"/>
        <w:pageBreakBefore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color w:val="auto"/>
          <w:sz w:val="24"/>
          <w:szCs w:val="24"/>
          <w:highlight w:val="none"/>
        </w:rPr>
      </w:pPr>
    </w:p>
    <w:p w14:paraId="40EF934C">
      <w:pPr>
        <w:pStyle w:val="64"/>
        <w:keepNext w:val="0"/>
        <w:keepLines w:val="0"/>
        <w:pageBreakBefore w:val="0"/>
        <w:kinsoku/>
        <w:wordWrap/>
        <w:overflowPunct/>
        <w:topLinePunct w:val="0"/>
        <w:autoSpaceDE/>
        <w:autoSpaceDN/>
        <w:bidi w:val="0"/>
        <w:adjustRightInd/>
        <w:snapToGrid/>
        <w:textAlignment w:val="auto"/>
        <w:outlineLvl w:val="9"/>
        <w:rPr>
          <w:rFonts w:hint="default"/>
          <w:highlight w:val="none"/>
        </w:rPr>
      </w:pPr>
    </w:p>
    <w:p w14:paraId="4ADB78DE">
      <w:pPr>
        <w:pStyle w:val="65"/>
        <w:keepNext w:val="0"/>
        <w:keepLines w:val="0"/>
        <w:pageBreakBefore w:val="0"/>
        <w:kinsoku/>
        <w:wordWrap/>
        <w:overflowPunct/>
        <w:topLinePunct w:val="0"/>
        <w:autoSpaceDE/>
        <w:autoSpaceDN/>
        <w:bidi w:val="0"/>
        <w:adjustRightInd/>
        <w:snapToGrid/>
        <w:textAlignment w:val="auto"/>
        <w:outlineLvl w:val="9"/>
        <w:rPr>
          <w:rFonts w:hint="default"/>
          <w:highlight w:val="none"/>
        </w:rPr>
      </w:pPr>
    </w:p>
    <w:p w14:paraId="2CE647F5">
      <w:pPr>
        <w:keepNext w:val="0"/>
        <w:keepLines w:val="0"/>
        <w:pageBreakBefore w:val="0"/>
        <w:kinsoku/>
        <w:wordWrap/>
        <w:overflowPunct/>
        <w:topLinePunct w:val="0"/>
        <w:autoSpaceDE/>
        <w:autoSpaceDN/>
        <w:bidi w:val="0"/>
        <w:adjustRightInd/>
        <w:snapToGrid/>
        <w:textAlignment w:val="auto"/>
        <w:outlineLvl w:val="9"/>
        <w:rPr>
          <w:rFonts w:hint="default"/>
          <w:highlight w:val="none"/>
        </w:rPr>
      </w:pPr>
    </w:p>
    <w:p w14:paraId="1B1E0A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1-5      区域水文地质剖面图</w:t>
      </w:r>
    </w:p>
    <w:p w14:paraId="2E4AC2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rPr>
      </w:pPr>
    </w:p>
    <w:p w14:paraId="10C0DF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A271F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71A27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A145F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7163A1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54231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3EC2AC29">
      <w:pPr>
        <w:pStyle w:val="19"/>
        <w:keepNext w:val="0"/>
        <w:keepLines w:val="0"/>
        <w:pageBreakBefore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auto"/>
          <w:sz w:val="24"/>
          <w:szCs w:val="24"/>
          <w:highlight w:val="none"/>
          <w:lang w:eastAsia="zh-CN"/>
        </w:rPr>
      </w:pPr>
    </w:p>
    <w:p w14:paraId="766452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
          <w:bCs/>
          <w:color w:val="auto"/>
          <w:sz w:val="24"/>
          <w:szCs w:val="24"/>
          <w:highlight w:val="none"/>
        </w:rPr>
        <w:drawing>
          <wp:anchor distT="0" distB="0" distL="114300" distR="114300" simplePos="0" relativeHeight="251669504" behindDoc="1" locked="0" layoutInCell="1" allowOverlap="1">
            <wp:simplePos x="0" y="0"/>
            <wp:positionH relativeFrom="column">
              <wp:posOffset>876300</wp:posOffset>
            </wp:positionH>
            <wp:positionV relativeFrom="paragraph">
              <wp:posOffset>24130</wp:posOffset>
            </wp:positionV>
            <wp:extent cx="3921760" cy="6655435"/>
            <wp:effectExtent l="0" t="0" r="2540" b="12065"/>
            <wp:wrapNone/>
            <wp:docPr id="114" name="图片 200" descr="1比5万水文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00" descr="1比5万水文地质图"/>
                    <pic:cNvPicPr>
                      <a:picLocks noChangeAspect="1"/>
                    </pic:cNvPicPr>
                  </pic:nvPicPr>
                  <pic:blipFill>
                    <a:blip r:embed="rId65"/>
                    <a:stretch>
                      <a:fillRect/>
                    </a:stretch>
                  </pic:blipFill>
                  <pic:spPr>
                    <a:xfrm>
                      <a:off x="0" y="0"/>
                      <a:ext cx="3921760" cy="6655435"/>
                    </a:xfrm>
                    <a:prstGeom prst="rect">
                      <a:avLst/>
                    </a:prstGeom>
                    <a:noFill/>
                    <a:ln>
                      <a:noFill/>
                    </a:ln>
                  </pic:spPr>
                </pic:pic>
              </a:graphicData>
            </a:graphic>
          </wp:anchor>
        </w:drawing>
      </w:r>
    </w:p>
    <w:p w14:paraId="6826A2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149B34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84CB6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3BABD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9877D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75A926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799A43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7D136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2E64C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014DC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44641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41D2C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9AAE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9608C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6B03E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6DABE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59F3F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E6CDB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3552CB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05D4E9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149CAF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ECFFE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747240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44A86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86E5D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10B9D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3E82C3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CB191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EF562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E0BB0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45121CC">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lang w:eastAsia="zh-CN"/>
        </w:rPr>
      </w:pPr>
    </w:p>
    <w:p w14:paraId="47D82A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1-6    区域水井设计柱状图</w:t>
      </w:r>
    </w:p>
    <w:p w14:paraId="303B2D80">
      <w:pPr>
        <w:pStyle w:val="8"/>
        <w:bidi w:val="0"/>
        <w:rPr>
          <w:rFonts w:hint="default" w:ascii="Times New Roman" w:hAnsi="Times New Roman" w:eastAsia="宋体" w:cs="Times New Roman"/>
          <w:snapToGrid w:val="0"/>
          <w:color w:val="auto"/>
          <w:highlight w:val="none"/>
        </w:rPr>
      </w:pPr>
      <w:bookmarkStart w:id="573" w:name="_Toc21200"/>
      <w:bookmarkStart w:id="574" w:name="_Toc30543"/>
      <w:bookmarkStart w:id="575" w:name="_Toc12902"/>
      <w:bookmarkStart w:id="576" w:name="_Toc13858"/>
      <w:r>
        <w:rPr>
          <w:rFonts w:hint="default" w:ascii="Times New Roman" w:hAnsi="Times New Roman" w:eastAsia="宋体" w:cs="Times New Roman"/>
          <w:snapToGrid w:val="0"/>
          <w:color w:val="auto"/>
          <w:highlight w:val="none"/>
        </w:rPr>
        <w:t>4.1.</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5地下水补给、径流、排泄条件</w:t>
      </w:r>
      <w:bookmarkEnd w:id="573"/>
      <w:bookmarkEnd w:id="574"/>
    </w:p>
    <w:p w14:paraId="06B62B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bookmarkStart w:id="577" w:name="_Toc26942"/>
      <w:bookmarkStart w:id="578" w:name="_Toc11780"/>
      <w:r>
        <w:rPr>
          <w:rFonts w:hint="default" w:ascii="Times New Roman" w:hAnsi="Times New Roman" w:eastAsia="宋体" w:cs="Times New Roman"/>
          <w:color w:val="auto"/>
          <w:highlight w:val="none"/>
        </w:rPr>
        <w:t>上述含水层（带）通过裂隙以垂向越流的形式互相沟通，建立了密切的水力联系，构成一个完整的由多个含水层组合而成的地下水系统，基岩裂隙水为</w:t>
      </w:r>
      <w:r>
        <w:rPr>
          <w:rFonts w:hint="default" w:ascii="Times New Roman" w:hAnsi="Times New Roman" w:eastAsia="宋体" w:cs="Times New Roman"/>
          <w:color w:val="auto"/>
          <w:highlight w:val="none"/>
          <w:lang w:eastAsia="zh-CN"/>
        </w:rPr>
        <w:t>本项目评价区</w:t>
      </w:r>
      <w:r>
        <w:rPr>
          <w:rFonts w:hint="default" w:ascii="Times New Roman" w:hAnsi="Times New Roman" w:eastAsia="宋体" w:cs="Times New Roman"/>
          <w:color w:val="auto"/>
          <w:highlight w:val="none"/>
        </w:rPr>
        <w:t>直接充水含水层。而第四系孔隙水其补给来源主要是大气降水的入渗补给，还有河流在汛期的渗入补给。第四系和新近系碎屑岩类孔隙裂隙水通过越流形式补给下伏基岩裂隙水。</w:t>
      </w:r>
    </w:p>
    <w:p w14:paraId="59FCBC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（1）第四系松散岩类孔隙水补、径、排条件</w:t>
      </w:r>
    </w:p>
    <w:p w14:paraId="44D49B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松散岩类孔隙水的补给来源为大气降水入渗补给、地表水汛期的渗入补给、农田灌溉和基岩风化裂隙带地下水的侧向补给。径流方向一般斜交于地表河流的流向，并受地形地貌条件的影响，从地势高处流向地势低处。排向地表水体或越流补给基岩裂隙地下水及矿井排水。</w:t>
      </w:r>
    </w:p>
    <w:p w14:paraId="08895A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（2）基岩裂隙水补、径、排条件</w:t>
      </w:r>
    </w:p>
    <w:p w14:paraId="4BD72D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基岩裂隙水的补给来源为在基岩裸露区接受大气降水的入渗补给，其次接受地下水的侧向补给和松散岩类孔隙水的越流补给。径流条件以局部汇流为主，从水位较高处流向水位较低处。一般通过丘陵区广布的基岩风化裂隙运动到丘陵前缘，以泉水形式排泄。地势较高的风化裂隙带水由于流泻条件良好，向地势低的基岩裂隙水或第四系潜水排泄。随着煤矿开采，矿井排水成为基岩裂隙地下水的主要排泄方式。</w:t>
      </w:r>
    </w:p>
    <w:bookmarkEnd w:id="577"/>
    <w:bookmarkEnd w:id="578"/>
    <w:p w14:paraId="03097CD2">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本项目评价区域</w:t>
      </w:r>
      <w:r>
        <w:rPr>
          <w:rFonts w:hint="default" w:ascii="Times New Roman" w:hAnsi="Times New Roman" w:eastAsia="宋体" w:cs="Times New Roman"/>
          <w:color w:val="auto"/>
          <w:highlight w:val="none"/>
        </w:rPr>
        <w:t>附近地下水整体流向为自</w:t>
      </w:r>
      <w:r>
        <w:rPr>
          <w:rFonts w:hint="eastAsia" w:ascii="Times New Roman" w:hAnsi="Times New Roman" w:cs="Times New Roman"/>
          <w:color w:val="auto"/>
          <w:highlight w:val="none"/>
          <w:lang w:eastAsia="zh-CN"/>
        </w:rPr>
        <w:t>西南到东北</w:t>
      </w:r>
      <w:r>
        <w:rPr>
          <w:rFonts w:hint="default" w:ascii="Times New Roman" w:hAnsi="Times New Roman" w:eastAsia="宋体" w:cs="Times New Roman"/>
          <w:color w:val="auto"/>
          <w:highlight w:val="none"/>
        </w:rPr>
        <w:t>方向径流</w:t>
      </w:r>
      <w:r>
        <w:rPr>
          <w:rFonts w:hint="default" w:ascii="Times New Roman" w:hAnsi="Times New Roman" w:eastAsia="宋体" w:cs="Times New Roman"/>
          <w:color w:val="auto"/>
          <w:sz w:val="24"/>
          <w:szCs w:val="24"/>
          <w:highlight w:val="none"/>
          <w:lang w:val="zh-CN" w:eastAsia="zh-CN"/>
        </w:rPr>
        <w:t>。</w:t>
      </w:r>
      <w:bookmarkEnd w:id="575"/>
      <w:bookmarkEnd w:id="576"/>
    </w:p>
    <w:p w14:paraId="1DA48486">
      <w:pPr>
        <w:pStyle w:val="7"/>
        <w:bidi w:val="0"/>
        <w:rPr>
          <w:rFonts w:hint="default"/>
          <w:highlight w:val="none"/>
        </w:rPr>
      </w:pPr>
      <w:bookmarkStart w:id="579" w:name="_Toc14314"/>
      <w:bookmarkStart w:id="580" w:name="_Toc27019"/>
      <w:bookmarkStart w:id="581" w:name="_Toc18917"/>
      <w:bookmarkStart w:id="582" w:name="_Toc30690"/>
      <w:r>
        <w:rPr>
          <w:rFonts w:hint="default"/>
          <w:highlight w:val="none"/>
        </w:rPr>
        <w:t>4.1.</w:t>
      </w:r>
      <w:r>
        <w:rPr>
          <w:rFonts w:hint="default"/>
          <w:highlight w:val="none"/>
          <w:lang w:val="en-US" w:eastAsia="zh-CN"/>
        </w:rPr>
        <w:t>2</w:t>
      </w:r>
      <w:r>
        <w:rPr>
          <w:rFonts w:hint="default"/>
          <w:highlight w:val="none"/>
        </w:rPr>
        <w:t>环境保护目标调查</w:t>
      </w:r>
      <w:bookmarkEnd w:id="579"/>
      <w:bookmarkEnd w:id="580"/>
      <w:bookmarkEnd w:id="581"/>
      <w:bookmarkEnd w:id="582"/>
    </w:p>
    <w:p w14:paraId="25F7EA29">
      <w:pPr>
        <w:pStyle w:val="8"/>
        <w:bidi w:val="0"/>
        <w:rPr>
          <w:rFonts w:hint="default" w:ascii="Times New Roman" w:hAnsi="Times New Roman" w:eastAsia="宋体" w:cs="Times New Roman"/>
          <w:snapToGrid w:val="0"/>
          <w:color w:val="auto"/>
          <w:highlight w:val="none"/>
        </w:rPr>
      </w:pPr>
      <w:bookmarkStart w:id="583" w:name="_Toc3189"/>
      <w:bookmarkStart w:id="584" w:name="_Toc10950"/>
      <w:r>
        <w:rPr>
          <w:rFonts w:hint="default" w:ascii="Times New Roman" w:hAnsi="Times New Roman" w:eastAsia="宋体" w:cs="Times New Roman"/>
          <w:snapToGrid w:val="0"/>
          <w:color w:val="auto"/>
          <w:highlight w:val="none"/>
        </w:rPr>
        <w:t>4.1.</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.1区域环境功能区划</w:t>
      </w:r>
      <w:bookmarkEnd w:id="583"/>
      <w:bookmarkEnd w:id="584"/>
    </w:p>
    <w:p w14:paraId="7BC2A20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（1）空气环境</w:t>
      </w:r>
    </w:p>
    <w:p w14:paraId="59722AC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根据环境空气质量功能区划，场址位于《环境空气质量标准》（GB3095-2012）修改单二类区。</w:t>
      </w:r>
    </w:p>
    <w:p w14:paraId="478F7A30">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（2）地表水环境</w:t>
      </w:r>
    </w:p>
    <w:p w14:paraId="00B1FBFF">
      <w:pPr>
        <w:pStyle w:val="94"/>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sz w:val="24"/>
          <w:szCs w:val="24"/>
          <w:highlight w:val="none"/>
          <w:lang w:val="en-US" w:eastAsia="zh-CN"/>
        </w:rPr>
        <w:t>本项目无生产废水及生活污水外排，</w:t>
      </w:r>
      <w:r>
        <w:rPr>
          <w:rFonts w:hint="default" w:ascii="Times New Roman" w:hAnsi="Times New Roman" w:eastAsia="宋体" w:cs="Times New Roman"/>
          <w:color w:val="auto"/>
          <w:sz w:val="24"/>
          <w:szCs w:val="24"/>
          <w:highlight w:val="none"/>
          <w:lang w:val="en-US" w:eastAsia="zh-CN"/>
        </w:rPr>
        <w:t>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，属于穆棱河水系。</w:t>
      </w: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highlight w:val="none"/>
          <w:lang w:val="en-US" w:eastAsia="zh-CN"/>
        </w:rPr>
        <w:t>《全国重要江河湖泊水功能区划（2011—2030年）》</w:t>
      </w:r>
      <w:r>
        <w:rPr>
          <w:rFonts w:hint="default" w:ascii="Times New Roman" w:hAnsi="Times New Roman" w:cs="Times New Roman"/>
          <w:color w:val="auto"/>
          <w:sz w:val="24"/>
          <w:highlight w:val="none"/>
        </w:rPr>
        <w:t>规定，本</w:t>
      </w:r>
      <w:r>
        <w:rPr>
          <w:rFonts w:hint="default" w:ascii="Times New Roman" w:hAnsi="Times New Roman" w:cs="Times New Roman"/>
          <w:color w:val="auto"/>
          <w:sz w:val="24"/>
          <w:highlight w:val="none"/>
          <w:lang w:eastAsia="zh-CN"/>
        </w:rPr>
        <w:t>项目区域</w:t>
      </w:r>
      <w:r>
        <w:rPr>
          <w:rFonts w:hint="default" w:ascii="Times New Roman" w:hAnsi="Times New Roman" w:cs="Times New Roman"/>
          <w:color w:val="auto"/>
          <w:sz w:val="24"/>
          <w:highlight w:val="none"/>
          <w:lang w:val="en-US" w:eastAsia="zh-CN"/>
        </w:rPr>
        <w:t>穆棱河断面水质执行</w:t>
      </w:r>
      <w:r>
        <w:rPr>
          <w:rFonts w:hint="default" w:ascii="Times New Roman" w:hAnsi="Times New Roman" w:cs="Times New Roman"/>
          <w:color w:val="auto"/>
          <w:highlight w:val="none"/>
          <w:lang w:val="en-US" w:eastAsia="zh-CN"/>
        </w:rPr>
        <w:t>执行《地表水环境质量标准》（GB3838-2002）中</w:t>
      </w:r>
      <w:r>
        <w:rPr>
          <w:rFonts w:hint="default" w:ascii="Times New Roman" w:hAnsi="Times New Roman" w:cs="Times New Roman"/>
          <w:color w:val="auto"/>
          <w:sz w:val="24"/>
          <w:highlight w:val="none"/>
        </w:rPr>
        <w:t>Ⅲ类</w:t>
      </w:r>
      <w:r>
        <w:rPr>
          <w:rFonts w:hint="default"/>
          <w:color w:val="auto"/>
          <w:highlight w:val="none"/>
          <w:lang w:val="en-US" w:eastAsia="zh-CN"/>
        </w:rPr>
        <w:t>标准</w:t>
      </w:r>
      <w:r>
        <w:rPr>
          <w:rFonts w:hint="eastAsia"/>
          <w:color w:val="auto"/>
          <w:highlight w:val="none"/>
          <w:lang w:val="en-US" w:eastAsia="zh-CN"/>
        </w:rPr>
        <w:t>，</w:t>
      </w:r>
      <w:r>
        <w:rPr>
          <w:rFonts w:hint="default" w:ascii="Times New Roman" w:hAnsi="Times New Roman" w:cs="Times New Roman"/>
          <w:color w:val="auto"/>
          <w:sz w:val="24"/>
          <w:highlight w:val="none"/>
        </w:rPr>
        <w:t>本</w:t>
      </w:r>
      <w:r>
        <w:rPr>
          <w:rFonts w:hint="eastAsia" w:ascii="Times New Roman" w:hAnsi="Times New Roman" w:cs="Times New Roman"/>
          <w:color w:val="auto"/>
          <w:sz w:val="24"/>
          <w:highlight w:val="none"/>
          <w:lang w:eastAsia="zh-CN"/>
        </w:rPr>
        <w:t>项目附近水体柳毛河</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穆棱河一级支流</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参照</w:t>
      </w:r>
      <w:r>
        <w:rPr>
          <w:rFonts w:hint="default" w:ascii="Times New Roman" w:hAnsi="Times New Roman" w:cs="Times New Roman"/>
          <w:color w:val="auto"/>
          <w:sz w:val="24"/>
          <w:highlight w:val="none"/>
        </w:rPr>
        <w:t>Ⅲ类功能水体，因此本工程地表水环境质量执行《地表水环境质量标准》（GB3838-2002）中Ⅲ类水体标准</w:t>
      </w:r>
      <w:r>
        <w:rPr>
          <w:rFonts w:hint="default" w:ascii="Times New Roman" w:hAnsi="Times New Roman" w:eastAsia="宋体" w:cs="Times New Roman"/>
          <w:color w:val="auto"/>
          <w:sz w:val="24"/>
          <w:szCs w:val="24"/>
          <w:highlight w:val="none"/>
          <w:lang w:val="en-US" w:eastAsia="zh-CN"/>
        </w:rPr>
        <w:t>。</w:t>
      </w:r>
    </w:p>
    <w:p w14:paraId="36226BE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（3）声环境</w:t>
      </w:r>
    </w:p>
    <w:p w14:paraId="6375828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本项目厂区周围声环境执行《声环境质量标准》（GB3096-2008）中的</w:t>
      </w: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类标准。</w:t>
      </w:r>
    </w:p>
    <w:p w14:paraId="362CB787">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（4）地下水环境</w:t>
      </w:r>
    </w:p>
    <w:p w14:paraId="5EE9DE47">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本项目所在区域地下水执行《地下水质量标准》（GB/T14848-2017）中</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p>
    <w:p w14:paraId="79EE4EF7">
      <w:pPr>
        <w:pStyle w:val="8"/>
        <w:bidi w:val="0"/>
        <w:rPr>
          <w:rFonts w:hint="default" w:ascii="Times New Roman" w:hAnsi="Times New Roman" w:eastAsia="宋体" w:cs="Times New Roman"/>
          <w:color w:val="auto"/>
          <w:highlight w:val="none"/>
        </w:rPr>
      </w:pPr>
      <w:bookmarkStart w:id="585" w:name="_Toc7734"/>
      <w:bookmarkStart w:id="586" w:name="_Toc15362"/>
      <w:r>
        <w:rPr>
          <w:rFonts w:hint="default" w:ascii="Times New Roman" w:hAnsi="Times New Roman" w:eastAsia="宋体" w:cs="Times New Roman"/>
          <w:color w:val="auto"/>
          <w:highlight w:val="none"/>
        </w:rPr>
        <w:t>4.1.</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.2环境保护目标</w:t>
      </w:r>
      <w:bookmarkEnd w:id="585"/>
      <w:bookmarkEnd w:id="586"/>
    </w:p>
    <w:p w14:paraId="4684A9D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调查过程：根据《建设项目环境影响评价技术导则 总纲》（HJ2.1-2016），环境保护目标调查应调查评价范围内的环境功能区划和主要的环境敏感区，详细了解环境保护目标的地理位置、服务功能、四至范围、保护对象和保护要求等。</w:t>
      </w:r>
    </w:p>
    <w:p w14:paraId="3513701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（1）本项目位于</w:t>
      </w:r>
      <w:r>
        <w:rPr>
          <w:rFonts w:hint="eastAsia" w:ascii="Times New Roman" w:hAns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，项目东、南、西、北侧均为</w:t>
      </w:r>
      <w:r>
        <w:rPr>
          <w:rFonts w:hint="eastAsia" w:ascii="Times New Roman" w:hAnsi="Times New Roman" w:cs="Times New Roman"/>
          <w:color w:val="auto"/>
          <w:highlight w:val="none"/>
          <w:lang w:val="en-US" w:eastAsia="zh-CN"/>
        </w:rPr>
        <w:t>农田</w:t>
      </w:r>
      <w:r>
        <w:rPr>
          <w:rFonts w:hint="default" w:ascii="Times New Roman" w:hAnsi="Times New Roman" w:eastAsia="宋体" w:cs="Times New Roman"/>
          <w:color w:val="auto"/>
          <w:highlight w:val="none"/>
        </w:rPr>
        <w:t>。占地类型为</w:t>
      </w:r>
      <w:r>
        <w:rPr>
          <w:rFonts w:hint="eastAsia" w:ascii="Times New Roman" w:hAnsi="Times New Roman" w:cs="Times New Roman"/>
          <w:color w:val="auto"/>
          <w:highlight w:val="none"/>
          <w:lang w:val="en-US" w:eastAsia="zh-CN"/>
        </w:rPr>
        <w:t>设施农用地</w:t>
      </w:r>
      <w:r>
        <w:rPr>
          <w:rFonts w:hint="default" w:ascii="Times New Roman" w:hAnsi="Times New Roman" w:eastAsia="宋体" w:cs="Times New Roman"/>
          <w:color w:val="auto"/>
          <w:highlight w:val="none"/>
        </w:rPr>
        <w:t>。</w:t>
      </w:r>
    </w:p>
    <w:p w14:paraId="53F2CFF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）本项目评价范围内无森林公园、地质公园、天然林等。</w:t>
      </w:r>
    </w:p>
    <w:p w14:paraId="35ADD6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环境保护目标一览表</w:t>
      </w:r>
    </w:p>
    <w:tbl>
      <w:tblPr>
        <w:tblStyle w:val="4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1377"/>
        <w:gridCol w:w="1289"/>
        <w:gridCol w:w="1138"/>
        <w:gridCol w:w="1173"/>
        <w:gridCol w:w="722"/>
        <w:gridCol w:w="694"/>
        <w:gridCol w:w="846"/>
      </w:tblGrid>
      <w:tr w14:paraId="1E052F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756" w:type="pct"/>
            <w:vMerge w:val="restart"/>
            <w:noWrap w:val="0"/>
            <w:vAlign w:val="center"/>
          </w:tcPr>
          <w:p w14:paraId="6C6FB687">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名称</w:t>
            </w:r>
          </w:p>
        </w:tc>
        <w:tc>
          <w:tcPr>
            <w:tcW w:w="1562" w:type="pct"/>
            <w:gridSpan w:val="2"/>
            <w:noWrap w:val="0"/>
            <w:vAlign w:val="center"/>
          </w:tcPr>
          <w:p w14:paraId="0378D58F">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坐标</w:t>
            </w:r>
          </w:p>
        </w:tc>
        <w:tc>
          <w:tcPr>
            <w:tcW w:w="667" w:type="pct"/>
            <w:vMerge w:val="restart"/>
            <w:noWrap w:val="0"/>
            <w:vAlign w:val="center"/>
          </w:tcPr>
          <w:p w14:paraId="35D79BDB">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保护对象</w:t>
            </w:r>
          </w:p>
        </w:tc>
        <w:tc>
          <w:tcPr>
            <w:tcW w:w="687" w:type="pct"/>
            <w:vMerge w:val="restart"/>
            <w:noWrap w:val="0"/>
            <w:vAlign w:val="center"/>
          </w:tcPr>
          <w:p w14:paraId="5750488D">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保护内容</w:t>
            </w:r>
          </w:p>
        </w:tc>
        <w:tc>
          <w:tcPr>
            <w:tcW w:w="423" w:type="pct"/>
            <w:vMerge w:val="restart"/>
            <w:noWrap w:val="0"/>
            <w:vAlign w:val="center"/>
          </w:tcPr>
          <w:p w14:paraId="03B773AB">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环境功能区</w:t>
            </w:r>
          </w:p>
        </w:tc>
        <w:tc>
          <w:tcPr>
            <w:tcW w:w="406" w:type="pct"/>
            <w:vMerge w:val="restart"/>
            <w:noWrap w:val="0"/>
            <w:vAlign w:val="center"/>
          </w:tcPr>
          <w:p w14:paraId="7E16C3D2">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相对厂址方位</w:t>
            </w:r>
          </w:p>
        </w:tc>
        <w:tc>
          <w:tcPr>
            <w:tcW w:w="495" w:type="pct"/>
            <w:vMerge w:val="restart"/>
            <w:noWrap w:val="0"/>
            <w:vAlign w:val="center"/>
          </w:tcPr>
          <w:p w14:paraId="18E7F9CE">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相对厂界距离/m</w:t>
            </w:r>
          </w:p>
        </w:tc>
      </w:tr>
      <w:tr w14:paraId="1AB3EE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vMerge w:val="continue"/>
            <w:noWrap w:val="0"/>
            <w:vAlign w:val="center"/>
          </w:tcPr>
          <w:p w14:paraId="00E3A709">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807" w:type="pct"/>
            <w:noWrap w:val="0"/>
            <w:vAlign w:val="center"/>
          </w:tcPr>
          <w:p w14:paraId="0A9F2D53">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东经</w:t>
            </w:r>
          </w:p>
        </w:tc>
        <w:tc>
          <w:tcPr>
            <w:tcW w:w="755" w:type="pct"/>
            <w:noWrap w:val="0"/>
            <w:vAlign w:val="center"/>
          </w:tcPr>
          <w:p w14:paraId="49A1F4BD">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北纬</w:t>
            </w:r>
          </w:p>
        </w:tc>
        <w:tc>
          <w:tcPr>
            <w:tcW w:w="667" w:type="pct"/>
            <w:vMerge w:val="continue"/>
            <w:noWrap w:val="0"/>
            <w:vAlign w:val="center"/>
          </w:tcPr>
          <w:p w14:paraId="7D6BB953">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687" w:type="pct"/>
            <w:vMerge w:val="continue"/>
            <w:noWrap w:val="0"/>
            <w:vAlign w:val="center"/>
          </w:tcPr>
          <w:p w14:paraId="2EC91704">
            <w:pPr>
              <w:keepNext w:val="0"/>
              <w:keepLines w:val="0"/>
              <w:pageBreakBefore w:val="0"/>
              <w:widowControl/>
              <w:kinsoku/>
              <w:wordWrap w:val="0"/>
              <w:overflowPunct/>
              <w:topLinePunct w:val="0"/>
              <w:autoSpaceDE/>
              <w:autoSpaceDN/>
              <w:bidi w:val="0"/>
              <w:adjustRightInd w:val="0"/>
              <w:snapToGrid w:val="0"/>
              <w:ind w:left="0" w:firstLine="0" w:firstLineChars="0"/>
              <w:jc w:val="both"/>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423" w:type="pct"/>
            <w:vMerge w:val="continue"/>
            <w:noWrap w:val="0"/>
            <w:vAlign w:val="center"/>
          </w:tcPr>
          <w:p w14:paraId="328C56DC">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406" w:type="pct"/>
            <w:vMerge w:val="continue"/>
            <w:noWrap w:val="0"/>
            <w:vAlign w:val="center"/>
          </w:tcPr>
          <w:p w14:paraId="61FC91F7">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495" w:type="pct"/>
            <w:vMerge w:val="continue"/>
            <w:noWrap w:val="0"/>
            <w:vAlign w:val="center"/>
          </w:tcPr>
          <w:p w14:paraId="5BC244E7">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r>
      <w:tr w14:paraId="5BC10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434FDECE">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半拉城子</w:t>
            </w:r>
          </w:p>
        </w:tc>
        <w:tc>
          <w:tcPr>
            <w:tcW w:w="807" w:type="pct"/>
            <w:noWrap w:val="0"/>
            <w:vAlign w:val="center"/>
          </w:tcPr>
          <w:p w14:paraId="2E5FD81B">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rPr>
              <w:t>132.218399</w:t>
            </w:r>
          </w:p>
        </w:tc>
        <w:tc>
          <w:tcPr>
            <w:tcW w:w="755" w:type="pct"/>
            <w:noWrap w:val="0"/>
            <w:vAlign w:val="center"/>
          </w:tcPr>
          <w:p w14:paraId="10D998FE">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45.607553</w:t>
            </w:r>
          </w:p>
        </w:tc>
        <w:tc>
          <w:tcPr>
            <w:tcW w:w="667" w:type="pct"/>
            <w:vMerge w:val="restart"/>
            <w:noWrap w:val="0"/>
            <w:vAlign w:val="center"/>
          </w:tcPr>
          <w:p w14:paraId="4AF0A010">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农村人</w:t>
            </w:r>
            <w:r>
              <w:rPr>
                <w:rFonts w:hint="default" w:ascii="Times New Roman" w:hAnsi="Times New Roman" w:eastAsia="宋体" w:cs="Times New Roman"/>
                <w:snapToGrid w:val="0"/>
                <w:color w:val="auto"/>
                <w:kern w:val="0"/>
                <w:sz w:val="21"/>
                <w:szCs w:val="21"/>
                <w:highlight w:val="none"/>
                <w:lang w:val="en-US" w:eastAsia="zh-CN" w:bidi="ar-SA"/>
              </w:rPr>
              <w:t>口</w:t>
            </w:r>
            <w:r>
              <w:rPr>
                <w:rFonts w:hint="default" w:ascii="Times New Roman" w:hAnsi="Times New Roman" w:eastAsia="宋体" w:cs="Times New Roman"/>
                <w:snapToGrid w:val="0"/>
                <w:color w:val="auto"/>
                <w:kern w:val="0"/>
                <w:sz w:val="21"/>
                <w:szCs w:val="21"/>
                <w:highlight w:val="none"/>
                <w:lang w:val="zh-CN" w:eastAsia="zh-CN" w:bidi="ar-SA"/>
              </w:rPr>
              <w:t>集中区</w:t>
            </w:r>
          </w:p>
        </w:tc>
        <w:tc>
          <w:tcPr>
            <w:tcW w:w="687" w:type="pct"/>
            <w:vMerge w:val="restart"/>
            <w:noWrap w:val="0"/>
            <w:vAlign w:val="center"/>
          </w:tcPr>
          <w:p w14:paraId="372151AE">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《环境空气质量标准》（GB3095-2012）修改单</w:t>
            </w:r>
          </w:p>
        </w:tc>
        <w:tc>
          <w:tcPr>
            <w:tcW w:w="423" w:type="pct"/>
            <w:vMerge w:val="restart"/>
            <w:noWrap w:val="0"/>
            <w:vAlign w:val="center"/>
          </w:tcPr>
          <w:p w14:paraId="23B9620F">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二级</w:t>
            </w:r>
          </w:p>
        </w:tc>
        <w:tc>
          <w:tcPr>
            <w:tcW w:w="406" w:type="pct"/>
            <w:noWrap w:val="0"/>
            <w:vAlign w:val="center"/>
          </w:tcPr>
          <w:p w14:paraId="6945C0BF">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N</w:t>
            </w:r>
            <w:r>
              <w:rPr>
                <w:rFonts w:hint="eastAsia" w:ascii="Times New Roman" w:hAnsi="Times New Roman" w:cs="Times New Roman"/>
                <w:snapToGrid w:val="0"/>
                <w:color w:val="auto"/>
                <w:sz w:val="21"/>
                <w:szCs w:val="21"/>
                <w:highlight w:val="none"/>
                <w:lang w:val="en-US" w:eastAsia="zh-CN"/>
              </w:rPr>
              <w:t>E</w:t>
            </w:r>
          </w:p>
        </w:tc>
        <w:tc>
          <w:tcPr>
            <w:tcW w:w="495" w:type="pct"/>
            <w:noWrap w:val="0"/>
            <w:vAlign w:val="center"/>
          </w:tcPr>
          <w:p w14:paraId="3557C9B3">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4995</w:t>
            </w:r>
            <w:r>
              <w:rPr>
                <w:rFonts w:hint="default" w:ascii="Times New Roman" w:hAnsi="Times New Roman" w:eastAsia="宋体" w:cs="Times New Roman"/>
                <w:snapToGrid w:val="0"/>
                <w:color w:val="auto"/>
                <w:sz w:val="21"/>
                <w:szCs w:val="21"/>
                <w:highlight w:val="none"/>
              </w:rPr>
              <w:t>m</w:t>
            </w:r>
          </w:p>
        </w:tc>
      </w:tr>
      <w:tr w14:paraId="66630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72DAD7A6">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王家店屯</w:t>
            </w:r>
          </w:p>
        </w:tc>
        <w:tc>
          <w:tcPr>
            <w:tcW w:w="807" w:type="pct"/>
            <w:noWrap w:val="0"/>
            <w:vAlign w:val="center"/>
          </w:tcPr>
          <w:p w14:paraId="7FBF83FB">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132.158418</w:t>
            </w:r>
          </w:p>
        </w:tc>
        <w:tc>
          <w:tcPr>
            <w:tcW w:w="755" w:type="pct"/>
            <w:noWrap w:val="0"/>
            <w:vAlign w:val="center"/>
          </w:tcPr>
          <w:p w14:paraId="13FA801B">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45.581658</w:t>
            </w:r>
          </w:p>
        </w:tc>
        <w:tc>
          <w:tcPr>
            <w:tcW w:w="667" w:type="pct"/>
            <w:vMerge w:val="continue"/>
            <w:noWrap w:val="0"/>
            <w:vAlign w:val="center"/>
          </w:tcPr>
          <w:p w14:paraId="291B09CE">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687" w:type="pct"/>
            <w:vMerge w:val="continue"/>
            <w:noWrap w:val="0"/>
            <w:vAlign w:val="center"/>
          </w:tcPr>
          <w:p w14:paraId="4024E26C">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423" w:type="pct"/>
            <w:vMerge w:val="continue"/>
            <w:noWrap w:val="0"/>
            <w:vAlign w:val="center"/>
          </w:tcPr>
          <w:p w14:paraId="3AF91ACA">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406" w:type="pct"/>
            <w:noWrap w:val="0"/>
            <w:vAlign w:val="center"/>
          </w:tcPr>
          <w:p w14:paraId="24839712">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NW</w:t>
            </w:r>
          </w:p>
        </w:tc>
        <w:tc>
          <w:tcPr>
            <w:tcW w:w="495" w:type="pct"/>
            <w:noWrap w:val="0"/>
            <w:vAlign w:val="center"/>
          </w:tcPr>
          <w:p w14:paraId="4C1D5AD3">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1900</w:t>
            </w:r>
            <w:r>
              <w:rPr>
                <w:rFonts w:hint="default" w:ascii="Times New Roman" w:hAnsi="Times New Roman" w:eastAsia="宋体" w:cs="Times New Roman"/>
                <w:snapToGrid w:val="0"/>
                <w:color w:val="auto"/>
                <w:sz w:val="21"/>
                <w:szCs w:val="21"/>
                <w:highlight w:val="none"/>
              </w:rPr>
              <w:t>m</w:t>
            </w:r>
          </w:p>
        </w:tc>
      </w:tr>
      <w:tr w14:paraId="554B7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2F56591D">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团结村</w:t>
            </w:r>
          </w:p>
        </w:tc>
        <w:tc>
          <w:tcPr>
            <w:tcW w:w="807" w:type="pct"/>
            <w:noWrap w:val="0"/>
            <w:vAlign w:val="center"/>
          </w:tcPr>
          <w:p w14:paraId="20F3EC31">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132.212219</w:t>
            </w:r>
          </w:p>
        </w:tc>
        <w:tc>
          <w:tcPr>
            <w:tcW w:w="755" w:type="pct"/>
            <w:noWrap w:val="0"/>
            <w:vAlign w:val="center"/>
          </w:tcPr>
          <w:p w14:paraId="0D566918">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45.575600</w:t>
            </w:r>
          </w:p>
        </w:tc>
        <w:tc>
          <w:tcPr>
            <w:tcW w:w="667" w:type="pct"/>
            <w:vMerge w:val="continue"/>
            <w:noWrap w:val="0"/>
            <w:vAlign w:val="center"/>
          </w:tcPr>
          <w:p w14:paraId="5F295088">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687" w:type="pct"/>
            <w:vMerge w:val="continue"/>
            <w:noWrap w:val="0"/>
            <w:vAlign w:val="center"/>
          </w:tcPr>
          <w:p w14:paraId="14F16AD0">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423" w:type="pct"/>
            <w:vMerge w:val="continue"/>
            <w:noWrap w:val="0"/>
            <w:vAlign w:val="center"/>
          </w:tcPr>
          <w:p w14:paraId="42316BFB">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406" w:type="pct"/>
            <w:noWrap w:val="0"/>
            <w:vAlign w:val="center"/>
          </w:tcPr>
          <w:p w14:paraId="13A25D44">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NE</w:t>
            </w:r>
          </w:p>
        </w:tc>
        <w:tc>
          <w:tcPr>
            <w:tcW w:w="495" w:type="pct"/>
            <w:noWrap w:val="0"/>
            <w:vAlign w:val="center"/>
          </w:tcPr>
          <w:p w14:paraId="7ACD3859">
            <w:pPr>
              <w:pStyle w:val="30"/>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2778</w:t>
            </w:r>
            <w:r>
              <w:rPr>
                <w:rFonts w:hint="default" w:ascii="Times New Roman" w:hAnsi="Times New Roman" w:eastAsia="宋体" w:cs="Times New Roman"/>
                <w:snapToGrid w:val="0"/>
                <w:color w:val="auto"/>
                <w:sz w:val="21"/>
                <w:szCs w:val="21"/>
                <w:highlight w:val="none"/>
              </w:rPr>
              <w:t>m</w:t>
            </w:r>
          </w:p>
        </w:tc>
      </w:tr>
      <w:tr w14:paraId="12B40C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5D8F25EF">
            <w:pPr>
              <w:pStyle w:val="152"/>
              <w:adjustRightInd w:val="0"/>
              <w:snapToGrid w:val="0"/>
              <w:ind w:left="0" w:leftChars="0" w:firstLine="0" w:firstLineChars="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团结村四组</w:t>
            </w:r>
          </w:p>
        </w:tc>
        <w:tc>
          <w:tcPr>
            <w:tcW w:w="807" w:type="pct"/>
            <w:noWrap w:val="0"/>
            <w:vAlign w:val="center"/>
          </w:tcPr>
          <w:p w14:paraId="2E29F03B">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132.186213</w:t>
            </w:r>
          </w:p>
        </w:tc>
        <w:tc>
          <w:tcPr>
            <w:tcW w:w="755" w:type="pct"/>
            <w:noWrap w:val="0"/>
            <w:vAlign w:val="center"/>
          </w:tcPr>
          <w:p w14:paraId="46AF4FE4">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45.568480</w:t>
            </w:r>
          </w:p>
        </w:tc>
        <w:tc>
          <w:tcPr>
            <w:tcW w:w="667" w:type="pct"/>
            <w:vMerge w:val="continue"/>
            <w:noWrap w:val="0"/>
            <w:vAlign w:val="center"/>
          </w:tcPr>
          <w:p w14:paraId="6AC2B063">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687" w:type="pct"/>
            <w:vMerge w:val="continue"/>
            <w:noWrap w:val="0"/>
            <w:vAlign w:val="center"/>
          </w:tcPr>
          <w:p w14:paraId="0EEF1E5F">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423" w:type="pct"/>
            <w:vMerge w:val="continue"/>
            <w:noWrap w:val="0"/>
            <w:vAlign w:val="center"/>
          </w:tcPr>
          <w:p w14:paraId="4F7D39B8">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406" w:type="pct"/>
            <w:noWrap w:val="0"/>
            <w:vAlign w:val="center"/>
          </w:tcPr>
          <w:p w14:paraId="62CE37B0">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NE</w:t>
            </w:r>
          </w:p>
        </w:tc>
        <w:tc>
          <w:tcPr>
            <w:tcW w:w="495" w:type="pct"/>
            <w:noWrap w:val="0"/>
            <w:vAlign w:val="center"/>
          </w:tcPr>
          <w:p w14:paraId="3E97504D">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578</w:t>
            </w:r>
            <w:r>
              <w:rPr>
                <w:rFonts w:hint="default" w:ascii="Times New Roman" w:hAnsi="Times New Roman" w:eastAsia="宋体" w:cs="Times New Roman"/>
                <w:snapToGrid w:val="0"/>
                <w:color w:val="auto"/>
                <w:sz w:val="21"/>
                <w:szCs w:val="21"/>
                <w:highlight w:val="none"/>
              </w:rPr>
              <w:t>m</w:t>
            </w:r>
          </w:p>
        </w:tc>
      </w:tr>
      <w:tr w14:paraId="17893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5EB83D2A">
            <w:pPr>
              <w:pStyle w:val="152"/>
              <w:adjustRightInd w:val="0"/>
              <w:snapToGrid w:val="0"/>
              <w:ind w:left="0" w:leftChars="0" w:firstLine="0" w:firstLineChars="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同心村</w:t>
            </w:r>
          </w:p>
        </w:tc>
        <w:tc>
          <w:tcPr>
            <w:tcW w:w="807" w:type="pct"/>
            <w:noWrap w:val="0"/>
            <w:vAlign w:val="center"/>
          </w:tcPr>
          <w:p w14:paraId="76F1C2E0">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132.157631</w:t>
            </w:r>
          </w:p>
        </w:tc>
        <w:tc>
          <w:tcPr>
            <w:tcW w:w="755" w:type="pct"/>
            <w:noWrap w:val="0"/>
            <w:vAlign w:val="center"/>
          </w:tcPr>
          <w:p w14:paraId="6720EFC8">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45.541946</w:t>
            </w:r>
          </w:p>
        </w:tc>
        <w:tc>
          <w:tcPr>
            <w:tcW w:w="667" w:type="pct"/>
            <w:vMerge w:val="continue"/>
            <w:noWrap w:val="0"/>
            <w:vAlign w:val="center"/>
          </w:tcPr>
          <w:p w14:paraId="284F7BCE">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687" w:type="pct"/>
            <w:vMerge w:val="continue"/>
            <w:noWrap w:val="0"/>
            <w:vAlign w:val="center"/>
          </w:tcPr>
          <w:p w14:paraId="2DBA77FA">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423" w:type="pct"/>
            <w:vMerge w:val="continue"/>
            <w:noWrap w:val="0"/>
            <w:vAlign w:val="center"/>
          </w:tcPr>
          <w:p w14:paraId="63DE88BB">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406" w:type="pct"/>
            <w:noWrap w:val="0"/>
            <w:vAlign w:val="center"/>
          </w:tcPr>
          <w:p w14:paraId="71ECA26B">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w:t>
            </w:r>
          </w:p>
        </w:tc>
        <w:tc>
          <w:tcPr>
            <w:tcW w:w="495" w:type="pct"/>
            <w:noWrap w:val="0"/>
            <w:vAlign w:val="center"/>
          </w:tcPr>
          <w:p w14:paraId="3EAA7989">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3087m</w:t>
            </w:r>
          </w:p>
        </w:tc>
      </w:tr>
      <w:tr w14:paraId="664703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3A2916F6">
            <w:pPr>
              <w:pStyle w:val="152"/>
              <w:adjustRightInd w:val="0"/>
              <w:snapToGrid w:val="0"/>
              <w:ind w:left="0" w:leftChars="0" w:firstLine="0" w:firstLineChars="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同心六组</w:t>
            </w:r>
          </w:p>
        </w:tc>
        <w:tc>
          <w:tcPr>
            <w:tcW w:w="807" w:type="pct"/>
            <w:noWrap w:val="0"/>
            <w:vAlign w:val="center"/>
          </w:tcPr>
          <w:p w14:paraId="52CF0261">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132.197456</w:t>
            </w:r>
          </w:p>
        </w:tc>
        <w:tc>
          <w:tcPr>
            <w:tcW w:w="755" w:type="pct"/>
            <w:noWrap w:val="0"/>
            <w:vAlign w:val="center"/>
          </w:tcPr>
          <w:p w14:paraId="200E3D62">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45.555891</w:t>
            </w:r>
          </w:p>
        </w:tc>
        <w:tc>
          <w:tcPr>
            <w:tcW w:w="667" w:type="pct"/>
            <w:vMerge w:val="continue"/>
            <w:noWrap w:val="0"/>
            <w:vAlign w:val="center"/>
          </w:tcPr>
          <w:p w14:paraId="1AAA071F">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687" w:type="pct"/>
            <w:vMerge w:val="continue"/>
            <w:noWrap w:val="0"/>
            <w:vAlign w:val="center"/>
          </w:tcPr>
          <w:p w14:paraId="261F49C1">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423" w:type="pct"/>
            <w:vMerge w:val="continue"/>
            <w:noWrap w:val="0"/>
            <w:vAlign w:val="center"/>
          </w:tcPr>
          <w:p w14:paraId="52F0EB0E">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406" w:type="pct"/>
            <w:noWrap w:val="0"/>
            <w:vAlign w:val="center"/>
          </w:tcPr>
          <w:p w14:paraId="6457BA10">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SE</w:t>
            </w:r>
          </w:p>
        </w:tc>
        <w:tc>
          <w:tcPr>
            <w:tcW w:w="495" w:type="pct"/>
            <w:noWrap w:val="0"/>
            <w:vAlign w:val="center"/>
          </w:tcPr>
          <w:p w14:paraId="7875A5A8">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2088m</w:t>
            </w:r>
          </w:p>
        </w:tc>
      </w:tr>
      <w:tr w14:paraId="113BC2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336D397B">
            <w:pPr>
              <w:pStyle w:val="152"/>
              <w:adjustRightInd w:val="0"/>
              <w:snapToGrid w:val="0"/>
              <w:ind w:left="0" w:leftChars="0" w:firstLine="0" w:firstLineChars="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柳毛乡</w:t>
            </w:r>
          </w:p>
        </w:tc>
        <w:tc>
          <w:tcPr>
            <w:tcW w:w="807" w:type="pct"/>
            <w:noWrap w:val="0"/>
            <w:vAlign w:val="center"/>
          </w:tcPr>
          <w:p w14:paraId="74EA8FEA">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132.128448</w:t>
            </w:r>
          </w:p>
        </w:tc>
        <w:tc>
          <w:tcPr>
            <w:tcW w:w="755" w:type="pct"/>
            <w:noWrap w:val="0"/>
            <w:vAlign w:val="center"/>
          </w:tcPr>
          <w:p w14:paraId="099A52B9">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45.532567</w:t>
            </w:r>
          </w:p>
        </w:tc>
        <w:tc>
          <w:tcPr>
            <w:tcW w:w="667" w:type="pct"/>
            <w:vMerge w:val="continue"/>
            <w:noWrap w:val="0"/>
            <w:vAlign w:val="center"/>
          </w:tcPr>
          <w:p w14:paraId="0A2FA139">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687" w:type="pct"/>
            <w:vMerge w:val="continue"/>
            <w:noWrap w:val="0"/>
            <w:vAlign w:val="center"/>
          </w:tcPr>
          <w:p w14:paraId="708E4ACF">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423" w:type="pct"/>
            <w:vMerge w:val="continue"/>
            <w:noWrap w:val="0"/>
            <w:vAlign w:val="center"/>
          </w:tcPr>
          <w:p w14:paraId="02316E62">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406" w:type="pct"/>
            <w:noWrap w:val="0"/>
            <w:vAlign w:val="center"/>
          </w:tcPr>
          <w:p w14:paraId="68447BEB">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w:t>
            </w:r>
          </w:p>
        </w:tc>
        <w:tc>
          <w:tcPr>
            <w:tcW w:w="495" w:type="pct"/>
            <w:noWrap w:val="0"/>
            <w:vAlign w:val="center"/>
          </w:tcPr>
          <w:p w14:paraId="1986D991">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4921m</w:t>
            </w:r>
          </w:p>
        </w:tc>
      </w:tr>
      <w:tr w14:paraId="7B4B3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07893D16">
            <w:pPr>
              <w:pStyle w:val="152"/>
              <w:adjustRightInd w:val="0"/>
              <w:snapToGrid w:val="0"/>
              <w:ind w:left="0" w:leftChars="0" w:firstLine="0" w:firstLineChars="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双合五组</w:t>
            </w:r>
          </w:p>
        </w:tc>
        <w:tc>
          <w:tcPr>
            <w:tcW w:w="807" w:type="pct"/>
            <w:noWrap w:val="0"/>
            <w:vAlign w:val="center"/>
          </w:tcPr>
          <w:p w14:paraId="76978F97">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132.117805</w:t>
            </w:r>
          </w:p>
        </w:tc>
        <w:tc>
          <w:tcPr>
            <w:tcW w:w="755" w:type="pct"/>
            <w:noWrap w:val="0"/>
            <w:vAlign w:val="center"/>
          </w:tcPr>
          <w:p w14:paraId="1F3DEF1C">
            <w:pPr>
              <w:pStyle w:val="152"/>
              <w:adjustRightInd w:val="0"/>
              <w:snapToGrid w:val="0"/>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45.559256</w:t>
            </w:r>
          </w:p>
        </w:tc>
        <w:tc>
          <w:tcPr>
            <w:tcW w:w="667" w:type="pct"/>
            <w:vMerge w:val="continue"/>
            <w:noWrap w:val="0"/>
            <w:vAlign w:val="center"/>
          </w:tcPr>
          <w:p w14:paraId="2A605833">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687" w:type="pct"/>
            <w:vMerge w:val="continue"/>
            <w:noWrap w:val="0"/>
            <w:vAlign w:val="center"/>
          </w:tcPr>
          <w:p w14:paraId="500198BE">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p>
        </w:tc>
        <w:tc>
          <w:tcPr>
            <w:tcW w:w="423" w:type="pct"/>
            <w:vMerge w:val="continue"/>
            <w:noWrap w:val="0"/>
            <w:vAlign w:val="center"/>
          </w:tcPr>
          <w:p w14:paraId="0F65E886">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406" w:type="pct"/>
            <w:noWrap w:val="0"/>
            <w:vAlign w:val="center"/>
          </w:tcPr>
          <w:p w14:paraId="2D1154EA">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w:t>
            </w:r>
          </w:p>
        </w:tc>
        <w:tc>
          <w:tcPr>
            <w:tcW w:w="495" w:type="pct"/>
            <w:noWrap w:val="0"/>
            <w:vAlign w:val="center"/>
          </w:tcPr>
          <w:p w14:paraId="6D1611CE">
            <w:pPr>
              <w:pStyle w:val="30"/>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4403m</w:t>
            </w:r>
          </w:p>
        </w:tc>
      </w:tr>
      <w:tr w14:paraId="74B11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4" w:hRule="atLeast"/>
        </w:trPr>
        <w:tc>
          <w:tcPr>
            <w:tcW w:w="2319" w:type="pct"/>
            <w:gridSpan w:val="3"/>
            <w:noWrap w:val="0"/>
            <w:vAlign w:val="center"/>
          </w:tcPr>
          <w:p w14:paraId="25188737">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厂界外200m范围</w:t>
            </w:r>
          </w:p>
        </w:tc>
        <w:tc>
          <w:tcPr>
            <w:tcW w:w="667" w:type="pct"/>
            <w:noWrap w:val="0"/>
            <w:vAlign w:val="center"/>
          </w:tcPr>
          <w:p w14:paraId="3849D1CC">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声环境</w:t>
            </w:r>
          </w:p>
        </w:tc>
        <w:tc>
          <w:tcPr>
            <w:tcW w:w="687" w:type="pct"/>
            <w:noWrap w:val="0"/>
            <w:vAlign w:val="center"/>
          </w:tcPr>
          <w:p w14:paraId="42DA7A36">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《声环境质量标准》（GB3096-2008）</w:t>
            </w:r>
          </w:p>
        </w:tc>
        <w:tc>
          <w:tcPr>
            <w:tcW w:w="423" w:type="pct"/>
            <w:noWrap w:val="0"/>
            <w:vAlign w:val="center"/>
          </w:tcPr>
          <w:p w14:paraId="378DE8E0">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1</w:t>
            </w:r>
            <w:r>
              <w:rPr>
                <w:rFonts w:hint="default" w:ascii="Times New Roman" w:hAnsi="Times New Roman" w:eastAsia="宋体" w:cs="Times New Roman"/>
                <w:snapToGrid w:val="0"/>
                <w:color w:val="auto"/>
                <w:kern w:val="0"/>
                <w:sz w:val="21"/>
                <w:szCs w:val="21"/>
                <w:highlight w:val="none"/>
                <w:lang w:val="zh-CN" w:eastAsia="zh-CN" w:bidi="ar-SA"/>
              </w:rPr>
              <w:t>类</w:t>
            </w:r>
          </w:p>
        </w:tc>
        <w:tc>
          <w:tcPr>
            <w:tcW w:w="406" w:type="pct"/>
            <w:noWrap w:val="0"/>
            <w:vAlign w:val="center"/>
          </w:tcPr>
          <w:p w14:paraId="6261AE23">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w:t>
            </w:r>
          </w:p>
        </w:tc>
        <w:tc>
          <w:tcPr>
            <w:tcW w:w="495" w:type="pct"/>
            <w:noWrap w:val="0"/>
            <w:vAlign w:val="center"/>
          </w:tcPr>
          <w:p w14:paraId="783573CD">
            <w:pPr>
              <w:ind w:left="0" w:firstLine="0" w:firstLineChars="0"/>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w:t>
            </w:r>
          </w:p>
        </w:tc>
      </w:tr>
      <w:tr w14:paraId="523C6C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3" w:hRule="atLeast"/>
        </w:trPr>
        <w:tc>
          <w:tcPr>
            <w:tcW w:w="2319" w:type="pct"/>
            <w:gridSpan w:val="3"/>
            <w:noWrap w:val="0"/>
            <w:vAlign w:val="center"/>
          </w:tcPr>
          <w:p w14:paraId="5C4DECCA">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评价范围内地下水潜水含水层和饮用水井（包括集中式和分散式）</w:t>
            </w:r>
          </w:p>
        </w:tc>
        <w:tc>
          <w:tcPr>
            <w:tcW w:w="667" w:type="pct"/>
            <w:noWrap w:val="0"/>
            <w:vAlign w:val="center"/>
          </w:tcPr>
          <w:p w14:paraId="5CD7562A">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地下水环境</w:t>
            </w:r>
          </w:p>
        </w:tc>
        <w:tc>
          <w:tcPr>
            <w:tcW w:w="687" w:type="pct"/>
            <w:noWrap w:val="0"/>
            <w:vAlign w:val="center"/>
          </w:tcPr>
          <w:p w14:paraId="4FFB04B1">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《地下水质量标准》（GB/T14848-2017）</w:t>
            </w:r>
          </w:p>
        </w:tc>
        <w:tc>
          <w:tcPr>
            <w:tcW w:w="423" w:type="pct"/>
            <w:noWrap w:val="0"/>
            <w:vAlign w:val="center"/>
          </w:tcPr>
          <w:p w14:paraId="7DB25A4B">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fldChar w:fldCharType="begin"/>
            </w:r>
            <w:r>
              <w:rPr>
                <w:rFonts w:hint="default" w:ascii="Times New Roman" w:hAnsi="Times New Roman" w:eastAsia="宋体" w:cs="Times New Roman"/>
                <w:snapToGrid w:val="0"/>
                <w:color w:val="auto"/>
                <w:kern w:val="0"/>
                <w:sz w:val="21"/>
                <w:szCs w:val="21"/>
                <w:highlight w:val="none"/>
                <w:lang w:val="zh-CN" w:eastAsia="zh-CN" w:bidi="ar-SA"/>
              </w:rPr>
              <w:instrText xml:space="preserve"> = 3 \* ROMAN </w:instrText>
            </w:r>
            <w:r>
              <w:rPr>
                <w:rFonts w:hint="default" w:ascii="Times New Roman" w:hAnsi="Times New Roman" w:eastAsia="宋体" w:cs="Times New Roman"/>
                <w:snapToGrid w:val="0"/>
                <w:color w:val="auto"/>
                <w:kern w:val="0"/>
                <w:sz w:val="21"/>
                <w:szCs w:val="21"/>
                <w:highlight w:val="none"/>
                <w:lang w:val="zh-CN" w:eastAsia="zh-CN" w:bidi="ar-SA"/>
              </w:rPr>
              <w:fldChar w:fldCharType="separate"/>
            </w:r>
            <w:r>
              <w:rPr>
                <w:rFonts w:hint="default" w:ascii="Times New Roman" w:hAnsi="Times New Roman" w:eastAsia="宋体" w:cs="Times New Roman"/>
                <w:snapToGrid w:val="0"/>
                <w:color w:val="auto"/>
                <w:kern w:val="0"/>
                <w:sz w:val="21"/>
                <w:szCs w:val="21"/>
                <w:highlight w:val="none"/>
                <w:lang w:val="zh-CN" w:eastAsia="zh-CN" w:bidi="ar-SA"/>
              </w:rPr>
              <w:t>III</w:t>
            </w:r>
            <w:r>
              <w:rPr>
                <w:rFonts w:hint="default" w:ascii="Times New Roman" w:hAnsi="Times New Roman" w:eastAsia="宋体" w:cs="Times New Roman"/>
                <w:snapToGrid w:val="0"/>
                <w:color w:val="auto"/>
                <w:kern w:val="0"/>
                <w:sz w:val="21"/>
                <w:szCs w:val="21"/>
                <w:highlight w:val="none"/>
                <w:lang w:val="zh-CN" w:eastAsia="zh-CN" w:bidi="ar-SA"/>
              </w:rPr>
              <w:fldChar w:fldCharType="end"/>
            </w:r>
            <w:r>
              <w:rPr>
                <w:rFonts w:hint="default" w:ascii="Times New Roman" w:hAnsi="Times New Roman" w:eastAsia="宋体" w:cs="Times New Roman"/>
                <w:snapToGrid w:val="0"/>
                <w:color w:val="auto"/>
                <w:kern w:val="0"/>
                <w:sz w:val="21"/>
                <w:szCs w:val="21"/>
                <w:highlight w:val="none"/>
                <w:lang w:val="zh-CN" w:eastAsia="zh-CN" w:bidi="ar-SA"/>
              </w:rPr>
              <w:t>类</w:t>
            </w:r>
          </w:p>
        </w:tc>
        <w:tc>
          <w:tcPr>
            <w:tcW w:w="406" w:type="pct"/>
            <w:noWrap w:val="0"/>
            <w:vAlign w:val="center"/>
          </w:tcPr>
          <w:p w14:paraId="33DF0CA7">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w:t>
            </w:r>
          </w:p>
        </w:tc>
        <w:tc>
          <w:tcPr>
            <w:tcW w:w="495" w:type="pct"/>
            <w:noWrap w:val="0"/>
            <w:vAlign w:val="center"/>
          </w:tcPr>
          <w:p w14:paraId="2975C4AB">
            <w:pPr>
              <w:ind w:left="0" w:firstLine="0" w:firstLineChars="0"/>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w:t>
            </w:r>
          </w:p>
        </w:tc>
      </w:tr>
      <w:tr w14:paraId="3BEC3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19" w:type="pct"/>
            <w:gridSpan w:val="3"/>
            <w:noWrap w:val="0"/>
            <w:vAlign w:val="center"/>
          </w:tcPr>
          <w:p w14:paraId="69065CC6">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kern w:val="0"/>
                <w:sz w:val="21"/>
                <w:szCs w:val="21"/>
                <w:highlight w:val="none"/>
                <w:lang w:val="zh-CN" w:eastAsia="zh-CN" w:bidi="ar-SA"/>
              </w:rPr>
              <w:t>以养殖场边界外扩200m范围内</w:t>
            </w:r>
          </w:p>
        </w:tc>
        <w:tc>
          <w:tcPr>
            <w:tcW w:w="667" w:type="pct"/>
            <w:noWrap w:val="0"/>
            <w:vAlign w:val="center"/>
          </w:tcPr>
          <w:p w14:paraId="4FB0F8B9">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生态环境</w:t>
            </w:r>
          </w:p>
        </w:tc>
        <w:tc>
          <w:tcPr>
            <w:tcW w:w="687" w:type="pct"/>
            <w:noWrap w:val="0"/>
            <w:vAlign w:val="center"/>
          </w:tcPr>
          <w:p w14:paraId="63F906E3">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保护影响区域的生态完整性和生物多样性</w:t>
            </w:r>
          </w:p>
        </w:tc>
        <w:tc>
          <w:tcPr>
            <w:tcW w:w="423" w:type="pct"/>
            <w:noWrap w:val="0"/>
            <w:vAlign w:val="center"/>
          </w:tcPr>
          <w:p w14:paraId="756A74C0">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w:t>
            </w:r>
          </w:p>
        </w:tc>
        <w:tc>
          <w:tcPr>
            <w:tcW w:w="406" w:type="pct"/>
            <w:noWrap w:val="0"/>
            <w:vAlign w:val="center"/>
          </w:tcPr>
          <w:p w14:paraId="6C70078B">
            <w:pPr>
              <w:ind w:left="0" w:firstLine="0" w:firstLineChars="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w:t>
            </w:r>
          </w:p>
        </w:tc>
        <w:tc>
          <w:tcPr>
            <w:tcW w:w="495" w:type="pct"/>
            <w:noWrap w:val="0"/>
            <w:vAlign w:val="center"/>
          </w:tcPr>
          <w:p w14:paraId="30FBBD9C">
            <w:pPr>
              <w:ind w:left="0" w:firstLine="0" w:firstLineChars="0"/>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w:t>
            </w:r>
          </w:p>
        </w:tc>
      </w:tr>
      <w:tr w14:paraId="049F04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19" w:type="pct"/>
            <w:gridSpan w:val="3"/>
            <w:noWrap w:val="0"/>
            <w:vAlign w:val="center"/>
          </w:tcPr>
          <w:p w14:paraId="1AC65BBC">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zh-CN" w:eastAsia="zh-CN" w:bidi="ar-SA"/>
              </w:rPr>
              <w:t>项目占地范围内全部及占地范围外50m范围内</w:t>
            </w:r>
            <w:r>
              <w:rPr>
                <w:rFonts w:hint="default" w:ascii="Times New Roman" w:hAnsi="Times New Roman" w:eastAsia="宋体" w:cs="Times New Roman"/>
                <w:color w:val="auto"/>
                <w:kern w:val="0"/>
                <w:sz w:val="21"/>
                <w:szCs w:val="21"/>
                <w:highlight w:val="none"/>
                <w:lang w:val="en-US" w:eastAsia="zh-CN" w:bidi="ar-SA"/>
              </w:rPr>
              <w:t>的耕地等</w:t>
            </w:r>
          </w:p>
        </w:tc>
        <w:tc>
          <w:tcPr>
            <w:tcW w:w="667" w:type="pct"/>
            <w:noWrap w:val="0"/>
            <w:vAlign w:val="center"/>
          </w:tcPr>
          <w:p w14:paraId="6ADFA743">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土壤</w:t>
            </w:r>
          </w:p>
          <w:p w14:paraId="40045052">
            <w:pPr>
              <w:keepNext w:val="0"/>
              <w:keepLines w:val="0"/>
              <w:pageBreakBefore w:val="0"/>
              <w:widowControl/>
              <w:kinsoku/>
              <w:wordWrap w:val="0"/>
              <w:overflowPunct/>
              <w:topLinePunct w:val="0"/>
              <w:autoSpaceDE/>
              <w:autoSpaceDN/>
              <w:bidi w:val="0"/>
              <w:adjustRightInd w:val="0"/>
              <w:snapToGrid w:val="0"/>
              <w:ind w:left="0" w:firstLine="0" w:firstLineChars="0"/>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环境</w:t>
            </w:r>
          </w:p>
        </w:tc>
        <w:tc>
          <w:tcPr>
            <w:tcW w:w="687" w:type="pct"/>
            <w:noWrap w:val="0"/>
            <w:vAlign w:val="center"/>
          </w:tcPr>
          <w:p w14:paraId="1F9BDD8E">
            <w:pPr>
              <w:keepNext w:val="0"/>
              <w:keepLines w:val="0"/>
              <w:pageBreakBefore w:val="0"/>
              <w:widowControl/>
              <w:kinsoku/>
              <w:wordWrap w:val="0"/>
              <w:overflowPunct/>
              <w:topLinePunct w:val="0"/>
              <w:autoSpaceDE/>
              <w:autoSpaceDN/>
              <w:bidi w:val="0"/>
              <w:adjustRightInd w:val="0"/>
              <w:snapToGrid w:val="0"/>
              <w:spacing w:line="240" w:lineRule="auto"/>
              <w:ind w:left="0" w:firstLine="0" w:firstLineChars="0"/>
              <w:jc w:val="left"/>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《土壤环境质量 农用地土壤污染风险管控标准（试行）》（GB15618-2018）表1农用地土壤污染风险筛选值（基本项目）</w:t>
            </w:r>
          </w:p>
        </w:tc>
        <w:tc>
          <w:tcPr>
            <w:tcW w:w="423" w:type="pct"/>
            <w:noWrap w:val="0"/>
            <w:vAlign w:val="center"/>
          </w:tcPr>
          <w:p w14:paraId="733EF123">
            <w:pPr>
              <w:jc w:val="center"/>
              <w:rPr>
                <w:rFonts w:hint="default" w:ascii="Times New Roman" w:hAnsi="Times New Roman" w:eastAsia="宋体" w:cs="Times New Roman"/>
                <w:snapToGrid w:val="0"/>
                <w:color w:val="auto"/>
                <w:szCs w:val="21"/>
                <w:highlight w:val="none"/>
                <w:lang w:val="en-US"/>
              </w:rPr>
            </w:pPr>
            <w:r>
              <w:rPr>
                <w:rFonts w:hint="default" w:ascii="Times New Roman" w:hAnsi="Times New Roman" w:eastAsia="宋体" w:cs="Times New Roman"/>
                <w:snapToGrid w:val="0"/>
                <w:color w:val="auto"/>
                <w:sz w:val="21"/>
                <w:szCs w:val="21"/>
                <w:highlight w:val="none"/>
                <w:lang w:eastAsia="zh-CN"/>
              </w:rPr>
              <w:t>/</w:t>
            </w:r>
          </w:p>
        </w:tc>
        <w:tc>
          <w:tcPr>
            <w:tcW w:w="406" w:type="pct"/>
            <w:noWrap w:val="0"/>
            <w:vAlign w:val="center"/>
          </w:tcPr>
          <w:p w14:paraId="40A472A6">
            <w:pPr>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eastAsia="zh-CN"/>
              </w:rPr>
              <w:t>/</w:t>
            </w:r>
          </w:p>
        </w:tc>
        <w:tc>
          <w:tcPr>
            <w:tcW w:w="495" w:type="pct"/>
            <w:noWrap w:val="0"/>
            <w:vAlign w:val="center"/>
          </w:tcPr>
          <w:p w14:paraId="27C4CF32">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eastAsia="zh-CN"/>
              </w:rPr>
              <w:t>/</w:t>
            </w:r>
          </w:p>
        </w:tc>
      </w:tr>
    </w:tbl>
    <w:p w14:paraId="0ABA15D0">
      <w:pPr>
        <w:pStyle w:val="5"/>
        <w:bidi w:val="0"/>
        <w:rPr>
          <w:rFonts w:hint="default"/>
          <w:highlight w:val="none"/>
        </w:rPr>
      </w:pPr>
      <w:bookmarkStart w:id="587" w:name="_Toc2144"/>
      <w:bookmarkStart w:id="588" w:name="_Toc5374"/>
      <w:bookmarkStart w:id="589" w:name="_Toc7208"/>
      <w:bookmarkStart w:id="590" w:name="_Toc29452"/>
      <w:bookmarkStart w:id="591" w:name="_Toc26371"/>
      <w:r>
        <w:rPr>
          <w:rFonts w:hint="default"/>
          <w:highlight w:val="none"/>
        </w:rPr>
        <w:t>4.2环境质量现状评价</w:t>
      </w:r>
      <w:bookmarkEnd w:id="587"/>
      <w:bookmarkEnd w:id="588"/>
      <w:bookmarkEnd w:id="589"/>
      <w:bookmarkEnd w:id="590"/>
      <w:bookmarkEnd w:id="591"/>
    </w:p>
    <w:p w14:paraId="4F3395D9">
      <w:pPr>
        <w:pStyle w:val="94"/>
        <w:ind w:firstLine="480"/>
        <w:rPr>
          <w:rFonts w:hint="default" w:ascii="Times New Roman" w:hAnsi="Times New Roman" w:eastAsia="宋体" w:cs="Times New Roman"/>
          <w:color w:val="auto"/>
          <w:highlight w:val="none"/>
        </w:rPr>
      </w:pPr>
      <w:bookmarkStart w:id="592" w:name="_Toc396852153"/>
      <w:bookmarkStart w:id="593" w:name="_Toc457029097"/>
      <w:r>
        <w:rPr>
          <w:rFonts w:hint="default" w:ascii="Times New Roman" w:hAnsi="Times New Roman" w:eastAsia="宋体" w:cs="Times New Roman"/>
          <w:color w:val="auto"/>
          <w:highlight w:val="none"/>
        </w:rPr>
        <w:t>本项目委托</w:t>
      </w:r>
      <w:r>
        <w:rPr>
          <w:rFonts w:hint="eastAsia" w:ascii="Times New Roman" w:hAnsi="Times New Roman" w:cs="Times New Roman"/>
          <w:color w:val="auto"/>
          <w:highlight w:val="none"/>
          <w:lang w:eastAsia="zh-CN"/>
        </w:rPr>
        <w:t>黑龙江克巽检测技术有限公司</w:t>
      </w:r>
      <w:r>
        <w:rPr>
          <w:rFonts w:hint="default" w:ascii="Times New Roman" w:hAnsi="Times New Roman" w:eastAsia="宋体" w:cs="Times New Roman"/>
          <w:color w:val="auto"/>
          <w:highlight w:val="none"/>
        </w:rPr>
        <w:t>对项目所在区域大气、地下水、噪声</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土壤</w:t>
      </w:r>
      <w:r>
        <w:rPr>
          <w:rFonts w:hint="default" w:ascii="Times New Roman" w:hAnsi="Times New Roman" w:eastAsia="宋体" w:cs="Times New Roman"/>
          <w:color w:val="auto"/>
          <w:highlight w:val="none"/>
        </w:rPr>
        <w:t>环境要素进行监测。</w:t>
      </w:r>
    </w:p>
    <w:p w14:paraId="258E2B22">
      <w:pPr>
        <w:pStyle w:val="7"/>
        <w:bidi w:val="0"/>
        <w:rPr>
          <w:rFonts w:hint="default"/>
          <w:highlight w:val="none"/>
        </w:rPr>
      </w:pPr>
      <w:bookmarkStart w:id="594" w:name="_Toc13479"/>
      <w:bookmarkStart w:id="595" w:name="_Toc10339"/>
      <w:bookmarkStart w:id="596" w:name="_Toc29895"/>
      <w:bookmarkStart w:id="597" w:name="_Toc1240"/>
      <w:r>
        <w:rPr>
          <w:rFonts w:hint="default"/>
          <w:highlight w:val="none"/>
        </w:rPr>
        <w:t>4.2.1环境空气质量现状</w:t>
      </w:r>
      <w:bookmarkEnd w:id="592"/>
      <w:bookmarkEnd w:id="593"/>
      <w:bookmarkEnd w:id="594"/>
      <w:bookmarkEnd w:id="595"/>
      <w:bookmarkEnd w:id="596"/>
      <w:bookmarkEnd w:id="597"/>
    </w:p>
    <w:p w14:paraId="2931773B">
      <w:pPr>
        <w:pStyle w:val="8"/>
        <w:bidi w:val="0"/>
        <w:rPr>
          <w:rFonts w:hint="default"/>
          <w:highlight w:val="none"/>
          <w:lang w:eastAsia="zh-CN"/>
        </w:rPr>
      </w:pPr>
      <w:bookmarkStart w:id="598" w:name="_Toc26887"/>
      <w:bookmarkStart w:id="599" w:name="_Toc28624"/>
      <w:r>
        <w:rPr>
          <w:rFonts w:hint="default"/>
          <w:highlight w:val="none"/>
        </w:rPr>
        <w:t>4.2.1.1</w:t>
      </w:r>
      <w:r>
        <w:rPr>
          <w:rFonts w:hint="default"/>
          <w:highlight w:val="none"/>
          <w:lang w:eastAsia="zh-CN"/>
        </w:rPr>
        <w:t>项目所在区域环境质量现状</w:t>
      </w:r>
      <w:bookmarkEnd w:id="598"/>
      <w:bookmarkEnd w:id="599"/>
    </w:p>
    <w:p w14:paraId="06E9F293">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根据《环境影响评价技术导则 大气环境》（HJ2.2-2018）中环境空气二级评价等级要求和本项目生产规模、建设性质，结合本项目厂址周围地形特点、排污特征和评价范围内环境空气保护目标分布的情况对环境空气质量现状进行调查，并进行了补充监测。</w:t>
      </w:r>
    </w:p>
    <w:p w14:paraId="3E29C4CE">
      <w:pPr>
        <w:spacing w:line="360" w:lineRule="auto"/>
        <w:ind w:firstLine="480" w:firstLineChars="200"/>
        <w:jc w:val="both"/>
        <w:outlineLvl w:val="9"/>
        <w:rPr>
          <w:rFonts w:hint="default" w:ascii="Times New Roman" w:hAnsi="Times New Roman" w:eastAsia="宋体" w:cs="Times New Roman"/>
          <w:color w:val="auto"/>
          <w:highlight w:val="none"/>
        </w:rPr>
      </w:pPr>
      <w:bookmarkStart w:id="600" w:name="_Toc19979"/>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区域环境空气质量现状调查</w:t>
      </w:r>
      <w:bookmarkEnd w:id="600"/>
    </w:p>
    <w:p w14:paraId="1E236B38">
      <w:pPr>
        <w:spacing w:beforeLines="0" w:afterLines="0" w:line="360" w:lineRule="auto"/>
        <w:ind w:firstLine="480" w:firstLineChars="200"/>
        <w:jc w:val="both"/>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w:t>
      </w:r>
      <w:r>
        <w:rPr>
          <w:rFonts w:hint="eastAsia" w:ascii="Times New Roman" w:hAnsi="Times New Roman" w:cs="Times New Roman"/>
          <w:color w:val="auto"/>
          <w:sz w:val="24"/>
          <w:szCs w:val="24"/>
          <w:highlight w:val="none"/>
          <w:lang w:val="en-US" w:eastAsia="zh-CN"/>
        </w:rPr>
        <w:t>2024年鸡西市生态环境质量状况</w:t>
      </w:r>
      <w:r>
        <w:rPr>
          <w:rFonts w:hint="default" w:ascii="Times New Roman" w:hAnsi="Times New Roman" w:eastAsia="宋体" w:cs="Times New Roman"/>
          <w:color w:val="auto"/>
          <w:sz w:val="24"/>
          <w:szCs w:val="24"/>
          <w:highlight w:val="none"/>
          <w:lang w:val="en-US" w:eastAsia="zh-CN"/>
        </w:rPr>
        <w:t>》，2024年，鸡西市各项污染物平均浓度均达二级标准。PM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lang w:val="en-US" w:eastAsia="zh-CN"/>
        </w:rPr>
        <w:t>、PM</w:t>
      </w:r>
      <w:r>
        <w:rPr>
          <w:rFonts w:hint="default" w:ascii="Times New Roman" w:hAnsi="Times New Roman" w:eastAsia="宋体" w:cs="Times New Roman"/>
          <w:color w:val="auto"/>
          <w:sz w:val="24"/>
          <w:szCs w:val="24"/>
          <w:highlight w:val="none"/>
          <w:vertAlign w:val="subscript"/>
          <w:lang w:val="en-US" w:eastAsia="zh-CN"/>
        </w:rPr>
        <w:t>10</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、CO-95per和O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-8h-90per平均浓度分别为27μg/m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、46μg/m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、8μg/m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、17μg/m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、1.0mg/m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和90μg/m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。与上年相比，SO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和CO-95per的浓度保持不变，其他4项污染物浓度同比均下降。综合指数为2.79，同比下降7.0%。本项目区域空气质量现状评价见下表。</w:t>
      </w:r>
    </w:p>
    <w:p w14:paraId="2C9F7F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  区域空气质量现状评价表</w:t>
      </w:r>
    </w:p>
    <w:tbl>
      <w:tblPr>
        <w:tblStyle w:val="4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2904"/>
        <w:gridCol w:w="1346"/>
        <w:gridCol w:w="1561"/>
        <w:gridCol w:w="954"/>
        <w:gridCol w:w="828"/>
      </w:tblGrid>
      <w:tr w14:paraId="5B855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546" w:type="pct"/>
            <w:tcBorders>
              <w:tl2br w:val="nil"/>
              <w:tr2bl w:val="nil"/>
            </w:tcBorders>
            <w:noWrap w:val="0"/>
            <w:vAlign w:val="center"/>
          </w:tcPr>
          <w:p w14:paraId="781A2AC6">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702" w:type="pct"/>
            <w:tcBorders>
              <w:tl2br w:val="nil"/>
              <w:tr2bl w:val="nil"/>
            </w:tcBorders>
            <w:noWrap w:val="0"/>
            <w:vAlign w:val="center"/>
          </w:tcPr>
          <w:p w14:paraId="4FECC228">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年评价指标</w:t>
            </w:r>
          </w:p>
        </w:tc>
        <w:tc>
          <w:tcPr>
            <w:tcW w:w="789" w:type="pct"/>
            <w:tcBorders>
              <w:tl2br w:val="nil"/>
              <w:tr2bl w:val="nil"/>
            </w:tcBorders>
            <w:noWrap w:val="0"/>
            <w:vAlign w:val="center"/>
          </w:tcPr>
          <w:p w14:paraId="23BCFA62">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现状浓度/（μg/m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915" w:type="pct"/>
            <w:tcBorders>
              <w:tl2br w:val="nil"/>
              <w:tr2bl w:val="nil"/>
            </w:tcBorders>
            <w:noWrap w:val="0"/>
            <w:vAlign w:val="center"/>
          </w:tcPr>
          <w:p w14:paraId="6CC73355">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标准值/（μg/m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559" w:type="pct"/>
            <w:tcBorders>
              <w:tl2br w:val="nil"/>
              <w:tr2bl w:val="nil"/>
            </w:tcBorders>
            <w:noWrap w:val="0"/>
            <w:vAlign w:val="center"/>
          </w:tcPr>
          <w:p w14:paraId="4D4A0101">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占标率/%</w:t>
            </w:r>
          </w:p>
        </w:tc>
        <w:tc>
          <w:tcPr>
            <w:tcW w:w="485" w:type="pct"/>
            <w:tcBorders>
              <w:tl2br w:val="nil"/>
              <w:tr2bl w:val="nil"/>
            </w:tcBorders>
            <w:noWrap w:val="0"/>
            <w:vAlign w:val="center"/>
          </w:tcPr>
          <w:p w14:paraId="28E65007">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达标情况</w:t>
            </w:r>
          </w:p>
        </w:tc>
      </w:tr>
      <w:tr w14:paraId="5AAB6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51DF4E6D">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702" w:type="pct"/>
            <w:tcBorders>
              <w:tl2br w:val="nil"/>
              <w:tr2bl w:val="nil"/>
            </w:tcBorders>
            <w:noWrap w:val="0"/>
            <w:vAlign w:val="center"/>
          </w:tcPr>
          <w:p w14:paraId="42F0862F">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9" w:type="pct"/>
            <w:tcBorders>
              <w:tl2br w:val="nil"/>
              <w:tr2bl w:val="nil"/>
            </w:tcBorders>
            <w:noWrap w:val="0"/>
            <w:vAlign w:val="center"/>
          </w:tcPr>
          <w:p w14:paraId="1E2BDE77">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p>
        </w:tc>
        <w:tc>
          <w:tcPr>
            <w:tcW w:w="915" w:type="pct"/>
            <w:tcBorders>
              <w:tl2br w:val="nil"/>
              <w:tr2bl w:val="nil"/>
            </w:tcBorders>
            <w:noWrap w:val="0"/>
            <w:vAlign w:val="center"/>
          </w:tcPr>
          <w:p w14:paraId="5275A5ED">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54" w:type="dxa"/>
            <w:tcBorders>
              <w:tl2br w:val="nil"/>
              <w:tr2bl w:val="nil"/>
            </w:tcBorders>
            <w:noWrap w:val="0"/>
            <w:vAlign w:val="center"/>
          </w:tcPr>
          <w:p w14:paraId="48F8C808">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
              </w:rPr>
              <w:t>13.3</w:t>
            </w:r>
          </w:p>
        </w:tc>
        <w:tc>
          <w:tcPr>
            <w:tcW w:w="485" w:type="pct"/>
            <w:tcBorders>
              <w:tl2br w:val="nil"/>
              <w:tr2bl w:val="nil"/>
            </w:tcBorders>
            <w:noWrap w:val="0"/>
            <w:vAlign w:val="center"/>
          </w:tcPr>
          <w:p w14:paraId="04BD0E23">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05B70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546" w:type="pct"/>
            <w:tcBorders>
              <w:tl2br w:val="nil"/>
              <w:tr2bl w:val="nil"/>
            </w:tcBorders>
            <w:noWrap w:val="0"/>
            <w:vAlign w:val="center"/>
          </w:tcPr>
          <w:p w14:paraId="2FB18776">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702" w:type="pct"/>
            <w:tcBorders>
              <w:tl2br w:val="nil"/>
              <w:tr2bl w:val="nil"/>
            </w:tcBorders>
            <w:noWrap w:val="0"/>
            <w:vAlign w:val="center"/>
          </w:tcPr>
          <w:p w14:paraId="472B80F8">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9" w:type="pct"/>
            <w:tcBorders>
              <w:tl2br w:val="nil"/>
              <w:tr2bl w:val="nil"/>
            </w:tcBorders>
            <w:noWrap w:val="0"/>
            <w:vAlign w:val="center"/>
          </w:tcPr>
          <w:p w14:paraId="6BB1976B">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w:t>
            </w:r>
          </w:p>
        </w:tc>
        <w:tc>
          <w:tcPr>
            <w:tcW w:w="915" w:type="pct"/>
            <w:tcBorders>
              <w:tl2br w:val="nil"/>
              <w:tr2bl w:val="nil"/>
            </w:tcBorders>
            <w:noWrap w:val="0"/>
            <w:vAlign w:val="center"/>
          </w:tcPr>
          <w:p w14:paraId="4EB4303C">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954" w:type="dxa"/>
            <w:tcBorders>
              <w:tl2br w:val="nil"/>
              <w:tr2bl w:val="nil"/>
            </w:tcBorders>
            <w:noWrap w:val="0"/>
            <w:vAlign w:val="center"/>
          </w:tcPr>
          <w:p w14:paraId="30333292">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
              </w:rPr>
              <w:t>42.5</w:t>
            </w:r>
          </w:p>
        </w:tc>
        <w:tc>
          <w:tcPr>
            <w:tcW w:w="485" w:type="pct"/>
            <w:tcBorders>
              <w:tl2br w:val="nil"/>
              <w:tr2bl w:val="nil"/>
            </w:tcBorders>
            <w:noWrap w:val="0"/>
            <w:vAlign w:val="center"/>
          </w:tcPr>
          <w:p w14:paraId="4A71D762">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7722A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1A92C367">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702" w:type="pct"/>
            <w:tcBorders>
              <w:tl2br w:val="nil"/>
              <w:tr2bl w:val="nil"/>
            </w:tcBorders>
            <w:noWrap w:val="0"/>
            <w:vAlign w:val="center"/>
          </w:tcPr>
          <w:p w14:paraId="65FCC83A">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9" w:type="pct"/>
            <w:tcBorders>
              <w:tl2br w:val="nil"/>
              <w:tr2bl w:val="nil"/>
            </w:tcBorders>
            <w:noWrap w:val="0"/>
            <w:vAlign w:val="center"/>
          </w:tcPr>
          <w:p w14:paraId="3CF2DFF2">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46</w:t>
            </w:r>
          </w:p>
        </w:tc>
        <w:tc>
          <w:tcPr>
            <w:tcW w:w="915" w:type="pct"/>
            <w:tcBorders>
              <w:tl2br w:val="nil"/>
              <w:tr2bl w:val="nil"/>
            </w:tcBorders>
            <w:noWrap w:val="0"/>
            <w:vAlign w:val="center"/>
          </w:tcPr>
          <w:p w14:paraId="2F70039F">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954" w:type="dxa"/>
            <w:tcBorders>
              <w:tl2br w:val="nil"/>
              <w:tr2bl w:val="nil"/>
            </w:tcBorders>
            <w:noWrap w:val="0"/>
            <w:vAlign w:val="center"/>
          </w:tcPr>
          <w:p w14:paraId="0A2D9695">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
              </w:rPr>
              <w:t>65.7</w:t>
            </w:r>
          </w:p>
        </w:tc>
        <w:tc>
          <w:tcPr>
            <w:tcW w:w="485" w:type="pct"/>
            <w:tcBorders>
              <w:tl2br w:val="nil"/>
              <w:tr2bl w:val="nil"/>
            </w:tcBorders>
            <w:noWrap w:val="0"/>
            <w:vAlign w:val="center"/>
          </w:tcPr>
          <w:p w14:paraId="287A8641">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2F0CC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546" w:type="pct"/>
            <w:tcBorders>
              <w:tl2br w:val="nil"/>
              <w:tr2bl w:val="nil"/>
            </w:tcBorders>
            <w:noWrap w:val="0"/>
            <w:vAlign w:val="center"/>
          </w:tcPr>
          <w:p w14:paraId="2A090B53">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702" w:type="pct"/>
            <w:tcBorders>
              <w:tl2br w:val="nil"/>
              <w:tr2bl w:val="nil"/>
            </w:tcBorders>
            <w:noWrap w:val="0"/>
            <w:vAlign w:val="center"/>
          </w:tcPr>
          <w:p w14:paraId="5FAFD66A">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9" w:type="pct"/>
            <w:tcBorders>
              <w:tl2br w:val="nil"/>
              <w:tr2bl w:val="nil"/>
            </w:tcBorders>
            <w:noWrap w:val="0"/>
            <w:vAlign w:val="center"/>
          </w:tcPr>
          <w:p w14:paraId="45BD700A">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27</w:t>
            </w:r>
          </w:p>
        </w:tc>
        <w:tc>
          <w:tcPr>
            <w:tcW w:w="915" w:type="pct"/>
            <w:tcBorders>
              <w:tl2br w:val="nil"/>
              <w:tr2bl w:val="nil"/>
            </w:tcBorders>
            <w:noWrap w:val="0"/>
            <w:vAlign w:val="center"/>
          </w:tcPr>
          <w:p w14:paraId="07982CB2">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954" w:type="dxa"/>
            <w:tcBorders>
              <w:tl2br w:val="nil"/>
              <w:tr2bl w:val="nil"/>
            </w:tcBorders>
            <w:noWrap w:val="0"/>
            <w:vAlign w:val="center"/>
          </w:tcPr>
          <w:p w14:paraId="6866361F">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77.1</w:t>
            </w:r>
          </w:p>
        </w:tc>
        <w:tc>
          <w:tcPr>
            <w:tcW w:w="485" w:type="pct"/>
            <w:tcBorders>
              <w:tl2br w:val="nil"/>
              <w:tr2bl w:val="nil"/>
            </w:tcBorders>
            <w:noWrap w:val="0"/>
            <w:vAlign w:val="center"/>
          </w:tcPr>
          <w:p w14:paraId="75E2E8A2">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1A8C7A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4C4BFB63">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1702" w:type="pct"/>
            <w:tcBorders>
              <w:tl2br w:val="nil"/>
              <w:tr2bl w:val="nil"/>
            </w:tcBorders>
            <w:noWrap w:val="0"/>
            <w:vAlign w:val="center"/>
          </w:tcPr>
          <w:p w14:paraId="4A839AC9">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24小时平均第95百分位数</w:t>
            </w:r>
          </w:p>
        </w:tc>
        <w:tc>
          <w:tcPr>
            <w:tcW w:w="789" w:type="pct"/>
            <w:tcBorders>
              <w:tl2br w:val="nil"/>
              <w:tr2bl w:val="nil"/>
            </w:tcBorders>
            <w:noWrap w:val="0"/>
            <w:vAlign w:val="center"/>
          </w:tcPr>
          <w:p w14:paraId="6ABC0A98">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1000</w:t>
            </w:r>
          </w:p>
        </w:tc>
        <w:tc>
          <w:tcPr>
            <w:tcW w:w="915" w:type="pct"/>
            <w:tcBorders>
              <w:tl2br w:val="nil"/>
              <w:tr2bl w:val="nil"/>
            </w:tcBorders>
            <w:noWrap w:val="0"/>
            <w:vAlign w:val="center"/>
          </w:tcPr>
          <w:p w14:paraId="2558B178">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4000</w:t>
            </w:r>
          </w:p>
        </w:tc>
        <w:tc>
          <w:tcPr>
            <w:tcW w:w="954" w:type="dxa"/>
            <w:tcBorders>
              <w:tl2br w:val="nil"/>
              <w:tr2bl w:val="nil"/>
            </w:tcBorders>
            <w:noWrap w:val="0"/>
            <w:vAlign w:val="center"/>
          </w:tcPr>
          <w:p w14:paraId="730B6F2A">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25.0</w:t>
            </w:r>
          </w:p>
        </w:tc>
        <w:tc>
          <w:tcPr>
            <w:tcW w:w="485" w:type="pct"/>
            <w:tcBorders>
              <w:tl2br w:val="nil"/>
              <w:tr2bl w:val="nil"/>
            </w:tcBorders>
            <w:noWrap w:val="0"/>
            <w:vAlign w:val="center"/>
          </w:tcPr>
          <w:p w14:paraId="2974568A">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4F7E6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7D51B185">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1702" w:type="pct"/>
            <w:tcBorders>
              <w:tl2br w:val="nil"/>
              <w:tr2bl w:val="nil"/>
            </w:tcBorders>
            <w:noWrap w:val="0"/>
            <w:vAlign w:val="center"/>
          </w:tcPr>
          <w:p w14:paraId="280F0184">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最大8小时滑动平均值的第90百分位数</w:t>
            </w:r>
          </w:p>
        </w:tc>
        <w:tc>
          <w:tcPr>
            <w:tcW w:w="789" w:type="pct"/>
            <w:tcBorders>
              <w:tl2br w:val="nil"/>
              <w:tr2bl w:val="nil"/>
            </w:tcBorders>
            <w:noWrap w:val="0"/>
            <w:vAlign w:val="center"/>
          </w:tcPr>
          <w:p w14:paraId="50E6EA9B">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90</w:t>
            </w:r>
          </w:p>
        </w:tc>
        <w:tc>
          <w:tcPr>
            <w:tcW w:w="915" w:type="pct"/>
            <w:tcBorders>
              <w:tl2br w:val="nil"/>
              <w:tr2bl w:val="nil"/>
            </w:tcBorders>
            <w:noWrap w:val="0"/>
            <w:vAlign w:val="center"/>
          </w:tcPr>
          <w:p w14:paraId="42AC475B">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w:t>
            </w:r>
          </w:p>
        </w:tc>
        <w:tc>
          <w:tcPr>
            <w:tcW w:w="954" w:type="dxa"/>
            <w:tcBorders>
              <w:tl2br w:val="nil"/>
              <w:tr2bl w:val="nil"/>
            </w:tcBorders>
            <w:noWrap w:val="0"/>
            <w:vAlign w:val="center"/>
          </w:tcPr>
          <w:p w14:paraId="6A9AB8FF">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
              </w:rPr>
              <w:t>56.2</w:t>
            </w:r>
          </w:p>
        </w:tc>
        <w:tc>
          <w:tcPr>
            <w:tcW w:w="485" w:type="pct"/>
            <w:tcBorders>
              <w:tl2br w:val="nil"/>
              <w:tr2bl w:val="nil"/>
            </w:tcBorders>
            <w:noWrap w:val="0"/>
            <w:vAlign w:val="center"/>
          </w:tcPr>
          <w:p w14:paraId="376D6EA9">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bl>
    <w:p w14:paraId="619465C9">
      <w:pPr>
        <w:pStyle w:val="94"/>
        <w:keepNext w:val="0"/>
        <w:keepLines w:val="0"/>
        <w:pageBreakBefore w:val="0"/>
        <w:widowControl/>
        <w:kinsoku/>
        <w:wordWrap/>
        <w:overflowPunct/>
        <w:topLinePunct w:val="0"/>
        <w:autoSpaceDE/>
        <w:autoSpaceDN/>
        <w:bidi w:val="0"/>
        <w:adjustRightInd/>
        <w:snapToGrid/>
        <w:spacing w:line="240" w:lineRule="auto"/>
        <w:ind w:firstLine="480"/>
        <w:textAlignment w:val="auto"/>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en-US" w:eastAsia="zh-CN"/>
        </w:rPr>
        <w:t>注：日均值第X百分位数按照《环境空气质量评价技术规范（试行）》（HJ 663-2013），二氧化氮、二氧化硫X为98，PM</w:t>
      </w:r>
      <w:r>
        <w:rPr>
          <w:rFonts w:hint="default" w:ascii="Times New Roman" w:hAnsi="Times New Roman" w:eastAsia="宋体" w:cs="Times New Roman"/>
          <w:color w:val="auto"/>
          <w:sz w:val="18"/>
          <w:szCs w:val="18"/>
          <w:highlight w:val="none"/>
          <w:vertAlign w:val="subscript"/>
          <w:lang w:val="en-US" w:eastAsia="zh-CN"/>
        </w:rPr>
        <w:t>10</w:t>
      </w:r>
      <w:r>
        <w:rPr>
          <w:rFonts w:hint="default" w:ascii="Times New Roman" w:hAnsi="Times New Roman" w:eastAsia="宋体" w:cs="Times New Roman"/>
          <w:color w:val="auto"/>
          <w:sz w:val="18"/>
          <w:szCs w:val="18"/>
          <w:highlight w:val="none"/>
          <w:lang w:val="en-US" w:eastAsia="zh-CN"/>
        </w:rPr>
        <w:t>、PM</w:t>
      </w:r>
      <w:r>
        <w:rPr>
          <w:rFonts w:hint="default" w:ascii="Times New Roman" w:hAnsi="Times New Roman" w:eastAsia="宋体" w:cs="Times New Roman"/>
          <w:color w:val="auto"/>
          <w:sz w:val="18"/>
          <w:szCs w:val="18"/>
          <w:highlight w:val="none"/>
          <w:vertAlign w:val="subscript"/>
          <w:lang w:val="en-US" w:eastAsia="zh-CN"/>
        </w:rPr>
        <w:t>2.5</w:t>
      </w:r>
      <w:r>
        <w:rPr>
          <w:rFonts w:hint="default" w:ascii="Times New Roman" w:hAnsi="Times New Roman" w:eastAsia="宋体" w:cs="Times New Roman"/>
          <w:color w:val="auto"/>
          <w:sz w:val="18"/>
          <w:szCs w:val="18"/>
          <w:highlight w:val="none"/>
          <w:lang w:val="en-US" w:eastAsia="zh-CN"/>
        </w:rPr>
        <w:t>、一氧化碳X为95，臭氧日最大8小时平均X为90。</w:t>
      </w:r>
    </w:p>
    <w:p w14:paraId="6B0C5C74">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highlight w:val="none"/>
          <w:lang w:val="zh-CN" w:eastAsia="zh-CN"/>
        </w:rPr>
        <w:t>根据《2024年鸡西市生态环境质量状况》</w:t>
      </w:r>
      <w:r>
        <w:rPr>
          <w:rFonts w:hint="default" w:ascii="Times New Roman" w:hAnsi="Times New Roman" w:eastAsia="宋体" w:cs="Times New Roman"/>
          <w:color w:val="auto"/>
          <w:sz w:val="24"/>
          <w:highlight w:val="none"/>
          <w:lang w:val="en-US" w:eastAsia="zh-CN"/>
        </w:rPr>
        <w:t>数据</w:t>
      </w:r>
      <w:r>
        <w:rPr>
          <w:rFonts w:hint="default" w:ascii="Times New Roman" w:hAnsi="Times New Roman" w:eastAsia="宋体" w:cs="Times New Roman"/>
          <w:color w:val="auto"/>
          <w:kern w:val="0"/>
          <w:sz w:val="24"/>
          <w:highlight w:val="none"/>
          <w:lang w:val="zh-CN"/>
        </w:rPr>
        <w:t>，</w:t>
      </w:r>
      <w:r>
        <w:rPr>
          <w:rFonts w:hint="eastAsia" w:ascii="Times New Roman" w:hAnsi="Times New Roman" w:cs="Times New Roman"/>
          <w:color w:val="auto"/>
          <w:kern w:val="0"/>
          <w:sz w:val="24"/>
          <w:highlight w:val="none"/>
          <w:lang w:val="en-US" w:eastAsia="zh-CN"/>
        </w:rPr>
        <w:t>鸡西</w:t>
      </w:r>
      <w:r>
        <w:rPr>
          <w:rFonts w:hint="default" w:ascii="Times New Roman" w:hAnsi="Times New Roman" w:eastAsia="宋体" w:cs="Times New Roman"/>
          <w:color w:val="auto"/>
          <w:kern w:val="0"/>
          <w:sz w:val="24"/>
          <w:highlight w:val="none"/>
          <w:lang w:val="en-US" w:eastAsia="zh-CN"/>
        </w:rPr>
        <w:t>市</w:t>
      </w:r>
      <w:r>
        <w:rPr>
          <w:rFonts w:hint="default" w:ascii="Times New Roman" w:hAnsi="Times New Roman" w:eastAsia="宋体" w:cs="Times New Roman"/>
          <w:color w:val="auto"/>
          <w:kern w:val="0"/>
          <w:sz w:val="24"/>
          <w:highlight w:val="none"/>
          <w:lang w:val="zh-CN"/>
        </w:rPr>
        <w:t>基本污染物均能满足《环境空气质量标准》（GB3095-2012）及其修改单中二级标准限值，鸡西市区域属于环境空气质量达标区</w:t>
      </w:r>
      <w:r>
        <w:rPr>
          <w:rFonts w:hint="default" w:ascii="Times New Roman" w:hAnsi="Times New Roman" w:eastAsia="宋体" w:cs="Times New Roman"/>
          <w:color w:val="auto"/>
          <w:highlight w:val="none"/>
        </w:rPr>
        <w:t>。</w:t>
      </w:r>
    </w:p>
    <w:p w14:paraId="6648C0E9">
      <w:pPr>
        <w:pStyle w:val="8"/>
        <w:bidi w:val="0"/>
        <w:rPr>
          <w:rFonts w:hint="default"/>
          <w:highlight w:val="none"/>
        </w:rPr>
      </w:pPr>
      <w:bookmarkStart w:id="601" w:name="_Toc16005"/>
      <w:bookmarkStart w:id="602" w:name="_Toc20614"/>
      <w:r>
        <w:rPr>
          <w:rFonts w:hint="default"/>
          <w:highlight w:val="none"/>
        </w:rPr>
        <w:t>4.2.1.2环境空气质量现状监测</w:t>
      </w:r>
      <w:bookmarkEnd w:id="601"/>
      <w:bookmarkEnd w:id="602"/>
    </w:p>
    <w:p w14:paraId="0ADF7A6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（1）监测时间及监测项目</w:t>
      </w:r>
    </w:p>
    <w:p w14:paraId="3451366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本项目委托</w:t>
      </w:r>
      <w:r>
        <w:rPr>
          <w:rFonts w:hint="default" w:ascii="Times New Roman" w:hAnsi="Times New Roman" w:eastAsia="宋体" w:cs="Times New Roman"/>
          <w:snapToGrid w:val="0"/>
          <w:color w:val="auto"/>
          <w:highlight w:val="none"/>
          <w:lang w:eastAsia="zh-CN"/>
        </w:rPr>
        <w:t>黑龙江克巽检测技术有限公司</w:t>
      </w:r>
      <w:r>
        <w:rPr>
          <w:rFonts w:hint="default" w:ascii="Times New Roman" w:hAnsi="Times New Roman" w:eastAsia="宋体" w:cs="Times New Roman"/>
          <w:snapToGrid w:val="0"/>
          <w:color w:val="auto"/>
          <w:highlight w:val="none"/>
        </w:rPr>
        <w:t>于20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19</w:t>
      </w:r>
      <w:r>
        <w:rPr>
          <w:rFonts w:hint="default" w:ascii="Times New Roman" w:hAnsi="Times New Roman" w:eastAsia="宋体" w:cs="Times New Roman"/>
          <w:snapToGrid w:val="0"/>
          <w:color w:val="auto"/>
          <w:highlight w:val="none"/>
        </w:rPr>
        <w:t>日~20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25</w:t>
      </w:r>
      <w:r>
        <w:rPr>
          <w:rFonts w:hint="default" w:ascii="Times New Roman" w:hAnsi="Times New Roman" w:eastAsia="宋体" w:cs="Times New Roman"/>
          <w:snapToGrid w:val="0"/>
          <w:color w:val="auto"/>
          <w:highlight w:val="none"/>
        </w:rPr>
        <w:t>日为期7天监测有效数据，监测项目为NH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臭气浓度、总悬浮颗粒物</w:t>
      </w:r>
      <w:r>
        <w:rPr>
          <w:rFonts w:hint="default" w:ascii="Times New Roman" w:hAnsi="Times New Roman" w:eastAsia="宋体" w:cs="Times New Roman"/>
          <w:snapToGrid w:val="0"/>
          <w:color w:val="auto"/>
          <w:highlight w:val="none"/>
        </w:rPr>
        <w:t>。</w:t>
      </w:r>
    </w:p>
    <w:p w14:paraId="3C2A93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2-2  取值时间及数据有效性一览表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1"/>
        <w:gridCol w:w="1617"/>
        <w:gridCol w:w="1433"/>
        <w:gridCol w:w="4707"/>
      </w:tblGrid>
      <w:tr w14:paraId="3BC3B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52" w:type="pct"/>
            <w:noWrap w:val="0"/>
            <w:vAlign w:val="center"/>
          </w:tcPr>
          <w:p w14:paraId="707AE01F">
            <w:pPr>
              <w:pStyle w:val="152"/>
              <w:rPr>
                <w:rFonts w:hint="default" w:ascii="Times New Roman" w:hAnsi="Times New Roman" w:eastAsia="宋体" w:cs="Times New Roman"/>
                <w:color w:val="auto"/>
                <w:spacing w:val="12"/>
                <w:highlight w:val="none"/>
              </w:rPr>
            </w:pPr>
            <w:r>
              <w:rPr>
                <w:rFonts w:hint="default" w:ascii="Times New Roman" w:hAnsi="Times New Roman" w:eastAsia="宋体" w:cs="Times New Roman"/>
                <w:color w:val="auto"/>
                <w:highlight w:val="none"/>
              </w:rPr>
              <w:t>序号</w:t>
            </w:r>
          </w:p>
        </w:tc>
        <w:tc>
          <w:tcPr>
            <w:tcW w:w="948" w:type="pct"/>
            <w:noWrap w:val="0"/>
            <w:vAlign w:val="center"/>
          </w:tcPr>
          <w:p w14:paraId="2B4F9CB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840" w:type="pct"/>
            <w:noWrap w:val="0"/>
            <w:vAlign w:val="center"/>
          </w:tcPr>
          <w:p w14:paraId="2DB2A06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取值时间</w:t>
            </w:r>
          </w:p>
        </w:tc>
        <w:tc>
          <w:tcPr>
            <w:tcW w:w="2759" w:type="pct"/>
            <w:noWrap w:val="0"/>
            <w:vAlign w:val="center"/>
          </w:tcPr>
          <w:p w14:paraId="10FC76E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数据有效性规定</w:t>
            </w:r>
          </w:p>
        </w:tc>
      </w:tr>
      <w:tr w14:paraId="3A339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52" w:type="pct"/>
            <w:noWrap w:val="0"/>
            <w:vAlign w:val="center"/>
          </w:tcPr>
          <w:p w14:paraId="370EA89A">
            <w:pPr>
              <w:pStyle w:val="152"/>
              <w:rPr>
                <w:rFonts w:hint="default" w:ascii="Times New Roman" w:hAnsi="Times New Roman" w:eastAsia="宋体" w:cs="Times New Roman"/>
                <w:color w:val="auto"/>
                <w:spacing w:val="12"/>
                <w:highlight w:val="none"/>
                <w:lang w:val="en-US" w:eastAsia="zh-CN"/>
              </w:rPr>
            </w:pPr>
            <w:r>
              <w:rPr>
                <w:rFonts w:hint="default" w:ascii="Times New Roman" w:hAnsi="Times New Roman" w:eastAsia="宋体" w:cs="Times New Roman"/>
                <w:color w:val="auto"/>
                <w:spacing w:val="12"/>
                <w:highlight w:val="none"/>
                <w:lang w:val="en-US" w:eastAsia="zh-CN"/>
              </w:rPr>
              <w:t>1</w:t>
            </w:r>
          </w:p>
        </w:tc>
        <w:tc>
          <w:tcPr>
            <w:tcW w:w="948" w:type="pct"/>
            <w:noWrap w:val="0"/>
            <w:vAlign w:val="center"/>
          </w:tcPr>
          <w:p w14:paraId="6356EAF8">
            <w:pPr>
              <w:pStyle w:val="152"/>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840" w:type="pct"/>
            <w:noWrap w:val="0"/>
            <w:vAlign w:val="center"/>
          </w:tcPr>
          <w:p w14:paraId="353B725C">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小时均值</w:t>
            </w:r>
          </w:p>
        </w:tc>
        <w:tc>
          <w:tcPr>
            <w:tcW w:w="2759" w:type="pct"/>
            <w:noWrap w:val="0"/>
            <w:vAlign w:val="center"/>
          </w:tcPr>
          <w:p w14:paraId="31B4FCFB">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每次采样至少45分钟</w:t>
            </w:r>
          </w:p>
        </w:tc>
      </w:tr>
      <w:tr w14:paraId="77571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52" w:type="pct"/>
            <w:noWrap w:val="0"/>
            <w:vAlign w:val="center"/>
          </w:tcPr>
          <w:p w14:paraId="427C33F0">
            <w:pPr>
              <w:pStyle w:val="152"/>
              <w:rPr>
                <w:rFonts w:hint="default" w:ascii="Times New Roman" w:hAnsi="Times New Roman" w:eastAsia="宋体" w:cs="Times New Roman"/>
                <w:color w:val="auto"/>
                <w:spacing w:val="12"/>
                <w:highlight w:val="none"/>
                <w:lang w:val="en-US" w:eastAsia="zh-CN"/>
              </w:rPr>
            </w:pPr>
            <w:r>
              <w:rPr>
                <w:rFonts w:hint="default" w:ascii="Times New Roman" w:hAnsi="Times New Roman" w:eastAsia="宋体" w:cs="Times New Roman"/>
                <w:color w:val="auto"/>
                <w:spacing w:val="12"/>
                <w:highlight w:val="none"/>
                <w:lang w:val="en-US" w:eastAsia="zh-CN"/>
              </w:rPr>
              <w:t>2</w:t>
            </w:r>
          </w:p>
        </w:tc>
        <w:tc>
          <w:tcPr>
            <w:tcW w:w="948" w:type="pct"/>
            <w:noWrap w:val="0"/>
            <w:vAlign w:val="center"/>
          </w:tcPr>
          <w:p w14:paraId="51F452C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c>
          <w:tcPr>
            <w:tcW w:w="840" w:type="pct"/>
            <w:noWrap w:val="0"/>
            <w:vAlign w:val="center"/>
          </w:tcPr>
          <w:p w14:paraId="1CC168F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小时均值</w:t>
            </w:r>
          </w:p>
        </w:tc>
        <w:tc>
          <w:tcPr>
            <w:tcW w:w="2759" w:type="pct"/>
            <w:noWrap w:val="0"/>
            <w:vAlign w:val="center"/>
          </w:tcPr>
          <w:p w14:paraId="00D56BF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每次采样至少60分钟</w:t>
            </w:r>
          </w:p>
        </w:tc>
      </w:tr>
      <w:tr w14:paraId="56B24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52" w:type="pct"/>
            <w:noWrap w:val="0"/>
            <w:vAlign w:val="center"/>
          </w:tcPr>
          <w:p w14:paraId="78D473F9">
            <w:pPr>
              <w:pStyle w:val="152"/>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3</w:t>
            </w:r>
          </w:p>
        </w:tc>
        <w:tc>
          <w:tcPr>
            <w:tcW w:w="948" w:type="pct"/>
            <w:noWrap w:val="0"/>
            <w:vAlign w:val="center"/>
          </w:tcPr>
          <w:p w14:paraId="4D5C3F02">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总悬浮颗粒物</w:t>
            </w:r>
          </w:p>
        </w:tc>
        <w:tc>
          <w:tcPr>
            <w:tcW w:w="840" w:type="pct"/>
            <w:noWrap w:val="0"/>
            <w:vAlign w:val="center"/>
          </w:tcPr>
          <w:p w14:paraId="276520BA">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24小时平均</w:t>
            </w:r>
          </w:p>
        </w:tc>
        <w:tc>
          <w:tcPr>
            <w:tcW w:w="2759" w:type="pct"/>
            <w:noWrap w:val="0"/>
            <w:vAlign w:val="center"/>
          </w:tcPr>
          <w:p w14:paraId="739EB7D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每次采样至少20-24小时</w:t>
            </w:r>
          </w:p>
        </w:tc>
      </w:tr>
    </w:tbl>
    <w:p w14:paraId="6B6E4A43">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（2）监测点布设</w:t>
      </w:r>
    </w:p>
    <w:p w14:paraId="6D022B8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根据《环境影响评价技术导则 大气环境》（HJ2.2-2018），补充监测布点以近20年的当地主导风向为轴向，在厂址及主导风向下风向5km范围内设置1~2个监测点。</w:t>
      </w:r>
    </w:p>
    <w:p w14:paraId="31666E9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eastAsia="zh-CN"/>
        </w:rPr>
        <w:t>根据相关气象资料，本项目所在区域常年主导风向</w:t>
      </w:r>
      <w:r>
        <w:rPr>
          <w:rFonts w:hint="default" w:ascii="Times New Roman" w:hAnsi="Times New Roman" w:eastAsia="宋体" w:cs="Times New Roman"/>
          <w:snapToGrid w:val="0"/>
          <w:color w:val="auto"/>
          <w:highlight w:val="none"/>
          <w:lang w:val="en-US" w:eastAsia="zh-CN"/>
        </w:rPr>
        <w:t>WNW-W-WSW，</w:t>
      </w:r>
      <w:r>
        <w:rPr>
          <w:rFonts w:hint="default" w:ascii="Times New Roman" w:hAnsi="Times New Roman" w:eastAsia="宋体" w:cs="Times New Roman"/>
          <w:snapToGrid w:val="0"/>
          <w:color w:val="auto"/>
          <w:highlight w:val="none"/>
          <w:lang w:eastAsia="zh-CN"/>
        </w:rPr>
        <w:t>主导风向为西风，静风发生概率为0.3%，扣除静风下年平均风速为3.8m/s，非扣除静风下年平均风速为3.8m/s。春夏季盛行西风，平均风速为3.3m/s；秋季盛行西风，平均风速为3.8m/s；冬季盛行西风，平均风速为4.3m/s。夏季主导风向为</w:t>
      </w:r>
      <w:r>
        <w:rPr>
          <w:rFonts w:hint="default" w:ascii="Times New Roman" w:hAnsi="Times New Roman" w:eastAsia="宋体" w:cs="Times New Roman"/>
          <w:snapToGrid w:val="0"/>
          <w:color w:val="auto"/>
          <w:highlight w:val="none"/>
          <w:lang w:val="en-US" w:eastAsia="zh-CN"/>
        </w:rPr>
        <w:t>西</w:t>
      </w:r>
      <w:r>
        <w:rPr>
          <w:rFonts w:hint="default" w:ascii="Times New Roman" w:hAnsi="Times New Roman" w:eastAsia="宋体" w:cs="Times New Roman"/>
          <w:snapToGrid w:val="0"/>
          <w:color w:val="auto"/>
          <w:highlight w:val="none"/>
          <w:lang w:eastAsia="zh-CN"/>
        </w:rPr>
        <w:t>风，</w:t>
      </w:r>
      <w:r>
        <w:rPr>
          <w:rFonts w:hint="default" w:ascii="Times New Roman" w:hAnsi="Times New Roman" w:eastAsia="宋体" w:cs="Times New Roman"/>
          <w:snapToGrid w:val="0"/>
          <w:color w:val="auto"/>
          <w:highlight w:val="none"/>
        </w:rPr>
        <w:t>项目所处区域监测季节主导风向为</w:t>
      </w:r>
      <w:r>
        <w:rPr>
          <w:rFonts w:hint="default" w:ascii="Times New Roman" w:hAnsi="Times New Roman" w:eastAsia="宋体" w:cs="Times New Roman"/>
          <w:color w:val="auto"/>
          <w:spacing w:val="12"/>
          <w:highlight w:val="none"/>
          <w:lang w:val="en-US" w:eastAsia="zh-CN"/>
        </w:rPr>
        <w:t>W</w:t>
      </w:r>
      <w:r>
        <w:rPr>
          <w:rFonts w:hint="default" w:ascii="Times New Roman" w:hAnsi="Times New Roman" w:eastAsia="宋体" w:cs="Times New Roman"/>
          <w:snapToGrid w:val="0"/>
          <w:color w:val="auto"/>
          <w:highlight w:val="none"/>
        </w:rPr>
        <w:t>，共布设2处监测点：项目区1个，下风向无环境敏感目标。各监测点的情况见表4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2-3，监测布点图见图4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2-1。</w:t>
      </w:r>
    </w:p>
    <w:p w14:paraId="7E137F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2-3  环境空气监测布点情况</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3"/>
        <w:gridCol w:w="1513"/>
        <w:gridCol w:w="1375"/>
        <w:gridCol w:w="1375"/>
        <w:gridCol w:w="863"/>
        <w:gridCol w:w="1186"/>
        <w:gridCol w:w="1653"/>
      </w:tblGrid>
      <w:tr w14:paraId="65ED6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0" w:type="pct"/>
            <w:vMerge w:val="restart"/>
            <w:noWrap w:val="0"/>
            <w:vAlign w:val="center"/>
          </w:tcPr>
          <w:p w14:paraId="0230136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887" w:type="pct"/>
            <w:vMerge w:val="restart"/>
            <w:noWrap w:val="0"/>
            <w:vAlign w:val="center"/>
          </w:tcPr>
          <w:p w14:paraId="3F24D3A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监测点名称</w:t>
            </w:r>
          </w:p>
        </w:tc>
        <w:tc>
          <w:tcPr>
            <w:tcW w:w="1612" w:type="pct"/>
            <w:gridSpan w:val="2"/>
            <w:noWrap w:val="0"/>
            <w:vAlign w:val="top"/>
          </w:tcPr>
          <w:p w14:paraId="749D631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监测点坐标</w:t>
            </w:r>
          </w:p>
        </w:tc>
        <w:tc>
          <w:tcPr>
            <w:tcW w:w="505" w:type="pct"/>
            <w:vMerge w:val="restart"/>
            <w:noWrap w:val="0"/>
            <w:vAlign w:val="center"/>
          </w:tcPr>
          <w:p w14:paraId="3820B05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相对厂址方位</w:t>
            </w:r>
          </w:p>
        </w:tc>
        <w:tc>
          <w:tcPr>
            <w:tcW w:w="695" w:type="pct"/>
            <w:vMerge w:val="restart"/>
            <w:noWrap w:val="0"/>
            <w:vAlign w:val="center"/>
          </w:tcPr>
          <w:p w14:paraId="6616E90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相对厂界距离/m</w:t>
            </w:r>
          </w:p>
        </w:tc>
        <w:tc>
          <w:tcPr>
            <w:tcW w:w="969" w:type="pct"/>
            <w:vMerge w:val="restart"/>
            <w:noWrap w:val="0"/>
            <w:vAlign w:val="center"/>
          </w:tcPr>
          <w:p w14:paraId="49BCD83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监测因子</w:t>
            </w:r>
          </w:p>
        </w:tc>
      </w:tr>
      <w:tr w14:paraId="040B1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0" w:type="pct"/>
            <w:vMerge w:val="continue"/>
            <w:noWrap w:val="0"/>
            <w:vAlign w:val="center"/>
          </w:tcPr>
          <w:p w14:paraId="7F0B6197">
            <w:pPr>
              <w:pStyle w:val="152"/>
              <w:rPr>
                <w:rFonts w:hint="default" w:ascii="Times New Roman" w:hAnsi="Times New Roman" w:eastAsia="宋体" w:cs="Times New Roman"/>
                <w:color w:val="auto"/>
                <w:highlight w:val="none"/>
              </w:rPr>
            </w:pPr>
          </w:p>
        </w:tc>
        <w:tc>
          <w:tcPr>
            <w:tcW w:w="887" w:type="pct"/>
            <w:vMerge w:val="continue"/>
            <w:noWrap w:val="0"/>
            <w:vAlign w:val="center"/>
          </w:tcPr>
          <w:p w14:paraId="0B857BA2">
            <w:pPr>
              <w:pStyle w:val="152"/>
              <w:rPr>
                <w:rFonts w:hint="default" w:ascii="Times New Roman" w:hAnsi="Times New Roman" w:eastAsia="宋体" w:cs="Times New Roman"/>
                <w:color w:val="auto"/>
                <w:highlight w:val="none"/>
              </w:rPr>
            </w:pPr>
          </w:p>
        </w:tc>
        <w:tc>
          <w:tcPr>
            <w:tcW w:w="806" w:type="pct"/>
            <w:noWrap w:val="0"/>
            <w:vAlign w:val="center"/>
          </w:tcPr>
          <w:p w14:paraId="4928018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东经</w:t>
            </w:r>
          </w:p>
        </w:tc>
        <w:tc>
          <w:tcPr>
            <w:tcW w:w="806" w:type="pct"/>
            <w:noWrap w:val="0"/>
            <w:vAlign w:val="center"/>
          </w:tcPr>
          <w:p w14:paraId="7012321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北纬</w:t>
            </w:r>
          </w:p>
        </w:tc>
        <w:tc>
          <w:tcPr>
            <w:tcW w:w="505" w:type="pct"/>
            <w:vMerge w:val="continue"/>
            <w:noWrap w:val="0"/>
            <w:vAlign w:val="center"/>
          </w:tcPr>
          <w:p w14:paraId="16E7C323">
            <w:pPr>
              <w:pStyle w:val="152"/>
              <w:rPr>
                <w:rFonts w:hint="default" w:ascii="Times New Roman" w:hAnsi="Times New Roman" w:eastAsia="宋体" w:cs="Times New Roman"/>
                <w:color w:val="auto"/>
                <w:highlight w:val="none"/>
              </w:rPr>
            </w:pPr>
          </w:p>
        </w:tc>
        <w:tc>
          <w:tcPr>
            <w:tcW w:w="695" w:type="pct"/>
            <w:vMerge w:val="continue"/>
            <w:noWrap w:val="0"/>
            <w:vAlign w:val="center"/>
          </w:tcPr>
          <w:p w14:paraId="6E929B5B">
            <w:pPr>
              <w:pStyle w:val="152"/>
              <w:rPr>
                <w:rFonts w:hint="default" w:ascii="Times New Roman" w:hAnsi="Times New Roman" w:eastAsia="宋体" w:cs="Times New Roman"/>
                <w:color w:val="auto"/>
                <w:highlight w:val="none"/>
              </w:rPr>
            </w:pPr>
          </w:p>
        </w:tc>
        <w:tc>
          <w:tcPr>
            <w:tcW w:w="969" w:type="pct"/>
            <w:vMerge w:val="continue"/>
            <w:noWrap w:val="0"/>
            <w:vAlign w:val="center"/>
          </w:tcPr>
          <w:p w14:paraId="48DFAE76">
            <w:pPr>
              <w:pStyle w:val="152"/>
              <w:rPr>
                <w:rFonts w:hint="default" w:ascii="Times New Roman" w:hAnsi="Times New Roman" w:eastAsia="宋体" w:cs="Times New Roman"/>
                <w:color w:val="auto"/>
                <w:highlight w:val="none"/>
              </w:rPr>
            </w:pPr>
          </w:p>
        </w:tc>
      </w:tr>
      <w:tr w14:paraId="47E9AC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330" w:type="pct"/>
            <w:noWrap w:val="0"/>
            <w:vAlign w:val="center"/>
          </w:tcPr>
          <w:p w14:paraId="45D1211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887" w:type="pct"/>
            <w:noWrap w:val="0"/>
            <w:vAlign w:val="center"/>
          </w:tcPr>
          <w:p w14:paraId="4FFE740E">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厂区内监测点</w:t>
            </w:r>
          </w:p>
        </w:tc>
        <w:tc>
          <w:tcPr>
            <w:tcW w:w="806" w:type="pct"/>
            <w:noWrap w:val="0"/>
            <w:vAlign w:val="center"/>
          </w:tcPr>
          <w:p w14:paraId="483318F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132.175698°</w:t>
            </w:r>
          </w:p>
        </w:tc>
        <w:tc>
          <w:tcPr>
            <w:tcW w:w="806" w:type="pct"/>
            <w:noWrap w:val="0"/>
            <w:vAlign w:val="center"/>
          </w:tcPr>
          <w:p w14:paraId="7DA26EE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45.568435°</w:t>
            </w:r>
          </w:p>
        </w:tc>
        <w:tc>
          <w:tcPr>
            <w:tcW w:w="505" w:type="pct"/>
            <w:noWrap w:val="0"/>
            <w:vAlign w:val="center"/>
          </w:tcPr>
          <w:p w14:paraId="6ADC701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695" w:type="pct"/>
            <w:noWrap w:val="0"/>
            <w:vAlign w:val="center"/>
          </w:tcPr>
          <w:p w14:paraId="2C8CD5C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969" w:type="pct"/>
            <w:vMerge w:val="restart"/>
            <w:noWrap w:val="0"/>
            <w:vAlign w:val="center"/>
          </w:tcPr>
          <w:p w14:paraId="1F75C3D5">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臭气浓度、总悬浮颗粒物</w:t>
            </w:r>
          </w:p>
        </w:tc>
      </w:tr>
      <w:tr w14:paraId="5AE41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0" w:type="pct"/>
            <w:noWrap w:val="0"/>
            <w:vAlign w:val="center"/>
          </w:tcPr>
          <w:p w14:paraId="0999D0C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887" w:type="pct"/>
            <w:noWrap w:val="0"/>
            <w:vAlign w:val="center"/>
          </w:tcPr>
          <w:p w14:paraId="4E9987C0">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厂区下风向监测点</w:t>
            </w:r>
          </w:p>
        </w:tc>
        <w:tc>
          <w:tcPr>
            <w:tcW w:w="806" w:type="pct"/>
            <w:noWrap w:val="0"/>
            <w:vAlign w:val="center"/>
          </w:tcPr>
          <w:p w14:paraId="48EF7B1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132.185032°</w:t>
            </w:r>
          </w:p>
        </w:tc>
        <w:tc>
          <w:tcPr>
            <w:tcW w:w="806" w:type="pct"/>
            <w:noWrap w:val="0"/>
            <w:vAlign w:val="center"/>
          </w:tcPr>
          <w:p w14:paraId="73CEBB1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45.568646°</w:t>
            </w:r>
          </w:p>
        </w:tc>
        <w:tc>
          <w:tcPr>
            <w:tcW w:w="505" w:type="pct"/>
            <w:noWrap w:val="0"/>
            <w:vAlign w:val="center"/>
          </w:tcPr>
          <w:p w14:paraId="5E6019A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w:t>
            </w:r>
          </w:p>
        </w:tc>
        <w:tc>
          <w:tcPr>
            <w:tcW w:w="695" w:type="pct"/>
            <w:noWrap w:val="0"/>
            <w:vAlign w:val="center"/>
          </w:tcPr>
          <w:p w14:paraId="149EAB48">
            <w:pPr>
              <w:pStyle w:val="152"/>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val="en-US" w:eastAsia="zh-CN"/>
              </w:rPr>
              <w:t>552</w:t>
            </w:r>
            <w:r>
              <w:rPr>
                <w:rFonts w:hint="default" w:ascii="Times New Roman" w:hAnsi="Times New Roman" w:eastAsia="宋体" w:cs="Times New Roman"/>
                <w:color w:val="auto"/>
                <w:highlight w:val="none"/>
              </w:rPr>
              <w:t>m</w:t>
            </w:r>
          </w:p>
        </w:tc>
        <w:tc>
          <w:tcPr>
            <w:tcW w:w="969" w:type="pct"/>
            <w:vMerge w:val="continue"/>
            <w:noWrap w:val="0"/>
            <w:vAlign w:val="center"/>
          </w:tcPr>
          <w:p w14:paraId="06C48A67">
            <w:pPr>
              <w:pStyle w:val="152"/>
              <w:rPr>
                <w:rFonts w:hint="default" w:ascii="Times New Roman" w:hAnsi="Times New Roman" w:eastAsia="宋体" w:cs="Times New Roman"/>
                <w:color w:val="auto"/>
                <w:highlight w:val="none"/>
              </w:rPr>
            </w:pPr>
          </w:p>
        </w:tc>
      </w:tr>
    </w:tbl>
    <w:p w14:paraId="4BB8F570">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highlight w:val="none"/>
        </w:rPr>
        <w:drawing>
          <wp:inline distT="0" distB="0" distL="114300" distR="114300">
            <wp:extent cx="5274310" cy="3115310"/>
            <wp:effectExtent l="0" t="0" r="2540" b="889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66"/>
                    <a:stretch>
                      <a:fillRect/>
                    </a:stretch>
                  </pic:blipFill>
                  <pic:spPr>
                    <a:xfrm>
                      <a:off x="0" y="0"/>
                      <a:ext cx="5274310" cy="3115310"/>
                    </a:xfrm>
                    <a:prstGeom prst="rect">
                      <a:avLst/>
                    </a:prstGeom>
                    <a:noFill/>
                    <a:ln>
                      <a:noFill/>
                    </a:ln>
                  </pic:spPr>
                </pic:pic>
              </a:graphicData>
            </a:graphic>
          </wp:inline>
        </w:drawing>
      </w:r>
    </w:p>
    <w:p w14:paraId="7BD02EB3">
      <w:pPr>
        <w:jc w:val="center"/>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  环境空气现状监测布点示意图</w:t>
      </w:r>
    </w:p>
    <w:p w14:paraId="6D429A4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（3）监测分析方法及检出限</w:t>
      </w:r>
    </w:p>
    <w:p w14:paraId="6B0FCF77">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2-4  监测分析方法及检出限</w:t>
      </w:r>
    </w:p>
    <w:tbl>
      <w:tblPr>
        <w:tblStyle w:val="39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7"/>
        <w:gridCol w:w="3864"/>
        <w:gridCol w:w="3024"/>
      </w:tblGrid>
      <w:tr w14:paraId="2E86A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0" w:type="pct"/>
            <w:vAlign w:val="center"/>
          </w:tcPr>
          <w:p w14:paraId="288196C1">
            <w:pPr>
              <w:pStyle w:val="152"/>
              <w:keepNext w:val="0"/>
              <w:keepLines w:val="0"/>
              <w:pageBreakBefore w:val="0"/>
              <w:kinsoku/>
              <w:wordWrap/>
              <w:overflowPunct/>
              <w:topLinePunct w:val="0"/>
              <w:autoSpaceDE/>
              <w:autoSpaceDN/>
              <w:bidi w:val="0"/>
              <w:adjustRightInd w:val="0"/>
              <w:snapToGrid w:val="0"/>
              <w:spacing w:line="240" w:lineRule="auto"/>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项目</w:t>
            </w:r>
          </w:p>
        </w:tc>
        <w:tc>
          <w:tcPr>
            <w:tcW w:w="2266" w:type="pct"/>
            <w:vAlign w:val="center"/>
          </w:tcPr>
          <w:p w14:paraId="648BAE7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snapToGrid w:val="0"/>
                <w:color w:val="auto"/>
                <w:sz w:val="21"/>
                <w:szCs w:val="21"/>
                <w:highlight w:val="none"/>
              </w:rPr>
            </w:pPr>
            <w:r>
              <w:rPr>
                <w:rFonts w:ascii="Times New Roman" w:hAnsi="Times New Roman"/>
                <w:b w:val="0"/>
                <w:bCs w:val="0"/>
                <w:snapToGrid w:val="0"/>
                <w:sz w:val="21"/>
                <w:szCs w:val="21"/>
                <w:highlight w:val="none"/>
              </w:rPr>
              <w:t>检测方法名称及标准号</w:t>
            </w:r>
          </w:p>
        </w:tc>
        <w:tc>
          <w:tcPr>
            <w:tcW w:w="1773" w:type="pct"/>
            <w:vAlign w:val="center"/>
          </w:tcPr>
          <w:p w14:paraId="16B8FB31">
            <w:pPr>
              <w:pStyle w:val="152"/>
              <w:keepNext w:val="0"/>
              <w:keepLines w:val="0"/>
              <w:pageBreakBefore w:val="0"/>
              <w:kinsoku/>
              <w:wordWrap/>
              <w:overflowPunct/>
              <w:topLinePunct w:val="0"/>
              <w:autoSpaceDE/>
              <w:autoSpaceDN/>
              <w:bidi w:val="0"/>
              <w:adjustRightInd w:val="0"/>
              <w:snapToGrid w:val="0"/>
              <w:spacing w:line="240" w:lineRule="auto"/>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仪器型号及名称</w:t>
            </w:r>
          </w:p>
        </w:tc>
      </w:tr>
      <w:tr w14:paraId="1CCC5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960" w:type="pct"/>
            <w:vMerge w:val="restart"/>
            <w:vAlign w:val="center"/>
          </w:tcPr>
          <w:p w14:paraId="373DDAA5">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2"/>
                <w:sz w:val="21"/>
                <w:szCs w:val="21"/>
                <w:highlight w:val="none"/>
                <w:lang w:val="en-US" w:eastAsia="zh-CN" w:bidi="ar-SA"/>
              </w:rPr>
              <w:t>总悬浮颗粒物</w:t>
            </w:r>
          </w:p>
        </w:tc>
        <w:tc>
          <w:tcPr>
            <w:tcW w:w="2266" w:type="pct"/>
            <w:vMerge w:val="restart"/>
            <w:vAlign w:val="center"/>
          </w:tcPr>
          <w:p w14:paraId="4F9A6E5F">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kern w:val="2"/>
                <w:sz w:val="21"/>
                <w:szCs w:val="21"/>
                <w:highlight w:val="none"/>
                <w:lang w:val="en-US" w:eastAsia="zh-CN" w:bidi="ar-SA"/>
              </w:rPr>
              <w:t xml:space="preserve">环境空气 总悬浮颗粒物的测定 重量法 </w:t>
            </w:r>
          </w:p>
          <w:p w14:paraId="2E82C0EA">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2"/>
                <w:sz w:val="21"/>
                <w:szCs w:val="21"/>
                <w:highlight w:val="none"/>
                <w:lang w:val="en-US" w:eastAsia="zh-CN" w:bidi="ar-SA"/>
              </w:rPr>
              <w:t>HJ</w:t>
            </w:r>
            <w:r>
              <w:rPr>
                <w:rFonts w:hint="eastAsia" w:ascii="Times New Roman" w:hAnsi="Times New Roman" w:cs="Times New Roman"/>
                <w:snapToGrid w:val="0"/>
                <w:color w:val="auto"/>
                <w:kern w:val="2"/>
                <w:sz w:val="21"/>
                <w:szCs w:val="21"/>
                <w:highlight w:val="none"/>
                <w:lang w:val="en-US" w:eastAsia="zh-CN" w:bidi="ar-SA"/>
              </w:rPr>
              <w:t xml:space="preserve"> </w:t>
            </w:r>
            <w:r>
              <w:rPr>
                <w:rFonts w:hint="default" w:ascii="Times New Roman" w:hAnsi="Times New Roman" w:eastAsia="宋体" w:cs="Times New Roman"/>
                <w:snapToGrid w:val="0"/>
                <w:color w:val="auto"/>
                <w:kern w:val="2"/>
                <w:sz w:val="21"/>
                <w:szCs w:val="21"/>
                <w:highlight w:val="none"/>
                <w:lang w:val="en-US" w:eastAsia="zh-CN" w:bidi="ar-SA"/>
              </w:rPr>
              <w:t>1263-2022</w:t>
            </w:r>
          </w:p>
        </w:tc>
        <w:tc>
          <w:tcPr>
            <w:tcW w:w="1773" w:type="pct"/>
            <w:vAlign w:val="center"/>
          </w:tcPr>
          <w:p w14:paraId="20E94A68">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2"/>
                <w:sz w:val="21"/>
                <w:szCs w:val="21"/>
                <w:highlight w:val="none"/>
                <w:lang w:val="en-US" w:eastAsia="zh-CN" w:bidi="ar-SA"/>
              </w:rPr>
              <w:t>环境空气颗粒物综合采样器/</w:t>
            </w:r>
            <w:r>
              <w:rPr>
                <w:rFonts w:hint="eastAsia" w:ascii="Times New Roman" w:hAnsi="Times New Roman" w:eastAsia="宋体" w:cs="Times New Roman"/>
                <w:snapToGrid w:val="0"/>
                <w:color w:val="auto"/>
                <w:kern w:val="2"/>
                <w:sz w:val="21"/>
                <w:szCs w:val="21"/>
                <w:highlight w:val="none"/>
                <w:lang w:val="en-US" w:eastAsia="zh-CN" w:bidi="ar-SA"/>
              </w:rPr>
              <w:t>ZR-3922型</w:t>
            </w:r>
            <w:r>
              <w:rPr>
                <w:rFonts w:hint="default" w:ascii="Times New Roman" w:hAnsi="Times New Roman" w:eastAsia="宋体" w:cs="Times New Roman"/>
                <w:snapToGrid w:val="0"/>
                <w:color w:val="auto"/>
                <w:kern w:val="2"/>
                <w:sz w:val="21"/>
                <w:szCs w:val="21"/>
                <w:highlight w:val="none"/>
                <w:lang w:val="en-US" w:eastAsia="zh-CN" w:bidi="ar-SA"/>
              </w:rPr>
              <w:t>/</w:t>
            </w:r>
            <w:r>
              <w:rPr>
                <w:rFonts w:hint="default" w:ascii="Times New Roman" w:hAnsi="Times New Roman" w:eastAsia="宋体" w:cs="Times New Roman"/>
                <w:i w:val="0"/>
                <w:snapToGrid w:val="0"/>
                <w:color w:val="auto"/>
                <w:kern w:val="0"/>
                <w:sz w:val="21"/>
                <w:szCs w:val="21"/>
                <w:highlight w:val="none"/>
                <w:u w:val="none"/>
                <w:lang w:val="en-US" w:eastAsia="zh-CN" w:bidi="ar"/>
              </w:rPr>
              <w:t>KXYQ</w:t>
            </w:r>
            <w:r>
              <w:rPr>
                <w:rFonts w:hint="eastAsia" w:ascii="Times New Roman" w:hAnsi="Times New Roman" w:cs="Times New Roman"/>
                <w:i w:val="0"/>
                <w:snapToGrid w:val="0"/>
                <w:color w:val="auto"/>
                <w:kern w:val="0"/>
                <w:sz w:val="21"/>
                <w:szCs w:val="21"/>
                <w:highlight w:val="none"/>
                <w:u w:val="none"/>
                <w:lang w:val="en-US" w:eastAsia="zh-CN" w:bidi="ar"/>
              </w:rPr>
              <w:t>-154~155</w:t>
            </w:r>
          </w:p>
        </w:tc>
      </w:tr>
      <w:tr w14:paraId="43526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960" w:type="pct"/>
            <w:vMerge w:val="continue"/>
            <w:vAlign w:val="center"/>
          </w:tcPr>
          <w:p w14:paraId="2A0AAEC5">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2266" w:type="pct"/>
            <w:vMerge w:val="continue"/>
            <w:vAlign w:val="center"/>
          </w:tcPr>
          <w:p w14:paraId="33C015D1">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1773" w:type="pct"/>
            <w:vAlign w:val="center"/>
          </w:tcPr>
          <w:p w14:paraId="46F356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i w:val="0"/>
                <w:snapToGrid w:val="0"/>
                <w:color w:val="auto"/>
                <w:kern w:val="0"/>
                <w:sz w:val="21"/>
                <w:szCs w:val="21"/>
                <w:highlight w:val="none"/>
                <w:u w:val="none"/>
                <w:lang w:val="en-US" w:eastAsia="zh-CN" w:bidi="ar"/>
              </w:rPr>
              <w:t>电子天平/AUW120D/KXYQ-017</w:t>
            </w:r>
          </w:p>
        </w:tc>
      </w:tr>
      <w:tr w14:paraId="4A38E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960" w:type="pct"/>
            <w:vMerge w:val="continue"/>
            <w:vAlign w:val="center"/>
          </w:tcPr>
          <w:p w14:paraId="607FEF69">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2266" w:type="pct"/>
            <w:vMerge w:val="continue"/>
            <w:vAlign w:val="center"/>
          </w:tcPr>
          <w:p w14:paraId="7331F3AD">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1773" w:type="pct"/>
            <w:vAlign w:val="center"/>
          </w:tcPr>
          <w:p w14:paraId="5180188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i w:val="0"/>
                <w:snapToGrid w:val="0"/>
                <w:color w:val="auto"/>
                <w:kern w:val="0"/>
                <w:sz w:val="21"/>
                <w:szCs w:val="21"/>
                <w:highlight w:val="none"/>
                <w:u w:val="none"/>
                <w:lang w:val="en-US" w:eastAsia="zh-CN" w:bidi="ar"/>
              </w:rPr>
              <w:t>恒温恒湿称重系统/JC-AWS9-2/KXYQ-029</w:t>
            </w:r>
          </w:p>
        </w:tc>
      </w:tr>
      <w:tr w14:paraId="66EC28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960" w:type="pct"/>
            <w:vMerge w:val="restart"/>
            <w:vAlign w:val="center"/>
          </w:tcPr>
          <w:p w14:paraId="5C7B4893">
            <w:pPr>
              <w:pStyle w:val="152"/>
              <w:keepNext w:val="0"/>
              <w:keepLines w:val="0"/>
              <w:pageBreakBefore w:val="0"/>
              <w:kinsoku/>
              <w:wordWrap/>
              <w:overflowPunct/>
              <w:topLinePunct w:val="0"/>
              <w:autoSpaceDE/>
              <w:autoSpaceDN/>
              <w:bidi w:val="0"/>
              <w:adjustRightInd w:val="0"/>
              <w:snapToGrid w:val="0"/>
              <w:spacing w:line="240" w:lineRule="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2266" w:type="pct"/>
            <w:vMerge w:val="restart"/>
            <w:vAlign w:val="center"/>
          </w:tcPr>
          <w:p w14:paraId="0BDADFE2">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环境空气和废气 氨的测定 纳氏试剂分光光度法 HJ 533-2009</w:t>
            </w:r>
          </w:p>
        </w:tc>
        <w:tc>
          <w:tcPr>
            <w:tcW w:w="1773" w:type="pct"/>
            <w:vAlign w:val="center"/>
          </w:tcPr>
          <w:p w14:paraId="7D759D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2"/>
                <w:sz w:val="21"/>
                <w:szCs w:val="21"/>
                <w:highlight w:val="none"/>
                <w:lang w:val="en-US" w:eastAsia="zh-CN" w:bidi="ar-SA"/>
              </w:rPr>
              <w:t>环境空气颗粒物综合采样器/</w:t>
            </w:r>
            <w:r>
              <w:rPr>
                <w:rFonts w:hint="eastAsia" w:ascii="Times New Roman" w:hAnsi="Times New Roman" w:eastAsia="宋体" w:cs="Times New Roman"/>
                <w:snapToGrid w:val="0"/>
                <w:color w:val="auto"/>
                <w:kern w:val="2"/>
                <w:sz w:val="21"/>
                <w:szCs w:val="21"/>
                <w:highlight w:val="none"/>
                <w:lang w:val="en-US" w:eastAsia="zh-CN" w:bidi="ar-SA"/>
              </w:rPr>
              <w:t>ZR-3922型</w:t>
            </w:r>
            <w:r>
              <w:rPr>
                <w:rFonts w:hint="default" w:ascii="Times New Roman" w:hAnsi="Times New Roman" w:eastAsia="宋体" w:cs="Times New Roman"/>
                <w:snapToGrid w:val="0"/>
                <w:color w:val="auto"/>
                <w:kern w:val="2"/>
                <w:sz w:val="21"/>
                <w:szCs w:val="21"/>
                <w:highlight w:val="none"/>
                <w:lang w:val="en-US" w:eastAsia="zh-CN" w:bidi="ar-SA"/>
              </w:rPr>
              <w:t>/</w:t>
            </w:r>
            <w:r>
              <w:rPr>
                <w:rFonts w:hint="default" w:ascii="Times New Roman" w:hAnsi="Times New Roman" w:eastAsia="宋体" w:cs="Times New Roman"/>
                <w:i w:val="0"/>
                <w:snapToGrid w:val="0"/>
                <w:color w:val="auto"/>
                <w:kern w:val="0"/>
                <w:sz w:val="21"/>
                <w:szCs w:val="21"/>
                <w:highlight w:val="none"/>
                <w:u w:val="none"/>
                <w:lang w:val="en-US" w:eastAsia="zh-CN" w:bidi="ar"/>
              </w:rPr>
              <w:t>KXYQ</w:t>
            </w:r>
            <w:r>
              <w:rPr>
                <w:rFonts w:hint="eastAsia" w:ascii="Times New Roman" w:hAnsi="Times New Roman" w:cs="Times New Roman"/>
                <w:i w:val="0"/>
                <w:snapToGrid w:val="0"/>
                <w:color w:val="auto"/>
                <w:kern w:val="0"/>
                <w:sz w:val="21"/>
                <w:szCs w:val="21"/>
                <w:highlight w:val="none"/>
                <w:u w:val="none"/>
                <w:lang w:val="en-US" w:eastAsia="zh-CN" w:bidi="ar"/>
              </w:rPr>
              <w:t>-154~155</w:t>
            </w:r>
          </w:p>
        </w:tc>
      </w:tr>
      <w:tr w14:paraId="791EB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960" w:type="pct"/>
            <w:vMerge w:val="continue"/>
            <w:vAlign w:val="center"/>
          </w:tcPr>
          <w:p w14:paraId="0CACACFD">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2266" w:type="pct"/>
            <w:vMerge w:val="continue"/>
            <w:vAlign w:val="center"/>
          </w:tcPr>
          <w:p w14:paraId="1930C1B4">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1773" w:type="pct"/>
            <w:vAlign w:val="center"/>
          </w:tcPr>
          <w:p w14:paraId="382FF0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紫外可见分光光度计/UV-1800D/KXYQ-015</w:t>
            </w:r>
          </w:p>
        </w:tc>
      </w:tr>
      <w:tr w14:paraId="7E0D16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960" w:type="pct"/>
            <w:vMerge w:val="restart"/>
            <w:vAlign w:val="center"/>
          </w:tcPr>
          <w:p w14:paraId="3B52E167">
            <w:pPr>
              <w:pStyle w:val="152"/>
              <w:keepNext w:val="0"/>
              <w:keepLines w:val="0"/>
              <w:pageBreakBefore w:val="0"/>
              <w:kinsoku/>
              <w:wordWrap/>
              <w:overflowPunct/>
              <w:topLinePunct w:val="0"/>
              <w:autoSpaceDE/>
              <w:autoSpaceDN/>
              <w:bidi w:val="0"/>
              <w:adjustRightInd w:val="0"/>
              <w:snapToGrid w:val="0"/>
              <w:spacing w:line="240" w:lineRule="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2266" w:type="pct"/>
            <w:vMerge w:val="restart"/>
            <w:vAlign w:val="center"/>
          </w:tcPr>
          <w:p w14:paraId="08C64D9A">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环境空气 硫化氢 亚甲基蓝分光光度法 《空气和废气监测分析方法》（第四版）国家环境保护总局 （2003 年）</w:t>
            </w:r>
          </w:p>
        </w:tc>
        <w:tc>
          <w:tcPr>
            <w:tcW w:w="1773" w:type="pct"/>
            <w:vAlign w:val="center"/>
          </w:tcPr>
          <w:p w14:paraId="3C3914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2"/>
                <w:sz w:val="21"/>
                <w:szCs w:val="21"/>
                <w:highlight w:val="none"/>
                <w:lang w:val="en-US" w:eastAsia="zh-CN" w:bidi="ar-SA"/>
              </w:rPr>
              <w:t>环境空气颗粒物综合采样器/</w:t>
            </w:r>
            <w:r>
              <w:rPr>
                <w:rFonts w:hint="eastAsia" w:ascii="Times New Roman" w:hAnsi="Times New Roman" w:eastAsia="宋体" w:cs="Times New Roman"/>
                <w:snapToGrid w:val="0"/>
                <w:color w:val="auto"/>
                <w:kern w:val="2"/>
                <w:sz w:val="21"/>
                <w:szCs w:val="21"/>
                <w:highlight w:val="none"/>
                <w:lang w:val="en-US" w:eastAsia="zh-CN" w:bidi="ar-SA"/>
              </w:rPr>
              <w:t>ZR-3922型</w:t>
            </w:r>
            <w:r>
              <w:rPr>
                <w:rFonts w:hint="default" w:ascii="Times New Roman" w:hAnsi="Times New Roman" w:eastAsia="宋体" w:cs="Times New Roman"/>
                <w:snapToGrid w:val="0"/>
                <w:color w:val="auto"/>
                <w:kern w:val="2"/>
                <w:sz w:val="21"/>
                <w:szCs w:val="21"/>
                <w:highlight w:val="none"/>
                <w:lang w:val="en-US" w:eastAsia="zh-CN" w:bidi="ar-SA"/>
              </w:rPr>
              <w:t>/</w:t>
            </w:r>
            <w:r>
              <w:rPr>
                <w:rFonts w:hint="default" w:ascii="Times New Roman" w:hAnsi="Times New Roman" w:eastAsia="宋体" w:cs="Times New Roman"/>
                <w:i w:val="0"/>
                <w:snapToGrid w:val="0"/>
                <w:color w:val="auto"/>
                <w:kern w:val="0"/>
                <w:sz w:val="21"/>
                <w:szCs w:val="21"/>
                <w:highlight w:val="none"/>
                <w:u w:val="none"/>
                <w:lang w:val="en-US" w:eastAsia="zh-CN" w:bidi="ar"/>
              </w:rPr>
              <w:t>KXYQ</w:t>
            </w:r>
            <w:r>
              <w:rPr>
                <w:rFonts w:hint="eastAsia" w:ascii="Times New Roman" w:hAnsi="Times New Roman" w:cs="Times New Roman"/>
                <w:i w:val="0"/>
                <w:snapToGrid w:val="0"/>
                <w:color w:val="auto"/>
                <w:kern w:val="0"/>
                <w:sz w:val="21"/>
                <w:szCs w:val="21"/>
                <w:highlight w:val="none"/>
                <w:u w:val="none"/>
                <w:lang w:val="en-US" w:eastAsia="zh-CN" w:bidi="ar"/>
              </w:rPr>
              <w:t>-154~155</w:t>
            </w:r>
          </w:p>
        </w:tc>
      </w:tr>
      <w:tr w14:paraId="6EF47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960" w:type="pct"/>
            <w:vMerge w:val="continue"/>
            <w:vAlign w:val="center"/>
          </w:tcPr>
          <w:p w14:paraId="73F061BF">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2266" w:type="pct"/>
            <w:vMerge w:val="continue"/>
            <w:vAlign w:val="center"/>
          </w:tcPr>
          <w:p w14:paraId="08690420">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1773" w:type="pct"/>
            <w:vAlign w:val="center"/>
          </w:tcPr>
          <w:p w14:paraId="584BD5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紫外可见分光光度计/UV-1800D/KXYQ-015</w:t>
            </w:r>
          </w:p>
        </w:tc>
      </w:tr>
      <w:tr w14:paraId="163A3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0" w:type="pct"/>
            <w:vAlign w:val="center"/>
          </w:tcPr>
          <w:p w14:paraId="5CFD12EA">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臭气浓度</w:t>
            </w:r>
          </w:p>
        </w:tc>
        <w:tc>
          <w:tcPr>
            <w:tcW w:w="2266" w:type="pct"/>
            <w:vAlign w:val="center"/>
          </w:tcPr>
          <w:p w14:paraId="228C34FE">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环境空气和废气 臭气的测定 三点比较式臭袋法 HJ 1262-2022</w:t>
            </w:r>
          </w:p>
        </w:tc>
        <w:tc>
          <w:tcPr>
            <w:tcW w:w="1773" w:type="pct"/>
            <w:vAlign w:val="center"/>
          </w:tcPr>
          <w:p w14:paraId="3F479F5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臭气瓶</w:t>
            </w:r>
          </w:p>
        </w:tc>
      </w:tr>
    </w:tbl>
    <w:p w14:paraId="0B02F22F">
      <w:pPr>
        <w:pStyle w:val="94"/>
        <w:spacing w:line="360" w:lineRule="auto"/>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（4）监测结果及分析</w:t>
      </w:r>
    </w:p>
    <w:p w14:paraId="76D483F2">
      <w:pPr>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本项目其他污染物监测结果见表4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p>
    <w:p w14:paraId="406F6074">
      <w:pPr>
        <w:spacing w:line="240" w:lineRule="auto"/>
        <w:ind w:firstLine="420"/>
        <w:jc w:val="center"/>
        <w:rPr>
          <w:rFonts w:hint="default" w:ascii="Times New Roman" w:hAnsi="Times New Roman" w:eastAsia="宋体" w:cs="Times New Roman"/>
          <w:b/>
          <w:bCs/>
          <w:color w:val="auto"/>
          <w:kern w:val="0"/>
          <w:sz w:val="24"/>
          <w:szCs w:val="24"/>
          <w:highlight w:val="none"/>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2-5  其他污染物环境质量现状（监测结果）表单位：mg/m</w:t>
      </w:r>
      <w:r>
        <w:rPr>
          <w:rFonts w:hint="default" w:ascii="Times New Roman" w:hAnsi="Times New Roman" w:eastAsia="黑体" w:cs="Times New Roman"/>
          <w:b w:val="0"/>
          <w:bCs/>
          <w:smallCaps w:val="0"/>
          <w:snapToGrid/>
          <w:color w:val="auto"/>
          <w:kern w:val="2"/>
          <w:sz w:val="21"/>
          <w:szCs w:val="24"/>
          <w:highlight w:val="none"/>
          <w:vertAlign w:val="superscript"/>
          <w:lang w:val="en-US" w:eastAsia="zh-CN" w:bidi="ar-SA"/>
        </w:rPr>
        <w:t>3</w:t>
      </w:r>
    </w:p>
    <w:tbl>
      <w:tblPr>
        <w:tblStyle w:val="48"/>
        <w:tblW w:w="4997"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098"/>
        <w:gridCol w:w="960"/>
        <w:gridCol w:w="1312"/>
        <w:gridCol w:w="1651"/>
        <w:gridCol w:w="1428"/>
        <w:gridCol w:w="718"/>
        <w:gridCol w:w="710"/>
      </w:tblGrid>
      <w:tr w14:paraId="4B1EE93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restart"/>
            <w:tcBorders>
              <w:tl2br w:val="nil"/>
              <w:tr2bl w:val="nil"/>
            </w:tcBorders>
            <w:noWrap w:val="0"/>
            <w:vAlign w:val="center"/>
          </w:tcPr>
          <w:p w14:paraId="2D9327ED">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监测点位</w:t>
            </w:r>
          </w:p>
        </w:tc>
        <w:tc>
          <w:tcPr>
            <w:tcW w:w="644" w:type="pct"/>
            <w:vMerge w:val="restart"/>
            <w:tcBorders>
              <w:tl2br w:val="nil"/>
              <w:tr2bl w:val="nil"/>
            </w:tcBorders>
            <w:noWrap w:val="0"/>
            <w:vAlign w:val="center"/>
          </w:tcPr>
          <w:p w14:paraId="78547863">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563" w:type="pct"/>
            <w:vMerge w:val="restart"/>
            <w:tcBorders>
              <w:tl2br w:val="nil"/>
              <w:tr2bl w:val="nil"/>
            </w:tcBorders>
            <w:noWrap w:val="0"/>
            <w:vAlign w:val="center"/>
          </w:tcPr>
          <w:p w14:paraId="587382F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平均时间</w:t>
            </w:r>
          </w:p>
        </w:tc>
        <w:tc>
          <w:tcPr>
            <w:tcW w:w="769" w:type="pct"/>
            <w:vMerge w:val="restart"/>
            <w:tcBorders>
              <w:tl2br w:val="nil"/>
              <w:tr2bl w:val="nil"/>
            </w:tcBorders>
            <w:noWrap w:val="0"/>
            <w:vAlign w:val="center"/>
          </w:tcPr>
          <w:p w14:paraId="5F3BF0C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评价标准（mg/m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w:t>
            </w:r>
          </w:p>
        </w:tc>
        <w:tc>
          <w:tcPr>
            <w:tcW w:w="968" w:type="pct"/>
            <w:vMerge w:val="restart"/>
            <w:tcBorders>
              <w:tl2br w:val="nil"/>
              <w:tr2bl w:val="nil"/>
            </w:tcBorders>
            <w:noWrap w:val="0"/>
            <w:vAlign w:val="center"/>
          </w:tcPr>
          <w:p w14:paraId="5140580D">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监测浓度范围（mg/m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w:t>
            </w:r>
          </w:p>
        </w:tc>
        <w:tc>
          <w:tcPr>
            <w:tcW w:w="837" w:type="pct"/>
            <w:vMerge w:val="restart"/>
            <w:tcBorders>
              <w:tl2br w:val="nil"/>
              <w:tr2bl w:val="nil"/>
            </w:tcBorders>
            <w:noWrap w:val="0"/>
            <w:vAlign w:val="center"/>
          </w:tcPr>
          <w:p w14:paraId="1C1F06A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最大浓度占标率/%</w:t>
            </w:r>
          </w:p>
        </w:tc>
        <w:tc>
          <w:tcPr>
            <w:tcW w:w="421" w:type="pct"/>
            <w:vMerge w:val="restart"/>
            <w:tcBorders>
              <w:tl2br w:val="nil"/>
              <w:tr2bl w:val="nil"/>
            </w:tcBorders>
            <w:noWrap w:val="0"/>
            <w:vAlign w:val="center"/>
          </w:tcPr>
          <w:p w14:paraId="4B4ABFEE">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超标率/%</w:t>
            </w:r>
          </w:p>
        </w:tc>
        <w:tc>
          <w:tcPr>
            <w:tcW w:w="416" w:type="pct"/>
            <w:vMerge w:val="restart"/>
            <w:tcBorders>
              <w:tl2br w:val="nil"/>
              <w:tr2bl w:val="nil"/>
            </w:tcBorders>
            <w:noWrap w:val="0"/>
            <w:vAlign w:val="center"/>
          </w:tcPr>
          <w:p w14:paraId="7BEB2088">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达标情况</w:t>
            </w:r>
          </w:p>
        </w:tc>
      </w:tr>
      <w:tr w14:paraId="58F5EC4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79" w:type="pct"/>
            <w:vMerge w:val="continue"/>
            <w:tcBorders>
              <w:tl2br w:val="nil"/>
              <w:tr2bl w:val="nil"/>
            </w:tcBorders>
            <w:noWrap w:val="0"/>
            <w:vAlign w:val="center"/>
          </w:tcPr>
          <w:p w14:paraId="5B8EEE42">
            <w:pPr>
              <w:spacing w:line="240" w:lineRule="auto"/>
              <w:ind w:firstLine="420"/>
              <w:rPr>
                <w:rFonts w:hint="default" w:ascii="Times New Roman" w:hAnsi="Times New Roman" w:eastAsia="宋体" w:cs="Times New Roman"/>
                <w:color w:val="auto"/>
                <w:kern w:val="0"/>
                <w:sz w:val="21"/>
                <w:szCs w:val="21"/>
                <w:highlight w:val="none"/>
              </w:rPr>
            </w:pPr>
          </w:p>
        </w:tc>
        <w:tc>
          <w:tcPr>
            <w:tcW w:w="644" w:type="pct"/>
            <w:vMerge w:val="continue"/>
            <w:tcBorders>
              <w:tl2br w:val="nil"/>
              <w:tr2bl w:val="nil"/>
            </w:tcBorders>
            <w:noWrap w:val="0"/>
            <w:vAlign w:val="center"/>
          </w:tcPr>
          <w:p w14:paraId="52F78A05">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563" w:type="pct"/>
            <w:vMerge w:val="continue"/>
            <w:tcBorders>
              <w:tl2br w:val="nil"/>
              <w:tr2bl w:val="nil"/>
            </w:tcBorders>
            <w:noWrap w:val="0"/>
            <w:vAlign w:val="center"/>
          </w:tcPr>
          <w:p w14:paraId="71AA1DF2">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769" w:type="pct"/>
            <w:vMerge w:val="continue"/>
            <w:tcBorders>
              <w:tl2br w:val="nil"/>
              <w:tr2bl w:val="nil"/>
            </w:tcBorders>
            <w:noWrap w:val="0"/>
            <w:vAlign w:val="center"/>
          </w:tcPr>
          <w:p w14:paraId="7B5CC411">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968" w:type="pct"/>
            <w:vMerge w:val="continue"/>
            <w:tcBorders>
              <w:tl2br w:val="nil"/>
              <w:tr2bl w:val="nil"/>
            </w:tcBorders>
            <w:noWrap w:val="0"/>
            <w:vAlign w:val="center"/>
          </w:tcPr>
          <w:p w14:paraId="4C09DEE2">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837" w:type="pct"/>
            <w:vMerge w:val="continue"/>
            <w:tcBorders>
              <w:tl2br w:val="nil"/>
              <w:tr2bl w:val="nil"/>
            </w:tcBorders>
            <w:noWrap w:val="0"/>
            <w:vAlign w:val="center"/>
          </w:tcPr>
          <w:p w14:paraId="5DD6D043">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421" w:type="pct"/>
            <w:vMerge w:val="continue"/>
            <w:tcBorders>
              <w:tl2br w:val="nil"/>
              <w:tr2bl w:val="nil"/>
            </w:tcBorders>
            <w:noWrap w:val="0"/>
            <w:vAlign w:val="center"/>
          </w:tcPr>
          <w:p w14:paraId="297BE93A">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416" w:type="pct"/>
            <w:vMerge w:val="continue"/>
            <w:tcBorders>
              <w:tl2br w:val="nil"/>
              <w:tr2bl w:val="nil"/>
            </w:tcBorders>
            <w:noWrap w:val="0"/>
            <w:vAlign w:val="center"/>
          </w:tcPr>
          <w:p w14:paraId="257258DA">
            <w:pPr>
              <w:spacing w:line="240" w:lineRule="auto"/>
              <w:ind w:firstLine="420"/>
              <w:jc w:val="center"/>
              <w:rPr>
                <w:rFonts w:hint="default" w:ascii="Times New Roman" w:hAnsi="Times New Roman" w:eastAsia="宋体" w:cs="Times New Roman"/>
                <w:color w:val="auto"/>
                <w:kern w:val="0"/>
                <w:sz w:val="21"/>
                <w:szCs w:val="21"/>
                <w:highlight w:val="none"/>
              </w:rPr>
            </w:pPr>
          </w:p>
        </w:tc>
      </w:tr>
      <w:tr w14:paraId="579980D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6" w:type="dxa"/>
            <w:vMerge w:val="restart"/>
            <w:tcBorders>
              <w:tl2br w:val="nil"/>
              <w:tr2bl w:val="nil"/>
            </w:tcBorders>
            <w:noWrap w:val="0"/>
            <w:vAlign w:val="center"/>
          </w:tcPr>
          <w:p w14:paraId="7E71A244">
            <w:pPr>
              <w:spacing w:line="240" w:lineRule="exact"/>
              <w:jc w:val="center"/>
              <w:rPr>
                <w:rFonts w:hint="default" w:ascii="Times New Roman" w:hAnsi="Times New Roman" w:eastAsia="宋体" w:cs="Times New Roman"/>
                <w:color w:val="auto"/>
                <w:kern w:val="0"/>
                <w:sz w:val="21"/>
                <w:szCs w:val="21"/>
                <w:highlight w:val="none"/>
              </w:rPr>
            </w:pPr>
            <w:r>
              <w:rPr>
                <w:rFonts w:hint="eastAsia" w:ascii="Times New Roman" w:hAnsi="Times New Roman"/>
                <w:kern w:val="0"/>
                <w:sz w:val="21"/>
                <w:szCs w:val="21"/>
                <w:highlight w:val="none"/>
              </w:rPr>
              <w:t>1#</w:t>
            </w:r>
            <w:r>
              <w:rPr>
                <w:rFonts w:hint="eastAsia" w:ascii="Times New Roman" w:hAnsi="Times New Roman"/>
                <w:kern w:val="0"/>
                <w:sz w:val="21"/>
                <w:szCs w:val="21"/>
                <w:highlight w:val="none"/>
                <w:lang w:val="en-US" w:eastAsia="zh-CN"/>
              </w:rPr>
              <w:t>厂区内</w:t>
            </w:r>
            <w:r>
              <w:rPr>
                <w:rFonts w:hint="eastAsia" w:ascii="Times New Roman" w:hAnsi="Times New Roman"/>
                <w:kern w:val="0"/>
                <w:sz w:val="21"/>
                <w:szCs w:val="21"/>
                <w:highlight w:val="none"/>
              </w:rPr>
              <w:t>监测点</w:t>
            </w:r>
          </w:p>
        </w:tc>
        <w:tc>
          <w:tcPr>
            <w:tcW w:w="644" w:type="pct"/>
            <w:tcBorders>
              <w:tl2br w:val="nil"/>
              <w:tr2bl w:val="nil"/>
            </w:tcBorders>
            <w:noWrap w:val="0"/>
            <w:vAlign w:val="center"/>
          </w:tcPr>
          <w:p w14:paraId="0829F68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NH</w:t>
            </w:r>
            <w:r>
              <w:rPr>
                <w:rFonts w:hint="default" w:ascii="Times New Roman" w:hAnsi="Times New Roman" w:eastAsia="宋体" w:cs="Times New Roman"/>
                <w:color w:val="auto"/>
                <w:kern w:val="0"/>
                <w:sz w:val="21"/>
                <w:szCs w:val="21"/>
                <w:highlight w:val="none"/>
                <w:vertAlign w:val="subscript"/>
              </w:rPr>
              <w:t>3</w:t>
            </w:r>
          </w:p>
        </w:tc>
        <w:tc>
          <w:tcPr>
            <w:tcW w:w="563" w:type="pct"/>
            <w:tcBorders>
              <w:tl2br w:val="nil"/>
              <w:tr2bl w:val="nil"/>
            </w:tcBorders>
            <w:noWrap w:val="0"/>
            <w:vAlign w:val="center"/>
          </w:tcPr>
          <w:p w14:paraId="62C5C95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1h平均</w:t>
            </w:r>
          </w:p>
        </w:tc>
        <w:tc>
          <w:tcPr>
            <w:tcW w:w="769" w:type="pct"/>
            <w:tcBorders>
              <w:tl2br w:val="nil"/>
              <w:tr2bl w:val="nil"/>
            </w:tcBorders>
            <w:noWrap w:val="0"/>
            <w:vAlign w:val="center"/>
          </w:tcPr>
          <w:p w14:paraId="080B05AA">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0.2</w:t>
            </w:r>
          </w:p>
        </w:tc>
        <w:tc>
          <w:tcPr>
            <w:tcW w:w="968" w:type="pct"/>
            <w:tcBorders>
              <w:tl2br w:val="nil"/>
              <w:tr2bl w:val="nil"/>
            </w:tcBorders>
            <w:noWrap w:val="0"/>
            <w:vAlign w:val="center"/>
          </w:tcPr>
          <w:p w14:paraId="6D61DA2C">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0.0</w:t>
            </w:r>
            <w:r>
              <w:rPr>
                <w:rFonts w:hint="eastAsia" w:ascii="Times New Roman" w:hAnsi="Times New Roman"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-0.</w:t>
            </w:r>
            <w:r>
              <w:rPr>
                <w:rFonts w:hint="eastAsia" w:ascii="Times New Roman" w:hAnsi="Times New Roman" w:cs="Times New Roman"/>
                <w:color w:val="auto"/>
                <w:kern w:val="0"/>
                <w:sz w:val="21"/>
                <w:szCs w:val="21"/>
                <w:highlight w:val="none"/>
                <w:lang w:val="en-US" w:eastAsia="zh-CN"/>
              </w:rPr>
              <w:t>06</w:t>
            </w:r>
          </w:p>
        </w:tc>
        <w:tc>
          <w:tcPr>
            <w:tcW w:w="837" w:type="pct"/>
            <w:tcBorders>
              <w:tl2br w:val="nil"/>
              <w:tr2bl w:val="nil"/>
            </w:tcBorders>
            <w:noWrap w:val="0"/>
            <w:vAlign w:val="center"/>
          </w:tcPr>
          <w:p w14:paraId="41DC9B75">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30</w:t>
            </w:r>
          </w:p>
        </w:tc>
        <w:tc>
          <w:tcPr>
            <w:tcW w:w="421" w:type="pct"/>
            <w:tcBorders>
              <w:tl2br w:val="nil"/>
              <w:tr2bl w:val="nil"/>
            </w:tcBorders>
            <w:noWrap w:val="0"/>
            <w:vAlign w:val="center"/>
          </w:tcPr>
          <w:p w14:paraId="7F8DD2B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tl2br w:val="nil"/>
              <w:tr2bl w:val="nil"/>
            </w:tcBorders>
            <w:noWrap w:val="0"/>
            <w:vAlign w:val="center"/>
          </w:tcPr>
          <w:p w14:paraId="28C73CF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016942E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tl2br w:val="nil"/>
              <w:tr2bl w:val="nil"/>
            </w:tcBorders>
            <w:noWrap w:val="0"/>
            <w:vAlign w:val="center"/>
          </w:tcPr>
          <w:p w14:paraId="18B188D8">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tcBorders>
              <w:tl2br w:val="nil"/>
              <w:tr2bl w:val="nil"/>
            </w:tcBorders>
            <w:noWrap w:val="0"/>
            <w:vAlign w:val="center"/>
          </w:tcPr>
          <w:p w14:paraId="04D20A7E">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563" w:type="pct"/>
            <w:tcBorders>
              <w:tl2br w:val="nil"/>
              <w:tr2bl w:val="nil"/>
            </w:tcBorders>
            <w:noWrap w:val="0"/>
            <w:vAlign w:val="center"/>
          </w:tcPr>
          <w:p w14:paraId="4AEB898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1h平均</w:t>
            </w:r>
          </w:p>
        </w:tc>
        <w:tc>
          <w:tcPr>
            <w:tcW w:w="769" w:type="pct"/>
            <w:tcBorders>
              <w:tl2br w:val="nil"/>
              <w:tr2bl w:val="nil"/>
            </w:tcBorders>
            <w:noWrap w:val="0"/>
            <w:vAlign w:val="center"/>
          </w:tcPr>
          <w:p w14:paraId="6C96A44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0.01</w:t>
            </w:r>
          </w:p>
        </w:tc>
        <w:tc>
          <w:tcPr>
            <w:tcW w:w="968" w:type="pct"/>
            <w:tcBorders>
              <w:tl2br w:val="nil"/>
              <w:tr2bl w:val="nil"/>
            </w:tcBorders>
            <w:noWrap w:val="0"/>
            <w:vAlign w:val="center"/>
          </w:tcPr>
          <w:p w14:paraId="11683113">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0.002-0.007</w:t>
            </w:r>
          </w:p>
        </w:tc>
        <w:tc>
          <w:tcPr>
            <w:tcW w:w="837" w:type="pct"/>
            <w:tcBorders>
              <w:tl2br w:val="nil"/>
              <w:tr2bl w:val="nil"/>
            </w:tcBorders>
            <w:noWrap w:val="0"/>
            <w:vAlign w:val="center"/>
          </w:tcPr>
          <w:p w14:paraId="5F247255">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70</w:t>
            </w:r>
          </w:p>
        </w:tc>
        <w:tc>
          <w:tcPr>
            <w:tcW w:w="421" w:type="pct"/>
            <w:tcBorders>
              <w:tl2br w:val="nil"/>
              <w:tr2bl w:val="nil"/>
            </w:tcBorders>
            <w:noWrap w:val="0"/>
            <w:vAlign w:val="center"/>
          </w:tcPr>
          <w:p w14:paraId="4322AA5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tl2br w:val="nil"/>
              <w:tr2bl w:val="nil"/>
            </w:tcBorders>
            <w:noWrap w:val="0"/>
            <w:vAlign w:val="center"/>
          </w:tcPr>
          <w:p w14:paraId="77F3BBA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599810A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tl2br w:val="nil"/>
              <w:tr2bl w:val="nil"/>
            </w:tcBorders>
            <w:noWrap w:val="0"/>
            <w:vAlign w:val="center"/>
          </w:tcPr>
          <w:p w14:paraId="2AE21282">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tcBorders>
              <w:tl2br w:val="nil"/>
              <w:tr2bl w:val="nil"/>
            </w:tcBorders>
            <w:noWrap w:val="0"/>
            <w:vAlign w:val="center"/>
          </w:tcPr>
          <w:p w14:paraId="53F905E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563" w:type="pct"/>
            <w:tcBorders>
              <w:tl2br w:val="nil"/>
              <w:tr2bl w:val="nil"/>
            </w:tcBorders>
            <w:noWrap w:val="0"/>
            <w:vAlign w:val="center"/>
          </w:tcPr>
          <w:p w14:paraId="1A3F55BB">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24小时平均</w:t>
            </w:r>
          </w:p>
        </w:tc>
        <w:tc>
          <w:tcPr>
            <w:tcW w:w="769" w:type="pct"/>
            <w:tcBorders>
              <w:tl2br w:val="nil"/>
              <w:tr2bl w:val="nil"/>
            </w:tcBorders>
            <w:noWrap w:val="0"/>
            <w:vAlign w:val="center"/>
          </w:tcPr>
          <w:p w14:paraId="3775E8D6">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0.3</w:t>
            </w:r>
          </w:p>
        </w:tc>
        <w:tc>
          <w:tcPr>
            <w:tcW w:w="968" w:type="pct"/>
            <w:tcBorders>
              <w:tl2br w:val="nil"/>
              <w:tr2bl w:val="nil"/>
            </w:tcBorders>
            <w:noWrap w:val="0"/>
            <w:vAlign w:val="center"/>
          </w:tcPr>
          <w:p w14:paraId="27875E01">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0.189</w:t>
            </w:r>
            <w:r>
              <w:rPr>
                <w:rFonts w:hint="default" w:ascii="Times New Roman" w:hAnsi="Times New Roman" w:eastAsia="宋体" w:cs="Times New Roman"/>
                <w:color w:val="auto"/>
                <w:kern w:val="0"/>
                <w:sz w:val="21"/>
                <w:szCs w:val="21"/>
                <w:highlight w:val="none"/>
              </w:rPr>
              <w:t>-</w:t>
            </w:r>
            <w:r>
              <w:rPr>
                <w:rFonts w:hint="eastAsia" w:ascii="Times New Roman" w:hAnsi="Times New Roman" w:cs="Times New Roman"/>
                <w:color w:val="auto"/>
                <w:kern w:val="0"/>
                <w:sz w:val="21"/>
                <w:szCs w:val="21"/>
                <w:highlight w:val="none"/>
                <w:lang w:val="en-US" w:eastAsia="zh-CN"/>
              </w:rPr>
              <w:t>0.226</w:t>
            </w:r>
          </w:p>
        </w:tc>
        <w:tc>
          <w:tcPr>
            <w:tcW w:w="837" w:type="pct"/>
            <w:tcBorders>
              <w:tl2br w:val="nil"/>
              <w:tr2bl w:val="nil"/>
            </w:tcBorders>
            <w:noWrap w:val="0"/>
            <w:vAlign w:val="center"/>
          </w:tcPr>
          <w:p w14:paraId="0EDF645C">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75</w:t>
            </w:r>
          </w:p>
        </w:tc>
        <w:tc>
          <w:tcPr>
            <w:tcW w:w="421" w:type="pct"/>
            <w:tcBorders>
              <w:tl2br w:val="nil"/>
              <w:tr2bl w:val="nil"/>
            </w:tcBorders>
            <w:noWrap w:val="0"/>
            <w:vAlign w:val="center"/>
          </w:tcPr>
          <w:p w14:paraId="4BB84F0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tl2br w:val="nil"/>
              <w:tr2bl w:val="nil"/>
            </w:tcBorders>
            <w:noWrap w:val="0"/>
            <w:vAlign w:val="center"/>
          </w:tcPr>
          <w:p w14:paraId="2424E113">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0C247CBF">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tl2br w:val="nil"/>
              <w:tr2bl w:val="nil"/>
            </w:tcBorders>
            <w:noWrap w:val="0"/>
            <w:vAlign w:val="center"/>
          </w:tcPr>
          <w:p w14:paraId="3A5FD946">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tcBorders>
              <w:tl2br w:val="nil"/>
              <w:tr2bl w:val="nil"/>
            </w:tcBorders>
            <w:noWrap w:val="0"/>
            <w:vAlign w:val="center"/>
          </w:tcPr>
          <w:p w14:paraId="431D6B6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w:t>
            </w:r>
          </w:p>
        </w:tc>
        <w:tc>
          <w:tcPr>
            <w:tcW w:w="563" w:type="pct"/>
            <w:tcBorders>
              <w:tl2br w:val="nil"/>
              <w:tr2bl w:val="nil"/>
            </w:tcBorders>
            <w:noWrap w:val="0"/>
            <w:vAlign w:val="center"/>
          </w:tcPr>
          <w:p w14:paraId="7F22FA1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一次值</w:t>
            </w:r>
          </w:p>
        </w:tc>
        <w:tc>
          <w:tcPr>
            <w:tcW w:w="769" w:type="pct"/>
            <w:tcBorders>
              <w:tl2br w:val="nil"/>
              <w:tr2bl w:val="nil"/>
            </w:tcBorders>
            <w:noWrap w:val="0"/>
            <w:vAlign w:val="center"/>
          </w:tcPr>
          <w:p w14:paraId="2B7CA91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968" w:type="pct"/>
            <w:tcBorders>
              <w:tl2br w:val="nil"/>
              <w:tr2bl w:val="nil"/>
            </w:tcBorders>
            <w:noWrap w:val="0"/>
            <w:vAlign w:val="center"/>
          </w:tcPr>
          <w:p w14:paraId="0699FED0">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11-15</w:t>
            </w:r>
          </w:p>
        </w:tc>
        <w:tc>
          <w:tcPr>
            <w:tcW w:w="837" w:type="pct"/>
            <w:tcBorders>
              <w:tl2br w:val="nil"/>
              <w:tr2bl w:val="nil"/>
            </w:tcBorders>
            <w:noWrap w:val="0"/>
            <w:vAlign w:val="center"/>
          </w:tcPr>
          <w:p w14:paraId="77630E58">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75</w:t>
            </w:r>
          </w:p>
        </w:tc>
        <w:tc>
          <w:tcPr>
            <w:tcW w:w="421" w:type="pct"/>
            <w:tcBorders>
              <w:tl2br w:val="nil"/>
              <w:tr2bl w:val="nil"/>
            </w:tcBorders>
            <w:noWrap w:val="0"/>
            <w:vAlign w:val="center"/>
          </w:tcPr>
          <w:p w14:paraId="5D29BC48">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tl2br w:val="nil"/>
              <w:tr2bl w:val="nil"/>
            </w:tcBorders>
            <w:noWrap w:val="0"/>
            <w:vAlign w:val="center"/>
          </w:tcPr>
          <w:p w14:paraId="4CBD0B0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4F48D5B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restart"/>
            <w:tcBorders>
              <w:tl2br w:val="nil"/>
              <w:tr2bl w:val="nil"/>
            </w:tcBorders>
            <w:noWrap w:val="0"/>
            <w:vAlign w:val="center"/>
          </w:tcPr>
          <w:p w14:paraId="2ECE5894">
            <w:pPr>
              <w:spacing w:line="240" w:lineRule="exact"/>
              <w:jc w:val="center"/>
              <w:rPr>
                <w:rFonts w:hint="default" w:ascii="Times New Roman" w:hAnsi="Times New Roman" w:eastAsia="宋体" w:cs="Times New Roman"/>
                <w:color w:val="auto"/>
                <w:kern w:val="0"/>
                <w:sz w:val="21"/>
                <w:szCs w:val="21"/>
                <w:highlight w:val="none"/>
              </w:rPr>
            </w:pPr>
            <w:r>
              <w:rPr>
                <w:rFonts w:hint="eastAsia" w:ascii="Times New Roman" w:hAnsi="Times New Roman"/>
                <w:kern w:val="0"/>
                <w:sz w:val="21"/>
                <w:szCs w:val="21"/>
                <w:highlight w:val="none"/>
                <w:lang w:val="en-US" w:eastAsia="zh-CN"/>
              </w:rPr>
              <w:t>2</w:t>
            </w:r>
            <w:r>
              <w:rPr>
                <w:rFonts w:hint="eastAsia" w:ascii="Times New Roman" w:hAnsi="Times New Roman"/>
                <w:kern w:val="0"/>
                <w:sz w:val="21"/>
                <w:szCs w:val="21"/>
                <w:highlight w:val="none"/>
              </w:rPr>
              <w:t>#</w:t>
            </w:r>
            <w:r>
              <w:rPr>
                <w:rFonts w:hint="eastAsia" w:ascii="Times New Roman" w:hAnsi="Times New Roman"/>
                <w:kern w:val="0"/>
                <w:sz w:val="21"/>
                <w:szCs w:val="21"/>
                <w:highlight w:val="none"/>
                <w:lang w:val="en-US" w:eastAsia="zh-CN"/>
              </w:rPr>
              <w:t>厂区</w:t>
            </w:r>
            <w:r>
              <w:rPr>
                <w:rFonts w:hint="eastAsia" w:ascii="Times New Roman" w:hAnsi="Times New Roman"/>
                <w:kern w:val="0"/>
                <w:sz w:val="21"/>
                <w:szCs w:val="21"/>
                <w:highlight w:val="none"/>
              </w:rPr>
              <w:t>下风向监测点</w:t>
            </w:r>
          </w:p>
        </w:tc>
        <w:tc>
          <w:tcPr>
            <w:tcW w:w="644" w:type="pct"/>
            <w:tcBorders>
              <w:tl2br w:val="nil"/>
              <w:tr2bl w:val="nil"/>
            </w:tcBorders>
            <w:noWrap w:val="0"/>
            <w:vAlign w:val="center"/>
          </w:tcPr>
          <w:p w14:paraId="1612EB8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NH</w:t>
            </w:r>
            <w:r>
              <w:rPr>
                <w:rFonts w:hint="default" w:ascii="Times New Roman" w:hAnsi="Times New Roman" w:eastAsia="宋体" w:cs="Times New Roman"/>
                <w:color w:val="auto"/>
                <w:kern w:val="0"/>
                <w:sz w:val="21"/>
                <w:szCs w:val="21"/>
                <w:highlight w:val="none"/>
                <w:vertAlign w:val="subscript"/>
              </w:rPr>
              <w:t>3</w:t>
            </w:r>
          </w:p>
        </w:tc>
        <w:tc>
          <w:tcPr>
            <w:tcW w:w="563" w:type="pct"/>
            <w:tcBorders>
              <w:tl2br w:val="nil"/>
              <w:tr2bl w:val="nil"/>
            </w:tcBorders>
            <w:noWrap w:val="0"/>
            <w:vAlign w:val="center"/>
          </w:tcPr>
          <w:p w14:paraId="3E1B5932">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1h平均</w:t>
            </w:r>
          </w:p>
        </w:tc>
        <w:tc>
          <w:tcPr>
            <w:tcW w:w="769" w:type="pct"/>
            <w:tcBorders>
              <w:tl2br w:val="nil"/>
              <w:tr2bl w:val="nil"/>
            </w:tcBorders>
            <w:noWrap w:val="0"/>
            <w:vAlign w:val="center"/>
          </w:tcPr>
          <w:p w14:paraId="54A1D572">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0.2</w:t>
            </w:r>
          </w:p>
        </w:tc>
        <w:tc>
          <w:tcPr>
            <w:tcW w:w="968" w:type="pct"/>
            <w:tcBorders>
              <w:tl2br w:val="nil"/>
              <w:tr2bl w:val="nil"/>
            </w:tcBorders>
            <w:noWrap w:val="0"/>
            <w:vAlign w:val="center"/>
          </w:tcPr>
          <w:p w14:paraId="56FBC901">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0.01L</w:t>
            </w:r>
          </w:p>
        </w:tc>
        <w:tc>
          <w:tcPr>
            <w:tcW w:w="837" w:type="pct"/>
            <w:tcBorders>
              <w:tl2br w:val="nil"/>
              <w:tr2bl w:val="nil"/>
            </w:tcBorders>
            <w:noWrap w:val="0"/>
            <w:vAlign w:val="center"/>
          </w:tcPr>
          <w:p w14:paraId="7D755523">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w:t>
            </w:r>
          </w:p>
        </w:tc>
        <w:tc>
          <w:tcPr>
            <w:tcW w:w="421" w:type="pct"/>
            <w:tcBorders>
              <w:tl2br w:val="nil"/>
              <w:tr2bl w:val="nil"/>
            </w:tcBorders>
            <w:noWrap w:val="0"/>
            <w:vAlign w:val="center"/>
          </w:tcPr>
          <w:p w14:paraId="469FA74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tl2br w:val="nil"/>
              <w:tr2bl w:val="nil"/>
            </w:tcBorders>
            <w:noWrap w:val="0"/>
            <w:vAlign w:val="center"/>
          </w:tcPr>
          <w:p w14:paraId="7BF7C903">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7570E8B8">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tl2br w:val="nil"/>
              <w:tr2bl w:val="nil"/>
            </w:tcBorders>
            <w:noWrap w:val="0"/>
            <w:vAlign w:val="center"/>
          </w:tcPr>
          <w:p w14:paraId="0F9C6401">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tcBorders>
              <w:tl2br w:val="nil"/>
              <w:tr2bl w:val="nil"/>
            </w:tcBorders>
            <w:noWrap w:val="0"/>
            <w:vAlign w:val="center"/>
          </w:tcPr>
          <w:p w14:paraId="1C81C1C0">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563" w:type="pct"/>
            <w:tcBorders>
              <w:tl2br w:val="nil"/>
              <w:tr2bl w:val="nil"/>
            </w:tcBorders>
            <w:noWrap w:val="0"/>
            <w:vAlign w:val="center"/>
          </w:tcPr>
          <w:p w14:paraId="7401F8D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1h平均</w:t>
            </w:r>
          </w:p>
        </w:tc>
        <w:tc>
          <w:tcPr>
            <w:tcW w:w="769" w:type="pct"/>
            <w:tcBorders>
              <w:tl2br w:val="nil"/>
              <w:tr2bl w:val="nil"/>
            </w:tcBorders>
            <w:noWrap w:val="0"/>
            <w:vAlign w:val="center"/>
          </w:tcPr>
          <w:p w14:paraId="38F6FDC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0.01</w:t>
            </w:r>
          </w:p>
        </w:tc>
        <w:tc>
          <w:tcPr>
            <w:tcW w:w="968" w:type="pct"/>
            <w:tcBorders>
              <w:tl2br w:val="nil"/>
              <w:tr2bl w:val="nil"/>
            </w:tcBorders>
            <w:noWrap w:val="0"/>
            <w:vAlign w:val="center"/>
          </w:tcPr>
          <w:p w14:paraId="00903D34">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0.001L</w:t>
            </w:r>
          </w:p>
        </w:tc>
        <w:tc>
          <w:tcPr>
            <w:tcW w:w="837" w:type="pct"/>
            <w:tcBorders>
              <w:tl2br w:val="nil"/>
              <w:tr2bl w:val="nil"/>
            </w:tcBorders>
            <w:noWrap w:val="0"/>
            <w:vAlign w:val="center"/>
          </w:tcPr>
          <w:p w14:paraId="38CBF15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0</w:t>
            </w:r>
          </w:p>
        </w:tc>
        <w:tc>
          <w:tcPr>
            <w:tcW w:w="421" w:type="pct"/>
            <w:tcBorders>
              <w:tl2br w:val="nil"/>
              <w:tr2bl w:val="nil"/>
            </w:tcBorders>
            <w:noWrap w:val="0"/>
            <w:vAlign w:val="center"/>
          </w:tcPr>
          <w:p w14:paraId="4933AA7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tl2br w:val="nil"/>
              <w:tr2bl w:val="nil"/>
            </w:tcBorders>
            <w:noWrap w:val="0"/>
            <w:vAlign w:val="center"/>
          </w:tcPr>
          <w:p w14:paraId="038BF6B4">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02A29AFA">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tl2br w:val="nil"/>
              <w:tr2bl w:val="nil"/>
            </w:tcBorders>
            <w:noWrap w:val="0"/>
            <w:vAlign w:val="center"/>
          </w:tcPr>
          <w:p w14:paraId="6AC5E8EB">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tcBorders>
              <w:tl2br w:val="nil"/>
              <w:tr2bl w:val="nil"/>
            </w:tcBorders>
            <w:noWrap w:val="0"/>
            <w:vAlign w:val="center"/>
          </w:tcPr>
          <w:p w14:paraId="656B71A0">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563" w:type="pct"/>
            <w:tcBorders>
              <w:tl2br w:val="nil"/>
              <w:tr2bl w:val="nil"/>
            </w:tcBorders>
            <w:noWrap w:val="0"/>
            <w:vAlign w:val="center"/>
          </w:tcPr>
          <w:p w14:paraId="77670B8E">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24小时平均</w:t>
            </w:r>
          </w:p>
        </w:tc>
        <w:tc>
          <w:tcPr>
            <w:tcW w:w="769" w:type="pct"/>
            <w:tcBorders>
              <w:tl2br w:val="nil"/>
              <w:tr2bl w:val="nil"/>
            </w:tcBorders>
            <w:noWrap w:val="0"/>
            <w:vAlign w:val="center"/>
          </w:tcPr>
          <w:p w14:paraId="471E55A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0.3</w:t>
            </w:r>
          </w:p>
        </w:tc>
        <w:tc>
          <w:tcPr>
            <w:tcW w:w="968" w:type="pct"/>
            <w:tcBorders>
              <w:tl2br w:val="nil"/>
              <w:tr2bl w:val="nil"/>
            </w:tcBorders>
            <w:noWrap w:val="0"/>
            <w:vAlign w:val="center"/>
          </w:tcPr>
          <w:p w14:paraId="52C885B2">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0.198</w:t>
            </w:r>
            <w:r>
              <w:rPr>
                <w:rFonts w:hint="default" w:ascii="Times New Roman" w:hAnsi="Times New Roman" w:eastAsia="宋体" w:cs="Times New Roman"/>
                <w:color w:val="auto"/>
                <w:kern w:val="0"/>
                <w:sz w:val="21"/>
                <w:szCs w:val="21"/>
                <w:highlight w:val="none"/>
              </w:rPr>
              <w:t>-0.</w:t>
            </w:r>
            <w:r>
              <w:rPr>
                <w:rFonts w:hint="eastAsia" w:ascii="Times New Roman" w:hAnsi="Times New Roman" w:cs="Times New Roman"/>
                <w:color w:val="auto"/>
                <w:kern w:val="0"/>
                <w:sz w:val="21"/>
                <w:szCs w:val="21"/>
                <w:highlight w:val="none"/>
                <w:lang w:val="en-US" w:eastAsia="zh-CN"/>
              </w:rPr>
              <w:t>240</w:t>
            </w:r>
          </w:p>
        </w:tc>
        <w:tc>
          <w:tcPr>
            <w:tcW w:w="837" w:type="pct"/>
            <w:tcBorders>
              <w:tl2br w:val="nil"/>
              <w:tr2bl w:val="nil"/>
            </w:tcBorders>
            <w:noWrap w:val="0"/>
            <w:vAlign w:val="center"/>
          </w:tcPr>
          <w:p w14:paraId="462399F9">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80</w:t>
            </w:r>
          </w:p>
        </w:tc>
        <w:tc>
          <w:tcPr>
            <w:tcW w:w="421" w:type="pct"/>
            <w:tcBorders>
              <w:tl2br w:val="nil"/>
              <w:tr2bl w:val="nil"/>
            </w:tcBorders>
            <w:noWrap w:val="0"/>
            <w:vAlign w:val="center"/>
          </w:tcPr>
          <w:p w14:paraId="295B690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tl2br w:val="nil"/>
              <w:tr2bl w:val="nil"/>
            </w:tcBorders>
            <w:noWrap w:val="0"/>
            <w:vAlign w:val="center"/>
          </w:tcPr>
          <w:p w14:paraId="3880ADC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1817FEF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tl2br w:val="nil"/>
              <w:tr2bl w:val="nil"/>
            </w:tcBorders>
            <w:noWrap w:val="0"/>
            <w:vAlign w:val="center"/>
          </w:tcPr>
          <w:p w14:paraId="29F8CACB">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tcBorders>
              <w:tl2br w:val="nil"/>
              <w:tr2bl w:val="nil"/>
            </w:tcBorders>
            <w:noWrap w:val="0"/>
            <w:vAlign w:val="center"/>
          </w:tcPr>
          <w:p w14:paraId="5B716DA7">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w:t>
            </w:r>
          </w:p>
        </w:tc>
        <w:tc>
          <w:tcPr>
            <w:tcW w:w="563" w:type="pct"/>
            <w:tcBorders>
              <w:tl2br w:val="nil"/>
              <w:tr2bl w:val="nil"/>
            </w:tcBorders>
            <w:noWrap w:val="0"/>
            <w:vAlign w:val="center"/>
          </w:tcPr>
          <w:p w14:paraId="25F54FE3">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一次值</w:t>
            </w:r>
          </w:p>
        </w:tc>
        <w:tc>
          <w:tcPr>
            <w:tcW w:w="769" w:type="pct"/>
            <w:tcBorders>
              <w:tl2br w:val="nil"/>
              <w:tr2bl w:val="nil"/>
            </w:tcBorders>
            <w:noWrap w:val="0"/>
            <w:vAlign w:val="center"/>
          </w:tcPr>
          <w:p w14:paraId="10995CE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968" w:type="pct"/>
            <w:tcBorders>
              <w:tl2br w:val="nil"/>
              <w:tr2bl w:val="nil"/>
            </w:tcBorders>
            <w:noWrap w:val="0"/>
            <w:vAlign w:val="center"/>
          </w:tcPr>
          <w:p w14:paraId="2535D645">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&lt;10</w:t>
            </w:r>
          </w:p>
        </w:tc>
        <w:tc>
          <w:tcPr>
            <w:tcW w:w="837" w:type="pct"/>
            <w:tcBorders>
              <w:tl2br w:val="nil"/>
              <w:tr2bl w:val="nil"/>
            </w:tcBorders>
            <w:noWrap w:val="0"/>
            <w:vAlign w:val="center"/>
          </w:tcPr>
          <w:p w14:paraId="558407CF">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0</w:t>
            </w:r>
          </w:p>
        </w:tc>
        <w:tc>
          <w:tcPr>
            <w:tcW w:w="421" w:type="pct"/>
            <w:tcBorders>
              <w:tl2br w:val="nil"/>
              <w:tr2bl w:val="nil"/>
            </w:tcBorders>
            <w:noWrap w:val="0"/>
            <w:vAlign w:val="center"/>
          </w:tcPr>
          <w:p w14:paraId="77D2A4D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tl2br w:val="nil"/>
              <w:tr2bl w:val="nil"/>
            </w:tcBorders>
            <w:noWrap w:val="0"/>
            <w:vAlign w:val="center"/>
          </w:tcPr>
          <w:p w14:paraId="60A7416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bl>
    <w:p w14:paraId="4E6A57A8">
      <w:pPr>
        <w:ind w:firstLine="36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注：检测结果小于最低检出限时报告最低检出限加“L”</w:t>
      </w:r>
    </w:p>
    <w:p w14:paraId="1EABE802">
      <w:pPr>
        <w:pStyle w:val="94"/>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根据上表统计结果，各现状监测点NH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S、TSP、臭气浓度均达标，本项目其他污染物NH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S的1h平均浓度均满足《环境影响评价技术导则大气环境》（HJ2.2-2018）中的附录D其他污染物空气质量浓度参考限值要求；TSP的24小时平均浓度满足《环境空气质量标准》（GB3095-2012）及其修改单中二级标准要求。</w:t>
      </w:r>
      <w:bookmarkStart w:id="603" w:name="_Toc9797"/>
    </w:p>
    <w:p w14:paraId="27B0F174">
      <w:pPr>
        <w:pStyle w:val="7"/>
        <w:bidi w:val="0"/>
        <w:rPr>
          <w:rFonts w:hint="default"/>
          <w:highlight w:val="none"/>
        </w:rPr>
      </w:pPr>
      <w:bookmarkStart w:id="604" w:name="_Toc1158"/>
      <w:bookmarkStart w:id="605" w:name="_Toc9724"/>
      <w:bookmarkStart w:id="606" w:name="_Toc29050"/>
      <w:bookmarkStart w:id="607" w:name="_Toc15222"/>
      <w:r>
        <w:rPr>
          <w:rFonts w:hint="default"/>
          <w:highlight w:val="none"/>
        </w:rPr>
        <w:t>4.2.2地表水环境质量现状</w:t>
      </w:r>
      <w:bookmarkEnd w:id="603"/>
      <w:bookmarkEnd w:id="604"/>
      <w:bookmarkEnd w:id="605"/>
      <w:bookmarkEnd w:id="606"/>
      <w:bookmarkEnd w:id="607"/>
    </w:p>
    <w:p w14:paraId="391EA1CF">
      <w:pPr>
        <w:pStyle w:val="94"/>
        <w:ind w:firstLine="480"/>
        <w:rPr>
          <w:rFonts w:hint="default" w:ascii="Times New Roman" w:hAnsi="Times New Roman" w:eastAsia="宋体" w:cs="Times New Roman"/>
          <w:color w:val="auto"/>
          <w:sz w:val="24"/>
          <w:szCs w:val="24"/>
          <w:highlight w:val="none"/>
          <w:lang w:val="en-US" w:eastAsia="zh-CN"/>
        </w:rPr>
      </w:pPr>
      <w:bookmarkStart w:id="608" w:name="_Toc29643"/>
      <w:bookmarkStart w:id="609" w:name="_Toc11652"/>
      <w:bookmarkStart w:id="610" w:name="_Toc8159"/>
      <w:bookmarkStart w:id="611" w:name="_Toc32080"/>
      <w:bookmarkStart w:id="612" w:name="_Toc19909"/>
      <w:r>
        <w:rPr>
          <w:rFonts w:hint="eastAsia" w:ascii="Times New Roman" w:hAnsi="Times New Roman" w:eastAsia="宋体" w:cs="Times New Roman"/>
          <w:color w:val="auto"/>
          <w:sz w:val="24"/>
          <w:szCs w:val="24"/>
          <w:highlight w:val="none"/>
          <w:lang w:val="en-US" w:eastAsia="zh-CN"/>
        </w:rPr>
        <w:t>本项目无生产废水及生活污水外排，</w:t>
      </w:r>
      <w:r>
        <w:rPr>
          <w:rFonts w:hint="default" w:ascii="Times New Roman" w:hAnsi="Times New Roman" w:eastAsia="宋体" w:cs="Times New Roman"/>
          <w:color w:val="auto"/>
          <w:sz w:val="24"/>
          <w:szCs w:val="24"/>
          <w:highlight w:val="none"/>
          <w:lang w:val="en-US" w:eastAsia="zh-CN"/>
        </w:rPr>
        <w:t>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，属于穆棱河水系。</w:t>
      </w: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highlight w:val="none"/>
          <w:lang w:val="en-US" w:eastAsia="zh-CN"/>
        </w:rPr>
        <w:t>《全国重要江河湖泊水功能区划（2011—2030年）》</w:t>
      </w:r>
      <w:r>
        <w:rPr>
          <w:rFonts w:hint="default" w:ascii="Times New Roman" w:hAnsi="Times New Roman" w:cs="Times New Roman"/>
          <w:color w:val="auto"/>
          <w:sz w:val="24"/>
          <w:highlight w:val="none"/>
        </w:rPr>
        <w:t>规定，本</w:t>
      </w:r>
      <w:r>
        <w:rPr>
          <w:rFonts w:hint="default" w:ascii="Times New Roman" w:hAnsi="Times New Roman" w:cs="Times New Roman"/>
          <w:color w:val="auto"/>
          <w:sz w:val="24"/>
          <w:highlight w:val="none"/>
          <w:lang w:eastAsia="zh-CN"/>
        </w:rPr>
        <w:t>项目区域</w:t>
      </w:r>
      <w:r>
        <w:rPr>
          <w:rFonts w:hint="default" w:ascii="Times New Roman" w:hAnsi="Times New Roman" w:cs="Times New Roman"/>
          <w:color w:val="auto"/>
          <w:sz w:val="24"/>
          <w:highlight w:val="none"/>
          <w:lang w:val="en-US" w:eastAsia="zh-CN"/>
        </w:rPr>
        <w:t>穆棱河断面水质执行</w:t>
      </w:r>
      <w:r>
        <w:rPr>
          <w:rFonts w:hint="default" w:ascii="Times New Roman" w:hAnsi="Times New Roman" w:cs="Times New Roman"/>
          <w:color w:val="auto"/>
          <w:highlight w:val="none"/>
          <w:lang w:val="en-US" w:eastAsia="zh-CN"/>
        </w:rPr>
        <w:t>执行《地表水环境质量标准》（GB3838-2002）中</w:t>
      </w:r>
      <w:r>
        <w:rPr>
          <w:rFonts w:hint="default" w:ascii="Times New Roman" w:hAnsi="Times New Roman" w:cs="Times New Roman"/>
          <w:color w:val="auto"/>
          <w:sz w:val="24"/>
          <w:highlight w:val="none"/>
        </w:rPr>
        <w:t>Ⅲ类</w:t>
      </w:r>
      <w:r>
        <w:rPr>
          <w:rFonts w:hint="default"/>
          <w:color w:val="auto"/>
          <w:highlight w:val="none"/>
          <w:lang w:val="en-US" w:eastAsia="zh-CN"/>
        </w:rPr>
        <w:t>标准</w:t>
      </w:r>
      <w:r>
        <w:rPr>
          <w:rFonts w:hint="eastAsia"/>
          <w:color w:val="auto"/>
          <w:highlight w:val="none"/>
          <w:lang w:val="en-US" w:eastAsia="zh-CN"/>
        </w:rPr>
        <w:t>，</w:t>
      </w:r>
      <w:r>
        <w:rPr>
          <w:rFonts w:hint="default" w:ascii="Times New Roman" w:hAnsi="Times New Roman" w:cs="Times New Roman"/>
          <w:color w:val="auto"/>
          <w:sz w:val="24"/>
          <w:highlight w:val="none"/>
        </w:rPr>
        <w:t>本</w:t>
      </w:r>
      <w:r>
        <w:rPr>
          <w:rFonts w:hint="eastAsia" w:ascii="Times New Roman" w:hAnsi="Times New Roman" w:cs="Times New Roman"/>
          <w:color w:val="auto"/>
          <w:sz w:val="24"/>
          <w:highlight w:val="none"/>
          <w:lang w:eastAsia="zh-CN"/>
        </w:rPr>
        <w:t>项目附近水体柳毛河</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穆棱河一级支流</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参照</w:t>
      </w:r>
      <w:r>
        <w:rPr>
          <w:rFonts w:hint="default" w:ascii="Times New Roman" w:hAnsi="Times New Roman" w:cs="Times New Roman"/>
          <w:color w:val="auto"/>
          <w:sz w:val="24"/>
          <w:highlight w:val="none"/>
        </w:rPr>
        <w:t>Ⅲ类功能水体，因此本工程地表水环境质量执行《地表水环境质量标准》（GB3838-2002）中Ⅲ类水体标准</w:t>
      </w:r>
      <w:r>
        <w:rPr>
          <w:rFonts w:hint="default" w:ascii="Times New Roman" w:hAnsi="Times New Roman" w:eastAsia="宋体" w:cs="Times New Roman"/>
          <w:color w:val="auto"/>
          <w:sz w:val="24"/>
          <w:szCs w:val="24"/>
          <w:highlight w:val="none"/>
          <w:lang w:val="en-US" w:eastAsia="zh-CN"/>
        </w:rPr>
        <w:t>。</w:t>
      </w:r>
    </w:p>
    <w:p w14:paraId="13BB9224">
      <w:pPr>
        <w:pStyle w:val="7"/>
        <w:bidi w:val="0"/>
        <w:rPr>
          <w:rFonts w:hint="default"/>
          <w:highlight w:val="none"/>
        </w:rPr>
      </w:pPr>
      <w:r>
        <w:rPr>
          <w:rFonts w:hint="default"/>
          <w:highlight w:val="none"/>
        </w:rPr>
        <w:t>4.2.3地下水环境质量现状</w:t>
      </w:r>
      <w:bookmarkEnd w:id="608"/>
      <w:bookmarkEnd w:id="609"/>
      <w:bookmarkEnd w:id="610"/>
      <w:bookmarkEnd w:id="611"/>
      <w:bookmarkEnd w:id="612"/>
    </w:p>
    <w:p w14:paraId="79900310">
      <w:pPr>
        <w:pStyle w:val="8"/>
        <w:bidi w:val="0"/>
        <w:rPr>
          <w:rFonts w:hint="default"/>
          <w:highlight w:val="none"/>
        </w:rPr>
      </w:pPr>
      <w:bookmarkStart w:id="613" w:name="_Toc15094"/>
      <w:bookmarkStart w:id="614" w:name="_Toc29460"/>
      <w:r>
        <w:rPr>
          <w:rFonts w:hint="default"/>
          <w:highlight w:val="none"/>
        </w:rPr>
        <w:t>4.2.3.1地下水环境现状监测</w:t>
      </w:r>
      <w:bookmarkEnd w:id="613"/>
      <w:bookmarkEnd w:id="614"/>
    </w:p>
    <w:p w14:paraId="4A5E6B4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本项目委托</w:t>
      </w:r>
      <w:r>
        <w:rPr>
          <w:rFonts w:hint="eastAsia" w:ascii="Times New Roman" w:hAnsi="Times New Roman" w:cs="Times New Roman"/>
          <w:color w:val="auto"/>
          <w:highlight w:val="none"/>
          <w:lang w:eastAsia="zh-CN"/>
        </w:rPr>
        <w:t>黑龙江克巽检测技术有限公司</w:t>
      </w:r>
      <w:r>
        <w:rPr>
          <w:rFonts w:hint="default" w:ascii="Times New Roman" w:hAnsi="Times New Roman" w:eastAsia="宋体" w:cs="Times New Roman"/>
          <w:color w:val="auto"/>
          <w:highlight w:val="none"/>
        </w:rPr>
        <w:t>对项目所在区域地下水环境进行监测。根据《环境影响评价技术导则 地下水环境》（HJ610-2016），三级评价项目潜水含水层水质监测点应不少于3个，可能受建设项目影响且具有饮用水开发利用价值的含水层1~2个，原则上建设项目场地上游及下游影响区的地下水水质监测点各不得少于1个。</w:t>
      </w:r>
    </w:p>
    <w:p w14:paraId="3B23C35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（1）监测布点</w:t>
      </w:r>
    </w:p>
    <w:p w14:paraId="1DDB58A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根据本项目的布局特点及所处环境特征，地下水流向由</w:t>
      </w:r>
      <w:r>
        <w:rPr>
          <w:rFonts w:hint="eastAsia" w:ascii="Times New Roman" w:hAnsi="Times New Roman" w:cs="Times New Roman"/>
          <w:snapToGrid w:val="0"/>
          <w:color w:val="auto"/>
          <w:highlight w:val="none"/>
          <w:lang w:val="en-US" w:eastAsia="zh-CN"/>
        </w:rPr>
        <w:t>西南到东北</w:t>
      </w:r>
      <w:r>
        <w:rPr>
          <w:rFonts w:hint="default" w:ascii="Times New Roman" w:hAnsi="Times New Roman" w:eastAsia="宋体" w:cs="Times New Roman"/>
          <w:snapToGrid w:val="0"/>
          <w:color w:val="auto"/>
          <w:highlight w:val="none"/>
        </w:rPr>
        <w:t>。监测点情况见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表及图4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w:t>
      </w:r>
    </w:p>
    <w:p w14:paraId="723A65EE">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6  </w:t>
      </w:r>
      <w:r>
        <w:rPr>
          <w:rFonts w:hint="default" w:ascii="Times New Roman" w:hAnsi="Times New Roman" w:eastAsia="黑体" w:cs="Times New Roman"/>
          <w:b w:val="0"/>
          <w:bCs/>
          <w:smallCaps w:val="0"/>
          <w:snapToGrid/>
          <w:color w:val="auto"/>
          <w:kern w:val="2"/>
          <w:sz w:val="21"/>
          <w:szCs w:val="24"/>
          <w:highlight w:val="none"/>
          <w:lang w:val="en-US" w:eastAsia="zh-CN" w:bidi="ar-SA"/>
        </w:rPr>
        <w:t>监测点位布置</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1461"/>
        <w:gridCol w:w="2766"/>
        <w:gridCol w:w="1455"/>
        <w:gridCol w:w="1542"/>
      </w:tblGrid>
      <w:tr w14:paraId="521FE3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61DBA845">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监测点编号</w:t>
            </w:r>
          </w:p>
        </w:tc>
        <w:tc>
          <w:tcPr>
            <w:tcW w:w="856" w:type="pct"/>
            <w:vAlign w:val="center"/>
          </w:tcPr>
          <w:p w14:paraId="7EB88226">
            <w:pPr>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sz w:val="21"/>
                <w:szCs w:val="21"/>
                <w:highlight w:val="none"/>
              </w:rPr>
              <w:t>测点位置</w:t>
            </w:r>
          </w:p>
        </w:tc>
        <w:tc>
          <w:tcPr>
            <w:tcW w:w="1621" w:type="pct"/>
            <w:vAlign w:val="center"/>
          </w:tcPr>
          <w:p w14:paraId="23F980B8">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经纬度</w:t>
            </w:r>
            <w:r>
              <w:rPr>
                <w:rFonts w:hint="eastAsia" w:ascii="Times New Roman" w:hAnsi="Times New Roman" w:cs="Times New Roman"/>
                <w:sz w:val="21"/>
                <w:szCs w:val="21"/>
                <w:highlight w:val="none"/>
                <w:lang w:val="en-US" w:eastAsia="zh-CN"/>
              </w:rPr>
              <w:t>/°</w:t>
            </w:r>
          </w:p>
        </w:tc>
        <w:tc>
          <w:tcPr>
            <w:tcW w:w="853" w:type="pct"/>
            <w:vAlign w:val="center"/>
          </w:tcPr>
          <w:p w14:paraId="6B6654C5">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监测含水层</w:t>
            </w:r>
          </w:p>
        </w:tc>
        <w:tc>
          <w:tcPr>
            <w:tcW w:w="904" w:type="pct"/>
            <w:vAlign w:val="center"/>
          </w:tcPr>
          <w:p w14:paraId="57C4A013">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监测点类型</w:t>
            </w:r>
          </w:p>
        </w:tc>
      </w:tr>
      <w:tr w14:paraId="0A1FD7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4" w:type="pct"/>
            <w:vAlign w:val="center"/>
          </w:tcPr>
          <w:p w14:paraId="23516C80">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bidi="ar"/>
              </w:rPr>
              <w:t>1#</w:t>
            </w:r>
          </w:p>
        </w:tc>
        <w:tc>
          <w:tcPr>
            <w:tcW w:w="856" w:type="pct"/>
            <w:vAlign w:val="center"/>
          </w:tcPr>
          <w:p w14:paraId="3CD9A52A">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厂内上游</w:t>
            </w:r>
          </w:p>
        </w:tc>
        <w:tc>
          <w:tcPr>
            <w:tcW w:w="1621" w:type="pct"/>
          </w:tcPr>
          <w:p w14:paraId="090B6BB9">
            <w:pPr>
              <w:autoSpaceDE w:val="0"/>
              <w:autoSpaceDN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132.177286</w:t>
            </w:r>
            <w:r>
              <w:rPr>
                <w:rFonts w:hint="eastAsia" w:ascii="Times New Roman" w:hAnsi="Times New Roman" w:cs="Times New Roman"/>
                <w:sz w:val="21"/>
                <w:szCs w:val="21"/>
                <w:highlight w:val="none"/>
                <w:lang w:eastAsia="zh-CN"/>
              </w:rPr>
              <w:t>，</w:t>
            </w:r>
            <w:r>
              <w:rPr>
                <w:rFonts w:hint="default" w:ascii="Times New Roman" w:hAnsi="Times New Roman" w:eastAsia="宋体" w:cs="Times New Roman"/>
                <w:sz w:val="21"/>
                <w:szCs w:val="21"/>
                <w:highlight w:val="none"/>
              </w:rPr>
              <w:t>45.568856</w:t>
            </w:r>
          </w:p>
        </w:tc>
        <w:tc>
          <w:tcPr>
            <w:tcW w:w="853" w:type="pct"/>
            <w:vAlign w:val="center"/>
          </w:tcPr>
          <w:p w14:paraId="1DA3E248">
            <w:pPr>
              <w:autoSpaceDE w:val="0"/>
              <w:autoSpaceDN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承压层</w:t>
            </w:r>
          </w:p>
        </w:tc>
        <w:tc>
          <w:tcPr>
            <w:tcW w:w="904" w:type="pct"/>
            <w:vAlign w:val="center"/>
          </w:tcPr>
          <w:p w14:paraId="6361839F">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水质、水位</w:t>
            </w:r>
          </w:p>
        </w:tc>
      </w:tr>
      <w:tr w14:paraId="399DE1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093F7848">
            <w:pPr>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bidi="ar"/>
              </w:rPr>
              <w:t>2#</w:t>
            </w:r>
          </w:p>
        </w:tc>
        <w:tc>
          <w:tcPr>
            <w:tcW w:w="856" w:type="pct"/>
            <w:vAlign w:val="center"/>
          </w:tcPr>
          <w:p w14:paraId="3B14CF8E">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厂内下游</w:t>
            </w:r>
          </w:p>
        </w:tc>
        <w:tc>
          <w:tcPr>
            <w:tcW w:w="1621" w:type="pct"/>
          </w:tcPr>
          <w:p w14:paraId="280B3FA4">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132.177941</w:t>
            </w:r>
            <w:r>
              <w:rPr>
                <w:rFonts w:hint="eastAsia" w:ascii="Times New Roman" w:hAnsi="Times New Roman" w:cs="Times New Roman"/>
                <w:sz w:val="21"/>
                <w:szCs w:val="21"/>
                <w:highlight w:val="none"/>
                <w:lang w:eastAsia="zh-CN"/>
              </w:rPr>
              <w:t>，</w:t>
            </w:r>
            <w:r>
              <w:rPr>
                <w:rFonts w:hint="default" w:ascii="Times New Roman" w:hAnsi="Times New Roman" w:eastAsia="宋体" w:cs="Times New Roman"/>
                <w:sz w:val="21"/>
                <w:szCs w:val="21"/>
                <w:highlight w:val="none"/>
              </w:rPr>
              <w:t>45.568638</w:t>
            </w:r>
          </w:p>
        </w:tc>
        <w:tc>
          <w:tcPr>
            <w:tcW w:w="853" w:type="pct"/>
            <w:vAlign w:val="center"/>
          </w:tcPr>
          <w:p w14:paraId="03764EF9">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vAlign w:val="center"/>
          </w:tcPr>
          <w:p w14:paraId="19F4A6AB">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水质、水位</w:t>
            </w:r>
          </w:p>
        </w:tc>
      </w:tr>
      <w:tr w14:paraId="13A66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3B4AB623">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3#</w:t>
            </w:r>
          </w:p>
        </w:tc>
        <w:tc>
          <w:tcPr>
            <w:tcW w:w="856" w:type="pct"/>
            <w:vAlign w:val="center"/>
          </w:tcPr>
          <w:p w14:paraId="4C466352">
            <w:pPr>
              <w:jc w:val="center"/>
              <w:rPr>
                <w:rFonts w:hint="default" w:ascii="Times New Roman" w:hAnsi="Times New Roman" w:eastAsia="宋体"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厂区东南侧</w:t>
            </w:r>
          </w:p>
        </w:tc>
        <w:tc>
          <w:tcPr>
            <w:tcW w:w="1621" w:type="pct"/>
          </w:tcPr>
          <w:p w14:paraId="0CD0A87F">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132.183552</w:t>
            </w:r>
            <w:r>
              <w:rPr>
                <w:rFonts w:hint="eastAsia" w:ascii="Times New Roman" w:hAnsi="Times New Roman" w:cs="Times New Roman"/>
                <w:sz w:val="21"/>
                <w:szCs w:val="21"/>
                <w:highlight w:val="none"/>
                <w:lang w:eastAsia="zh-CN"/>
              </w:rPr>
              <w:t>，</w:t>
            </w:r>
            <w:r>
              <w:rPr>
                <w:rFonts w:hint="default" w:ascii="Times New Roman" w:hAnsi="Times New Roman" w:eastAsia="宋体" w:cs="Times New Roman"/>
                <w:sz w:val="21"/>
                <w:szCs w:val="21"/>
                <w:highlight w:val="none"/>
              </w:rPr>
              <w:t>45.554268</w:t>
            </w:r>
          </w:p>
        </w:tc>
        <w:tc>
          <w:tcPr>
            <w:tcW w:w="853" w:type="pct"/>
            <w:vAlign w:val="center"/>
          </w:tcPr>
          <w:p w14:paraId="30365189">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tcPr>
          <w:p w14:paraId="07C7227F">
            <w:pPr>
              <w:jc w:val="center"/>
              <w:rPr>
                <w:rFonts w:hint="default" w:ascii="Times New Roman" w:hAnsi="Times New Roman" w:eastAsia="宋体" w:cs="Times New Roman"/>
                <w:kern w:val="0"/>
                <w:sz w:val="21"/>
                <w:szCs w:val="21"/>
                <w:highlight w:val="none"/>
                <w:lang w:bidi="ar"/>
              </w:rPr>
            </w:pPr>
            <w:r>
              <w:rPr>
                <w:rFonts w:hint="default" w:ascii="Times New Roman" w:hAnsi="Times New Roman" w:eastAsia="宋体" w:cs="Times New Roman"/>
                <w:kern w:val="0"/>
                <w:sz w:val="21"/>
                <w:szCs w:val="21"/>
                <w:highlight w:val="none"/>
                <w:lang w:bidi="ar"/>
              </w:rPr>
              <w:t>水质、水位</w:t>
            </w:r>
          </w:p>
        </w:tc>
      </w:tr>
      <w:tr w14:paraId="51BE3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00C412B6">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4#</w:t>
            </w:r>
          </w:p>
        </w:tc>
        <w:tc>
          <w:tcPr>
            <w:tcW w:w="856" w:type="pct"/>
            <w:vAlign w:val="center"/>
          </w:tcPr>
          <w:p w14:paraId="698327C0">
            <w:pPr>
              <w:jc w:val="center"/>
              <w:rPr>
                <w:rFonts w:hint="default" w:ascii="Times New Roman" w:hAnsi="Times New Roman" w:eastAsia="宋体"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厂区东北侧</w:t>
            </w:r>
          </w:p>
        </w:tc>
        <w:tc>
          <w:tcPr>
            <w:tcW w:w="1621" w:type="pct"/>
          </w:tcPr>
          <w:p w14:paraId="1841CE2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132.199259</w:t>
            </w:r>
            <w:r>
              <w:rPr>
                <w:rFonts w:hint="eastAsia" w:ascii="Times New Roman" w:hAnsi="Times New Roman"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45.579986</w:t>
            </w:r>
          </w:p>
        </w:tc>
        <w:tc>
          <w:tcPr>
            <w:tcW w:w="853" w:type="pct"/>
            <w:vAlign w:val="center"/>
          </w:tcPr>
          <w:p w14:paraId="28D82771">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vAlign w:val="center"/>
          </w:tcPr>
          <w:p w14:paraId="586AB87C">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水质、水位</w:t>
            </w:r>
          </w:p>
        </w:tc>
      </w:tr>
      <w:tr w14:paraId="0B079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32DB04C6">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5#</w:t>
            </w:r>
          </w:p>
        </w:tc>
        <w:tc>
          <w:tcPr>
            <w:tcW w:w="856" w:type="pct"/>
            <w:vAlign w:val="center"/>
          </w:tcPr>
          <w:p w14:paraId="69412AC9">
            <w:pPr>
              <w:jc w:val="center"/>
              <w:rPr>
                <w:rFonts w:hint="default" w:ascii="Times New Roman" w:hAnsi="Times New Roman" w:eastAsia="宋体"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厂区东北侧</w:t>
            </w:r>
          </w:p>
        </w:tc>
        <w:tc>
          <w:tcPr>
            <w:tcW w:w="1621" w:type="pct"/>
          </w:tcPr>
          <w:p w14:paraId="60AD5282">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132.196341</w:t>
            </w:r>
            <w:r>
              <w:rPr>
                <w:rFonts w:hint="eastAsia" w:ascii="Times New Roman" w:hAnsi="Times New Roman" w:cs="Times New Roman"/>
                <w:sz w:val="21"/>
                <w:szCs w:val="21"/>
                <w:highlight w:val="none"/>
                <w:lang w:val="en-US" w:eastAsia="zh-CN"/>
              </w:rPr>
              <w:t>，</w:t>
            </w:r>
            <w:r>
              <w:rPr>
                <w:rFonts w:hint="default" w:ascii="Times New Roman" w:hAnsi="Times New Roman" w:eastAsia="宋体" w:cs="Times New Roman"/>
                <w:sz w:val="21"/>
                <w:szCs w:val="21"/>
                <w:highlight w:val="none"/>
              </w:rPr>
              <w:t>45.577523</w:t>
            </w:r>
          </w:p>
        </w:tc>
        <w:tc>
          <w:tcPr>
            <w:tcW w:w="853" w:type="pct"/>
            <w:vAlign w:val="center"/>
          </w:tcPr>
          <w:p w14:paraId="4F03DF4F">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tcPr>
          <w:p w14:paraId="437FD403">
            <w:pPr>
              <w:jc w:val="center"/>
              <w:rPr>
                <w:rFonts w:hint="default" w:ascii="Times New Roman" w:hAnsi="Times New Roman" w:eastAsia="宋体" w:cs="Times New Roman"/>
                <w:kern w:val="0"/>
                <w:sz w:val="21"/>
                <w:szCs w:val="21"/>
                <w:highlight w:val="none"/>
                <w:lang w:bidi="ar"/>
              </w:rPr>
            </w:pPr>
            <w:r>
              <w:rPr>
                <w:rFonts w:hint="default" w:ascii="Times New Roman" w:hAnsi="Times New Roman" w:eastAsia="宋体" w:cs="Times New Roman"/>
                <w:kern w:val="0"/>
                <w:sz w:val="21"/>
                <w:szCs w:val="21"/>
                <w:highlight w:val="none"/>
                <w:lang w:bidi="ar"/>
              </w:rPr>
              <w:t>水位</w:t>
            </w:r>
          </w:p>
        </w:tc>
      </w:tr>
      <w:tr w14:paraId="620694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051931E8">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6#</w:t>
            </w:r>
          </w:p>
        </w:tc>
        <w:tc>
          <w:tcPr>
            <w:tcW w:w="856" w:type="pct"/>
            <w:vAlign w:val="center"/>
          </w:tcPr>
          <w:p w14:paraId="3FD97B4E">
            <w:pPr>
              <w:jc w:val="center"/>
              <w:rPr>
                <w:rFonts w:hint="default" w:ascii="Times New Roman" w:hAnsi="Times New Roman" w:eastAsia="宋体"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厂区东侧</w:t>
            </w:r>
          </w:p>
        </w:tc>
        <w:tc>
          <w:tcPr>
            <w:tcW w:w="1621" w:type="pct"/>
          </w:tcPr>
          <w:p w14:paraId="400CA1A7">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132.185869</w:t>
            </w:r>
            <w:r>
              <w:rPr>
                <w:rFonts w:hint="eastAsia" w:ascii="Times New Roman" w:hAnsi="Times New Roman" w:cs="Times New Roman"/>
                <w:sz w:val="21"/>
                <w:szCs w:val="21"/>
                <w:highlight w:val="none"/>
                <w:lang w:val="en-US" w:eastAsia="zh-CN"/>
              </w:rPr>
              <w:t>，</w:t>
            </w:r>
            <w:r>
              <w:rPr>
                <w:rFonts w:hint="default" w:ascii="Times New Roman" w:hAnsi="Times New Roman" w:eastAsia="宋体" w:cs="Times New Roman"/>
                <w:sz w:val="21"/>
                <w:szCs w:val="21"/>
                <w:highlight w:val="none"/>
              </w:rPr>
              <w:t>45.568541</w:t>
            </w:r>
          </w:p>
        </w:tc>
        <w:tc>
          <w:tcPr>
            <w:tcW w:w="853" w:type="pct"/>
            <w:vAlign w:val="center"/>
          </w:tcPr>
          <w:p w14:paraId="04EC663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vAlign w:val="center"/>
          </w:tcPr>
          <w:p w14:paraId="35A3A017">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水位</w:t>
            </w:r>
          </w:p>
        </w:tc>
      </w:tr>
      <w:tr w14:paraId="08901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68832587">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7#</w:t>
            </w:r>
          </w:p>
        </w:tc>
        <w:tc>
          <w:tcPr>
            <w:tcW w:w="856" w:type="pct"/>
            <w:vAlign w:val="center"/>
          </w:tcPr>
          <w:p w14:paraId="021B1F2D">
            <w:pPr>
              <w:jc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厂外上游</w:t>
            </w:r>
          </w:p>
        </w:tc>
        <w:tc>
          <w:tcPr>
            <w:tcW w:w="1621" w:type="pct"/>
          </w:tcPr>
          <w:p w14:paraId="0C3A2D17">
            <w:pPr>
              <w:jc w:val="center"/>
              <w:rPr>
                <w:rFonts w:hint="eastAsia" w:ascii="Times New Roman" w:hAnsi="Times New Roman" w:eastAsia="宋体" w:cs="Times New Roman"/>
                <w:sz w:val="21"/>
                <w:szCs w:val="21"/>
                <w:highlight w:val="none"/>
                <w:lang w:eastAsia="zh-CN"/>
              </w:rPr>
            </w:pPr>
            <w:r>
              <w:rPr>
                <w:rFonts w:hint="eastAsia" w:ascii="Times New Roman" w:hAnsi="Times New Roman" w:cs="Times New Roman"/>
                <w:sz w:val="21"/>
                <w:szCs w:val="21"/>
                <w:highlight w:val="none"/>
                <w:lang w:eastAsia="zh-CN"/>
              </w:rPr>
              <w:t>132.175677，45.569066</w:t>
            </w:r>
          </w:p>
        </w:tc>
        <w:tc>
          <w:tcPr>
            <w:tcW w:w="853" w:type="pct"/>
            <w:vAlign w:val="center"/>
          </w:tcPr>
          <w:p w14:paraId="5A177439">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承压层</w:t>
            </w:r>
          </w:p>
        </w:tc>
        <w:tc>
          <w:tcPr>
            <w:tcW w:w="904" w:type="pct"/>
            <w:vAlign w:val="center"/>
          </w:tcPr>
          <w:p w14:paraId="377CF153">
            <w:pPr>
              <w:jc w:val="center"/>
              <w:rPr>
                <w:rFonts w:hint="default" w:ascii="Times New Roman" w:hAnsi="Times New Roman" w:eastAsia="宋体" w:cs="Times New Roman"/>
                <w:kern w:val="0"/>
                <w:sz w:val="21"/>
                <w:szCs w:val="21"/>
                <w:highlight w:val="none"/>
                <w:lang w:bidi="ar"/>
              </w:rPr>
            </w:pPr>
            <w:r>
              <w:rPr>
                <w:rFonts w:hint="default" w:ascii="Times New Roman" w:hAnsi="Times New Roman" w:eastAsia="宋体" w:cs="Times New Roman"/>
                <w:kern w:val="0"/>
                <w:sz w:val="21"/>
                <w:szCs w:val="21"/>
                <w:highlight w:val="none"/>
                <w:lang w:bidi="ar"/>
              </w:rPr>
              <w:t>水位</w:t>
            </w:r>
          </w:p>
        </w:tc>
      </w:tr>
    </w:tbl>
    <w:p w14:paraId="57C0508E">
      <w:pPr>
        <w:rPr>
          <w:rFonts w:hint="eastAsia" w:eastAsia="宋体"/>
          <w:highlight w:val="none"/>
          <w:lang w:val="en-US" w:eastAsia="zh-CN"/>
        </w:rPr>
      </w:pPr>
      <w:r>
        <w:rPr>
          <w:highlight w:val="none"/>
        </w:rPr>
        <w:drawing>
          <wp:inline distT="0" distB="0" distL="114300" distR="114300">
            <wp:extent cx="5145405" cy="3680460"/>
            <wp:effectExtent l="0" t="0" r="17145" b="1524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67"/>
                    <a:stretch>
                      <a:fillRect/>
                    </a:stretch>
                  </pic:blipFill>
                  <pic:spPr>
                    <a:xfrm>
                      <a:off x="0" y="0"/>
                      <a:ext cx="5145405" cy="3680460"/>
                    </a:xfrm>
                    <a:prstGeom prst="rect">
                      <a:avLst/>
                    </a:prstGeom>
                    <a:noFill/>
                    <a:ln>
                      <a:noFill/>
                    </a:ln>
                  </pic:spPr>
                </pic:pic>
              </a:graphicData>
            </a:graphic>
          </wp:inline>
        </w:drawing>
      </w:r>
    </w:p>
    <w:p w14:paraId="27D0E8F3">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2-2  地下水现状监测布点示意图</w:t>
      </w:r>
    </w:p>
    <w:p w14:paraId="17F95D0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（2）采样时间及频率</w:t>
      </w:r>
    </w:p>
    <w:p w14:paraId="5C33B0D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监测时间为</w:t>
      </w:r>
      <w:r>
        <w:rPr>
          <w:rFonts w:hint="eastAsia" w:ascii="Times New Roman" w:hAnsi="Times New Roman" w:cs="Times New Roman"/>
          <w:snapToGrid w:val="0"/>
          <w:color w:val="auto"/>
          <w:highlight w:val="none"/>
          <w:lang w:eastAsia="zh-CN"/>
        </w:rPr>
        <w:t>2025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23</w:t>
      </w:r>
      <w:r>
        <w:rPr>
          <w:rFonts w:hint="default" w:ascii="Times New Roman" w:hAnsi="Times New Roman" w:eastAsia="宋体" w:cs="Times New Roman"/>
          <w:snapToGrid w:val="0"/>
          <w:color w:val="auto"/>
          <w:highlight w:val="none"/>
        </w:rPr>
        <w:t>日，采样</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天，每天1次。</w:t>
      </w:r>
    </w:p>
    <w:p w14:paraId="7D38381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（3）监测项目</w:t>
      </w:r>
    </w:p>
    <w:p w14:paraId="7E911F0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①检测分析地下水环境中K</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、Na</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、Ca</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、Mg</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、CO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、HCO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、Cl</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、SO</w:t>
      </w:r>
      <w:r>
        <w:rPr>
          <w:rFonts w:hint="default" w:ascii="Times New Roman" w:hAnsi="Times New Roman" w:eastAsia="宋体" w:cs="Times New Roman"/>
          <w:snapToGrid w:val="0"/>
          <w:color w:val="auto"/>
          <w:highlight w:val="none"/>
          <w:vertAlign w:val="subscript"/>
        </w:rPr>
        <w:t>4</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的浓度。</w:t>
      </w:r>
    </w:p>
    <w:p w14:paraId="43E9C9F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②pH、溶解性总固体、总硬度、</w:t>
      </w:r>
      <w:r>
        <w:rPr>
          <w:rFonts w:hint="default" w:ascii="Times New Roman" w:hAnsi="Times New Roman" w:eastAsia="宋体" w:cs="Times New Roman"/>
          <w:snapToGrid w:val="0"/>
          <w:color w:val="auto"/>
          <w:highlight w:val="none"/>
          <w:lang w:val="en-US" w:eastAsia="zh-CN"/>
        </w:rPr>
        <w:t>耗氧量、</w:t>
      </w:r>
      <w:r>
        <w:rPr>
          <w:rFonts w:hint="default" w:ascii="Times New Roman" w:hAnsi="Times New Roman" w:eastAsia="宋体" w:cs="Times New Roman"/>
          <w:snapToGrid w:val="0"/>
          <w:color w:val="auto"/>
          <w:highlight w:val="none"/>
        </w:rPr>
        <w:t>铁、锰、氨氮、硝酸盐、亚硝酸盐、</w:t>
      </w:r>
      <w:r>
        <w:rPr>
          <w:rFonts w:hint="default" w:ascii="Times New Roman" w:hAnsi="Times New Roman" w:eastAsia="宋体" w:cs="Times New Roman"/>
          <w:snapToGrid w:val="0"/>
          <w:color w:val="auto"/>
          <w:highlight w:val="none"/>
          <w:lang w:val="en-US" w:eastAsia="zh-CN"/>
        </w:rPr>
        <w:t>氟化物</w:t>
      </w:r>
      <w:r>
        <w:rPr>
          <w:rFonts w:hint="default" w:ascii="Times New Roman" w:hAnsi="Times New Roman" w:eastAsia="宋体" w:cs="Times New Roman"/>
          <w:snapToGrid w:val="0"/>
          <w:color w:val="auto"/>
          <w:highlight w:val="none"/>
        </w:rPr>
        <w:t>、硫酸盐、氯化物、</w:t>
      </w:r>
      <w:r>
        <w:rPr>
          <w:rFonts w:hint="default" w:ascii="Times New Roman" w:hAnsi="Times New Roman" w:eastAsia="宋体" w:cs="Times New Roman"/>
          <w:snapToGrid w:val="0"/>
          <w:color w:val="auto"/>
          <w:highlight w:val="none"/>
          <w:lang w:val="en-US" w:eastAsia="zh-CN"/>
        </w:rPr>
        <w:t>挥发酚、</w:t>
      </w:r>
      <w:r>
        <w:rPr>
          <w:rFonts w:hint="default" w:ascii="Times New Roman" w:hAnsi="Times New Roman" w:eastAsia="宋体" w:cs="Times New Roman"/>
          <w:snapToGrid w:val="0"/>
          <w:color w:val="auto"/>
          <w:highlight w:val="none"/>
        </w:rPr>
        <w:t>氰化物、六价铬、砷、铅、镉</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汞、</w:t>
      </w:r>
      <w:r>
        <w:rPr>
          <w:rFonts w:hint="eastAsia" w:ascii="Times New Roman" w:hAnsi="Times New Roman" w:cs="Times New Roman"/>
          <w:snapToGrid w:val="0"/>
          <w:color w:val="auto"/>
          <w:highlight w:val="none"/>
          <w:lang w:eastAsia="zh-CN"/>
        </w:rPr>
        <w:t>菌落总数</w:t>
      </w:r>
      <w:r>
        <w:rPr>
          <w:rFonts w:hint="default" w:ascii="Times New Roman" w:hAnsi="Times New Roman" w:eastAsia="宋体" w:cs="Times New Roman"/>
          <w:snapToGrid w:val="0"/>
          <w:color w:val="auto"/>
          <w:highlight w:val="none"/>
        </w:rPr>
        <w:t>、总大肠菌群。共计29项。具体分析方法见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w:t>
      </w:r>
    </w:p>
    <w:p w14:paraId="3DC2D18F">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7  </w:t>
      </w:r>
      <w:r>
        <w:rPr>
          <w:rFonts w:hint="default" w:ascii="Times New Roman" w:hAnsi="Times New Roman" w:eastAsia="黑体" w:cs="Times New Roman"/>
          <w:b w:val="0"/>
          <w:bCs/>
          <w:smallCaps w:val="0"/>
          <w:snapToGrid/>
          <w:color w:val="auto"/>
          <w:kern w:val="2"/>
          <w:sz w:val="21"/>
          <w:szCs w:val="24"/>
          <w:highlight w:val="none"/>
          <w:lang w:val="en-US" w:eastAsia="zh-CN" w:bidi="ar-SA"/>
        </w:rPr>
        <w:t>监测分析方法一览表</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4"/>
        <w:gridCol w:w="6184"/>
      </w:tblGrid>
      <w:tr w14:paraId="3AE69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76858FC9">
            <w:pPr>
              <w:pStyle w:val="152"/>
              <w:adjustRightInd w:val="0"/>
              <w:snapToGrid w:val="0"/>
              <w:spacing w:line="240" w:lineRule="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项目</w:t>
            </w:r>
          </w:p>
        </w:tc>
        <w:tc>
          <w:tcPr>
            <w:tcW w:w="3625" w:type="pct"/>
            <w:noWrap w:val="0"/>
            <w:vAlign w:val="center"/>
          </w:tcPr>
          <w:p w14:paraId="1B9D9CD4">
            <w:pPr>
              <w:pStyle w:val="152"/>
              <w:adjustRightInd w:val="0"/>
              <w:snapToGrid w:val="0"/>
              <w:spacing w:line="240" w:lineRule="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分析方法名称</w:t>
            </w:r>
          </w:p>
        </w:tc>
      </w:tr>
      <w:tr w14:paraId="2B36BE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3A3AF5FB">
            <w:pPr>
              <w:widowControl/>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ascii="Times New Roman" w:hAnsi="Times New Roman"/>
                <w:snapToGrid w:val="0"/>
                <w:kern w:val="0"/>
                <w:sz w:val="21"/>
                <w:szCs w:val="21"/>
                <w:highlight w:val="none"/>
                <w:lang w:bidi="ar"/>
              </w:rPr>
              <w:t>pH</w:t>
            </w:r>
          </w:p>
        </w:tc>
        <w:tc>
          <w:tcPr>
            <w:tcW w:w="3625" w:type="pct"/>
            <w:noWrap w:val="0"/>
            <w:vAlign w:val="center"/>
          </w:tcPr>
          <w:p w14:paraId="5D0B4CD6">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pH值的测定 玻璃电极法</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HJ</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1147-2020</w:t>
            </w:r>
          </w:p>
        </w:tc>
      </w:tr>
      <w:tr w14:paraId="30D92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7AC3359">
            <w:pPr>
              <w:widowControl/>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snapToGrid w:val="0"/>
                <w:kern w:val="0"/>
                <w:sz w:val="21"/>
                <w:szCs w:val="21"/>
                <w:highlight w:val="none"/>
                <w:lang w:bidi="ar"/>
              </w:rPr>
              <w:t>总硬度</w:t>
            </w:r>
          </w:p>
        </w:tc>
        <w:tc>
          <w:tcPr>
            <w:tcW w:w="3625" w:type="pct"/>
            <w:noWrap w:val="0"/>
            <w:vAlign w:val="center"/>
          </w:tcPr>
          <w:p w14:paraId="06F7CBA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钙和镁总量的测定EDTA 滴定法GB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7477-87</w:t>
            </w:r>
          </w:p>
        </w:tc>
      </w:tr>
      <w:tr w14:paraId="25AD19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339A3F2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溶解性总固体</w:t>
            </w:r>
          </w:p>
        </w:tc>
        <w:tc>
          <w:tcPr>
            <w:tcW w:w="3625" w:type="pct"/>
            <w:noWrap w:val="0"/>
            <w:vAlign w:val="center"/>
          </w:tcPr>
          <w:p w14:paraId="1F620ED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生活饮用水标准检验方法 第 4 部分：感官性状和物理指标 GB/T 5750.4-2023（11.1 溶解性总固体 称量法）</w:t>
            </w:r>
          </w:p>
        </w:tc>
      </w:tr>
      <w:tr w14:paraId="49D7F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7EDFE7E">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硝酸盐（以N计）</w:t>
            </w:r>
          </w:p>
        </w:tc>
        <w:tc>
          <w:tcPr>
            <w:tcW w:w="3625" w:type="pct"/>
            <w:vMerge w:val="restart"/>
            <w:noWrap w:val="0"/>
            <w:vAlign w:val="center"/>
          </w:tcPr>
          <w:p w14:paraId="30A878B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无机阴离子(F</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、Cl</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、NO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、Br</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、NO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、PO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snapToGrid w:val="0"/>
                <w:color w:val="auto"/>
                <w:kern w:val="0"/>
                <w:sz w:val="21"/>
                <w:szCs w:val="21"/>
                <w:highlight w:val="none"/>
                <w:u w:val="none"/>
                <w:lang w:val="en-US" w:eastAsia="zh-CN" w:bidi="ar"/>
              </w:rPr>
              <w:t>、SO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snapToGrid w:val="0"/>
                <w:color w:val="auto"/>
                <w:kern w:val="0"/>
                <w:sz w:val="21"/>
                <w:szCs w:val="21"/>
                <w:highlight w:val="none"/>
                <w:u w:val="none"/>
                <w:lang w:val="en-US" w:eastAsia="zh-CN" w:bidi="ar"/>
              </w:rPr>
              <w:t>、SO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snapToGrid w:val="0"/>
                <w:color w:val="auto"/>
                <w:kern w:val="0"/>
                <w:sz w:val="21"/>
                <w:szCs w:val="21"/>
                <w:highlight w:val="none"/>
                <w:u w:val="none"/>
                <w:lang w:val="en-US" w:eastAsia="zh-CN" w:bidi="ar"/>
              </w:rPr>
              <w:t>)的测定离子色谱法HJ</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84-2016</w:t>
            </w:r>
          </w:p>
        </w:tc>
      </w:tr>
      <w:tr w14:paraId="469B8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54B9D2B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氟</w:t>
            </w:r>
            <w:r>
              <w:rPr>
                <w:rFonts w:hint="eastAsia" w:ascii="Times New Roman" w:hAnsi="Times New Roman" w:cs="Times New Roman"/>
                <w:i w:val="0"/>
                <w:snapToGrid w:val="0"/>
                <w:color w:val="auto"/>
                <w:kern w:val="0"/>
                <w:sz w:val="21"/>
                <w:szCs w:val="21"/>
                <w:highlight w:val="none"/>
                <w:u w:val="none"/>
                <w:lang w:val="en-US" w:eastAsia="zh-CN" w:bidi="ar"/>
              </w:rPr>
              <w:t>离子</w:t>
            </w:r>
          </w:p>
        </w:tc>
        <w:tc>
          <w:tcPr>
            <w:tcW w:w="3625" w:type="pct"/>
            <w:vMerge w:val="continue"/>
            <w:noWrap w:val="0"/>
            <w:vAlign w:val="center"/>
          </w:tcPr>
          <w:p w14:paraId="3B1440B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p>
        </w:tc>
      </w:tr>
      <w:tr w14:paraId="5A6BD3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0268E4B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氯离子</w:t>
            </w:r>
          </w:p>
        </w:tc>
        <w:tc>
          <w:tcPr>
            <w:tcW w:w="3625" w:type="pct"/>
            <w:vMerge w:val="continue"/>
            <w:noWrap w:val="0"/>
            <w:vAlign w:val="center"/>
          </w:tcPr>
          <w:p w14:paraId="6890BA2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p>
        </w:tc>
      </w:tr>
      <w:tr w14:paraId="38B4EC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690B5EA6">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硫酸根</w:t>
            </w:r>
          </w:p>
        </w:tc>
        <w:tc>
          <w:tcPr>
            <w:tcW w:w="3625" w:type="pct"/>
            <w:vMerge w:val="continue"/>
            <w:noWrap w:val="0"/>
            <w:vAlign w:val="center"/>
          </w:tcPr>
          <w:p w14:paraId="3B9D9565">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p>
        </w:tc>
      </w:tr>
      <w:tr w14:paraId="4EBFB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030C26A">
            <w:pPr>
              <w:widowControl/>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ascii="Times New Roman" w:hAnsi="Times New Roman"/>
                <w:snapToGrid w:val="0"/>
                <w:kern w:val="0"/>
                <w:sz w:val="21"/>
                <w:szCs w:val="21"/>
                <w:highlight w:val="none"/>
                <w:lang w:bidi="ar"/>
              </w:rPr>
              <w:t>亚硝酸盐</w:t>
            </w:r>
            <w:r>
              <w:rPr>
                <w:rFonts w:hint="eastAsia" w:ascii="Times New Roman" w:hAnsi="Times New Roman"/>
                <w:snapToGrid w:val="0"/>
                <w:kern w:val="0"/>
                <w:sz w:val="21"/>
                <w:szCs w:val="21"/>
                <w:highlight w:val="none"/>
                <w:lang w:bidi="ar"/>
              </w:rPr>
              <w:t>（以N计）</w:t>
            </w:r>
          </w:p>
        </w:tc>
        <w:tc>
          <w:tcPr>
            <w:tcW w:w="3625" w:type="pct"/>
            <w:noWrap w:val="0"/>
            <w:vAlign w:val="center"/>
          </w:tcPr>
          <w:p w14:paraId="6C56BD9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亚硝酸盐氮的测定 分光光度法 GB 7493-87</w:t>
            </w:r>
          </w:p>
        </w:tc>
      </w:tr>
      <w:tr w14:paraId="642C0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4A7373D1">
            <w:pPr>
              <w:widowControl/>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ascii="Times New Roman" w:hAnsi="Times New Roman"/>
                <w:snapToGrid w:val="0"/>
                <w:kern w:val="0"/>
                <w:sz w:val="21"/>
                <w:szCs w:val="21"/>
                <w:highlight w:val="none"/>
                <w:lang w:bidi="ar"/>
              </w:rPr>
              <w:t>氨氮</w:t>
            </w:r>
            <w:r>
              <w:rPr>
                <w:rFonts w:hint="eastAsia" w:ascii="Times New Roman" w:hAnsi="Times New Roman"/>
                <w:snapToGrid w:val="0"/>
                <w:kern w:val="0"/>
                <w:sz w:val="21"/>
                <w:szCs w:val="21"/>
                <w:highlight w:val="none"/>
                <w:lang w:bidi="ar"/>
              </w:rPr>
              <w:t>（以N计）</w:t>
            </w:r>
          </w:p>
        </w:tc>
        <w:tc>
          <w:tcPr>
            <w:tcW w:w="3625" w:type="pct"/>
            <w:noWrap w:val="0"/>
            <w:vAlign w:val="center"/>
          </w:tcPr>
          <w:p w14:paraId="21CD201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氨氮的测定 纳氏试剂分光光度法 HJ 535-2009</w:t>
            </w:r>
          </w:p>
        </w:tc>
      </w:tr>
      <w:tr w14:paraId="65CD3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6AACF778">
            <w:pPr>
              <w:widowControl/>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ascii="Times New Roman" w:hAnsi="Times New Roman"/>
                <w:snapToGrid w:val="0"/>
                <w:kern w:val="0"/>
                <w:sz w:val="21"/>
                <w:szCs w:val="21"/>
                <w:highlight w:val="none"/>
                <w:lang w:bidi="ar"/>
              </w:rPr>
              <w:t>挥发</w:t>
            </w:r>
            <w:r>
              <w:rPr>
                <w:rFonts w:hint="eastAsia" w:ascii="Times New Roman" w:hAnsi="Times New Roman"/>
                <w:snapToGrid w:val="0"/>
                <w:kern w:val="0"/>
                <w:sz w:val="21"/>
                <w:szCs w:val="21"/>
                <w:highlight w:val="none"/>
                <w:lang w:bidi="ar"/>
              </w:rPr>
              <w:t>性酚类（以苯酚计）</w:t>
            </w:r>
          </w:p>
        </w:tc>
        <w:tc>
          <w:tcPr>
            <w:tcW w:w="3625" w:type="pct"/>
            <w:noWrap w:val="0"/>
            <w:vAlign w:val="center"/>
          </w:tcPr>
          <w:p w14:paraId="6923714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挥发酚的测定 4-氨基安替比林分光光度法 HJ 503-2009（方法 1 萃取分光光度法）</w:t>
            </w:r>
          </w:p>
        </w:tc>
      </w:tr>
      <w:tr w14:paraId="5E1651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CAF8AD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氰化物</w:t>
            </w:r>
          </w:p>
        </w:tc>
        <w:tc>
          <w:tcPr>
            <w:tcW w:w="3625" w:type="pct"/>
            <w:noWrap w:val="0"/>
            <w:vAlign w:val="center"/>
          </w:tcPr>
          <w:p w14:paraId="2732237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生活饮用水标准检验方法 第 5 部分：无机非金属指标 GB/T 5750.5-2023（7.1 氰化物 异烟酸-吡唑啉酮分光光度法）</w:t>
            </w:r>
          </w:p>
        </w:tc>
      </w:tr>
      <w:tr w14:paraId="46900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58FB40D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铬（六价）</w:t>
            </w:r>
          </w:p>
        </w:tc>
        <w:tc>
          <w:tcPr>
            <w:tcW w:w="3625" w:type="pct"/>
            <w:noWrap w:val="0"/>
            <w:vAlign w:val="center"/>
          </w:tcPr>
          <w:p w14:paraId="1790386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生活饮用水标准检验方法 第 6 部分：金属和类金属指标 GB/T 5750.6-2023（13.1 铬（六价） 二苯碳酰二肼分光光度法）</w:t>
            </w:r>
          </w:p>
        </w:tc>
      </w:tr>
      <w:tr w14:paraId="52AE86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027F7F35">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b w:val="0"/>
                <w:bCs/>
                <w:snapToGrid w:val="0"/>
                <w:color w:val="auto"/>
                <w:sz w:val="21"/>
                <w:szCs w:val="21"/>
                <w:highlight w:val="none"/>
              </w:rPr>
              <w:t>耗氧量</w:t>
            </w:r>
            <w:r>
              <w:rPr>
                <w:rFonts w:hint="eastAsia" w:ascii="Times New Roman" w:hAnsi="Times New Roman" w:cs="Times New Roman"/>
                <w:b w:val="0"/>
                <w:bCs/>
                <w:snapToGrid w:val="0"/>
                <w:color w:val="auto"/>
                <w:sz w:val="21"/>
                <w:szCs w:val="21"/>
                <w:highlight w:val="none"/>
                <w:lang w:eastAsia="zh-CN"/>
              </w:rPr>
              <w:t>（</w:t>
            </w:r>
            <w:r>
              <w:rPr>
                <w:rFonts w:hint="eastAsia" w:ascii="Times New Roman" w:hAnsi="Times New Roman" w:cs="Times New Roman"/>
                <w:b w:val="0"/>
                <w:bCs/>
                <w:snapToGrid w:val="0"/>
                <w:color w:val="auto"/>
                <w:sz w:val="21"/>
                <w:szCs w:val="21"/>
                <w:highlight w:val="none"/>
                <w:lang w:val="en-US" w:eastAsia="zh-CN"/>
              </w:rPr>
              <w:t>COD</w:t>
            </w:r>
            <w:r>
              <w:rPr>
                <w:rFonts w:hint="eastAsia" w:ascii="Times New Roman" w:hAnsi="Times New Roman" w:cs="Times New Roman"/>
                <w:b w:val="0"/>
                <w:bCs/>
                <w:snapToGrid w:val="0"/>
                <w:color w:val="auto"/>
                <w:sz w:val="21"/>
                <w:szCs w:val="21"/>
                <w:highlight w:val="none"/>
                <w:vertAlign w:val="subscript"/>
                <w:lang w:val="en-US" w:eastAsia="zh-CN"/>
              </w:rPr>
              <w:t>Mn</w:t>
            </w:r>
            <w:r>
              <w:rPr>
                <w:rFonts w:hint="eastAsia" w:ascii="Times New Roman" w:hAnsi="Times New Roman" w:cs="Times New Roman"/>
                <w:b w:val="0"/>
                <w:bCs/>
                <w:snapToGrid w:val="0"/>
                <w:color w:val="auto"/>
                <w:sz w:val="21"/>
                <w:szCs w:val="21"/>
                <w:highlight w:val="none"/>
                <w:vertAlign w:val="baseline"/>
                <w:lang w:val="en-US" w:eastAsia="zh-CN"/>
              </w:rPr>
              <w:t>法，以O</w:t>
            </w:r>
            <w:r>
              <w:rPr>
                <w:rFonts w:hint="eastAsia" w:ascii="Times New Roman" w:hAnsi="Times New Roman" w:cs="Times New Roman"/>
                <w:b w:val="0"/>
                <w:bCs/>
                <w:snapToGrid w:val="0"/>
                <w:color w:val="auto"/>
                <w:sz w:val="21"/>
                <w:szCs w:val="21"/>
                <w:highlight w:val="none"/>
                <w:vertAlign w:val="subscript"/>
                <w:lang w:val="en-US" w:eastAsia="zh-CN"/>
              </w:rPr>
              <w:t>2</w:t>
            </w:r>
            <w:r>
              <w:rPr>
                <w:rFonts w:hint="eastAsia" w:ascii="Times New Roman" w:hAnsi="Times New Roman" w:cs="Times New Roman"/>
                <w:b w:val="0"/>
                <w:bCs/>
                <w:snapToGrid w:val="0"/>
                <w:color w:val="auto"/>
                <w:sz w:val="21"/>
                <w:szCs w:val="21"/>
                <w:highlight w:val="none"/>
                <w:vertAlign w:val="baseline"/>
                <w:lang w:val="en-US" w:eastAsia="zh-CN"/>
              </w:rPr>
              <w:t>计</w:t>
            </w:r>
            <w:r>
              <w:rPr>
                <w:rFonts w:hint="eastAsia" w:ascii="Times New Roman" w:hAnsi="Times New Roman" w:cs="Times New Roman"/>
                <w:b w:val="0"/>
                <w:bCs/>
                <w:snapToGrid w:val="0"/>
                <w:color w:val="auto"/>
                <w:sz w:val="21"/>
                <w:szCs w:val="21"/>
                <w:highlight w:val="none"/>
                <w:lang w:eastAsia="zh-CN"/>
              </w:rPr>
              <w:t>）</w:t>
            </w:r>
          </w:p>
        </w:tc>
        <w:tc>
          <w:tcPr>
            <w:tcW w:w="3625" w:type="pct"/>
            <w:noWrap w:val="0"/>
            <w:vAlign w:val="center"/>
          </w:tcPr>
          <w:p w14:paraId="21161A1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高锰酸盐指数的测定GB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11892-89</w:t>
            </w:r>
          </w:p>
        </w:tc>
      </w:tr>
      <w:tr w14:paraId="17F01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726EF6B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铁</w:t>
            </w:r>
          </w:p>
        </w:tc>
        <w:tc>
          <w:tcPr>
            <w:tcW w:w="3625" w:type="pct"/>
            <w:noWrap w:val="0"/>
            <w:vAlign w:val="center"/>
          </w:tcPr>
          <w:p w14:paraId="526C819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铁、锰的测定 火焰原子吸收分光光度法GB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11911-89</w:t>
            </w:r>
          </w:p>
        </w:tc>
      </w:tr>
      <w:tr w14:paraId="19073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098A309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锰</w:t>
            </w:r>
          </w:p>
        </w:tc>
        <w:tc>
          <w:tcPr>
            <w:tcW w:w="3625" w:type="pct"/>
            <w:noWrap w:val="0"/>
            <w:vAlign w:val="center"/>
          </w:tcPr>
          <w:p w14:paraId="446F5846">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铁、锰的测定 火焰原子吸收分光光度法GB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11911-89</w:t>
            </w:r>
          </w:p>
        </w:tc>
      </w:tr>
      <w:tr w14:paraId="1ECD6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7C2364B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汞</w:t>
            </w:r>
          </w:p>
        </w:tc>
        <w:tc>
          <w:tcPr>
            <w:tcW w:w="3625" w:type="pct"/>
            <w:noWrap w:val="0"/>
            <w:vAlign w:val="center"/>
          </w:tcPr>
          <w:p w14:paraId="65CC275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总汞的测定 冷原子吸收分光光度法HJ</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597-2011</w:t>
            </w:r>
          </w:p>
        </w:tc>
      </w:tr>
      <w:tr w14:paraId="25F5D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BF3964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砷</w:t>
            </w:r>
          </w:p>
        </w:tc>
        <w:tc>
          <w:tcPr>
            <w:tcW w:w="3625" w:type="pct"/>
            <w:noWrap w:val="0"/>
            <w:vAlign w:val="center"/>
          </w:tcPr>
          <w:p w14:paraId="4812B5B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汞、砷、硒、铋和锑的测定 原子荧光法 HJ 694-2014</w:t>
            </w:r>
          </w:p>
        </w:tc>
      </w:tr>
      <w:tr w14:paraId="458617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420827F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铅</w:t>
            </w:r>
          </w:p>
        </w:tc>
        <w:tc>
          <w:tcPr>
            <w:tcW w:w="3625" w:type="pct"/>
            <w:noWrap w:val="0"/>
            <w:vAlign w:val="center"/>
          </w:tcPr>
          <w:p w14:paraId="2113F8D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铜、铅、镉 石墨炉原子吸收法《水和废水监测分析方法》（第四版）国家环境保护总局（2002 年）</w:t>
            </w:r>
          </w:p>
        </w:tc>
      </w:tr>
      <w:tr w14:paraId="64568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032F88F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镉</w:t>
            </w:r>
          </w:p>
        </w:tc>
        <w:tc>
          <w:tcPr>
            <w:tcW w:w="3625" w:type="pct"/>
            <w:noWrap w:val="0"/>
            <w:vAlign w:val="center"/>
          </w:tcPr>
          <w:p w14:paraId="2CF57C1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铜、铅、镉 石墨炉原子吸收法《水和废水监测分析方法》（第四版）国家环境保护总局（2002 年）</w:t>
            </w:r>
          </w:p>
        </w:tc>
      </w:tr>
      <w:tr w14:paraId="0AD9CC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476455B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总大肠菌群</w:t>
            </w:r>
          </w:p>
        </w:tc>
        <w:tc>
          <w:tcPr>
            <w:tcW w:w="3625" w:type="pct"/>
            <w:noWrap w:val="0"/>
            <w:vAlign w:val="center"/>
          </w:tcPr>
          <w:p w14:paraId="1BF9847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总大肠菌群 多管发酵法《水和废水监测分析方法》（第四版）国家环境保护总局 （2002年）</w:t>
            </w:r>
          </w:p>
        </w:tc>
      </w:tr>
      <w:tr w14:paraId="4A2E53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28D49CD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菌落总数</w:t>
            </w:r>
          </w:p>
        </w:tc>
        <w:tc>
          <w:tcPr>
            <w:tcW w:w="3625" w:type="pct"/>
            <w:noWrap w:val="0"/>
            <w:vAlign w:val="center"/>
          </w:tcPr>
          <w:p w14:paraId="1E9E9B24">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水质 细菌总数的测定 平皿计数法 HJ 1000-2018</w:t>
            </w:r>
          </w:p>
        </w:tc>
      </w:tr>
      <w:tr w14:paraId="47CC12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0B48ADE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钾</w:t>
            </w:r>
          </w:p>
        </w:tc>
        <w:tc>
          <w:tcPr>
            <w:tcW w:w="3625" w:type="pct"/>
            <w:vMerge w:val="restart"/>
            <w:noWrap w:val="0"/>
            <w:vAlign w:val="center"/>
          </w:tcPr>
          <w:p w14:paraId="59ED5F5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eastAsia="宋体" w:cs="Times New Roman"/>
                <w:i w:val="0"/>
                <w:snapToGrid w:val="0"/>
                <w:color w:val="auto"/>
                <w:kern w:val="0"/>
                <w:sz w:val="21"/>
                <w:szCs w:val="21"/>
                <w:highlight w:val="none"/>
                <w:u w:val="none"/>
                <w:lang w:val="en-US" w:eastAsia="zh-CN" w:bidi="ar"/>
              </w:rPr>
              <w:t>水质 可溶性阳离子（Li</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eastAsia="宋体" w:cs="Times New Roman"/>
                <w:i w:val="0"/>
                <w:snapToGrid w:val="0"/>
                <w:color w:val="auto"/>
                <w:kern w:val="0"/>
                <w:sz w:val="21"/>
                <w:szCs w:val="21"/>
                <w:highlight w:val="none"/>
                <w:u w:val="none"/>
                <w:lang w:val="en-US" w:eastAsia="zh-CN" w:bidi="ar"/>
              </w:rPr>
              <w:t>、Na</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eastAsia="宋体" w:cs="Times New Roman"/>
                <w:i w:val="0"/>
                <w:snapToGrid w:val="0"/>
                <w:color w:val="auto"/>
                <w:kern w:val="0"/>
                <w:sz w:val="21"/>
                <w:szCs w:val="21"/>
                <w:highlight w:val="none"/>
                <w:u w:val="none"/>
                <w:lang w:val="en-US" w:eastAsia="zh-CN" w:bidi="ar"/>
              </w:rPr>
              <w:t>、NH</w:t>
            </w:r>
            <w:r>
              <w:rPr>
                <w:rFonts w:hint="eastAsia"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eastAsia="宋体" w:cs="Times New Roman"/>
                <w:i w:val="0"/>
                <w:snapToGrid w:val="0"/>
                <w:color w:val="auto"/>
                <w:kern w:val="0"/>
                <w:sz w:val="21"/>
                <w:szCs w:val="21"/>
                <w:highlight w:val="none"/>
                <w:u w:val="none"/>
                <w:lang w:val="en-US" w:eastAsia="zh-CN" w:bidi="ar"/>
              </w:rPr>
              <w:t>、K</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eastAsia="宋体" w:cs="Times New Roman"/>
                <w:i w:val="0"/>
                <w:snapToGrid w:val="0"/>
                <w:color w:val="auto"/>
                <w:kern w:val="0"/>
                <w:sz w:val="21"/>
                <w:szCs w:val="21"/>
                <w:highlight w:val="none"/>
                <w:u w:val="none"/>
                <w:lang w:val="en-US" w:eastAsia="zh-CN" w:bidi="ar"/>
              </w:rPr>
              <w:t>、Ca</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eastAsia" w:ascii="Times New Roman" w:hAnsi="Times New Roman" w:eastAsia="宋体" w:cs="Times New Roman"/>
                <w:i w:val="0"/>
                <w:snapToGrid w:val="0"/>
                <w:color w:val="auto"/>
                <w:kern w:val="0"/>
                <w:sz w:val="21"/>
                <w:szCs w:val="21"/>
                <w:highlight w:val="none"/>
                <w:u w:val="none"/>
                <w:lang w:val="en-US" w:eastAsia="zh-CN" w:bidi="ar"/>
              </w:rPr>
              <w:t>、Mg</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eastAsia" w:ascii="Times New Roman" w:hAnsi="Times New Roman" w:eastAsia="宋体" w:cs="Times New Roman"/>
                <w:i w:val="0"/>
                <w:snapToGrid w:val="0"/>
                <w:color w:val="auto"/>
                <w:kern w:val="0"/>
                <w:sz w:val="21"/>
                <w:szCs w:val="21"/>
                <w:highlight w:val="none"/>
                <w:u w:val="none"/>
                <w:lang w:val="en-US" w:eastAsia="zh-CN" w:bidi="ar"/>
              </w:rPr>
              <w:t>）的测定 离子色谱法</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eastAsia" w:ascii="Times New Roman" w:hAnsi="Times New Roman" w:eastAsia="宋体" w:cs="Times New Roman"/>
                <w:i w:val="0"/>
                <w:snapToGrid w:val="0"/>
                <w:color w:val="auto"/>
                <w:kern w:val="0"/>
                <w:sz w:val="21"/>
                <w:szCs w:val="21"/>
                <w:highlight w:val="none"/>
                <w:u w:val="none"/>
                <w:lang w:val="en-US" w:eastAsia="zh-CN" w:bidi="ar"/>
              </w:rPr>
              <w:t>HJ812-2016</w:t>
            </w:r>
          </w:p>
        </w:tc>
      </w:tr>
      <w:tr w14:paraId="08EEA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6167F39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钠</w:t>
            </w:r>
          </w:p>
        </w:tc>
        <w:tc>
          <w:tcPr>
            <w:tcW w:w="3625" w:type="pct"/>
            <w:vMerge w:val="continue"/>
            <w:noWrap w:val="0"/>
            <w:vAlign w:val="center"/>
          </w:tcPr>
          <w:p w14:paraId="6679221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p>
        </w:tc>
      </w:tr>
      <w:tr w14:paraId="0DA15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072FAB05">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钙</w:t>
            </w:r>
          </w:p>
        </w:tc>
        <w:tc>
          <w:tcPr>
            <w:tcW w:w="3625" w:type="pct"/>
            <w:vMerge w:val="continue"/>
            <w:noWrap w:val="0"/>
            <w:vAlign w:val="center"/>
          </w:tcPr>
          <w:p w14:paraId="386B5B3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p>
        </w:tc>
      </w:tr>
      <w:tr w14:paraId="6D63DA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56181E84">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镁</w:t>
            </w:r>
          </w:p>
        </w:tc>
        <w:tc>
          <w:tcPr>
            <w:tcW w:w="3625" w:type="pct"/>
            <w:vMerge w:val="continue"/>
            <w:noWrap w:val="0"/>
            <w:vAlign w:val="center"/>
          </w:tcPr>
          <w:p w14:paraId="52CBDD0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p>
        </w:tc>
      </w:tr>
      <w:tr w14:paraId="5F1505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50431D9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碱度</w:t>
            </w:r>
            <w:r>
              <w:rPr>
                <w:rFonts w:hint="eastAsia" w:ascii="Times New Roman" w:hAnsi="Times New Roman" w:eastAsia="宋体" w:cs="Times New Roman"/>
                <w:i w:val="0"/>
                <w:snapToGrid w:val="0"/>
                <w:color w:val="auto"/>
                <w:kern w:val="0"/>
                <w:sz w:val="21"/>
                <w:szCs w:val="21"/>
                <w:highlight w:val="none"/>
                <w:u w:val="none"/>
                <w:lang w:val="en-US" w:eastAsia="zh-CN" w:bidi="ar"/>
              </w:rPr>
              <w:t>（CO</w:t>
            </w:r>
            <w:r>
              <w:rPr>
                <w:rFonts w:hint="eastAsia"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eastAsia" w:ascii="Times New Roman" w:hAnsi="Times New Roman" w:cs="Times New Roman"/>
                <w:i w:val="0"/>
                <w:snapToGrid w:val="0"/>
                <w:color w:val="auto"/>
                <w:kern w:val="0"/>
                <w:sz w:val="21"/>
                <w:szCs w:val="21"/>
                <w:highlight w:val="none"/>
                <w:u w:val="none"/>
                <w:lang w:val="en-US" w:eastAsia="zh-CN" w:bidi="ar"/>
              </w:rPr>
              <w:t>）</w:t>
            </w:r>
          </w:p>
        </w:tc>
        <w:tc>
          <w:tcPr>
            <w:tcW w:w="3625" w:type="pct"/>
            <w:noWrap w:val="0"/>
            <w:vAlign w:val="center"/>
          </w:tcPr>
          <w:p w14:paraId="39FE61F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碱度 酸碱指示剂滴定法《水和废水监测分析方法》（第四版）国家环境保护总局（2002年）</w:t>
            </w:r>
          </w:p>
        </w:tc>
      </w:tr>
      <w:tr w14:paraId="77D77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64EF2F6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碱度</w:t>
            </w:r>
            <w:r>
              <w:rPr>
                <w:rFonts w:hint="eastAsia" w:ascii="Times New Roman" w:hAnsi="Times New Roman" w:eastAsia="宋体" w:cs="Times New Roman"/>
                <w:i w:val="0"/>
                <w:snapToGrid w:val="0"/>
                <w:color w:val="auto"/>
                <w:kern w:val="0"/>
                <w:sz w:val="21"/>
                <w:szCs w:val="21"/>
                <w:highlight w:val="none"/>
                <w:u w:val="none"/>
                <w:lang w:val="en-US" w:eastAsia="zh-CN" w:bidi="ar"/>
              </w:rPr>
              <w:t>（HCO</w:t>
            </w:r>
            <w:r>
              <w:rPr>
                <w:rFonts w:hint="eastAsia" w:ascii="Times New Roman" w:hAnsi="Times New Roman" w:cs="Times New Roman"/>
                <w:i w:val="0"/>
                <w:snapToGrid w:val="0"/>
                <w:color w:val="auto"/>
                <w:kern w:val="0"/>
                <w:sz w:val="21"/>
                <w:szCs w:val="21"/>
                <w:highlight w:val="none"/>
                <w:u w:val="none"/>
                <w:vertAlign w:val="subscript"/>
                <w:lang w:val="en-US" w:eastAsia="zh-CN" w:bidi="ar"/>
              </w:rPr>
              <w:t>3</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cs="Times New Roman"/>
                <w:i w:val="0"/>
                <w:snapToGrid w:val="0"/>
                <w:color w:val="auto"/>
                <w:kern w:val="0"/>
                <w:sz w:val="21"/>
                <w:szCs w:val="21"/>
                <w:highlight w:val="none"/>
                <w:u w:val="none"/>
                <w:lang w:val="en-US" w:eastAsia="zh-CN" w:bidi="ar"/>
              </w:rPr>
              <w:t>）</w:t>
            </w:r>
          </w:p>
        </w:tc>
        <w:tc>
          <w:tcPr>
            <w:tcW w:w="3625" w:type="pct"/>
            <w:noWrap w:val="0"/>
            <w:vAlign w:val="center"/>
          </w:tcPr>
          <w:p w14:paraId="2C0A0A6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碱度 酸碱指示剂滴定法《水和废水监测分析方法》（第四版）国家环境保护总局（2002年）</w:t>
            </w:r>
          </w:p>
        </w:tc>
      </w:tr>
      <w:tr w14:paraId="5DD6B2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6F89A8A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氯化物</w:t>
            </w:r>
          </w:p>
        </w:tc>
        <w:tc>
          <w:tcPr>
            <w:tcW w:w="3625" w:type="pct"/>
            <w:noWrap w:val="0"/>
            <w:vAlign w:val="center"/>
          </w:tcPr>
          <w:p w14:paraId="4E43116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水质 无机阴离子(F</w:t>
            </w:r>
            <w:r>
              <w:rPr>
                <w:rFonts w:hint="default" w:ascii="Times New Roman" w:hAnsi="Times New Roman" w:eastAsia="宋体" w:cs="Times New Roman"/>
                <w:snapToGrid w:val="0"/>
                <w:color w:val="auto"/>
                <w:sz w:val="21"/>
                <w:szCs w:val="21"/>
                <w:highlight w:val="none"/>
                <w:vertAlign w:val="superscript"/>
              </w:rPr>
              <w:t>-</w:t>
            </w:r>
            <w:r>
              <w:rPr>
                <w:rFonts w:hint="default" w:ascii="Times New Roman" w:hAnsi="Times New Roman" w:eastAsia="宋体" w:cs="Times New Roman"/>
                <w:snapToGrid w:val="0"/>
                <w:color w:val="auto"/>
                <w:sz w:val="21"/>
                <w:szCs w:val="21"/>
                <w:highlight w:val="none"/>
              </w:rPr>
              <w:t>、Cl</w:t>
            </w:r>
            <w:r>
              <w:rPr>
                <w:rFonts w:hint="default" w:ascii="Times New Roman" w:hAnsi="Times New Roman" w:eastAsia="宋体" w:cs="Times New Roman"/>
                <w:snapToGrid w:val="0"/>
                <w:color w:val="auto"/>
                <w:sz w:val="21"/>
                <w:szCs w:val="21"/>
                <w:highlight w:val="none"/>
                <w:vertAlign w:val="superscript"/>
              </w:rPr>
              <w:t>-</w:t>
            </w:r>
            <w:r>
              <w:rPr>
                <w:rFonts w:hint="default" w:ascii="Times New Roman" w:hAnsi="Times New Roman" w:eastAsia="宋体" w:cs="Times New Roman"/>
                <w:snapToGrid w:val="0"/>
                <w:color w:val="auto"/>
                <w:sz w:val="21"/>
                <w:szCs w:val="21"/>
                <w:highlight w:val="none"/>
              </w:rPr>
              <w:t>、NO</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rPr>
              <w:t>、Br</w:t>
            </w:r>
            <w:r>
              <w:rPr>
                <w:rFonts w:hint="default" w:ascii="Times New Roman" w:hAnsi="Times New Roman" w:eastAsia="宋体" w:cs="Times New Roman"/>
                <w:snapToGrid w:val="0"/>
                <w:color w:val="auto"/>
                <w:sz w:val="21"/>
                <w:szCs w:val="21"/>
                <w:highlight w:val="none"/>
                <w:vertAlign w:val="superscript"/>
              </w:rPr>
              <w:t>-</w:t>
            </w:r>
            <w:r>
              <w:rPr>
                <w:rFonts w:hint="default" w:ascii="Times New Roman" w:hAnsi="Times New Roman" w:eastAsia="宋体" w:cs="Times New Roman"/>
                <w:snapToGrid w:val="0"/>
                <w:color w:val="auto"/>
                <w:sz w:val="21"/>
                <w:szCs w:val="21"/>
                <w:highlight w:val="none"/>
              </w:rPr>
              <w:t>、NO</w:t>
            </w:r>
            <w:r>
              <w:rPr>
                <w:rFonts w:hint="default" w:ascii="Times New Roman" w:hAnsi="Times New Roman" w:eastAsia="宋体" w:cs="Times New Roman"/>
                <w:snapToGrid w:val="0"/>
                <w:color w:val="auto"/>
                <w:sz w:val="21"/>
                <w:szCs w:val="21"/>
                <w:highlight w:val="none"/>
                <w:vertAlign w:val="superscript"/>
              </w:rPr>
              <w:t>3-</w:t>
            </w:r>
            <w:r>
              <w:rPr>
                <w:rFonts w:hint="default" w:ascii="Times New Roman" w:hAnsi="Times New Roman" w:eastAsia="宋体" w:cs="Times New Roman"/>
                <w:snapToGrid w:val="0"/>
                <w:color w:val="auto"/>
                <w:sz w:val="21"/>
                <w:szCs w:val="21"/>
                <w:highlight w:val="none"/>
              </w:rPr>
              <w:t>、PO</w:t>
            </w:r>
            <w:r>
              <w:rPr>
                <w:rFonts w:hint="default" w:ascii="Times New Roman" w:hAnsi="Times New Roman" w:eastAsia="宋体" w:cs="Times New Roman"/>
                <w:snapToGrid w:val="0"/>
                <w:color w:val="auto"/>
                <w:sz w:val="21"/>
                <w:szCs w:val="21"/>
                <w:highlight w:val="none"/>
                <w:vertAlign w:val="subscript"/>
              </w:rPr>
              <w:t>4</w:t>
            </w:r>
            <w:r>
              <w:rPr>
                <w:rFonts w:hint="default" w:ascii="Times New Roman" w:hAnsi="Times New Roman" w:eastAsia="宋体" w:cs="Times New Roman"/>
                <w:snapToGrid w:val="0"/>
                <w:color w:val="auto"/>
                <w:sz w:val="21"/>
                <w:szCs w:val="21"/>
                <w:highlight w:val="none"/>
                <w:vertAlign w:val="superscript"/>
              </w:rPr>
              <w:t>3-</w:t>
            </w:r>
            <w:r>
              <w:rPr>
                <w:rFonts w:hint="default" w:ascii="Times New Roman" w:hAnsi="Times New Roman" w:eastAsia="宋体" w:cs="Times New Roman"/>
                <w:snapToGrid w:val="0"/>
                <w:color w:val="auto"/>
                <w:sz w:val="21"/>
                <w:szCs w:val="21"/>
                <w:highlight w:val="none"/>
              </w:rPr>
              <w:t>、SO</w:t>
            </w:r>
            <w:r>
              <w:rPr>
                <w:rFonts w:hint="default" w:ascii="Times New Roman" w:hAnsi="Times New Roman" w:eastAsia="宋体" w:cs="Times New Roman"/>
                <w:snapToGrid w:val="0"/>
                <w:color w:val="auto"/>
                <w:sz w:val="21"/>
                <w:szCs w:val="21"/>
                <w:highlight w:val="none"/>
                <w:vertAlign w:val="subscript"/>
              </w:rPr>
              <w:t>3</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rPr>
              <w:t>、SO</w:t>
            </w:r>
            <w:r>
              <w:rPr>
                <w:rFonts w:hint="default" w:ascii="Times New Roman" w:hAnsi="Times New Roman" w:eastAsia="宋体" w:cs="Times New Roman"/>
                <w:snapToGrid w:val="0"/>
                <w:color w:val="auto"/>
                <w:sz w:val="21"/>
                <w:szCs w:val="21"/>
                <w:highlight w:val="none"/>
                <w:vertAlign w:val="subscript"/>
              </w:rPr>
              <w:t>4</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rPr>
              <w:t>)的测定离子色谱法</w:t>
            </w:r>
            <w:r>
              <w:rPr>
                <w:rFonts w:hint="eastAsia" w:ascii="Times New Roman" w:hAnsi="Times New Roman" w:cs="Times New Roman"/>
                <w:snapToGrid w:val="0"/>
                <w:color w:val="auto"/>
                <w:sz w:val="21"/>
                <w:szCs w:val="21"/>
                <w:highlight w:val="none"/>
                <w:lang w:val="en-US" w:eastAsia="zh-CN"/>
              </w:rPr>
              <w:t xml:space="preserve"> </w:t>
            </w:r>
            <w:r>
              <w:rPr>
                <w:rFonts w:hint="default" w:ascii="Times New Roman" w:hAnsi="Times New Roman" w:eastAsia="宋体" w:cs="Times New Roman"/>
                <w:snapToGrid w:val="0"/>
                <w:color w:val="auto"/>
                <w:sz w:val="21"/>
                <w:szCs w:val="21"/>
                <w:highlight w:val="none"/>
              </w:rPr>
              <w:t>HJ 84-2016</w:t>
            </w:r>
          </w:p>
        </w:tc>
      </w:tr>
      <w:tr w14:paraId="1A325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B93EB84">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硫酸盐</w:t>
            </w:r>
          </w:p>
        </w:tc>
        <w:tc>
          <w:tcPr>
            <w:tcW w:w="3625" w:type="pct"/>
            <w:noWrap w:val="0"/>
            <w:vAlign w:val="center"/>
          </w:tcPr>
          <w:p w14:paraId="009EE8D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水质 无机阴离子(F</w:t>
            </w:r>
            <w:r>
              <w:rPr>
                <w:rFonts w:hint="default" w:ascii="Times New Roman" w:hAnsi="Times New Roman" w:eastAsia="宋体" w:cs="Times New Roman"/>
                <w:snapToGrid w:val="0"/>
                <w:color w:val="auto"/>
                <w:sz w:val="21"/>
                <w:szCs w:val="21"/>
                <w:highlight w:val="none"/>
                <w:vertAlign w:val="superscript"/>
              </w:rPr>
              <w:t>-</w:t>
            </w:r>
            <w:r>
              <w:rPr>
                <w:rFonts w:hint="default" w:ascii="Times New Roman" w:hAnsi="Times New Roman" w:eastAsia="宋体" w:cs="Times New Roman"/>
                <w:snapToGrid w:val="0"/>
                <w:color w:val="auto"/>
                <w:sz w:val="21"/>
                <w:szCs w:val="21"/>
                <w:highlight w:val="none"/>
              </w:rPr>
              <w:t>、Cl</w:t>
            </w:r>
            <w:r>
              <w:rPr>
                <w:rFonts w:hint="default" w:ascii="Times New Roman" w:hAnsi="Times New Roman" w:eastAsia="宋体" w:cs="Times New Roman"/>
                <w:snapToGrid w:val="0"/>
                <w:color w:val="auto"/>
                <w:sz w:val="21"/>
                <w:szCs w:val="21"/>
                <w:highlight w:val="none"/>
                <w:vertAlign w:val="superscript"/>
              </w:rPr>
              <w:t>-</w:t>
            </w:r>
            <w:r>
              <w:rPr>
                <w:rFonts w:hint="default" w:ascii="Times New Roman" w:hAnsi="Times New Roman" w:eastAsia="宋体" w:cs="Times New Roman"/>
                <w:snapToGrid w:val="0"/>
                <w:color w:val="auto"/>
                <w:sz w:val="21"/>
                <w:szCs w:val="21"/>
                <w:highlight w:val="none"/>
              </w:rPr>
              <w:t>、NO</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rPr>
              <w:t>、Br</w:t>
            </w:r>
            <w:r>
              <w:rPr>
                <w:rFonts w:hint="default" w:ascii="Times New Roman" w:hAnsi="Times New Roman" w:eastAsia="宋体" w:cs="Times New Roman"/>
                <w:snapToGrid w:val="0"/>
                <w:color w:val="auto"/>
                <w:sz w:val="21"/>
                <w:szCs w:val="21"/>
                <w:highlight w:val="none"/>
                <w:vertAlign w:val="superscript"/>
              </w:rPr>
              <w:t>-</w:t>
            </w:r>
            <w:r>
              <w:rPr>
                <w:rFonts w:hint="default" w:ascii="Times New Roman" w:hAnsi="Times New Roman" w:eastAsia="宋体" w:cs="Times New Roman"/>
                <w:snapToGrid w:val="0"/>
                <w:color w:val="auto"/>
                <w:sz w:val="21"/>
                <w:szCs w:val="21"/>
                <w:highlight w:val="none"/>
              </w:rPr>
              <w:t>、NO</w:t>
            </w:r>
            <w:r>
              <w:rPr>
                <w:rFonts w:hint="default" w:ascii="Times New Roman" w:hAnsi="Times New Roman" w:eastAsia="宋体" w:cs="Times New Roman"/>
                <w:snapToGrid w:val="0"/>
                <w:color w:val="auto"/>
                <w:sz w:val="21"/>
                <w:szCs w:val="21"/>
                <w:highlight w:val="none"/>
                <w:vertAlign w:val="superscript"/>
              </w:rPr>
              <w:t>3-</w:t>
            </w:r>
            <w:r>
              <w:rPr>
                <w:rFonts w:hint="default" w:ascii="Times New Roman" w:hAnsi="Times New Roman" w:eastAsia="宋体" w:cs="Times New Roman"/>
                <w:snapToGrid w:val="0"/>
                <w:color w:val="auto"/>
                <w:sz w:val="21"/>
                <w:szCs w:val="21"/>
                <w:highlight w:val="none"/>
              </w:rPr>
              <w:t>、PO</w:t>
            </w:r>
            <w:r>
              <w:rPr>
                <w:rFonts w:hint="default" w:ascii="Times New Roman" w:hAnsi="Times New Roman" w:eastAsia="宋体" w:cs="Times New Roman"/>
                <w:snapToGrid w:val="0"/>
                <w:color w:val="auto"/>
                <w:sz w:val="21"/>
                <w:szCs w:val="21"/>
                <w:highlight w:val="none"/>
                <w:vertAlign w:val="subscript"/>
              </w:rPr>
              <w:t>4</w:t>
            </w:r>
            <w:r>
              <w:rPr>
                <w:rFonts w:hint="default" w:ascii="Times New Roman" w:hAnsi="Times New Roman" w:eastAsia="宋体" w:cs="Times New Roman"/>
                <w:snapToGrid w:val="0"/>
                <w:color w:val="auto"/>
                <w:sz w:val="21"/>
                <w:szCs w:val="21"/>
                <w:highlight w:val="none"/>
                <w:vertAlign w:val="superscript"/>
              </w:rPr>
              <w:t>3-</w:t>
            </w:r>
            <w:r>
              <w:rPr>
                <w:rFonts w:hint="default" w:ascii="Times New Roman" w:hAnsi="Times New Roman" w:eastAsia="宋体" w:cs="Times New Roman"/>
                <w:snapToGrid w:val="0"/>
                <w:color w:val="auto"/>
                <w:sz w:val="21"/>
                <w:szCs w:val="21"/>
                <w:highlight w:val="none"/>
              </w:rPr>
              <w:t>、SO</w:t>
            </w:r>
            <w:r>
              <w:rPr>
                <w:rFonts w:hint="default" w:ascii="Times New Roman" w:hAnsi="Times New Roman" w:eastAsia="宋体" w:cs="Times New Roman"/>
                <w:snapToGrid w:val="0"/>
                <w:color w:val="auto"/>
                <w:sz w:val="21"/>
                <w:szCs w:val="21"/>
                <w:highlight w:val="none"/>
                <w:vertAlign w:val="subscript"/>
              </w:rPr>
              <w:t>3</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rPr>
              <w:t>、SO</w:t>
            </w:r>
            <w:r>
              <w:rPr>
                <w:rFonts w:hint="default" w:ascii="Times New Roman" w:hAnsi="Times New Roman" w:eastAsia="宋体" w:cs="Times New Roman"/>
                <w:snapToGrid w:val="0"/>
                <w:color w:val="auto"/>
                <w:sz w:val="21"/>
                <w:szCs w:val="21"/>
                <w:highlight w:val="none"/>
                <w:vertAlign w:val="subscript"/>
              </w:rPr>
              <w:t>4</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rPr>
              <w:t>)的测定离子色谱法</w:t>
            </w:r>
            <w:r>
              <w:rPr>
                <w:rFonts w:hint="eastAsia" w:ascii="Times New Roman" w:hAnsi="Times New Roman" w:cs="Times New Roman"/>
                <w:snapToGrid w:val="0"/>
                <w:color w:val="auto"/>
                <w:sz w:val="21"/>
                <w:szCs w:val="21"/>
                <w:highlight w:val="none"/>
                <w:lang w:val="en-US" w:eastAsia="zh-CN"/>
              </w:rPr>
              <w:t xml:space="preserve"> </w:t>
            </w:r>
            <w:r>
              <w:rPr>
                <w:rFonts w:hint="default" w:ascii="Times New Roman" w:hAnsi="Times New Roman" w:eastAsia="宋体" w:cs="Times New Roman"/>
                <w:snapToGrid w:val="0"/>
                <w:color w:val="auto"/>
                <w:sz w:val="21"/>
                <w:szCs w:val="21"/>
                <w:highlight w:val="none"/>
              </w:rPr>
              <w:t>HJ 84-2016</w:t>
            </w:r>
          </w:p>
        </w:tc>
      </w:tr>
    </w:tbl>
    <w:p w14:paraId="682758E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（5）监测结果</w:t>
      </w:r>
    </w:p>
    <w:p w14:paraId="5D164EF7">
      <w:pPr>
        <w:pStyle w:val="216"/>
        <w:jc w:val="left"/>
        <w:rPr>
          <w:rFonts w:hint="default" w:ascii="Times New Roman" w:hAnsi="Times New Roman" w:eastAsia="宋体" w:cs="Times New Roman"/>
          <w:b w:val="0"/>
          <w:snapToGrid w:val="0"/>
          <w:color w:val="auto"/>
          <w:kern w:val="0"/>
          <w:sz w:val="24"/>
          <w:szCs w:val="24"/>
          <w:highlight w:val="none"/>
          <w:lang w:val="en-US" w:eastAsia="zh-CN" w:bidi="ar-SA"/>
        </w:rPr>
      </w:pPr>
      <w:r>
        <w:rPr>
          <w:rFonts w:hint="default" w:ascii="Times New Roman" w:hAnsi="Times New Roman" w:eastAsia="宋体" w:cs="Times New Roman"/>
          <w:b w:val="0"/>
          <w:snapToGrid w:val="0"/>
          <w:color w:val="auto"/>
          <w:kern w:val="0"/>
          <w:sz w:val="24"/>
          <w:szCs w:val="24"/>
          <w:highlight w:val="none"/>
          <w:lang w:val="en-US" w:eastAsia="zh-CN" w:bidi="ar-SA"/>
        </w:rPr>
        <w:t>地下水监测结果见下表。</w:t>
      </w:r>
    </w:p>
    <w:p w14:paraId="1B44630F">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8  </w:t>
      </w:r>
      <w:r>
        <w:rPr>
          <w:rFonts w:hint="default" w:ascii="Times New Roman" w:hAnsi="Times New Roman" w:eastAsia="黑体" w:cs="Times New Roman"/>
          <w:b w:val="0"/>
          <w:bCs/>
          <w:smallCaps w:val="0"/>
          <w:snapToGrid/>
          <w:color w:val="auto"/>
          <w:kern w:val="2"/>
          <w:sz w:val="21"/>
          <w:szCs w:val="24"/>
          <w:highlight w:val="none"/>
          <w:lang w:val="en-US" w:eastAsia="zh-CN" w:bidi="ar-SA"/>
        </w:rPr>
        <w:t>地下水监测结果  单位：mg/L</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6"/>
        <w:gridCol w:w="1541"/>
        <w:gridCol w:w="1225"/>
        <w:gridCol w:w="1188"/>
        <w:gridCol w:w="1352"/>
        <w:gridCol w:w="1352"/>
        <w:gridCol w:w="1354"/>
      </w:tblGrid>
      <w:tr w14:paraId="36429F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8528" w:type="dxa"/>
            <w:gridSpan w:val="7"/>
            <w:tcBorders>
              <w:tl2br w:val="nil"/>
              <w:tr2bl w:val="nil"/>
            </w:tcBorders>
            <w:vAlign w:val="center"/>
          </w:tcPr>
          <w:p w14:paraId="1109D4E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采样时间：</w:t>
            </w:r>
            <w:r>
              <w:rPr>
                <w:rFonts w:hint="eastAsia" w:ascii="Times New Roman" w:hAnsi="Times New Roman" w:cs="Times New Roman"/>
                <w:b/>
                <w:bCs/>
                <w:color w:val="auto"/>
                <w:sz w:val="21"/>
                <w:szCs w:val="21"/>
                <w:highlight w:val="none"/>
                <w:lang w:val="en-US" w:eastAsia="zh-CN"/>
              </w:rPr>
              <w:t>2025</w:t>
            </w:r>
            <w:r>
              <w:rPr>
                <w:rFonts w:hint="default" w:ascii="Times New Roman" w:hAnsi="Times New Roman" w:eastAsia="宋体" w:cs="Times New Roman"/>
                <w:b/>
                <w:bCs/>
                <w:color w:val="auto"/>
                <w:sz w:val="21"/>
                <w:szCs w:val="21"/>
                <w:highlight w:val="none"/>
                <w:lang w:val="en-US" w:eastAsia="zh-CN"/>
              </w:rPr>
              <w:t>.0</w:t>
            </w:r>
            <w:r>
              <w:rPr>
                <w:rFonts w:hint="eastAsia" w:ascii="Times New Roman" w:hAnsi="Times New Roman" w:cs="Times New Roman"/>
                <w:b/>
                <w:bCs/>
                <w:color w:val="auto"/>
                <w:sz w:val="21"/>
                <w:szCs w:val="21"/>
                <w:highlight w:val="none"/>
                <w:lang w:val="en-US" w:eastAsia="zh-CN"/>
              </w:rPr>
              <w:t>7</w:t>
            </w:r>
            <w:r>
              <w:rPr>
                <w:rFonts w:hint="default" w:ascii="Times New Roman" w:hAnsi="Times New Roman" w:eastAsia="宋体"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23</w:t>
            </w:r>
          </w:p>
        </w:tc>
      </w:tr>
      <w:tr w14:paraId="17C41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7" w:hRule="atLeast"/>
          <w:tblHeader/>
          <w:jc w:val="center"/>
        </w:trPr>
        <w:tc>
          <w:tcPr>
            <w:tcW w:w="516" w:type="dxa"/>
            <w:tcBorders>
              <w:tl2br w:val="nil"/>
              <w:tr2bl w:val="nil"/>
            </w:tcBorders>
            <w:vAlign w:val="center"/>
          </w:tcPr>
          <w:p w14:paraId="4CDA4CC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1541" w:type="dxa"/>
            <w:tcBorders>
              <w:tl2br w:val="nil"/>
              <w:tr2bl w:val="nil"/>
            </w:tcBorders>
            <w:vAlign w:val="center"/>
          </w:tcPr>
          <w:p w14:paraId="2641C73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检测项目</w:t>
            </w:r>
          </w:p>
        </w:tc>
        <w:tc>
          <w:tcPr>
            <w:tcW w:w="1225" w:type="dxa"/>
            <w:tcBorders>
              <w:tl2br w:val="nil"/>
              <w:tr2bl w:val="nil"/>
            </w:tcBorders>
            <w:vAlign w:val="center"/>
          </w:tcPr>
          <w:p w14:paraId="142F4E3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单位</w:t>
            </w:r>
          </w:p>
        </w:tc>
        <w:tc>
          <w:tcPr>
            <w:tcW w:w="1188" w:type="dxa"/>
            <w:tcBorders>
              <w:tl2br w:val="nil"/>
              <w:tr2bl w:val="nil"/>
            </w:tcBorders>
            <w:vAlign w:val="center"/>
          </w:tcPr>
          <w:p w14:paraId="2DECC3D7">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000000"/>
                <w:kern w:val="0"/>
                <w:sz w:val="21"/>
                <w:szCs w:val="21"/>
                <w:highlight w:val="none"/>
                <w:lang w:val="en-US" w:eastAsia="zh-CN"/>
              </w:rPr>
              <w:t>1#</w:t>
            </w:r>
            <w:r>
              <w:rPr>
                <w:rFonts w:hint="eastAsia" w:ascii="Times New Roman" w:hAnsi="Times New Roman" w:cs="Times New Roman"/>
                <w:b/>
                <w:bCs/>
                <w:color w:val="000000"/>
                <w:kern w:val="0"/>
                <w:sz w:val="21"/>
                <w:szCs w:val="21"/>
                <w:highlight w:val="none"/>
                <w:lang w:val="en-US" w:eastAsia="zh-CN"/>
              </w:rPr>
              <w:t>厂内上游</w:t>
            </w:r>
          </w:p>
        </w:tc>
        <w:tc>
          <w:tcPr>
            <w:tcW w:w="1352" w:type="dxa"/>
            <w:tcBorders>
              <w:tl2br w:val="nil"/>
              <w:tr2bl w:val="nil"/>
            </w:tcBorders>
            <w:vAlign w:val="center"/>
          </w:tcPr>
          <w:p w14:paraId="6BAA0910">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000000"/>
                <w:kern w:val="0"/>
                <w:sz w:val="21"/>
                <w:szCs w:val="21"/>
                <w:highlight w:val="none"/>
                <w:lang w:val="en-US" w:eastAsia="zh-CN"/>
              </w:rPr>
              <w:t>2#厂</w:t>
            </w:r>
            <w:r>
              <w:rPr>
                <w:rFonts w:hint="eastAsia" w:ascii="Times New Roman" w:hAnsi="Times New Roman" w:cs="Times New Roman"/>
                <w:b/>
                <w:bCs/>
                <w:color w:val="000000"/>
                <w:kern w:val="0"/>
                <w:sz w:val="21"/>
                <w:szCs w:val="21"/>
                <w:highlight w:val="none"/>
                <w:lang w:val="en-US" w:eastAsia="zh-CN"/>
              </w:rPr>
              <w:t>内下游</w:t>
            </w:r>
          </w:p>
        </w:tc>
        <w:tc>
          <w:tcPr>
            <w:tcW w:w="1352" w:type="dxa"/>
            <w:tcBorders>
              <w:tl2br w:val="nil"/>
              <w:tr2bl w:val="nil"/>
            </w:tcBorders>
            <w:vAlign w:val="center"/>
          </w:tcPr>
          <w:p w14:paraId="6742211D">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cs="Times New Roman"/>
                <w:b/>
                <w:bCs/>
                <w:color w:val="000000"/>
                <w:kern w:val="0"/>
                <w:sz w:val="21"/>
                <w:szCs w:val="21"/>
                <w:highlight w:val="none"/>
                <w:lang w:val="en-US" w:eastAsia="zh-CN"/>
              </w:rPr>
              <w:t>3#厂区东南侧</w:t>
            </w:r>
          </w:p>
        </w:tc>
        <w:tc>
          <w:tcPr>
            <w:tcW w:w="1354" w:type="dxa"/>
            <w:tcBorders>
              <w:tl2br w:val="nil"/>
              <w:tr2bl w:val="nil"/>
            </w:tcBorders>
            <w:vAlign w:val="center"/>
          </w:tcPr>
          <w:p w14:paraId="677ECC18">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000000"/>
                <w:kern w:val="0"/>
                <w:sz w:val="21"/>
                <w:szCs w:val="21"/>
                <w:highlight w:val="none"/>
                <w:lang w:val="en-US" w:eastAsia="zh-CN"/>
              </w:rPr>
              <w:t>4#厂区东北侧</w:t>
            </w:r>
          </w:p>
        </w:tc>
      </w:tr>
      <w:tr w14:paraId="1360E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313FBB4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1541" w:type="dxa"/>
            <w:tcBorders>
              <w:tl2br w:val="nil"/>
              <w:tr2bl w:val="nil"/>
            </w:tcBorders>
            <w:vAlign w:val="center"/>
          </w:tcPr>
          <w:p w14:paraId="2AD39B7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i w:val="0"/>
                <w:color w:val="000000"/>
                <w:kern w:val="0"/>
                <w:sz w:val="21"/>
                <w:szCs w:val="21"/>
                <w:highlight w:val="none"/>
                <w:u w:val="none"/>
                <w:lang w:val="en-US" w:eastAsia="zh-CN" w:bidi="ar"/>
              </w:rPr>
              <w:t>钾</w:t>
            </w:r>
          </w:p>
        </w:tc>
        <w:tc>
          <w:tcPr>
            <w:tcW w:w="1225" w:type="dxa"/>
            <w:tcBorders>
              <w:tl2br w:val="nil"/>
              <w:tr2bl w:val="nil"/>
            </w:tcBorders>
            <w:vAlign w:val="center"/>
          </w:tcPr>
          <w:p w14:paraId="210EDA0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3AD8758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1.18</w:t>
            </w:r>
          </w:p>
        </w:tc>
        <w:tc>
          <w:tcPr>
            <w:tcW w:w="1352" w:type="dxa"/>
            <w:tcBorders>
              <w:tl2br w:val="nil"/>
              <w:tr2bl w:val="nil"/>
            </w:tcBorders>
            <w:shd w:val="clear" w:color="auto" w:fill="auto"/>
            <w:vAlign w:val="center"/>
          </w:tcPr>
          <w:p w14:paraId="7DD60A8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1.07</w:t>
            </w:r>
          </w:p>
        </w:tc>
        <w:tc>
          <w:tcPr>
            <w:tcW w:w="1352" w:type="dxa"/>
            <w:tcBorders>
              <w:tl2br w:val="nil"/>
              <w:tr2bl w:val="nil"/>
            </w:tcBorders>
            <w:shd w:val="clear" w:color="auto" w:fill="auto"/>
            <w:vAlign w:val="center"/>
          </w:tcPr>
          <w:p w14:paraId="5C84868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1.74</w:t>
            </w:r>
          </w:p>
        </w:tc>
        <w:tc>
          <w:tcPr>
            <w:tcW w:w="1354" w:type="dxa"/>
            <w:tcBorders>
              <w:tl2br w:val="nil"/>
              <w:tr2bl w:val="nil"/>
            </w:tcBorders>
            <w:shd w:val="clear" w:color="auto" w:fill="auto"/>
            <w:vAlign w:val="center"/>
          </w:tcPr>
          <w:p w14:paraId="1ADB1F2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0.336</w:t>
            </w:r>
          </w:p>
        </w:tc>
      </w:tr>
      <w:tr w14:paraId="3ED053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78FC6166">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1541" w:type="dxa"/>
            <w:tcBorders>
              <w:tl2br w:val="nil"/>
              <w:tr2bl w:val="nil"/>
            </w:tcBorders>
            <w:vAlign w:val="center"/>
          </w:tcPr>
          <w:p w14:paraId="0173700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000000"/>
                <w:kern w:val="0"/>
                <w:sz w:val="21"/>
                <w:szCs w:val="21"/>
                <w:highlight w:val="none"/>
                <w:u w:val="none"/>
                <w:lang w:val="en-US" w:eastAsia="zh-CN" w:bidi="ar"/>
              </w:rPr>
              <w:t>钠</w:t>
            </w:r>
          </w:p>
        </w:tc>
        <w:tc>
          <w:tcPr>
            <w:tcW w:w="1225" w:type="dxa"/>
            <w:tcBorders>
              <w:tl2br w:val="nil"/>
              <w:tr2bl w:val="nil"/>
            </w:tcBorders>
            <w:vAlign w:val="center"/>
          </w:tcPr>
          <w:p w14:paraId="4F53584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574985F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13.5</w:t>
            </w:r>
          </w:p>
        </w:tc>
        <w:tc>
          <w:tcPr>
            <w:tcW w:w="1352" w:type="dxa"/>
            <w:tcBorders>
              <w:tl2br w:val="nil"/>
              <w:tr2bl w:val="nil"/>
            </w:tcBorders>
            <w:shd w:val="clear" w:color="auto" w:fill="auto"/>
            <w:vAlign w:val="center"/>
          </w:tcPr>
          <w:p w14:paraId="2AF9BFD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18.3</w:t>
            </w:r>
          </w:p>
        </w:tc>
        <w:tc>
          <w:tcPr>
            <w:tcW w:w="1352" w:type="dxa"/>
            <w:tcBorders>
              <w:tl2br w:val="nil"/>
              <w:tr2bl w:val="nil"/>
            </w:tcBorders>
            <w:shd w:val="clear" w:color="auto" w:fill="auto"/>
            <w:vAlign w:val="center"/>
          </w:tcPr>
          <w:p w14:paraId="0C9F8EA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37.5</w:t>
            </w:r>
          </w:p>
        </w:tc>
        <w:tc>
          <w:tcPr>
            <w:tcW w:w="1354" w:type="dxa"/>
            <w:tcBorders>
              <w:tl2br w:val="nil"/>
              <w:tr2bl w:val="nil"/>
            </w:tcBorders>
            <w:shd w:val="clear" w:color="auto" w:fill="auto"/>
            <w:vAlign w:val="center"/>
          </w:tcPr>
          <w:p w14:paraId="369CBC1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24.3</w:t>
            </w:r>
          </w:p>
        </w:tc>
      </w:tr>
      <w:tr w14:paraId="4C6D46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DF29FB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c>
          <w:tcPr>
            <w:tcW w:w="1541" w:type="dxa"/>
            <w:tcBorders>
              <w:tl2br w:val="nil"/>
              <w:tr2bl w:val="nil"/>
            </w:tcBorders>
            <w:vAlign w:val="center"/>
          </w:tcPr>
          <w:p w14:paraId="54697AD9">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i w:val="0"/>
                <w:color w:val="000000"/>
                <w:kern w:val="0"/>
                <w:sz w:val="21"/>
                <w:szCs w:val="21"/>
                <w:highlight w:val="none"/>
                <w:u w:val="none"/>
                <w:lang w:val="en-US" w:eastAsia="zh-CN" w:bidi="ar"/>
              </w:rPr>
              <w:t>钙</w:t>
            </w:r>
          </w:p>
        </w:tc>
        <w:tc>
          <w:tcPr>
            <w:tcW w:w="1225" w:type="dxa"/>
            <w:tcBorders>
              <w:tl2br w:val="nil"/>
              <w:tr2bl w:val="nil"/>
            </w:tcBorders>
            <w:vAlign w:val="center"/>
          </w:tcPr>
          <w:p w14:paraId="4C3FEE5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51EF7BF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54.9</w:t>
            </w:r>
          </w:p>
        </w:tc>
        <w:tc>
          <w:tcPr>
            <w:tcW w:w="1352" w:type="dxa"/>
            <w:tcBorders>
              <w:tl2br w:val="nil"/>
              <w:tr2bl w:val="nil"/>
            </w:tcBorders>
            <w:shd w:val="clear" w:color="auto" w:fill="auto"/>
            <w:vAlign w:val="center"/>
          </w:tcPr>
          <w:p w14:paraId="604E4AD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65.4</w:t>
            </w:r>
          </w:p>
        </w:tc>
        <w:tc>
          <w:tcPr>
            <w:tcW w:w="1352" w:type="dxa"/>
            <w:tcBorders>
              <w:tl2br w:val="nil"/>
              <w:tr2bl w:val="nil"/>
            </w:tcBorders>
            <w:shd w:val="clear" w:color="auto" w:fill="auto"/>
            <w:vAlign w:val="center"/>
          </w:tcPr>
          <w:p w14:paraId="580AD93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58.6</w:t>
            </w:r>
          </w:p>
        </w:tc>
        <w:tc>
          <w:tcPr>
            <w:tcW w:w="1354" w:type="dxa"/>
            <w:tcBorders>
              <w:tl2br w:val="nil"/>
              <w:tr2bl w:val="nil"/>
            </w:tcBorders>
            <w:shd w:val="clear" w:color="auto" w:fill="auto"/>
            <w:vAlign w:val="center"/>
          </w:tcPr>
          <w:p w14:paraId="7F7D314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42.4</w:t>
            </w:r>
          </w:p>
        </w:tc>
      </w:tr>
      <w:tr w14:paraId="484E6F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112067D">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1541" w:type="dxa"/>
            <w:tcBorders>
              <w:tl2br w:val="nil"/>
              <w:tr2bl w:val="nil"/>
            </w:tcBorders>
            <w:vAlign w:val="center"/>
          </w:tcPr>
          <w:p w14:paraId="282F81E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i w:val="0"/>
                <w:color w:val="000000"/>
                <w:kern w:val="0"/>
                <w:sz w:val="21"/>
                <w:szCs w:val="21"/>
                <w:highlight w:val="none"/>
                <w:u w:val="none"/>
                <w:lang w:val="en-US" w:eastAsia="zh-CN" w:bidi="ar"/>
              </w:rPr>
              <w:t>镁</w:t>
            </w:r>
          </w:p>
        </w:tc>
        <w:tc>
          <w:tcPr>
            <w:tcW w:w="1225" w:type="dxa"/>
            <w:tcBorders>
              <w:tl2br w:val="nil"/>
              <w:tr2bl w:val="nil"/>
            </w:tcBorders>
            <w:vAlign w:val="center"/>
          </w:tcPr>
          <w:p w14:paraId="025FD06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043B70E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11.0</w:t>
            </w:r>
          </w:p>
        </w:tc>
        <w:tc>
          <w:tcPr>
            <w:tcW w:w="1352" w:type="dxa"/>
            <w:tcBorders>
              <w:tl2br w:val="nil"/>
              <w:tr2bl w:val="nil"/>
            </w:tcBorders>
            <w:shd w:val="clear" w:color="auto" w:fill="auto"/>
            <w:vAlign w:val="center"/>
          </w:tcPr>
          <w:p w14:paraId="2178E6C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15.2</w:t>
            </w:r>
          </w:p>
        </w:tc>
        <w:tc>
          <w:tcPr>
            <w:tcW w:w="1352" w:type="dxa"/>
            <w:tcBorders>
              <w:tl2br w:val="nil"/>
              <w:tr2bl w:val="nil"/>
            </w:tcBorders>
            <w:shd w:val="clear" w:color="auto" w:fill="auto"/>
            <w:vAlign w:val="center"/>
          </w:tcPr>
          <w:p w14:paraId="506E9FB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12.3</w:t>
            </w:r>
          </w:p>
        </w:tc>
        <w:tc>
          <w:tcPr>
            <w:tcW w:w="1354" w:type="dxa"/>
            <w:tcBorders>
              <w:tl2br w:val="nil"/>
              <w:tr2bl w:val="nil"/>
            </w:tcBorders>
            <w:shd w:val="clear" w:color="auto" w:fill="auto"/>
            <w:vAlign w:val="center"/>
          </w:tcPr>
          <w:p w14:paraId="46AC84B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10.6</w:t>
            </w:r>
          </w:p>
        </w:tc>
      </w:tr>
      <w:tr w14:paraId="4D0A23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52AFD14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1541" w:type="dxa"/>
            <w:tcBorders>
              <w:tl2br w:val="nil"/>
              <w:tr2bl w:val="nil"/>
            </w:tcBorders>
            <w:vAlign w:val="center"/>
          </w:tcPr>
          <w:p w14:paraId="78C4D38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color w:val="000000"/>
                <w:kern w:val="0"/>
                <w:sz w:val="21"/>
                <w:szCs w:val="21"/>
                <w:highlight w:val="none"/>
                <w:u w:val="none"/>
                <w:lang w:val="en-US" w:eastAsia="zh-CN" w:bidi="ar"/>
              </w:rPr>
              <w:t>碱度</w:t>
            </w:r>
            <w:r>
              <w:rPr>
                <w:rFonts w:hint="eastAsia" w:ascii="Times New Roman" w:hAnsi="Times New Roman" w:eastAsia="宋体" w:cs="Times New Roman"/>
                <w:i w:val="0"/>
                <w:color w:val="000000"/>
                <w:kern w:val="0"/>
                <w:sz w:val="21"/>
                <w:szCs w:val="21"/>
                <w:highlight w:val="none"/>
                <w:u w:val="none"/>
                <w:lang w:val="en-US" w:eastAsia="zh-CN" w:bidi="ar"/>
              </w:rPr>
              <w:t>（CO</w:t>
            </w:r>
            <w:r>
              <w:rPr>
                <w:rFonts w:hint="eastAsia" w:ascii="Times New Roman" w:hAnsi="Times New Roman" w:eastAsia="宋体" w:cs="Times New Roman"/>
                <w:i w:val="0"/>
                <w:color w:val="000000"/>
                <w:kern w:val="0"/>
                <w:sz w:val="21"/>
                <w:szCs w:val="21"/>
                <w:highlight w:val="none"/>
                <w:u w:val="none"/>
                <w:vertAlign w:val="subscript"/>
                <w:lang w:val="en-US" w:eastAsia="zh-CN" w:bidi="ar"/>
              </w:rPr>
              <w:t>3</w:t>
            </w:r>
            <w:r>
              <w:rPr>
                <w:rFonts w:hint="eastAsia" w:ascii="Times New Roman" w:hAnsi="Times New Roman" w:eastAsia="宋体" w:cs="Times New Roman"/>
                <w:i w:val="0"/>
                <w:color w:val="000000"/>
                <w:kern w:val="0"/>
                <w:sz w:val="21"/>
                <w:szCs w:val="21"/>
                <w:highlight w:val="none"/>
                <w:u w:val="none"/>
                <w:vertAlign w:val="superscript"/>
                <w:lang w:val="en-US" w:eastAsia="zh-CN" w:bidi="ar"/>
              </w:rPr>
              <w:t>2-</w:t>
            </w:r>
            <w:r>
              <w:rPr>
                <w:rFonts w:hint="eastAsia" w:ascii="Times New Roman" w:hAnsi="Times New Roman" w:cs="Times New Roman"/>
                <w:i w:val="0"/>
                <w:color w:val="000000"/>
                <w:kern w:val="0"/>
                <w:sz w:val="21"/>
                <w:szCs w:val="21"/>
                <w:highlight w:val="none"/>
                <w:u w:val="none"/>
                <w:lang w:val="en-US" w:eastAsia="zh-CN" w:bidi="ar"/>
              </w:rPr>
              <w:t>）</w:t>
            </w:r>
          </w:p>
        </w:tc>
        <w:tc>
          <w:tcPr>
            <w:tcW w:w="1225" w:type="dxa"/>
            <w:tcBorders>
              <w:tl2br w:val="nil"/>
              <w:tr2bl w:val="nil"/>
            </w:tcBorders>
            <w:vAlign w:val="center"/>
          </w:tcPr>
          <w:p w14:paraId="7D163CD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7E439E7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未检出</w:t>
            </w:r>
          </w:p>
        </w:tc>
        <w:tc>
          <w:tcPr>
            <w:tcW w:w="1352" w:type="dxa"/>
            <w:tcBorders>
              <w:tl2br w:val="nil"/>
              <w:tr2bl w:val="nil"/>
            </w:tcBorders>
            <w:shd w:val="clear" w:color="auto" w:fill="auto"/>
            <w:vAlign w:val="center"/>
          </w:tcPr>
          <w:p w14:paraId="787B322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未检出</w:t>
            </w:r>
          </w:p>
        </w:tc>
        <w:tc>
          <w:tcPr>
            <w:tcW w:w="1352" w:type="dxa"/>
            <w:tcBorders>
              <w:tl2br w:val="nil"/>
              <w:tr2bl w:val="nil"/>
            </w:tcBorders>
            <w:shd w:val="clear" w:color="auto" w:fill="auto"/>
            <w:vAlign w:val="center"/>
          </w:tcPr>
          <w:p w14:paraId="3D27573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未检出</w:t>
            </w:r>
          </w:p>
        </w:tc>
        <w:tc>
          <w:tcPr>
            <w:tcW w:w="1354" w:type="dxa"/>
            <w:tcBorders>
              <w:tl2br w:val="nil"/>
              <w:tr2bl w:val="nil"/>
            </w:tcBorders>
            <w:shd w:val="clear" w:color="auto" w:fill="auto"/>
            <w:vAlign w:val="center"/>
          </w:tcPr>
          <w:p w14:paraId="7AA89E2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未检出</w:t>
            </w:r>
          </w:p>
        </w:tc>
      </w:tr>
      <w:tr w14:paraId="7E77B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004AEA2">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1541" w:type="dxa"/>
            <w:tcBorders>
              <w:tl2br w:val="nil"/>
              <w:tr2bl w:val="nil"/>
            </w:tcBorders>
            <w:vAlign w:val="center"/>
          </w:tcPr>
          <w:p w14:paraId="09E2004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color w:val="000000"/>
                <w:kern w:val="0"/>
                <w:sz w:val="21"/>
                <w:szCs w:val="21"/>
                <w:highlight w:val="none"/>
                <w:u w:val="none"/>
                <w:lang w:val="en-US" w:eastAsia="zh-CN" w:bidi="ar"/>
              </w:rPr>
              <w:t>碱度</w:t>
            </w:r>
            <w:r>
              <w:rPr>
                <w:rFonts w:hint="eastAsia" w:ascii="Times New Roman" w:hAnsi="Times New Roman" w:eastAsia="宋体" w:cs="Times New Roman"/>
                <w:i w:val="0"/>
                <w:color w:val="000000"/>
                <w:kern w:val="0"/>
                <w:sz w:val="21"/>
                <w:szCs w:val="21"/>
                <w:highlight w:val="none"/>
                <w:u w:val="none"/>
                <w:lang w:val="en-US" w:eastAsia="zh-CN" w:bidi="ar"/>
              </w:rPr>
              <w:t>（HCO</w:t>
            </w:r>
            <w:r>
              <w:rPr>
                <w:rFonts w:hint="eastAsia" w:ascii="Times New Roman" w:hAnsi="Times New Roman" w:cs="Times New Roman"/>
                <w:i w:val="0"/>
                <w:color w:val="000000"/>
                <w:kern w:val="0"/>
                <w:sz w:val="21"/>
                <w:szCs w:val="21"/>
                <w:highlight w:val="none"/>
                <w:u w:val="none"/>
                <w:vertAlign w:val="subscript"/>
                <w:lang w:val="en-US" w:eastAsia="zh-CN" w:bidi="ar"/>
              </w:rPr>
              <w:t>3</w:t>
            </w:r>
            <w:r>
              <w:rPr>
                <w:rFonts w:hint="eastAsia" w:ascii="Times New Roman" w:hAnsi="Times New Roman" w:eastAsia="宋体" w:cs="Times New Roman"/>
                <w:i w:val="0"/>
                <w:color w:val="000000"/>
                <w:kern w:val="0"/>
                <w:sz w:val="21"/>
                <w:szCs w:val="21"/>
                <w:highlight w:val="none"/>
                <w:u w:val="none"/>
                <w:vertAlign w:val="superscript"/>
                <w:lang w:val="en-US" w:eastAsia="zh-CN" w:bidi="ar"/>
              </w:rPr>
              <w:t>-</w:t>
            </w:r>
            <w:r>
              <w:rPr>
                <w:rFonts w:hint="eastAsia" w:ascii="Times New Roman" w:hAnsi="Times New Roman" w:cs="Times New Roman"/>
                <w:i w:val="0"/>
                <w:color w:val="000000"/>
                <w:kern w:val="0"/>
                <w:sz w:val="21"/>
                <w:szCs w:val="21"/>
                <w:highlight w:val="none"/>
                <w:u w:val="none"/>
                <w:lang w:val="en-US" w:eastAsia="zh-CN" w:bidi="ar"/>
              </w:rPr>
              <w:t>）</w:t>
            </w:r>
          </w:p>
        </w:tc>
        <w:tc>
          <w:tcPr>
            <w:tcW w:w="1225" w:type="dxa"/>
            <w:tcBorders>
              <w:tl2br w:val="nil"/>
              <w:tr2bl w:val="nil"/>
            </w:tcBorders>
            <w:vAlign w:val="center"/>
          </w:tcPr>
          <w:p w14:paraId="4BA88B1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1ACA98D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265</w:t>
            </w:r>
          </w:p>
        </w:tc>
        <w:tc>
          <w:tcPr>
            <w:tcW w:w="1352" w:type="dxa"/>
            <w:tcBorders>
              <w:tl2br w:val="nil"/>
              <w:tr2bl w:val="nil"/>
            </w:tcBorders>
            <w:shd w:val="clear" w:color="auto" w:fill="auto"/>
            <w:vAlign w:val="center"/>
          </w:tcPr>
          <w:p w14:paraId="78C22D3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271</w:t>
            </w:r>
          </w:p>
        </w:tc>
        <w:tc>
          <w:tcPr>
            <w:tcW w:w="1352" w:type="dxa"/>
            <w:tcBorders>
              <w:tl2br w:val="nil"/>
              <w:tr2bl w:val="nil"/>
            </w:tcBorders>
            <w:shd w:val="clear" w:color="auto" w:fill="auto"/>
            <w:vAlign w:val="center"/>
          </w:tcPr>
          <w:p w14:paraId="19A8FCC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213</w:t>
            </w:r>
          </w:p>
        </w:tc>
        <w:tc>
          <w:tcPr>
            <w:tcW w:w="1354" w:type="dxa"/>
            <w:tcBorders>
              <w:tl2br w:val="nil"/>
              <w:tr2bl w:val="nil"/>
            </w:tcBorders>
            <w:shd w:val="clear" w:color="auto" w:fill="auto"/>
            <w:vAlign w:val="center"/>
          </w:tcPr>
          <w:p w14:paraId="6A226DB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208</w:t>
            </w:r>
          </w:p>
        </w:tc>
      </w:tr>
      <w:tr w14:paraId="6C3CF3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F3E3C1D">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1541" w:type="dxa"/>
            <w:tcBorders>
              <w:tl2br w:val="nil"/>
              <w:tr2bl w:val="nil"/>
            </w:tcBorders>
            <w:vAlign w:val="center"/>
          </w:tcPr>
          <w:p w14:paraId="5FCEEB59">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spacing w:val="-2"/>
                <w:highlight w:val="none"/>
                <w:lang w:val="en-US" w:eastAsia="zh-CN"/>
              </w:rPr>
              <w:t>溶解性总固体</w:t>
            </w:r>
          </w:p>
        </w:tc>
        <w:tc>
          <w:tcPr>
            <w:tcW w:w="1225" w:type="dxa"/>
            <w:tcBorders>
              <w:tl2br w:val="nil"/>
              <w:tr2bl w:val="nil"/>
            </w:tcBorders>
            <w:vAlign w:val="center"/>
          </w:tcPr>
          <w:p w14:paraId="3B51D6E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63B11DF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225</w:t>
            </w:r>
          </w:p>
        </w:tc>
        <w:tc>
          <w:tcPr>
            <w:tcW w:w="1352" w:type="dxa"/>
            <w:tcBorders>
              <w:tl2br w:val="nil"/>
              <w:tr2bl w:val="nil"/>
            </w:tcBorders>
            <w:shd w:val="clear" w:color="auto" w:fill="auto"/>
            <w:vAlign w:val="center"/>
          </w:tcPr>
          <w:p w14:paraId="6344C83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255</w:t>
            </w:r>
          </w:p>
        </w:tc>
        <w:tc>
          <w:tcPr>
            <w:tcW w:w="1352" w:type="dxa"/>
            <w:tcBorders>
              <w:tl2br w:val="nil"/>
              <w:tr2bl w:val="nil"/>
            </w:tcBorders>
            <w:shd w:val="clear" w:color="auto" w:fill="auto"/>
            <w:vAlign w:val="center"/>
          </w:tcPr>
          <w:p w14:paraId="052764C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265</w:t>
            </w:r>
          </w:p>
        </w:tc>
        <w:tc>
          <w:tcPr>
            <w:tcW w:w="1354" w:type="dxa"/>
            <w:tcBorders>
              <w:tl2br w:val="nil"/>
              <w:tr2bl w:val="nil"/>
            </w:tcBorders>
            <w:shd w:val="clear" w:color="auto" w:fill="auto"/>
            <w:vAlign w:val="center"/>
          </w:tcPr>
          <w:p w14:paraId="0D4B595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182</w:t>
            </w:r>
          </w:p>
        </w:tc>
      </w:tr>
      <w:tr w14:paraId="410372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62C88E8">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w:t>
            </w:r>
          </w:p>
        </w:tc>
        <w:tc>
          <w:tcPr>
            <w:tcW w:w="1541" w:type="dxa"/>
            <w:tcBorders>
              <w:tl2br w:val="nil"/>
              <w:tr2bl w:val="nil"/>
            </w:tcBorders>
            <w:vAlign w:val="center"/>
          </w:tcPr>
          <w:p w14:paraId="2D230AF0">
            <w:pPr>
              <w:pStyle w:val="470"/>
              <w:spacing w:line="219" w:lineRule="auto"/>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000000"/>
                <w:kern w:val="0"/>
                <w:highlight w:val="none"/>
                <w:lang w:eastAsia="zh-CN" w:bidi="ar"/>
              </w:rPr>
              <w:t>总硬度</w:t>
            </w:r>
          </w:p>
        </w:tc>
        <w:tc>
          <w:tcPr>
            <w:tcW w:w="1225" w:type="dxa"/>
            <w:tcBorders>
              <w:tl2br w:val="nil"/>
              <w:tr2bl w:val="nil"/>
            </w:tcBorders>
            <w:vAlign w:val="center"/>
          </w:tcPr>
          <w:p w14:paraId="28294E6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49C3AB3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192</w:t>
            </w:r>
          </w:p>
        </w:tc>
        <w:tc>
          <w:tcPr>
            <w:tcW w:w="1352" w:type="dxa"/>
            <w:tcBorders>
              <w:tl2br w:val="nil"/>
              <w:tr2bl w:val="nil"/>
            </w:tcBorders>
            <w:shd w:val="clear" w:color="auto" w:fill="auto"/>
            <w:vAlign w:val="center"/>
          </w:tcPr>
          <w:p w14:paraId="519E8FB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230</w:t>
            </w:r>
          </w:p>
        </w:tc>
        <w:tc>
          <w:tcPr>
            <w:tcW w:w="1352" w:type="dxa"/>
            <w:tcBorders>
              <w:tl2br w:val="nil"/>
              <w:tr2bl w:val="nil"/>
            </w:tcBorders>
            <w:shd w:val="clear" w:color="auto" w:fill="auto"/>
            <w:vAlign w:val="center"/>
          </w:tcPr>
          <w:p w14:paraId="76D59A2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210</w:t>
            </w:r>
          </w:p>
        </w:tc>
        <w:tc>
          <w:tcPr>
            <w:tcW w:w="1354" w:type="dxa"/>
            <w:tcBorders>
              <w:tl2br w:val="nil"/>
              <w:tr2bl w:val="nil"/>
            </w:tcBorders>
            <w:shd w:val="clear" w:color="auto" w:fill="auto"/>
            <w:vAlign w:val="center"/>
          </w:tcPr>
          <w:p w14:paraId="2C32C6B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145</w:t>
            </w:r>
          </w:p>
        </w:tc>
      </w:tr>
      <w:tr w14:paraId="32F5B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56E60B6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1541" w:type="dxa"/>
            <w:tcBorders>
              <w:tl2br w:val="nil"/>
              <w:tr2bl w:val="nil"/>
            </w:tcBorders>
            <w:vAlign w:val="center"/>
          </w:tcPr>
          <w:p w14:paraId="44D629D3">
            <w:pPr>
              <w:pStyle w:val="470"/>
              <w:spacing w:line="214" w:lineRule="auto"/>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spacing w:val="-4"/>
                <w:highlight w:val="none"/>
                <w:lang w:eastAsia="zh-CN"/>
              </w:rPr>
              <w:t>p</w:t>
            </w:r>
            <w:r>
              <w:rPr>
                <w:rFonts w:ascii="Times New Roman" w:hAnsi="Times New Roman" w:cs="Times New Roman"/>
                <w:spacing w:val="-4"/>
                <w:highlight w:val="none"/>
              </w:rPr>
              <w:t>H</w:t>
            </w:r>
            <w:r>
              <w:rPr>
                <w:rFonts w:ascii="Times New Roman" w:hAnsi="Times New Roman" w:cs="Times New Roman"/>
                <w:spacing w:val="-40"/>
                <w:highlight w:val="none"/>
              </w:rPr>
              <w:t xml:space="preserve"> </w:t>
            </w:r>
          </w:p>
        </w:tc>
        <w:tc>
          <w:tcPr>
            <w:tcW w:w="1225" w:type="dxa"/>
            <w:tcBorders>
              <w:tl2br w:val="nil"/>
              <w:tr2bl w:val="nil"/>
            </w:tcBorders>
            <w:vAlign w:val="center"/>
          </w:tcPr>
          <w:p w14:paraId="4D3A270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122467A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7.6</w:t>
            </w:r>
          </w:p>
        </w:tc>
        <w:tc>
          <w:tcPr>
            <w:tcW w:w="1352" w:type="dxa"/>
            <w:tcBorders>
              <w:tl2br w:val="nil"/>
              <w:tr2bl w:val="nil"/>
            </w:tcBorders>
            <w:vAlign w:val="center"/>
          </w:tcPr>
          <w:p w14:paraId="60B8554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7.5</w:t>
            </w:r>
          </w:p>
        </w:tc>
        <w:tc>
          <w:tcPr>
            <w:tcW w:w="1352" w:type="dxa"/>
            <w:tcBorders>
              <w:tl2br w:val="nil"/>
              <w:tr2bl w:val="nil"/>
            </w:tcBorders>
            <w:vAlign w:val="center"/>
          </w:tcPr>
          <w:p w14:paraId="04260E3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6.8</w:t>
            </w:r>
          </w:p>
        </w:tc>
        <w:tc>
          <w:tcPr>
            <w:tcW w:w="1354" w:type="dxa"/>
            <w:tcBorders>
              <w:tl2br w:val="nil"/>
              <w:tr2bl w:val="nil"/>
            </w:tcBorders>
            <w:vAlign w:val="center"/>
          </w:tcPr>
          <w:p w14:paraId="2A756B8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7.2</w:t>
            </w:r>
          </w:p>
        </w:tc>
      </w:tr>
      <w:tr w14:paraId="27CECD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6886B51E">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541" w:type="dxa"/>
            <w:tcBorders>
              <w:tl2br w:val="nil"/>
              <w:tr2bl w:val="nil"/>
            </w:tcBorders>
            <w:vAlign w:val="center"/>
          </w:tcPr>
          <w:p w14:paraId="0CF7226F">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pacing w:val="-2"/>
                <w:highlight w:val="none"/>
                <w:lang w:val="en-US" w:eastAsia="zh-CN"/>
              </w:rPr>
              <w:t>氟离子</w:t>
            </w:r>
          </w:p>
        </w:tc>
        <w:tc>
          <w:tcPr>
            <w:tcW w:w="1225" w:type="dxa"/>
            <w:tcBorders>
              <w:tl2br w:val="nil"/>
              <w:tr2bl w:val="nil"/>
            </w:tcBorders>
            <w:vAlign w:val="center"/>
          </w:tcPr>
          <w:p w14:paraId="3208F9E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459C8FF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0.172</w:t>
            </w:r>
          </w:p>
        </w:tc>
        <w:tc>
          <w:tcPr>
            <w:tcW w:w="1352" w:type="dxa"/>
            <w:tcBorders>
              <w:tl2br w:val="nil"/>
              <w:tr2bl w:val="nil"/>
            </w:tcBorders>
            <w:shd w:val="clear" w:color="auto" w:fill="auto"/>
            <w:vAlign w:val="center"/>
          </w:tcPr>
          <w:p w14:paraId="2C59A97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0.279</w:t>
            </w:r>
          </w:p>
        </w:tc>
        <w:tc>
          <w:tcPr>
            <w:tcW w:w="1352" w:type="dxa"/>
            <w:tcBorders>
              <w:tl2br w:val="nil"/>
              <w:tr2bl w:val="nil"/>
            </w:tcBorders>
            <w:shd w:val="clear" w:color="auto" w:fill="auto"/>
            <w:vAlign w:val="center"/>
          </w:tcPr>
          <w:p w14:paraId="2BB194C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0.352</w:t>
            </w:r>
          </w:p>
        </w:tc>
        <w:tc>
          <w:tcPr>
            <w:tcW w:w="1354" w:type="dxa"/>
            <w:tcBorders>
              <w:tl2br w:val="nil"/>
              <w:tr2bl w:val="nil"/>
            </w:tcBorders>
            <w:shd w:val="clear" w:color="auto" w:fill="auto"/>
            <w:vAlign w:val="center"/>
          </w:tcPr>
          <w:p w14:paraId="5F519C2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0.326</w:t>
            </w:r>
          </w:p>
        </w:tc>
      </w:tr>
      <w:tr w14:paraId="66C1C6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2026289">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w:t>
            </w:r>
          </w:p>
        </w:tc>
        <w:tc>
          <w:tcPr>
            <w:tcW w:w="1541" w:type="dxa"/>
            <w:tcBorders>
              <w:tl2br w:val="nil"/>
              <w:tr2bl w:val="nil"/>
            </w:tcBorders>
            <w:vAlign w:val="center"/>
          </w:tcPr>
          <w:p w14:paraId="470979F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color w:val="000000"/>
                <w:kern w:val="0"/>
                <w:sz w:val="21"/>
                <w:szCs w:val="21"/>
                <w:highlight w:val="none"/>
                <w:u w:val="none"/>
                <w:lang w:val="en-US" w:eastAsia="zh-CN" w:bidi="ar"/>
              </w:rPr>
              <w:t>氯离子</w:t>
            </w:r>
          </w:p>
        </w:tc>
        <w:tc>
          <w:tcPr>
            <w:tcW w:w="1225" w:type="dxa"/>
            <w:tcBorders>
              <w:tl2br w:val="nil"/>
              <w:tr2bl w:val="nil"/>
            </w:tcBorders>
            <w:vAlign w:val="center"/>
          </w:tcPr>
          <w:p w14:paraId="08B0921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02E784E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5.64</w:t>
            </w:r>
          </w:p>
        </w:tc>
        <w:tc>
          <w:tcPr>
            <w:tcW w:w="1352" w:type="dxa"/>
            <w:tcBorders>
              <w:tl2br w:val="nil"/>
              <w:tr2bl w:val="nil"/>
            </w:tcBorders>
            <w:vAlign w:val="center"/>
          </w:tcPr>
          <w:p w14:paraId="298FE9E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4.32</w:t>
            </w:r>
          </w:p>
        </w:tc>
        <w:tc>
          <w:tcPr>
            <w:tcW w:w="1352" w:type="dxa"/>
            <w:tcBorders>
              <w:tl2br w:val="nil"/>
              <w:tr2bl w:val="nil"/>
            </w:tcBorders>
            <w:vAlign w:val="center"/>
          </w:tcPr>
          <w:p w14:paraId="5DB41A8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22.8</w:t>
            </w:r>
          </w:p>
        </w:tc>
        <w:tc>
          <w:tcPr>
            <w:tcW w:w="1354" w:type="dxa"/>
            <w:tcBorders>
              <w:tl2br w:val="nil"/>
              <w:tr2bl w:val="nil"/>
            </w:tcBorders>
            <w:vAlign w:val="center"/>
          </w:tcPr>
          <w:p w14:paraId="3DE188C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2.81</w:t>
            </w:r>
          </w:p>
        </w:tc>
      </w:tr>
      <w:tr w14:paraId="06A314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2787E9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1541" w:type="dxa"/>
            <w:tcBorders>
              <w:tl2br w:val="nil"/>
              <w:tr2bl w:val="nil"/>
            </w:tcBorders>
            <w:vAlign w:val="center"/>
          </w:tcPr>
          <w:p w14:paraId="4A7B489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color w:val="000000"/>
                <w:kern w:val="0"/>
                <w:sz w:val="21"/>
                <w:szCs w:val="21"/>
                <w:highlight w:val="none"/>
                <w:u w:val="none"/>
                <w:lang w:val="en-US" w:eastAsia="zh-CN" w:bidi="ar"/>
              </w:rPr>
              <w:t>硫酸根</w:t>
            </w:r>
          </w:p>
        </w:tc>
        <w:tc>
          <w:tcPr>
            <w:tcW w:w="1225" w:type="dxa"/>
            <w:tcBorders>
              <w:tl2br w:val="nil"/>
              <w:tr2bl w:val="nil"/>
            </w:tcBorders>
            <w:vAlign w:val="center"/>
          </w:tcPr>
          <w:p w14:paraId="442970B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802CD7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2.13</w:t>
            </w:r>
          </w:p>
        </w:tc>
        <w:tc>
          <w:tcPr>
            <w:tcW w:w="1352" w:type="dxa"/>
            <w:tcBorders>
              <w:tl2br w:val="nil"/>
              <w:tr2bl w:val="nil"/>
            </w:tcBorders>
            <w:vAlign w:val="center"/>
          </w:tcPr>
          <w:p w14:paraId="4A4CCCD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2.44</w:t>
            </w:r>
          </w:p>
        </w:tc>
        <w:tc>
          <w:tcPr>
            <w:tcW w:w="1352" w:type="dxa"/>
            <w:tcBorders>
              <w:tl2br w:val="nil"/>
              <w:tr2bl w:val="nil"/>
            </w:tcBorders>
            <w:vAlign w:val="center"/>
          </w:tcPr>
          <w:p w14:paraId="577CD1B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9.53</w:t>
            </w:r>
          </w:p>
        </w:tc>
        <w:tc>
          <w:tcPr>
            <w:tcW w:w="1354" w:type="dxa"/>
            <w:tcBorders>
              <w:tl2br w:val="nil"/>
              <w:tr2bl w:val="nil"/>
            </w:tcBorders>
            <w:vAlign w:val="center"/>
          </w:tcPr>
          <w:p w14:paraId="53B1BD9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1.33</w:t>
            </w:r>
          </w:p>
        </w:tc>
      </w:tr>
      <w:tr w14:paraId="56D6B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05A77CB9">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w:t>
            </w:r>
          </w:p>
        </w:tc>
        <w:tc>
          <w:tcPr>
            <w:tcW w:w="1541" w:type="dxa"/>
            <w:tcBorders>
              <w:tl2br w:val="nil"/>
              <w:tr2bl w:val="nil"/>
            </w:tcBorders>
            <w:vAlign w:val="center"/>
          </w:tcPr>
          <w:p w14:paraId="35B591F8">
            <w:pPr>
              <w:pStyle w:val="470"/>
              <w:spacing w:line="219" w:lineRule="auto"/>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cs="Times New Roman"/>
                <w:kern w:val="0"/>
                <w:highlight w:val="none"/>
                <w:lang w:eastAsia="zh-CN" w:bidi="ar"/>
              </w:rPr>
              <w:t>硝酸盐</w:t>
            </w:r>
            <w:r>
              <w:rPr>
                <w:rFonts w:hint="eastAsia" w:ascii="Times New Roman" w:hAnsi="Times New Roman"/>
                <w:kern w:val="0"/>
                <w:highlight w:val="none"/>
                <w:lang w:bidi="ar"/>
              </w:rPr>
              <w:t>（以N计）</w:t>
            </w:r>
          </w:p>
        </w:tc>
        <w:tc>
          <w:tcPr>
            <w:tcW w:w="1225" w:type="dxa"/>
            <w:tcBorders>
              <w:tl2br w:val="nil"/>
              <w:tr2bl w:val="nil"/>
            </w:tcBorders>
            <w:vAlign w:val="center"/>
          </w:tcPr>
          <w:p w14:paraId="6285C8A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1AD0E8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shd w:val="clear"/>
                <w:vertAlign w:val="baseline"/>
                <w:lang w:val="en-US" w:eastAsia="zh-CN" w:bidi="ar-SA"/>
              </w:rPr>
              <w:t>0.824</w:t>
            </w:r>
          </w:p>
        </w:tc>
        <w:tc>
          <w:tcPr>
            <w:tcW w:w="1352" w:type="dxa"/>
            <w:tcBorders>
              <w:tl2br w:val="nil"/>
              <w:tr2bl w:val="nil"/>
            </w:tcBorders>
            <w:vAlign w:val="center"/>
          </w:tcPr>
          <w:p w14:paraId="2D87F0D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0.775</w:t>
            </w:r>
          </w:p>
        </w:tc>
        <w:tc>
          <w:tcPr>
            <w:tcW w:w="1352" w:type="dxa"/>
            <w:tcBorders>
              <w:tl2br w:val="nil"/>
              <w:tr2bl w:val="nil"/>
            </w:tcBorders>
            <w:vAlign w:val="center"/>
          </w:tcPr>
          <w:p w14:paraId="03CD65C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6.68</w:t>
            </w:r>
          </w:p>
        </w:tc>
        <w:tc>
          <w:tcPr>
            <w:tcW w:w="1354" w:type="dxa"/>
            <w:tcBorders>
              <w:tl2br w:val="nil"/>
              <w:tr2bl w:val="nil"/>
            </w:tcBorders>
            <w:vAlign w:val="center"/>
          </w:tcPr>
          <w:p w14:paraId="08783C4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0.094</w:t>
            </w:r>
          </w:p>
        </w:tc>
      </w:tr>
      <w:tr w14:paraId="198A8A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60229390">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w:t>
            </w:r>
          </w:p>
        </w:tc>
        <w:tc>
          <w:tcPr>
            <w:tcW w:w="1541" w:type="dxa"/>
            <w:tcBorders>
              <w:tl2br w:val="nil"/>
              <w:tr2bl w:val="nil"/>
            </w:tcBorders>
            <w:vAlign w:val="center"/>
          </w:tcPr>
          <w:p w14:paraId="17E3B802">
            <w:pPr>
              <w:pStyle w:val="470"/>
              <w:spacing w:line="219"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eastAsia="zh-CN"/>
              </w:rPr>
              <w:t>亚</w:t>
            </w:r>
            <w:r>
              <w:rPr>
                <w:rFonts w:ascii="Times New Roman" w:hAnsi="Times New Roman" w:cs="Times New Roman"/>
                <w:spacing w:val="-2"/>
                <w:highlight w:val="none"/>
              </w:rPr>
              <w:t>硝酸盐</w:t>
            </w:r>
            <w:r>
              <w:rPr>
                <w:rFonts w:hint="eastAsia" w:ascii="Times New Roman" w:hAnsi="Times New Roman"/>
                <w:kern w:val="0"/>
                <w:highlight w:val="none"/>
                <w:lang w:bidi="ar"/>
              </w:rPr>
              <w:t>（以N计）</w:t>
            </w:r>
          </w:p>
        </w:tc>
        <w:tc>
          <w:tcPr>
            <w:tcW w:w="1225" w:type="dxa"/>
            <w:tcBorders>
              <w:tl2br w:val="nil"/>
              <w:tr2bl w:val="nil"/>
            </w:tcBorders>
            <w:vAlign w:val="center"/>
          </w:tcPr>
          <w:p w14:paraId="30F6530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6B8A686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0.003L</w:t>
            </w:r>
          </w:p>
        </w:tc>
        <w:tc>
          <w:tcPr>
            <w:tcW w:w="1352" w:type="dxa"/>
            <w:tcBorders>
              <w:tl2br w:val="nil"/>
              <w:tr2bl w:val="nil"/>
            </w:tcBorders>
            <w:vAlign w:val="center"/>
          </w:tcPr>
          <w:p w14:paraId="060D74A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0.003L</w:t>
            </w:r>
          </w:p>
        </w:tc>
        <w:tc>
          <w:tcPr>
            <w:tcW w:w="1352" w:type="dxa"/>
            <w:tcBorders>
              <w:tl2br w:val="nil"/>
              <w:tr2bl w:val="nil"/>
            </w:tcBorders>
            <w:vAlign w:val="center"/>
          </w:tcPr>
          <w:p w14:paraId="43E90A5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0.003L</w:t>
            </w:r>
          </w:p>
        </w:tc>
        <w:tc>
          <w:tcPr>
            <w:tcW w:w="1354" w:type="dxa"/>
            <w:tcBorders>
              <w:tl2br w:val="nil"/>
              <w:tr2bl w:val="nil"/>
            </w:tcBorders>
            <w:vAlign w:val="center"/>
          </w:tcPr>
          <w:p w14:paraId="6DE2861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0.003L</w:t>
            </w:r>
          </w:p>
        </w:tc>
      </w:tr>
      <w:tr w14:paraId="5895B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DDDD45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1541" w:type="dxa"/>
            <w:tcBorders>
              <w:tl2br w:val="nil"/>
              <w:tr2bl w:val="nil"/>
            </w:tcBorders>
            <w:vAlign w:val="center"/>
          </w:tcPr>
          <w:p w14:paraId="381C7821">
            <w:pPr>
              <w:pStyle w:val="470"/>
              <w:spacing w:line="219"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eastAsia="zh-CN"/>
              </w:rPr>
              <w:t>氨氮</w:t>
            </w:r>
            <w:r>
              <w:rPr>
                <w:rFonts w:hint="eastAsia" w:ascii="Times New Roman" w:hAnsi="Times New Roman"/>
                <w:kern w:val="0"/>
                <w:highlight w:val="none"/>
                <w:lang w:bidi="ar"/>
              </w:rPr>
              <w:t>（以N计）</w:t>
            </w:r>
          </w:p>
        </w:tc>
        <w:tc>
          <w:tcPr>
            <w:tcW w:w="1225" w:type="dxa"/>
            <w:tcBorders>
              <w:tl2br w:val="nil"/>
              <w:tr2bl w:val="nil"/>
            </w:tcBorders>
            <w:vAlign w:val="center"/>
          </w:tcPr>
          <w:p w14:paraId="7C59572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3D88058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0.444</w:t>
            </w:r>
          </w:p>
        </w:tc>
        <w:tc>
          <w:tcPr>
            <w:tcW w:w="1352" w:type="dxa"/>
            <w:tcBorders>
              <w:tl2br w:val="nil"/>
              <w:tr2bl w:val="nil"/>
            </w:tcBorders>
            <w:vAlign w:val="center"/>
          </w:tcPr>
          <w:p w14:paraId="12AF588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0.397</w:t>
            </w:r>
          </w:p>
        </w:tc>
        <w:tc>
          <w:tcPr>
            <w:tcW w:w="1352" w:type="dxa"/>
            <w:tcBorders>
              <w:tl2br w:val="nil"/>
              <w:tr2bl w:val="nil"/>
            </w:tcBorders>
            <w:vAlign w:val="center"/>
          </w:tcPr>
          <w:p w14:paraId="3164619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0.475</w:t>
            </w:r>
          </w:p>
        </w:tc>
        <w:tc>
          <w:tcPr>
            <w:tcW w:w="1354" w:type="dxa"/>
            <w:tcBorders>
              <w:tl2br w:val="nil"/>
              <w:tr2bl w:val="nil"/>
            </w:tcBorders>
            <w:vAlign w:val="center"/>
          </w:tcPr>
          <w:p w14:paraId="5843F00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0.421</w:t>
            </w:r>
          </w:p>
        </w:tc>
      </w:tr>
      <w:tr w14:paraId="0C538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6EA2626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w:t>
            </w:r>
          </w:p>
        </w:tc>
        <w:tc>
          <w:tcPr>
            <w:tcW w:w="1541" w:type="dxa"/>
            <w:tcBorders>
              <w:tl2br w:val="nil"/>
              <w:tr2bl w:val="nil"/>
            </w:tcBorders>
            <w:vAlign w:val="center"/>
          </w:tcPr>
          <w:p w14:paraId="6DA3806A">
            <w:pPr>
              <w:pStyle w:val="470"/>
              <w:spacing w:line="219" w:lineRule="auto"/>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cs="Times New Roman"/>
                <w:spacing w:val="-2"/>
                <w:highlight w:val="none"/>
              </w:rPr>
              <w:t>氰化物</w:t>
            </w:r>
          </w:p>
        </w:tc>
        <w:tc>
          <w:tcPr>
            <w:tcW w:w="1225" w:type="dxa"/>
            <w:tcBorders>
              <w:tl2br w:val="nil"/>
              <w:tr2bl w:val="nil"/>
            </w:tcBorders>
            <w:vAlign w:val="center"/>
          </w:tcPr>
          <w:p w14:paraId="22765EA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027522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0.002L</w:t>
            </w:r>
          </w:p>
        </w:tc>
        <w:tc>
          <w:tcPr>
            <w:tcW w:w="1352" w:type="dxa"/>
            <w:tcBorders>
              <w:tl2br w:val="nil"/>
              <w:tr2bl w:val="nil"/>
            </w:tcBorders>
            <w:vAlign w:val="center"/>
          </w:tcPr>
          <w:p w14:paraId="1C4D544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0.002L</w:t>
            </w:r>
          </w:p>
        </w:tc>
        <w:tc>
          <w:tcPr>
            <w:tcW w:w="1352" w:type="dxa"/>
            <w:tcBorders>
              <w:tl2br w:val="nil"/>
              <w:tr2bl w:val="nil"/>
            </w:tcBorders>
            <w:vAlign w:val="center"/>
          </w:tcPr>
          <w:p w14:paraId="3B10331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0.002L</w:t>
            </w:r>
          </w:p>
        </w:tc>
        <w:tc>
          <w:tcPr>
            <w:tcW w:w="1354" w:type="dxa"/>
            <w:tcBorders>
              <w:tl2br w:val="nil"/>
              <w:tr2bl w:val="nil"/>
            </w:tcBorders>
            <w:vAlign w:val="center"/>
          </w:tcPr>
          <w:p w14:paraId="716E0B5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0.002L</w:t>
            </w:r>
          </w:p>
        </w:tc>
      </w:tr>
      <w:tr w14:paraId="6A411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B0A935C">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w:t>
            </w:r>
          </w:p>
        </w:tc>
        <w:tc>
          <w:tcPr>
            <w:tcW w:w="1541" w:type="dxa"/>
            <w:tcBorders>
              <w:tl2br w:val="nil"/>
              <w:tr2bl w:val="nil"/>
            </w:tcBorders>
            <w:vAlign w:val="center"/>
          </w:tcPr>
          <w:p w14:paraId="5AE17059">
            <w:pPr>
              <w:pStyle w:val="47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cs="Times New Roman"/>
                <w:kern w:val="0"/>
                <w:highlight w:val="none"/>
                <w:lang w:eastAsia="zh-CN" w:bidi="ar"/>
              </w:rPr>
              <w:t>挥发</w:t>
            </w:r>
            <w:r>
              <w:rPr>
                <w:rFonts w:hint="eastAsia" w:ascii="Times New Roman" w:hAnsi="Times New Roman"/>
                <w:kern w:val="0"/>
                <w:highlight w:val="none"/>
                <w:lang w:eastAsia="zh-CN" w:bidi="ar"/>
              </w:rPr>
              <w:t>性</w:t>
            </w:r>
            <w:r>
              <w:rPr>
                <w:rFonts w:hint="eastAsia" w:ascii="Times New Roman" w:hAnsi="Times New Roman" w:cs="Times New Roman"/>
                <w:kern w:val="0"/>
                <w:highlight w:val="none"/>
                <w:lang w:eastAsia="zh-CN" w:bidi="ar"/>
              </w:rPr>
              <w:t>酚</w:t>
            </w:r>
            <w:r>
              <w:rPr>
                <w:rFonts w:hint="eastAsia" w:ascii="Times New Roman" w:hAnsi="Times New Roman"/>
                <w:kern w:val="0"/>
                <w:highlight w:val="none"/>
                <w:lang w:eastAsia="zh-CN" w:bidi="ar"/>
              </w:rPr>
              <w:t>类（以苯酚计）</w:t>
            </w:r>
          </w:p>
        </w:tc>
        <w:tc>
          <w:tcPr>
            <w:tcW w:w="1225" w:type="dxa"/>
            <w:tcBorders>
              <w:tl2br w:val="nil"/>
              <w:tr2bl w:val="nil"/>
            </w:tcBorders>
            <w:vAlign w:val="center"/>
          </w:tcPr>
          <w:p w14:paraId="0FB2E95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84B05A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2" w:type="dxa"/>
            <w:tcBorders>
              <w:tl2br w:val="nil"/>
              <w:tr2bl w:val="nil"/>
            </w:tcBorders>
            <w:vAlign w:val="center"/>
          </w:tcPr>
          <w:p w14:paraId="3BB8384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2" w:type="dxa"/>
            <w:tcBorders>
              <w:tl2br w:val="nil"/>
              <w:tr2bl w:val="nil"/>
            </w:tcBorders>
            <w:vAlign w:val="center"/>
          </w:tcPr>
          <w:p w14:paraId="4369AB5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4" w:type="dxa"/>
            <w:tcBorders>
              <w:tl2br w:val="nil"/>
              <w:tr2bl w:val="nil"/>
            </w:tcBorders>
            <w:vAlign w:val="center"/>
          </w:tcPr>
          <w:p w14:paraId="771DFCA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r>
      <w:tr w14:paraId="4FA30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C78B366">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w:t>
            </w:r>
          </w:p>
        </w:tc>
        <w:tc>
          <w:tcPr>
            <w:tcW w:w="1541" w:type="dxa"/>
            <w:tcBorders>
              <w:tl2br w:val="nil"/>
              <w:tr2bl w:val="nil"/>
            </w:tcBorders>
            <w:vAlign w:val="center"/>
          </w:tcPr>
          <w:p w14:paraId="275BE64D">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砷</w:t>
            </w:r>
          </w:p>
        </w:tc>
        <w:tc>
          <w:tcPr>
            <w:tcW w:w="1225" w:type="dxa"/>
            <w:tcBorders>
              <w:tl2br w:val="nil"/>
              <w:tr2bl w:val="nil"/>
            </w:tcBorders>
            <w:vAlign w:val="center"/>
          </w:tcPr>
          <w:p w14:paraId="1B23EE4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4B20021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2" w:type="dxa"/>
            <w:tcBorders>
              <w:tl2br w:val="nil"/>
              <w:tr2bl w:val="nil"/>
            </w:tcBorders>
            <w:vAlign w:val="center"/>
          </w:tcPr>
          <w:p w14:paraId="4451D88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2" w:type="dxa"/>
            <w:tcBorders>
              <w:tl2br w:val="nil"/>
              <w:tr2bl w:val="nil"/>
            </w:tcBorders>
            <w:vAlign w:val="center"/>
          </w:tcPr>
          <w:p w14:paraId="01B125F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4" w:type="dxa"/>
            <w:tcBorders>
              <w:tl2br w:val="nil"/>
              <w:tr2bl w:val="nil"/>
            </w:tcBorders>
            <w:vAlign w:val="center"/>
          </w:tcPr>
          <w:p w14:paraId="6E1CFD6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r>
      <w:tr w14:paraId="43D5F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1ACF6F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w:t>
            </w:r>
          </w:p>
        </w:tc>
        <w:tc>
          <w:tcPr>
            <w:tcW w:w="1541" w:type="dxa"/>
            <w:tcBorders>
              <w:tl2br w:val="nil"/>
              <w:tr2bl w:val="nil"/>
            </w:tcBorders>
            <w:vAlign w:val="center"/>
          </w:tcPr>
          <w:p w14:paraId="3CFB3D52">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汞</w:t>
            </w:r>
          </w:p>
        </w:tc>
        <w:tc>
          <w:tcPr>
            <w:tcW w:w="1225" w:type="dxa"/>
            <w:tcBorders>
              <w:tl2br w:val="nil"/>
              <w:tr2bl w:val="nil"/>
            </w:tcBorders>
            <w:vAlign w:val="center"/>
          </w:tcPr>
          <w:p w14:paraId="69B30B4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770CFFD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0.00002L</w:t>
            </w:r>
          </w:p>
        </w:tc>
        <w:tc>
          <w:tcPr>
            <w:tcW w:w="1352" w:type="dxa"/>
            <w:tcBorders>
              <w:tl2br w:val="nil"/>
              <w:tr2bl w:val="nil"/>
            </w:tcBorders>
            <w:vAlign w:val="center"/>
          </w:tcPr>
          <w:p w14:paraId="4FDF239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0.00002L</w:t>
            </w:r>
          </w:p>
        </w:tc>
        <w:tc>
          <w:tcPr>
            <w:tcW w:w="1352" w:type="dxa"/>
            <w:tcBorders>
              <w:tl2br w:val="nil"/>
              <w:tr2bl w:val="nil"/>
            </w:tcBorders>
            <w:vAlign w:val="center"/>
          </w:tcPr>
          <w:p w14:paraId="271D93D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0.00002L</w:t>
            </w:r>
          </w:p>
        </w:tc>
        <w:tc>
          <w:tcPr>
            <w:tcW w:w="1354" w:type="dxa"/>
            <w:tcBorders>
              <w:tl2br w:val="nil"/>
              <w:tr2bl w:val="nil"/>
            </w:tcBorders>
            <w:vAlign w:val="center"/>
          </w:tcPr>
          <w:p w14:paraId="23C5D3D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0.00002L</w:t>
            </w:r>
          </w:p>
        </w:tc>
      </w:tr>
      <w:tr w14:paraId="2E9D4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08F5DCF2">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1541" w:type="dxa"/>
            <w:tcBorders>
              <w:tl2br w:val="nil"/>
              <w:tr2bl w:val="nil"/>
            </w:tcBorders>
            <w:vAlign w:val="center"/>
          </w:tcPr>
          <w:p w14:paraId="0E00C669">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铬</w:t>
            </w:r>
            <w:r>
              <w:rPr>
                <w:rFonts w:hint="eastAsia" w:ascii="Times New Roman" w:hAnsi="Times New Roman" w:cs="Times New Roman"/>
                <w:spacing w:val="-2"/>
                <w:highlight w:val="none"/>
                <w:lang w:val="en-US" w:eastAsia="zh-CN"/>
              </w:rPr>
              <w:t>（六价）</w:t>
            </w:r>
          </w:p>
        </w:tc>
        <w:tc>
          <w:tcPr>
            <w:tcW w:w="1225" w:type="dxa"/>
            <w:tcBorders>
              <w:tl2br w:val="nil"/>
              <w:tr2bl w:val="nil"/>
            </w:tcBorders>
            <w:vAlign w:val="center"/>
          </w:tcPr>
          <w:p w14:paraId="132ABF9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3917E9D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0.004L</w:t>
            </w:r>
          </w:p>
        </w:tc>
        <w:tc>
          <w:tcPr>
            <w:tcW w:w="1352" w:type="dxa"/>
            <w:tcBorders>
              <w:tl2br w:val="nil"/>
              <w:tr2bl w:val="nil"/>
            </w:tcBorders>
            <w:vAlign w:val="center"/>
          </w:tcPr>
          <w:p w14:paraId="78D11FB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0.004L</w:t>
            </w:r>
          </w:p>
        </w:tc>
        <w:tc>
          <w:tcPr>
            <w:tcW w:w="1352" w:type="dxa"/>
            <w:tcBorders>
              <w:tl2br w:val="nil"/>
              <w:tr2bl w:val="nil"/>
            </w:tcBorders>
            <w:vAlign w:val="center"/>
          </w:tcPr>
          <w:p w14:paraId="76FE331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0.004L</w:t>
            </w:r>
          </w:p>
        </w:tc>
        <w:tc>
          <w:tcPr>
            <w:tcW w:w="1354" w:type="dxa"/>
            <w:tcBorders>
              <w:tl2br w:val="nil"/>
              <w:tr2bl w:val="nil"/>
            </w:tcBorders>
            <w:vAlign w:val="center"/>
          </w:tcPr>
          <w:p w14:paraId="5D6AABE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0.004L</w:t>
            </w:r>
          </w:p>
        </w:tc>
      </w:tr>
      <w:tr w14:paraId="67C650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06933E8">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w:t>
            </w:r>
          </w:p>
        </w:tc>
        <w:tc>
          <w:tcPr>
            <w:tcW w:w="1541" w:type="dxa"/>
            <w:tcBorders>
              <w:tl2br w:val="nil"/>
              <w:tr2bl w:val="nil"/>
            </w:tcBorders>
            <w:vAlign w:val="center"/>
          </w:tcPr>
          <w:p w14:paraId="6C94786E">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镉</w:t>
            </w:r>
          </w:p>
        </w:tc>
        <w:tc>
          <w:tcPr>
            <w:tcW w:w="1225" w:type="dxa"/>
            <w:tcBorders>
              <w:tl2br w:val="nil"/>
              <w:tr2bl w:val="nil"/>
            </w:tcBorders>
            <w:vAlign w:val="center"/>
          </w:tcPr>
          <w:p w14:paraId="6A92E53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74573AC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0.0001L</w:t>
            </w:r>
          </w:p>
        </w:tc>
        <w:tc>
          <w:tcPr>
            <w:tcW w:w="1352" w:type="dxa"/>
            <w:tcBorders>
              <w:tl2br w:val="nil"/>
              <w:tr2bl w:val="nil"/>
            </w:tcBorders>
            <w:vAlign w:val="center"/>
          </w:tcPr>
          <w:p w14:paraId="28C42F9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0.0001L</w:t>
            </w:r>
          </w:p>
        </w:tc>
        <w:tc>
          <w:tcPr>
            <w:tcW w:w="1352" w:type="dxa"/>
            <w:tcBorders>
              <w:tl2br w:val="nil"/>
              <w:tr2bl w:val="nil"/>
            </w:tcBorders>
            <w:vAlign w:val="center"/>
          </w:tcPr>
          <w:p w14:paraId="3BB6497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0.0001L</w:t>
            </w:r>
          </w:p>
        </w:tc>
        <w:tc>
          <w:tcPr>
            <w:tcW w:w="1354" w:type="dxa"/>
            <w:tcBorders>
              <w:tl2br w:val="nil"/>
              <w:tr2bl w:val="nil"/>
            </w:tcBorders>
            <w:vAlign w:val="center"/>
          </w:tcPr>
          <w:p w14:paraId="4D345B5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0.0001L</w:t>
            </w:r>
          </w:p>
        </w:tc>
      </w:tr>
      <w:tr w14:paraId="389C2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C0C0572">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w:t>
            </w:r>
          </w:p>
        </w:tc>
        <w:tc>
          <w:tcPr>
            <w:tcW w:w="1541" w:type="dxa"/>
            <w:tcBorders>
              <w:tl2br w:val="nil"/>
              <w:tr2bl w:val="nil"/>
            </w:tcBorders>
            <w:vAlign w:val="center"/>
          </w:tcPr>
          <w:p w14:paraId="4567E975">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铅</w:t>
            </w:r>
          </w:p>
        </w:tc>
        <w:tc>
          <w:tcPr>
            <w:tcW w:w="1225" w:type="dxa"/>
            <w:tcBorders>
              <w:tl2br w:val="nil"/>
              <w:tr2bl w:val="nil"/>
            </w:tcBorders>
            <w:vAlign w:val="center"/>
          </w:tcPr>
          <w:p w14:paraId="341AE11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7478A76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0.001L</w:t>
            </w:r>
          </w:p>
        </w:tc>
        <w:tc>
          <w:tcPr>
            <w:tcW w:w="1352" w:type="dxa"/>
            <w:tcBorders>
              <w:tl2br w:val="nil"/>
              <w:tr2bl w:val="nil"/>
            </w:tcBorders>
            <w:vAlign w:val="center"/>
          </w:tcPr>
          <w:p w14:paraId="1CC2BFD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0.001L</w:t>
            </w:r>
          </w:p>
        </w:tc>
        <w:tc>
          <w:tcPr>
            <w:tcW w:w="1352" w:type="dxa"/>
            <w:tcBorders>
              <w:tl2br w:val="nil"/>
              <w:tr2bl w:val="nil"/>
            </w:tcBorders>
            <w:vAlign w:val="center"/>
          </w:tcPr>
          <w:p w14:paraId="7B9EB5E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0.001L</w:t>
            </w:r>
          </w:p>
        </w:tc>
        <w:tc>
          <w:tcPr>
            <w:tcW w:w="1354" w:type="dxa"/>
            <w:tcBorders>
              <w:tl2br w:val="nil"/>
              <w:tr2bl w:val="nil"/>
            </w:tcBorders>
            <w:vAlign w:val="center"/>
          </w:tcPr>
          <w:p w14:paraId="31771BE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0.001L</w:t>
            </w:r>
          </w:p>
        </w:tc>
      </w:tr>
      <w:tr w14:paraId="7BBF3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3B8FB74">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w:t>
            </w:r>
          </w:p>
        </w:tc>
        <w:tc>
          <w:tcPr>
            <w:tcW w:w="1541" w:type="dxa"/>
            <w:tcBorders>
              <w:tl2br w:val="nil"/>
              <w:tr2bl w:val="nil"/>
            </w:tcBorders>
            <w:vAlign w:val="center"/>
          </w:tcPr>
          <w:p w14:paraId="2041E0AB">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铁</w:t>
            </w:r>
          </w:p>
        </w:tc>
        <w:tc>
          <w:tcPr>
            <w:tcW w:w="1225" w:type="dxa"/>
            <w:tcBorders>
              <w:tl2br w:val="nil"/>
              <w:tr2bl w:val="nil"/>
            </w:tcBorders>
            <w:vAlign w:val="center"/>
          </w:tcPr>
          <w:p w14:paraId="58D452B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D21C1E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0.03L</w:t>
            </w:r>
          </w:p>
        </w:tc>
        <w:tc>
          <w:tcPr>
            <w:tcW w:w="1352" w:type="dxa"/>
            <w:tcBorders>
              <w:tl2br w:val="nil"/>
              <w:tr2bl w:val="nil"/>
            </w:tcBorders>
            <w:vAlign w:val="center"/>
          </w:tcPr>
          <w:p w14:paraId="166D4AC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0.03L</w:t>
            </w:r>
          </w:p>
        </w:tc>
        <w:tc>
          <w:tcPr>
            <w:tcW w:w="1352" w:type="dxa"/>
            <w:tcBorders>
              <w:tl2br w:val="nil"/>
              <w:tr2bl w:val="nil"/>
            </w:tcBorders>
            <w:vAlign w:val="center"/>
          </w:tcPr>
          <w:p w14:paraId="6B97984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0.03L</w:t>
            </w:r>
          </w:p>
        </w:tc>
        <w:tc>
          <w:tcPr>
            <w:tcW w:w="1354" w:type="dxa"/>
            <w:tcBorders>
              <w:tl2br w:val="nil"/>
              <w:tr2bl w:val="nil"/>
            </w:tcBorders>
            <w:vAlign w:val="center"/>
          </w:tcPr>
          <w:p w14:paraId="09782AA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0.03L</w:t>
            </w:r>
          </w:p>
        </w:tc>
      </w:tr>
      <w:tr w14:paraId="5E2E9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D05217E">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w:t>
            </w:r>
          </w:p>
        </w:tc>
        <w:tc>
          <w:tcPr>
            <w:tcW w:w="1541" w:type="dxa"/>
            <w:tcBorders>
              <w:tl2br w:val="nil"/>
              <w:tr2bl w:val="nil"/>
            </w:tcBorders>
            <w:vAlign w:val="center"/>
          </w:tcPr>
          <w:p w14:paraId="50280426">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锰</w:t>
            </w:r>
          </w:p>
        </w:tc>
        <w:tc>
          <w:tcPr>
            <w:tcW w:w="1225" w:type="dxa"/>
            <w:tcBorders>
              <w:tl2br w:val="nil"/>
              <w:tr2bl w:val="nil"/>
            </w:tcBorders>
            <w:vAlign w:val="center"/>
          </w:tcPr>
          <w:p w14:paraId="0B7A128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4ABD259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0.01L</w:t>
            </w:r>
          </w:p>
        </w:tc>
        <w:tc>
          <w:tcPr>
            <w:tcW w:w="1352" w:type="dxa"/>
            <w:tcBorders>
              <w:tl2br w:val="nil"/>
              <w:tr2bl w:val="nil"/>
            </w:tcBorders>
            <w:vAlign w:val="center"/>
          </w:tcPr>
          <w:p w14:paraId="548C5AC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0.01L</w:t>
            </w:r>
          </w:p>
        </w:tc>
        <w:tc>
          <w:tcPr>
            <w:tcW w:w="1352" w:type="dxa"/>
            <w:tcBorders>
              <w:tl2br w:val="nil"/>
              <w:tr2bl w:val="nil"/>
            </w:tcBorders>
            <w:vAlign w:val="center"/>
          </w:tcPr>
          <w:p w14:paraId="641286B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0.22</w:t>
            </w:r>
          </w:p>
        </w:tc>
        <w:tc>
          <w:tcPr>
            <w:tcW w:w="1354" w:type="dxa"/>
            <w:tcBorders>
              <w:tl2br w:val="nil"/>
              <w:tr2bl w:val="nil"/>
            </w:tcBorders>
            <w:vAlign w:val="center"/>
          </w:tcPr>
          <w:p w14:paraId="243671A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0.29</w:t>
            </w:r>
          </w:p>
        </w:tc>
      </w:tr>
      <w:tr w14:paraId="315BC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7595142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1541" w:type="dxa"/>
            <w:tcBorders>
              <w:tl2br w:val="nil"/>
              <w:tr2bl w:val="nil"/>
            </w:tcBorders>
            <w:vAlign w:val="center"/>
          </w:tcPr>
          <w:p w14:paraId="65D7F5A4">
            <w:pPr>
              <w:pStyle w:val="470"/>
              <w:spacing w:line="219"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kern w:val="0"/>
                <w:highlight w:val="none"/>
                <w:lang w:bidi="ar"/>
              </w:rPr>
              <w:t>耗氧量（COD</w:t>
            </w:r>
            <w:r>
              <w:rPr>
                <w:rFonts w:hint="eastAsia" w:ascii="Times New Roman" w:hAnsi="Times New Roman"/>
                <w:kern w:val="0"/>
                <w:highlight w:val="none"/>
                <w:vertAlign w:val="subscript"/>
                <w:lang w:bidi="ar"/>
              </w:rPr>
              <w:t>M</w:t>
            </w:r>
            <w:r>
              <w:rPr>
                <w:rFonts w:hint="eastAsia" w:ascii="Times New Roman" w:hAnsi="Times New Roman"/>
                <w:kern w:val="0"/>
                <w:highlight w:val="none"/>
                <w:vertAlign w:val="subscript"/>
                <w:lang w:eastAsia="zh-CN" w:bidi="ar"/>
              </w:rPr>
              <w:t>n</w:t>
            </w:r>
            <w:r>
              <w:rPr>
                <w:rFonts w:hint="eastAsia" w:ascii="Times New Roman" w:hAnsi="Times New Roman"/>
                <w:kern w:val="0"/>
                <w:highlight w:val="none"/>
                <w:lang w:bidi="ar"/>
              </w:rPr>
              <w:t>法，以O</w:t>
            </w:r>
            <w:r>
              <w:rPr>
                <w:rFonts w:hint="eastAsia" w:ascii="Times New Roman" w:hAnsi="Times New Roman"/>
                <w:kern w:val="0"/>
                <w:highlight w:val="none"/>
                <w:vertAlign w:val="subscript"/>
                <w:lang w:bidi="ar"/>
              </w:rPr>
              <w:t>2</w:t>
            </w:r>
            <w:r>
              <w:rPr>
                <w:rFonts w:hint="eastAsia" w:ascii="Times New Roman" w:hAnsi="Times New Roman"/>
                <w:kern w:val="0"/>
                <w:highlight w:val="none"/>
                <w:lang w:bidi="ar"/>
              </w:rPr>
              <w:t>计）</w:t>
            </w:r>
          </w:p>
        </w:tc>
        <w:tc>
          <w:tcPr>
            <w:tcW w:w="1225" w:type="dxa"/>
            <w:tcBorders>
              <w:tl2br w:val="nil"/>
              <w:tr2bl w:val="nil"/>
            </w:tcBorders>
            <w:vAlign w:val="center"/>
          </w:tcPr>
          <w:p w14:paraId="6D69B9F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4067C22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0.9</w:t>
            </w:r>
          </w:p>
        </w:tc>
        <w:tc>
          <w:tcPr>
            <w:tcW w:w="1352" w:type="dxa"/>
            <w:tcBorders>
              <w:tl2br w:val="nil"/>
              <w:tr2bl w:val="nil"/>
            </w:tcBorders>
            <w:vAlign w:val="center"/>
          </w:tcPr>
          <w:p w14:paraId="62355D2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0.7</w:t>
            </w:r>
          </w:p>
        </w:tc>
        <w:tc>
          <w:tcPr>
            <w:tcW w:w="1352" w:type="dxa"/>
            <w:tcBorders>
              <w:tl2br w:val="nil"/>
              <w:tr2bl w:val="nil"/>
            </w:tcBorders>
            <w:vAlign w:val="center"/>
          </w:tcPr>
          <w:p w14:paraId="7060A29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1.3</w:t>
            </w:r>
          </w:p>
        </w:tc>
        <w:tc>
          <w:tcPr>
            <w:tcW w:w="1354" w:type="dxa"/>
            <w:tcBorders>
              <w:tl2br w:val="nil"/>
              <w:tr2bl w:val="nil"/>
            </w:tcBorders>
            <w:vAlign w:val="center"/>
          </w:tcPr>
          <w:p w14:paraId="61F7534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1.1</w:t>
            </w:r>
          </w:p>
        </w:tc>
      </w:tr>
      <w:tr w14:paraId="071FDD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EFA3A50">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26</w:t>
            </w:r>
          </w:p>
        </w:tc>
        <w:tc>
          <w:tcPr>
            <w:tcW w:w="1541" w:type="dxa"/>
            <w:tcBorders>
              <w:tl2br w:val="nil"/>
              <w:tr2bl w:val="nil"/>
            </w:tcBorders>
            <w:vAlign w:val="center"/>
          </w:tcPr>
          <w:p w14:paraId="6EFDC86B">
            <w:pPr>
              <w:pStyle w:val="470"/>
              <w:spacing w:line="219"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eastAsia="zh-CN"/>
              </w:rPr>
              <w:t>总大肠菌群</w:t>
            </w:r>
          </w:p>
        </w:tc>
        <w:tc>
          <w:tcPr>
            <w:tcW w:w="1225" w:type="dxa"/>
            <w:tcBorders>
              <w:tl2br w:val="nil"/>
              <w:tr2bl w:val="nil"/>
            </w:tcBorders>
            <w:vAlign w:val="center"/>
          </w:tcPr>
          <w:p w14:paraId="349C013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MPN</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100mL</w:t>
            </w:r>
          </w:p>
        </w:tc>
        <w:tc>
          <w:tcPr>
            <w:tcW w:w="1188" w:type="dxa"/>
            <w:tcBorders>
              <w:tl2br w:val="nil"/>
              <w:tr2bl w:val="nil"/>
            </w:tcBorders>
            <w:vAlign w:val="center"/>
          </w:tcPr>
          <w:p w14:paraId="24F1218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&lt;2</w:t>
            </w:r>
          </w:p>
        </w:tc>
        <w:tc>
          <w:tcPr>
            <w:tcW w:w="1352" w:type="dxa"/>
            <w:tcBorders>
              <w:tl2br w:val="nil"/>
              <w:tr2bl w:val="nil"/>
            </w:tcBorders>
            <w:vAlign w:val="center"/>
          </w:tcPr>
          <w:p w14:paraId="5E8FFDF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&lt;2</w:t>
            </w:r>
          </w:p>
        </w:tc>
        <w:tc>
          <w:tcPr>
            <w:tcW w:w="1352" w:type="dxa"/>
            <w:tcBorders>
              <w:tl2br w:val="nil"/>
              <w:tr2bl w:val="nil"/>
            </w:tcBorders>
            <w:vAlign w:val="center"/>
          </w:tcPr>
          <w:p w14:paraId="0CA6945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&lt;2</w:t>
            </w:r>
          </w:p>
        </w:tc>
        <w:tc>
          <w:tcPr>
            <w:tcW w:w="1354" w:type="dxa"/>
            <w:tcBorders>
              <w:tl2br w:val="nil"/>
              <w:tr2bl w:val="nil"/>
            </w:tcBorders>
            <w:vAlign w:val="center"/>
          </w:tcPr>
          <w:p w14:paraId="3A50F32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&lt;2</w:t>
            </w:r>
          </w:p>
        </w:tc>
      </w:tr>
      <w:tr w14:paraId="39DF9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6F6FDA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27</w:t>
            </w:r>
          </w:p>
        </w:tc>
        <w:tc>
          <w:tcPr>
            <w:tcW w:w="1541" w:type="dxa"/>
            <w:tcBorders>
              <w:tl2br w:val="nil"/>
              <w:tr2bl w:val="nil"/>
            </w:tcBorders>
            <w:vAlign w:val="center"/>
          </w:tcPr>
          <w:p w14:paraId="6BC31000">
            <w:pPr>
              <w:pStyle w:val="470"/>
              <w:spacing w:line="219"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eastAsia="zh-CN"/>
              </w:rPr>
              <w:t>菌落总数</w:t>
            </w:r>
          </w:p>
        </w:tc>
        <w:tc>
          <w:tcPr>
            <w:tcW w:w="1225" w:type="dxa"/>
            <w:tcBorders>
              <w:tl2br w:val="nil"/>
              <w:tr2bl w:val="nil"/>
            </w:tcBorders>
            <w:vAlign w:val="center"/>
          </w:tcPr>
          <w:p w14:paraId="06F6A41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CFU</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100mL</w:t>
            </w:r>
          </w:p>
        </w:tc>
        <w:tc>
          <w:tcPr>
            <w:tcW w:w="1188" w:type="dxa"/>
            <w:tcBorders>
              <w:tl2br w:val="nil"/>
              <w:tr2bl w:val="nil"/>
            </w:tcBorders>
            <w:vAlign w:val="center"/>
          </w:tcPr>
          <w:p w14:paraId="3FD93A1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65</w:t>
            </w:r>
          </w:p>
        </w:tc>
        <w:tc>
          <w:tcPr>
            <w:tcW w:w="1352" w:type="dxa"/>
            <w:tcBorders>
              <w:tl2br w:val="nil"/>
              <w:tr2bl w:val="nil"/>
            </w:tcBorders>
            <w:vAlign w:val="center"/>
          </w:tcPr>
          <w:p w14:paraId="215199D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74</w:t>
            </w:r>
          </w:p>
        </w:tc>
        <w:tc>
          <w:tcPr>
            <w:tcW w:w="1352" w:type="dxa"/>
            <w:tcBorders>
              <w:tl2br w:val="nil"/>
              <w:tr2bl w:val="nil"/>
            </w:tcBorders>
            <w:vAlign w:val="center"/>
          </w:tcPr>
          <w:p w14:paraId="01BB773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70</w:t>
            </w:r>
          </w:p>
        </w:tc>
        <w:tc>
          <w:tcPr>
            <w:tcW w:w="1354" w:type="dxa"/>
            <w:tcBorders>
              <w:tl2br w:val="nil"/>
              <w:tr2bl w:val="nil"/>
            </w:tcBorders>
            <w:vAlign w:val="center"/>
          </w:tcPr>
          <w:p w14:paraId="1FC271A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82</w:t>
            </w:r>
          </w:p>
        </w:tc>
      </w:tr>
      <w:tr w14:paraId="4B6EA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470098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w:t>
            </w:r>
          </w:p>
        </w:tc>
        <w:tc>
          <w:tcPr>
            <w:tcW w:w="1541" w:type="dxa"/>
            <w:tcBorders>
              <w:tl2br w:val="nil"/>
              <w:tr2bl w:val="nil"/>
            </w:tcBorders>
            <w:vAlign w:val="center"/>
          </w:tcPr>
          <w:p w14:paraId="2B0BA813">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val="en-US" w:eastAsia="zh-CN"/>
              </w:rPr>
              <w:t>氯化物</w:t>
            </w:r>
          </w:p>
        </w:tc>
        <w:tc>
          <w:tcPr>
            <w:tcW w:w="1225" w:type="dxa"/>
            <w:tcBorders>
              <w:tl2br w:val="nil"/>
              <w:tr2bl w:val="nil"/>
            </w:tcBorders>
            <w:vAlign w:val="center"/>
          </w:tcPr>
          <w:p w14:paraId="2156D75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5D4BD5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5.64</w:t>
            </w:r>
          </w:p>
        </w:tc>
        <w:tc>
          <w:tcPr>
            <w:tcW w:w="1352" w:type="dxa"/>
            <w:tcBorders>
              <w:tl2br w:val="nil"/>
              <w:tr2bl w:val="nil"/>
            </w:tcBorders>
            <w:vAlign w:val="center"/>
          </w:tcPr>
          <w:p w14:paraId="1093103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4.32</w:t>
            </w:r>
          </w:p>
        </w:tc>
        <w:tc>
          <w:tcPr>
            <w:tcW w:w="1352" w:type="dxa"/>
            <w:tcBorders>
              <w:tl2br w:val="nil"/>
              <w:tr2bl w:val="nil"/>
            </w:tcBorders>
            <w:vAlign w:val="center"/>
          </w:tcPr>
          <w:p w14:paraId="416D231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22.8</w:t>
            </w:r>
          </w:p>
        </w:tc>
        <w:tc>
          <w:tcPr>
            <w:tcW w:w="1354" w:type="dxa"/>
            <w:tcBorders>
              <w:tl2br w:val="nil"/>
              <w:tr2bl w:val="nil"/>
            </w:tcBorders>
            <w:vAlign w:val="center"/>
          </w:tcPr>
          <w:p w14:paraId="5491A8F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2.81</w:t>
            </w:r>
          </w:p>
        </w:tc>
      </w:tr>
      <w:tr w14:paraId="286C27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CBAF78A">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w:t>
            </w:r>
          </w:p>
        </w:tc>
        <w:tc>
          <w:tcPr>
            <w:tcW w:w="1541" w:type="dxa"/>
            <w:tcBorders>
              <w:tl2br w:val="nil"/>
              <w:tr2bl w:val="nil"/>
            </w:tcBorders>
            <w:vAlign w:val="center"/>
          </w:tcPr>
          <w:p w14:paraId="0ACA73E6">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val="en-US" w:eastAsia="zh-CN"/>
              </w:rPr>
              <w:t>硫酸盐</w:t>
            </w:r>
          </w:p>
        </w:tc>
        <w:tc>
          <w:tcPr>
            <w:tcW w:w="1225" w:type="dxa"/>
            <w:tcBorders>
              <w:tl2br w:val="nil"/>
              <w:tr2bl w:val="nil"/>
            </w:tcBorders>
            <w:vAlign w:val="center"/>
          </w:tcPr>
          <w:p w14:paraId="4627E12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620F186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2.13</w:t>
            </w:r>
          </w:p>
        </w:tc>
        <w:tc>
          <w:tcPr>
            <w:tcW w:w="1352" w:type="dxa"/>
            <w:tcBorders>
              <w:tl2br w:val="nil"/>
              <w:tr2bl w:val="nil"/>
            </w:tcBorders>
            <w:vAlign w:val="center"/>
          </w:tcPr>
          <w:p w14:paraId="071C687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2.44</w:t>
            </w:r>
          </w:p>
        </w:tc>
        <w:tc>
          <w:tcPr>
            <w:tcW w:w="1352" w:type="dxa"/>
            <w:tcBorders>
              <w:tl2br w:val="nil"/>
              <w:tr2bl w:val="nil"/>
            </w:tcBorders>
            <w:vAlign w:val="center"/>
          </w:tcPr>
          <w:p w14:paraId="02A5D4E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9.53</w:t>
            </w:r>
          </w:p>
        </w:tc>
        <w:tc>
          <w:tcPr>
            <w:tcW w:w="1354" w:type="dxa"/>
            <w:tcBorders>
              <w:tl2br w:val="nil"/>
              <w:tr2bl w:val="nil"/>
            </w:tcBorders>
            <w:vAlign w:val="center"/>
          </w:tcPr>
          <w:p w14:paraId="372E5B6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1.33</w:t>
            </w:r>
          </w:p>
        </w:tc>
      </w:tr>
    </w:tbl>
    <w:p w14:paraId="2301B116">
      <w:pPr>
        <w:spacing w:line="360" w:lineRule="auto"/>
        <w:ind w:firstLine="361"/>
        <w:jc w:val="both"/>
        <w:textAlignment w:val="center"/>
        <w:rPr>
          <w:rFonts w:hint="default" w:ascii="Times New Roman" w:hAnsi="Times New Roman" w:eastAsia="宋体" w:cs="Times New Roman"/>
          <w:b/>
          <w:snapToGrid w:val="0"/>
          <w:color w:val="auto"/>
          <w:sz w:val="18"/>
          <w:szCs w:val="18"/>
          <w:highlight w:val="none"/>
        </w:rPr>
      </w:pPr>
      <w:r>
        <w:rPr>
          <w:rFonts w:hint="default" w:ascii="Times New Roman" w:hAnsi="Times New Roman" w:eastAsia="宋体" w:cs="Times New Roman"/>
          <w:b/>
          <w:snapToGrid w:val="0"/>
          <w:color w:val="auto"/>
          <w:sz w:val="18"/>
          <w:szCs w:val="18"/>
          <w:highlight w:val="none"/>
        </w:rPr>
        <w:t>注：“L”表示低于检出限</w:t>
      </w:r>
    </w:p>
    <w:p w14:paraId="42466B6A">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9  </w:t>
      </w:r>
      <w:r>
        <w:rPr>
          <w:rFonts w:hint="default" w:ascii="Times New Roman" w:hAnsi="Times New Roman" w:eastAsia="黑体" w:cs="Times New Roman"/>
          <w:b w:val="0"/>
          <w:bCs/>
          <w:smallCaps w:val="0"/>
          <w:snapToGrid/>
          <w:color w:val="auto"/>
          <w:kern w:val="2"/>
          <w:sz w:val="21"/>
          <w:szCs w:val="24"/>
          <w:highlight w:val="none"/>
          <w:lang w:val="en-US" w:eastAsia="zh-CN" w:bidi="ar-SA"/>
        </w:rPr>
        <w:t>地下水</w:t>
      </w:r>
      <w:r>
        <w:rPr>
          <w:rFonts w:hint="eastAsia" w:ascii="Times New Roman" w:hAnsi="Times New Roman" w:eastAsia="黑体" w:cs="Times New Roman"/>
          <w:b w:val="0"/>
          <w:bCs/>
          <w:smallCaps w:val="0"/>
          <w:snapToGrid/>
          <w:color w:val="auto"/>
          <w:kern w:val="2"/>
          <w:sz w:val="21"/>
          <w:szCs w:val="24"/>
          <w:highlight w:val="none"/>
          <w:lang w:val="en-US" w:eastAsia="zh-CN" w:bidi="ar-SA"/>
        </w:rPr>
        <w:t>水位</w:t>
      </w:r>
      <w:r>
        <w:rPr>
          <w:rFonts w:hint="default" w:ascii="Times New Roman" w:hAnsi="Times New Roman" w:eastAsia="黑体" w:cs="Times New Roman"/>
          <w:b w:val="0"/>
          <w:bCs/>
          <w:smallCaps w:val="0"/>
          <w:snapToGrid/>
          <w:color w:val="auto"/>
          <w:kern w:val="2"/>
          <w:sz w:val="21"/>
          <w:szCs w:val="24"/>
          <w:highlight w:val="none"/>
          <w:lang w:val="en-US" w:eastAsia="zh-CN" w:bidi="ar-SA"/>
        </w:rPr>
        <w:t>监测结果  单位：mg/L</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302"/>
        <w:gridCol w:w="929"/>
        <w:gridCol w:w="929"/>
        <w:gridCol w:w="929"/>
        <w:gridCol w:w="929"/>
        <w:gridCol w:w="929"/>
        <w:gridCol w:w="929"/>
        <w:gridCol w:w="934"/>
        <w:gridCol w:w="715"/>
      </w:tblGrid>
      <w:tr w14:paraId="2E7C075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noWrap w:val="0"/>
            <w:vAlign w:val="center"/>
          </w:tcPr>
          <w:p w14:paraId="34E4081A">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color w:val="000000"/>
                <w:kern w:val="0"/>
                <w:sz w:val="21"/>
                <w:szCs w:val="21"/>
                <w:highlight w:val="none"/>
                <w:lang w:val="en-US" w:eastAsia="zh-CN"/>
              </w:rPr>
              <w:t>采样点位</w:t>
            </w:r>
          </w:p>
        </w:tc>
        <w:tc>
          <w:tcPr>
            <w:tcW w:w="544" w:type="pct"/>
            <w:tcBorders>
              <w:tl2br w:val="nil"/>
              <w:tr2bl w:val="nil"/>
            </w:tcBorders>
            <w:shd w:val="clear" w:color="auto" w:fill="auto"/>
            <w:noWrap w:val="0"/>
            <w:vAlign w:val="center"/>
          </w:tcPr>
          <w:p w14:paraId="2712FE25">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bidi="ar-SA"/>
              </w:rPr>
            </w:pPr>
            <w:r>
              <w:rPr>
                <w:rFonts w:hint="default" w:ascii="Times New Roman" w:hAnsi="Times New Roman" w:eastAsia="宋体" w:cs="Times New Roman"/>
                <w:b/>
                <w:bCs/>
                <w:color w:val="000000"/>
                <w:kern w:val="0"/>
                <w:sz w:val="21"/>
                <w:szCs w:val="21"/>
                <w:highlight w:val="none"/>
                <w:lang w:val="en-US" w:eastAsia="zh-CN"/>
              </w:rPr>
              <w:t>1#厂内上游</w:t>
            </w:r>
          </w:p>
        </w:tc>
        <w:tc>
          <w:tcPr>
            <w:tcW w:w="544" w:type="pct"/>
            <w:tcBorders>
              <w:tl2br w:val="nil"/>
              <w:tr2bl w:val="nil"/>
            </w:tcBorders>
            <w:shd w:val="clear" w:color="auto" w:fill="auto"/>
            <w:noWrap w:val="0"/>
            <w:vAlign w:val="center"/>
          </w:tcPr>
          <w:p w14:paraId="550CF765">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bidi="ar-SA"/>
              </w:rPr>
            </w:pPr>
            <w:r>
              <w:rPr>
                <w:rFonts w:hint="default" w:ascii="Times New Roman" w:hAnsi="Times New Roman" w:eastAsia="宋体" w:cs="Times New Roman"/>
                <w:b/>
                <w:bCs/>
                <w:color w:val="000000"/>
                <w:kern w:val="0"/>
                <w:sz w:val="21"/>
                <w:szCs w:val="21"/>
                <w:highlight w:val="none"/>
                <w:lang w:val="en-US" w:eastAsia="zh-CN"/>
              </w:rPr>
              <w:t>2#厂内下游</w:t>
            </w:r>
          </w:p>
        </w:tc>
        <w:tc>
          <w:tcPr>
            <w:tcW w:w="544" w:type="pct"/>
            <w:tcBorders>
              <w:tl2br w:val="nil"/>
              <w:tr2bl w:val="nil"/>
            </w:tcBorders>
            <w:shd w:val="clear" w:color="auto" w:fill="auto"/>
            <w:noWrap w:val="0"/>
            <w:vAlign w:val="center"/>
          </w:tcPr>
          <w:p w14:paraId="28027203">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bidi="ar-SA"/>
              </w:rPr>
            </w:pPr>
            <w:r>
              <w:rPr>
                <w:rFonts w:hint="default" w:ascii="Times New Roman" w:hAnsi="Times New Roman" w:eastAsia="宋体" w:cs="Times New Roman"/>
                <w:b/>
                <w:bCs/>
                <w:color w:val="000000"/>
                <w:kern w:val="0"/>
                <w:sz w:val="21"/>
                <w:szCs w:val="21"/>
                <w:highlight w:val="none"/>
                <w:lang w:val="en-US" w:eastAsia="zh-CN"/>
              </w:rPr>
              <w:t>3#厂区东南侧</w:t>
            </w:r>
          </w:p>
        </w:tc>
        <w:tc>
          <w:tcPr>
            <w:tcW w:w="544" w:type="pct"/>
            <w:tcBorders>
              <w:tl2br w:val="nil"/>
              <w:tr2bl w:val="nil"/>
            </w:tcBorders>
            <w:shd w:val="clear" w:color="auto" w:fill="auto"/>
            <w:noWrap w:val="0"/>
            <w:vAlign w:val="center"/>
          </w:tcPr>
          <w:p w14:paraId="1D73DC0C">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bidi="ar-SA"/>
              </w:rPr>
            </w:pPr>
            <w:r>
              <w:rPr>
                <w:rFonts w:hint="default" w:ascii="Times New Roman" w:hAnsi="Times New Roman" w:eastAsia="宋体" w:cs="Times New Roman"/>
                <w:b/>
                <w:bCs/>
                <w:color w:val="000000"/>
                <w:kern w:val="0"/>
                <w:sz w:val="21"/>
                <w:szCs w:val="21"/>
                <w:highlight w:val="none"/>
                <w:lang w:val="en-US" w:eastAsia="zh-CN"/>
              </w:rPr>
              <w:t>4#厂区东北侧</w:t>
            </w:r>
          </w:p>
        </w:tc>
        <w:tc>
          <w:tcPr>
            <w:tcW w:w="544" w:type="pct"/>
            <w:tcBorders>
              <w:tl2br w:val="nil"/>
              <w:tr2bl w:val="nil"/>
            </w:tcBorders>
            <w:noWrap w:val="0"/>
            <w:vAlign w:val="center"/>
          </w:tcPr>
          <w:p w14:paraId="5500AB46">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kern w:val="2"/>
                <w:sz w:val="21"/>
                <w:szCs w:val="21"/>
                <w:highlight w:val="none"/>
                <w:lang w:val="en-US" w:eastAsia="zh-CN" w:bidi="ar-SA"/>
              </w:rPr>
              <w:t>5#厂区东北侧</w:t>
            </w:r>
          </w:p>
        </w:tc>
        <w:tc>
          <w:tcPr>
            <w:tcW w:w="544" w:type="pct"/>
            <w:tcBorders>
              <w:tl2br w:val="nil"/>
              <w:tr2bl w:val="nil"/>
            </w:tcBorders>
            <w:noWrap w:val="0"/>
            <w:vAlign w:val="center"/>
          </w:tcPr>
          <w:p w14:paraId="016D5BEC">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kern w:val="2"/>
                <w:sz w:val="21"/>
                <w:szCs w:val="21"/>
                <w:highlight w:val="none"/>
                <w:lang w:val="en-US" w:eastAsia="zh-CN" w:bidi="ar-SA"/>
              </w:rPr>
              <w:t>6#厂区东侧</w:t>
            </w:r>
          </w:p>
        </w:tc>
        <w:tc>
          <w:tcPr>
            <w:tcW w:w="547" w:type="pct"/>
            <w:tcBorders>
              <w:tl2br w:val="nil"/>
              <w:tr2bl w:val="nil"/>
            </w:tcBorders>
            <w:noWrap w:val="0"/>
            <w:vAlign w:val="center"/>
          </w:tcPr>
          <w:p w14:paraId="3B94D2F3">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eastAsia="宋体" w:cs="Times New Roman"/>
                <w:b/>
                <w:bCs/>
                <w:kern w:val="2"/>
                <w:sz w:val="21"/>
                <w:szCs w:val="21"/>
                <w:highlight w:val="none"/>
                <w:lang w:val="en-US" w:eastAsia="zh-CN" w:bidi="ar-SA"/>
              </w:rPr>
              <w:t>7#厂外上游</w:t>
            </w:r>
          </w:p>
        </w:tc>
        <w:tc>
          <w:tcPr>
            <w:tcW w:w="419" w:type="pct"/>
            <w:tcBorders>
              <w:tl2br w:val="nil"/>
              <w:tr2bl w:val="nil"/>
            </w:tcBorders>
            <w:noWrap w:val="0"/>
            <w:vAlign w:val="center"/>
          </w:tcPr>
          <w:p w14:paraId="1D297893">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color w:val="000000"/>
                <w:kern w:val="0"/>
                <w:sz w:val="21"/>
                <w:szCs w:val="21"/>
                <w:highlight w:val="none"/>
                <w:lang w:eastAsia="zh-CN"/>
              </w:rPr>
              <w:t>单位</w:t>
            </w:r>
          </w:p>
        </w:tc>
      </w:tr>
      <w:tr w14:paraId="1AD3773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shd w:val="clear" w:color="auto" w:fill="auto"/>
            <w:noWrap w:val="0"/>
            <w:vAlign w:val="center"/>
          </w:tcPr>
          <w:p w14:paraId="3CB2F6EE">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地面高程</w:t>
            </w:r>
          </w:p>
        </w:tc>
        <w:tc>
          <w:tcPr>
            <w:tcW w:w="929" w:type="dxa"/>
            <w:tcBorders>
              <w:tl2br w:val="nil"/>
              <w:tr2bl w:val="nil"/>
            </w:tcBorders>
            <w:noWrap w:val="0"/>
            <w:vAlign w:val="center"/>
          </w:tcPr>
          <w:p w14:paraId="3ED4BCAB">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149.5</w:t>
            </w:r>
          </w:p>
        </w:tc>
        <w:tc>
          <w:tcPr>
            <w:tcW w:w="929" w:type="dxa"/>
            <w:tcBorders>
              <w:tl2br w:val="nil"/>
              <w:tr2bl w:val="nil"/>
            </w:tcBorders>
            <w:noWrap w:val="0"/>
            <w:vAlign w:val="center"/>
          </w:tcPr>
          <w:p w14:paraId="702275F6">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148.9</w:t>
            </w:r>
          </w:p>
        </w:tc>
        <w:tc>
          <w:tcPr>
            <w:tcW w:w="929" w:type="dxa"/>
            <w:tcBorders>
              <w:tl2br w:val="nil"/>
              <w:tr2bl w:val="nil"/>
            </w:tcBorders>
            <w:noWrap w:val="0"/>
            <w:vAlign w:val="center"/>
          </w:tcPr>
          <w:p w14:paraId="76ED301A">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126.2</w:t>
            </w:r>
          </w:p>
        </w:tc>
        <w:tc>
          <w:tcPr>
            <w:tcW w:w="929" w:type="dxa"/>
            <w:tcBorders>
              <w:tl2br w:val="nil"/>
              <w:tr2bl w:val="nil"/>
            </w:tcBorders>
            <w:noWrap w:val="0"/>
            <w:vAlign w:val="center"/>
          </w:tcPr>
          <w:p w14:paraId="2641D3CD">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116.6</w:t>
            </w:r>
          </w:p>
        </w:tc>
        <w:tc>
          <w:tcPr>
            <w:tcW w:w="929" w:type="dxa"/>
            <w:tcBorders>
              <w:tl2br w:val="nil"/>
              <w:tr2bl w:val="nil"/>
            </w:tcBorders>
            <w:noWrap w:val="0"/>
            <w:vAlign w:val="center"/>
          </w:tcPr>
          <w:p w14:paraId="65527104">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116.7</w:t>
            </w:r>
          </w:p>
        </w:tc>
        <w:tc>
          <w:tcPr>
            <w:tcW w:w="929" w:type="dxa"/>
            <w:tcBorders>
              <w:tl2br w:val="nil"/>
              <w:tr2bl w:val="nil"/>
            </w:tcBorders>
            <w:noWrap w:val="0"/>
            <w:vAlign w:val="center"/>
          </w:tcPr>
          <w:p w14:paraId="40A9D8C8">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120.8</w:t>
            </w:r>
          </w:p>
        </w:tc>
        <w:tc>
          <w:tcPr>
            <w:tcW w:w="934" w:type="dxa"/>
            <w:tcBorders>
              <w:tl2br w:val="nil"/>
              <w:tr2bl w:val="nil"/>
            </w:tcBorders>
            <w:noWrap w:val="0"/>
            <w:vAlign w:val="center"/>
          </w:tcPr>
          <w:p w14:paraId="7A1D919C">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157.1</w:t>
            </w:r>
          </w:p>
        </w:tc>
        <w:tc>
          <w:tcPr>
            <w:tcW w:w="715" w:type="dxa"/>
            <w:tcBorders>
              <w:tl2br w:val="nil"/>
              <w:tr2bl w:val="nil"/>
            </w:tcBorders>
            <w:noWrap w:val="0"/>
            <w:vAlign w:val="center"/>
          </w:tcPr>
          <w:p w14:paraId="433FA335">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m</w:t>
            </w:r>
          </w:p>
        </w:tc>
      </w:tr>
      <w:tr w14:paraId="5CB421F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shd w:val="clear" w:color="auto" w:fill="auto"/>
            <w:noWrap w:val="0"/>
            <w:vAlign w:val="center"/>
          </w:tcPr>
          <w:p w14:paraId="28A72412">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水位高程</w:t>
            </w:r>
          </w:p>
        </w:tc>
        <w:tc>
          <w:tcPr>
            <w:tcW w:w="929" w:type="dxa"/>
            <w:tcBorders>
              <w:tl2br w:val="nil"/>
              <w:tr2bl w:val="nil"/>
            </w:tcBorders>
            <w:noWrap w:val="0"/>
            <w:vAlign w:val="center"/>
          </w:tcPr>
          <w:p w14:paraId="7B1A2FAC">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89.5</w:t>
            </w:r>
          </w:p>
        </w:tc>
        <w:tc>
          <w:tcPr>
            <w:tcW w:w="929" w:type="dxa"/>
            <w:tcBorders>
              <w:tl2br w:val="nil"/>
              <w:tr2bl w:val="nil"/>
            </w:tcBorders>
            <w:noWrap w:val="0"/>
            <w:vAlign w:val="center"/>
          </w:tcPr>
          <w:p w14:paraId="43E6DA88">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118.9</w:t>
            </w:r>
          </w:p>
        </w:tc>
        <w:tc>
          <w:tcPr>
            <w:tcW w:w="929" w:type="dxa"/>
            <w:tcBorders>
              <w:tl2br w:val="nil"/>
              <w:tr2bl w:val="nil"/>
            </w:tcBorders>
            <w:noWrap w:val="0"/>
            <w:vAlign w:val="center"/>
          </w:tcPr>
          <w:p w14:paraId="5793BB89">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111.7</w:t>
            </w:r>
          </w:p>
        </w:tc>
        <w:tc>
          <w:tcPr>
            <w:tcW w:w="929" w:type="dxa"/>
            <w:tcBorders>
              <w:tl2br w:val="nil"/>
              <w:tr2bl w:val="nil"/>
            </w:tcBorders>
            <w:noWrap w:val="0"/>
            <w:vAlign w:val="center"/>
          </w:tcPr>
          <w:p w14:paraId="2B9059AF">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106.6</w:t>
            </w:r>
          </w:p>
        </w:tc>
        <w:tc>
          <w:tcPr>
            <w:tcW w:w="929" w:type="dxa"/>
            <w:tcBorders>
              <w:tl2br w:val="nil"/>
              <w:tr2bl w:val="nil"/>
            </w:tcBorders>
            <w:noWrap w:val="0"/>
            <w:vAlign w:val="center"/>
          </w:tcPr>
          <w:p w14:paraId="2B7ED6E6">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106.7</w:t>
            </w:r>
          </w:p>
        </w:tc>
        <w:tc>
          <w:tcPr>
            <w:tcW w:w="929" w:type="dxa"/>
            <w:tcBorders>
              <w:tl2br w:val="nil"/>
              <w:tr2bl w:val="nil"/>
            </w:tcBorders>
            <w:noWrap w:val="0"/>
            <w:vAlign w:val="center"/>
          </w:tcPr>
          <w:p w14:paraId="2AB20A2E">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110.8</w:t>
            </w:r>
          </w:p>
        </w:tc>
        <w:tc>
          <w:tcPr>
            <w:tcW w:w="934" w:type="dxa"/>
            <w:tcBorders>
              <w:tl2br w:val="nil"/>
              <w:tr2bl w:val="nil"/>
            </w:tcBorders>
            <w:noWrap w:val="0"/>
            <w:vAlign w:val="center"/>
          </w:tcPr>
          <w:p w14:paraId="6D14583A">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97.1</w:t>
            </w:r>
          </w:p>
        </w:tc>
        <w:tc>
          <w:tcPr>
            <w:tcW w:w="715" w:type="dxa"/>
            <w:tcBorders>
              <w:tl2br w:val="nil"/>
              <w:tr2bl w:val="nil"/>
            </w:tcBorders>
            <w:noWrap w:val="0"/>
            <w:vAlign w:val="center"/>
          </w:tcPr>
          <w:p w14:paraId="245C729E">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m</w:t>
            </w:r>
          </w:p>
        </w:tc>
      </w:tr>
      <w:tr w14:paraId="2523C95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shd w:val="clear" w:color="auto" w:fill="auto"/>
            <w:noWrap w:val="0"/>
            <w:vAlign w:val="center"/>
          </w:tcPr>
          <w:p w14:paraId="20CED00A">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井深</w:t>
            </w:r>
          </w:p>
        </w:tc>
        <w:tc>
          <w:tcPr>
            <w:tcW w:w="929" w:type="dxa"/>
            <w:tcBorders>
              <w:tl2br w:val="nil"/>
              <w:tr2bl w:val="nil"/>
            </w:tcBorders>
            <w:noWrap w:val="0"/>
            <w:vAlign w:val="center"/>
          </w:tcPr>
          <w:p w14:paraId="474F38C2">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90</w:t>
            </w:r>
          </w:p>
        </w:tc>
        <w:tc>
          <w:tcPr>
            <w:tcW w:w="929" w:type="dxa"/>
            <w:tcBorders>
              <w:tl2br w:val="nil"/>
              <w:tr2bl w:val="nil"/>
            </w:tcBorders>
            <w:noWrap w:val="0"/>
            <w:vAlign w:val="center"/>
          </w:tcPr>
          <w:p w14:paraId="65687FBD">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45</w:t>
            </w:r>
          </w:p>
        </w:tc>
        <w:tc>
          <w:tcPr>
            <w:tcW w:w="929" w:type="dxa"/>
            <w:tcBorders>
              <w:tl2br w:val="nil"/>
              <w:tr2bl w:val="nil"/>
            </w:tcBorders>
            <w:noWrap w:val="0"/>
            <w:vAlign w:val="center"/>
          </w:tcPr>
          <w:p w14:paraId="28CFF824">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25</w:t>
            </w:r>
          </w:p>
        </w:tc>
        <w:tc>
          <w:tcPr>
            <w:tcW w:w="929" w:type="dxa"/>
            <w:tcBorders>
              <w:tl2br w:val="nil"/>
              <w:tr2bl w:val="nil"/>
            </w:tcBorders>
            <w:noWrap w:val="0"/>
            <w:vAlign w:val="center"/>
          </w:tcPr>
          <w:p w14:paraId="654B5E81">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28</w:t>
            </w:r>
          </w:p>
        </w:tc>
        <w:tc>
          <w:tcPr>
            <w:tcW w:w="929" w:type="dxa"/>
            <w:tcBorders>
              <w:tl2br w:val="nil"/>
              <w:tr2bl w:val="nil"/>
            </w:tcBorders>
            <w:noWrap w:val="0"/>
            <w:vAlign w:val="center"/>
          </w:tcPr>
          <w:p w14:paraId="7E892D9A">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35</w:t>
            </w:r>
          </w:p>
        </w:tc>
        <w:tc>
          <w:tcPr>
            <w:tcW w:w="929" w:type="dxa"/>
            <w:tcBorders>
              <w:tl2br w:val="nil"/>
              <w:tr2bl w:val="nil"/>
            </w:tcBorders>
            <w:noWrap w:val="0"/>
            <w:vAlign w:val="center"/>
          </w:tcPr>
          <w:p w14:paraId="575C0A20">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35</w:t>
            </w:r>
          </w:p>
        </w:tc>
        <w:tc>
          <w:tcPr>
            <w:tcW w:w="934" w:type="dxa"/>
            <w:tcBorders>
              <w:tl2br w:val="nil"/>
              <w:tr2bl w:val="nil"/>
            </w:tcBorders>
            <w:noWrap w:val="0"/>
            <w:vAlign w:val="center"/>
          </w:tcPr>
          <w:p w14:paraId="5B23C974">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90</w:t>
            </w:r>
          </w:p>
        </w:tc>
        <w:tc>
          <w:tcPr>
            <w:tcW w:w="715" w:type="dxa"/>
            <w:tcBorders>
              <w:tl2br w:val="nil"/>
              <w:tr2bl w:val="nil"/>
            </w:tcBorders>
            <w:noWrap w:val="0"/>
            <w:vAlign w:val="center"/>
          </w:tcPr>
          <w:p w14:paraId="681F754D">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m</w:t>
            </w:r>
          </w:p>
        </w:tc>
      </w:tr>
      <w:tr w14:paraId="548AA91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shd w:val="clear" w:color="auto" w:fill="auto"/>
            <w:noWrap w:val="0"/>
            <w:vAlign w:val="center"/>
          </w:tcPr>
          <w:p w14:paraId="30BF77FC">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用途</w:t>
            </w:r>
          </w:p>
        </w:tc>
        <w:tc>
          <w:tcPr>
            <w:tcW w:w="929" w:type="dxa"/>
            <w:tcBorders>
              <w:tl2br w:val="nil"/>
              <w:tr2bl w:val="nil"/>
            </w:tcBorders>
            <w:noWrap w:val="0"/>
            <w:vAlign w:val="center"/>
          </w:tcPr>
          <w:p w14:paraId="72AFE583">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生产</w:t>
            </w:r>
          </w:p>
        </w:tc>
        <w:tc>
          <w:tcPr>
            <w:tcW w:w="929" w:type="dxa"/>
            <w:tcBorders>
              <w:tl2br w:val="nil"/>
              <w:tr2bl w:val="nil"/>
            </w:tcBorders>
            <w:noWrap w:val="0"/>
            <w:vAlign w:val="center"/>
          </w:tcPr>
          <w:p w14:paraId="4E2D1024">
            <w:pPr>
              <w:spacing w:line="240" w:lineRule="exact"/>
              <w:jc w:val="center"/>
              <w:rPr>
                <w:rFonts w:hint="eastAsia"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lang w:val="en-US" w:eastAsia="zh-CN"/>
              </w:rPr>
              <w:t>监测井</w:t>
            </w:r>
          </w:p>
        </w:tc>
        <w:tc>
          <w:tcPr>
            <w:tcW w:w="929" w:type="dxa"/>
            <w:tcBorders>
              <w:tl2br w:val="nil"/>
              <w:tr2bl w:val="nil"/>
            </w:tcBorders>
            <w:noWrap w:val="0"/>
            <w:vAlign w:val="center"/>
          </w:tcPr>
          <w:p w14:paraId="6631249A">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地勘</w:t>
            </w:r>
          </w:p>
        </w:tc>
        <w:tc>
          <w:tcPr>
            <w:tcW w:w="929" w:type="dxa"/>
            <w:tcBorders>
              <w:tl2br w:val="nil"/>
              <w:tr2bl w:val="nil"/>
            </w:tcBorders>
            <w:noWrap w:val="0"/>
            <w:vAlign w:val="center"/>
          </w:tcPr>
          <w:p w14:paraId="0121D885">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地勘</w:t>
            </w:r>
          </w:p>
        </w:tc>
        <w:tc>
          <w:tcPr>
            <w:tcW w:w="929" w:type="dxa"/>
            <w:tcBorders>
              <w:tl2br w:val="nil"/>
              <w:tr2bl w:val="nil"/>
            </w:tcBorders>
            <w:noWrap w:val="0"/>
            <w:vAlign w:val="center"/>
          </w:tcPr>
          <w:p w14:paraId="53FC8CC6">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地勘</w:t>
            </w:r>
          </w:p>
        </w:tc>
        <w:tc>
          <w:tcPr>
            <w:tcW w:w="929" w:type="dxa"/>
            <w:tcBorders>
              <w:tl2br w:val="nil"/>
              <w:tr2bl w:val="nil"/>
            </w:tcBorders>
            <w:noWrap w:val="0"/>
            <w:vAlign w:val="center"/>
          </w:tcPr>
          <w:p w14:paraId="4E0BF7B4">
            <w:pPr>
              <w:spacing w:line="240" w:lineRule="exact"/>
              <w:jc w:val="center"/>
              <w:rPr>
                <w:rFonts w:hint="eastAsia"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lang w:val="en-US" w:eastAsia="zh-CN"/>
              </w:rPr>
              <w:t>地勘</w:t>
            </w:r>
          </w:p>
        </w:tc>
        <w:tc>
          <w:tcPr>
            <w:tcW w:w="934" w:type="dxa"/>
            <w:tcBorders>
              <w:tl2br w:val="nil"/>
              <w:tr2bl w:val="nil"/>
            </w:tcBorders>
            <w:noWrap w:val="0"/>
            <w:vAlign w:val="center"/>
          </w:tcPr>
          <w:p w14:paraId="33543395">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地勘</w:t>
            </w:r>
          </w:p>
        </w:tc>
        <w:tc>
          <w:tcPr>
            <w:tcW w:w="715" w:type="dxa"/>
            <w:tcBorders>
              <w:tl2br w:val="nil"/>
              <w:tr2bl w:val="nil"/>
            </w:tcBorders>
            <w:noWrap w:val="0"/>
            <w:vAlign w:val="center"/>
          </w:tcPr>
          <w:p w14:paraId="70F6DA43">
            <w:pPr>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color w:val="000000"/>
                <w:kern w:val="0"/>
                <w:sz w:val="21"/>
                <w:szCs w:val="21"/>
                <w:highlight w:val="none"/>
              </w:rPr>
              <w:t>/</w:t>
            </w:r>
          </w:p>
        </w:tc>
      </w:tr>
    </w:tbl>
    <w:p w14:paraId="7947826F">
      <w:pPr>
        <w:pStyle w:val="8"/>
        <w:bidi w:val="0"/>
        <w:rPr>
          <w:rFonts w:hint="default"/>
          <w:highlight w:val="none"/>
        </w:rPr>
      </w:pPr>
      <w:bookmarkStart w:id="615" w:name="_Toc3094"/>
      <w:bookmarkStart w:id="616" w:name="_Toc5845"/>
      <w:r>
        <w:rPr>
          <w:rFonts w:hint="default"/>
          <w:highlight w:val="none"/>
        </w:rPr>
        <w:t>4.2.3.2地下水环境现状评价</w:t>
      </w:r>
      <w:bookmarkEnd w:id="615"/>
      <w:bookmarkEnd w:id="616"/>
    </w:p>
    <w:p w14:paraId="436F9BB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（1）评价标准</w:t>
      </w:r>
    </w:p>
    <w:p w14:paraId="40FE2D8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项目区域地下水环境质量现状评价执行《地下水质量标准》（GB/T14848-2017）中的Ⅲ类标准，Na</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执行《地下水水质标准》（DZ/T0290-2015），评价标准限值见表4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10</w:t>
      </w:r>
      <w:r>
        <w:rPr>
          <w:rFonts w:hint="default" w:ascii="Times New Roman" w:hAnsi="Times New Roman" w:eastAsia="宋体" w:cs="Times New Roman"/>
          <w:snapToGrid w:val="0"/>
          <w:color w:val="auto"/>
          <w:highlight w:val="none"/>
        </w:rPr>
        <w:t>。</w:t>
      </w:r>
    </w:p>
    <w:p w14:paraId="5D62BE4E">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10 </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地下水评价因子及执行标准</w:t>
      </w:r>
    </w:p>
    <w:tbl>
      <w:tblPr>
        <w:tblStyle w:val="48"/>
        <w:tblW w:w="501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78"/>
        <w:gridCol w:w="4279"/>
      </w:tblGrid>
      <w:tr w14:paraId="044F0C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532DCF76">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评价因子</w:t>
            </w:r>
          </w:p>
        </w:tc>
        <w:tc>
          <w:tcPr>
            <w:tcW w:w="2500" w:type="pct"/>
            <w:shd w:val="clear" w:color="auto" w:fill="auto"/>
            <w:vAlign w:val="center"/>
          </w:tcPr>
          <w:p w14:paraId="7FCFDFE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水质类别</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w:t>
            </w:r>
          </w:p>
        </w:tc>
      </w:tr>
      <w:tr w14:paraId="275C4E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19205860">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pH</w:t>
            </w:r>
          </w:p>
        </w:tc>
        <w:tc>
          <w:tcPr>
            <w:tcW w:w="2500" w:type="pct"/>
            <w:shd w:val="clear" w:color="auto" w:fill="auto"/>
            <w:vAlign w:val="center"/>
          </w:tcPr>
          <w:p w14:paraId="2CBA3549">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6.5～8.5</w:t>
            </w:r>
          </w:p>
        </w:tc>
      </w:tr>
      <w:tr w14:paraId="25AEF6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3863E4DF">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耗氧量（COD</w:t>
            </w:r>
            <w:r>
              <w:rPr>
                <w:rFonts w:hint="default" w:ascii="Times New Roman" w:hAnsi="Times New Roman" w:eastAsia="宋体" w:cs="Times New Roman"/>
                <w:snapToGrid w:val="0"/>
                <w:color w:val="auto"/>
                <w:highlight w:val="none"/>
                <w:vertAlign w:val="subscript"/>
              </w:rPr>
              <w:t>Mn</w:t>
            </w:r>
            <w:r>
              <w:rPr>
                <w:rFonts w:hint="default" w:ascii="Times New Roman" w:hAnsi="Times New Roman" w:eastAsia="宋体" w:cs="Times New Roman"/>
                <w:snapToGrid w:val="0"/>
                <w:color w:val="auto"/>
                <w:highlight w:val="none"/>
              </w:rPr>
              <w:t>法，以O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计），mg/L</w:t>
            </w:r>
          </w:p>
        </w:tc>
        <w:tc>
          <w:tcPr>
            <w:tcW w:w="2500" w:type="pct"/>
            <w:shd w:val="clear" w:color="auto" w:fill="auto"/>
            <w:vAlign w:val="center"/>
          </w:tcPr>
          <w:p w14:paraId="5047CE3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r>
      <w:tr w14:paraId="691440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6F72970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氨氮（以N计），mg/L</w:t>
            </w:r>
          </w:p>
        </w:tc>
        <w:tc>
          <w:tcPr>
            <w:tcW w:w="2500" w:type="pct"/>
            <w:shd w:val="clear" w:color="auto" w:fill="auto"/>
            <w:vAlign w:val="center"/>
          </w:tcPr>
          <w:p w14:paraId="38C327A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w:t>
            </w:r>
          </w:p>
        </w:tc>
      </w:tr>
      <w:tr w14:paraId="125E0D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3370B12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铁，mg/L</w:t>
            </w:r>
          </w:p>
        </w:tc>
        <w:tc>
          <w:tcPr>
            <w:tcW w:w="2500" w:type="pct"/>
            <w:shd w:val="clear" w:color="auto" w:fill="auto"/>
            <w:vAlign w:val="center"/>
          </w:tcPr>
          <w:p w14:paraId="721E089F">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w:t>
            </w:r>
          </w:p>
        </w:tc>
      </w:tr>
      <w:tr w14:paraId="12A330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54C74903">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锰，mg/L</w:t>
            </w:r>
          </w:p>
        </w:tc>
        <w:tc>
          <w:tcPr>
            <w:tcW w:w="2500" w:type="pct"/>
            <w:shd w:val="clear" w:color="auto" w:fill="auto"/>
            <w:vAlign w:val="center"/>
          </w:tcPr>
          <w:p w14:paraId="6E5FCE5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w:t>
            </w:r>
          </w:p>
        </w:tc>
      </w:tr>
      <w:tr w14:paraId="7797CC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23B47251">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六价铬，mg/L</w:t>
            </w:r>
          </w:p>
        </w:tc>
        <w:tc>
          <w:tcPr>
            <w:tcW w:w="2500" w:type="pct"/>
            <w:shd w:val="clear" w:color="auto" w:fill="auto"/>
            <w:vAlign w:val="center"/>
          </w:tcPr>
          <w:p w14:paraId="08942188">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w:t>
            </w:r>
          </w:p>
        </w:tc>
      </w:tr>
      <w:tr w14:paraId="659BD3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0ABB012A">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挥发性酚类，mg/L</w:t>
            </w:r>
          </w:p>
        </w:tc>
        <w:tc>
          <w:tcPr>
            <w:tcW w:w="2500" w:type="pct"/>
            <w:shd w:val="clear" w:color="auto" w:fill="auto"/>
            <w:vAlign w:val="center"/>
          </w:tcPr>
          <w:p w14:paraId="3820E6E2">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≤0.002</w:t>
            </w:r>
          </w:p>
        </w:tc>
      </w:tr>
      <w:tr w14:paraId="1A7401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67B5BFF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总硬度（以CaCO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计），mg/L</w:t>
            </w:r>
          </w:p>
        </w:tc>
        <w:tc>
          <w:tcPr>
            <w:tcW w:w="2500" w:type="pct"/>
            <w:shd w:val="clear" w:color="auto" w:fill="auto"/>
            <w:vAlign w:val="center"/>
          </w:tcPr>
          <w:p w14:paraId="2AC9F44A">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≤450</w:t>
            </w:r>
          </w:p>
        </w:tc>
      </w:tr>
      <w:tr w14:paraId="3E5DFD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7D62AD4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亚硝酸盐（以N计），mg/L</w:t>
            </w:r>
          </w:p>
        </w:tc>
        <w:tc>
          <w:tcPr>
            <w:tcW w:w="2500" w:type="pct"/>
            <w:shd w:val="clear" w:color="auto" w:fill="auto"/>
            <w:vAlign w:val="center"/>
          </w:tcPr>
          <w:p w14:paraId="7D24C43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r>
      <w:tr w14:paraId="46C7BC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0F1B261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氰化物，mg/L</w:t>
            </w:r>
          </w:p>
        </w:tc>
        <w:tc>
          <w:tcPr>
            <w:tcW w:w="2500" w:type="pct"/>
            <w:shd w:val="clear" w:color="auto" w:fill="auto"/>
            <w:vAlign w:val="center"/>
          </w:tcPr>
          <w:p w14:paraId="3BDB6C51">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w:t>
            </w:r>
          </w:p>
        </w:tc>
      </w:tr>
      <w:tr w14:paraId="1DFB81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5AA5039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氟化物</w:t>
            </w:r>
          </w:p>
        </w:tc>
        <w:tc>
          <w:tcPr>
            <w:tcW w:w="2500" w:type="pct"/>
            <w:shd w:val="clear" w:color="auto" w:fill="auto"/>
            <w:vAlign w:val="center"/>
          </w:tcPr>
          <w:p w14:paraId="01573926">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r>
      <w:tr w14:paraId="0ED079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7ED2AB0A">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硝酸盐（以N计），mg/L</w:t>
            </w:r>
          </w:p>
        </w:tc>
        <w:tc>
          <w:tcPr>
            <w:tcW w:w="2500" w:type="pct"/>
            <w:shd w:val="clear" w:color="auto" w:fill="auto"/>
            <w:vAlign w:val="center"/>
          </w:tcPr>
          <w:p w14:paraId="258D3D72">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w:t>
            </w:r>
          </w:p>
        </w:tc>
      </w:tr>
      <w:tr w14:paraId="10C81F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54B13C4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溶解性总固体，mg/L</w:t>
            </w:r>
          </w:p>
        </w:tc>
        <w:tc>
          <w:tcPr>
            <w:tcW w:w="2500" w:type="pct"/>
            <w:shd w:val="clear" w:color="auto" w:fill="auto"/>
            <w:vAlign w:val="center"/>
          </w:tcPr>
          <w:p w14:paraId="1F98643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≤1000</w:t>
            </w:r>
          </w:p>
        </w:tc>
      </w:tr>
      <w:tr w14:paraId="331C2B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2E20E45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铅，mg/L</w:t>
            </w:r>
          </w:p>
        </w:tc>
        <w:tc>
          <w:tcPr>
            <w:tcW w:w="2500" w:type="pct"/>
            <w:shd w:val="clear" w:color="auto" w:fill="auto"/>
            <w:vAlign w:val="center"/>
          </w:tcPr>
          <w:p w14:paraId="086F8711">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w:t>
            </w:r>
          </w:p>
        </w:tc>
      </w:tr>
      <w:tr w14:paraId="692D4D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6500A8B1">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氯化物，mg/L</w:t>
            </w:r>
          </w:p>
        </w:tc>
        <w:tc>
          <w:tcPr>
            <w:tcW w:w="2500" w:type="pct"/>
            <w:shd w:val="clear" w:color="auto" w:fill="auto"/>
            <w:vAlign w:val="center"/>
          </w:tcPr>
          <w:p w14:paraId="45E15276">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≤250</w:t>
            </w:r>
          </w:p>
        </w:tc>
      </w:tr>
      <w:tr w14:paraId="5083AF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5567059F">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硫酸盐，mg/L</w:t>
            </w:r>
          </w:p>
        </w:tc>
        <w:tc>
          <w:tcPr>
            <w:tcW w:w="2500" w:type="pct"/>
            <w:shd w:val="clear" w:color="auto" w:fill="auto"/>
            <w:vAlign w:val="center"/>
          </w:tcPr>
          <w:p w14:paraId="2EE9E488">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≤250</w:t>
            </w:r>
          </w:p>
        </w:tc>
      </w:tr>
      <w:tr w14:paraId="335ED1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274A761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菌落总数</w:t>
            </w:r>
            <w:r>
              <w:rPr>
                <w:rFonts w:hint="default" w:ascii="Times New Roman" w:hAnsi="Times New Roman" w:eastAsia="宋体" w:cs="Times New Roman"/>
                <w:snapToGrid w:val="0"/>
                <w:color w:val="auto"/>
                <w:highlight w:val="none"/>
              </w:rPr>
              <w:t>，CFU/L（个/mL）</w:t>
            </w:r>
          </w:p>
        </w:tc>
        <w:tc>
          <w:tcPr>
            <w:tcW w:w="2500" w:type="pct"/>
            <w:shd w:val="clear" w:color="auto" w:fill="auto"/>
            <w:vAlign w:val="center"/>
          </w:tcPr>
          <w:p w14:paraId="5092DDC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w:t>
            </w:r>
          </w:p>
        </w:tc>
      </w:tr>
      <w:tr w14:paraId="4AD383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115BA163">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砷，mg/L</w:t>
            </w:r>
          </w:p>
        </w:tc>
        <w:tc>
          <w:tcPr>
            <w:tcW w:w="2500" w:type="pct"/>
            <w:shd w:val="clear" w:color="auto" w:fill="auto"/>
            <w:vAlign w:val="center"/>
          </w:tcPr>
          <w:p w14:paraId="7B43859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≤0.01</w:t>
            </w:r>
          </w:p>
        </w:tc>
      </w:tr>
      <w:tr w14:paraId="70504E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0F348159">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汞，mg/L</w:t>
            </w:r>
          </w:p>
        </w:tc>
        <w:tc>
          <w:tcPr>
            <w:tcW w:w="2500" w:type="pct"/>
            <w:shd w:val="clear" w:color="auto" w:fill="auto"/>
            <w:vAlign w:val="center"/>
          </w:tcPr>
          <w:p w14:paraId="46EC8BE3">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≤0.001</w:t>
            </w:r>
          </w:p>
        </w:tc>
      </w:tr>
      <w:tr w14:paraId="18FA9B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4B76EB3C">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镉，mg/L</w:t>
            </w:r>
          </w:p>
        </w:tc>
        <w:tc>
          <w:tcPr>
            <w:tcW w:w="2500" w:type="pct"/>
            <w:shd w:val="clear" w:color="auto" w:fill="auto"/>
            <w:vAlign w:val="center"/>
          </w:tcPr>
          <w:p w14:paraId="0C5EB536">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≤0.005</w:t>
            </w:r>
          </w:p>
        </w:tc>
      </w:tr>
      <w:tr w14:paraId="03193E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4AA2DE32">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总大肠菌群，个/L</w:t>
            </w:r>
          </w:p>
        </w:tc>
        <w:tc>
          <w:tcPr>
            <w:tcW w:w="2500" w:type="pct"/>
            <w:shd w:val="clear" w:color="auto" w:fill="auto"/>
            <w:vAlign w:val="center"/>
          </w:tcPr>
          <w:p w14:paraId="0FAA92E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r>
      <w:tr w14:paraId="48BFCF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25ADDF7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Na</w:t>
            </w:r>
            <w:r>
              <w:rPr>
                <w:rFonts w:hint="default" w:ascii="Times New Roman" w:hAnsi="Times New Roman" w:eastAsia="宋体" w:cs="Times New Roman"/>
                <w:snapToGrid w:val="0"/>
                <w:color w:val="auto"/>
                <w:highlight w:val="none"/>
                <w:vertAlign w:val="superscript"/>
              </w:rPr>
              <w:t>+</w:t>
            </w:r>
          </w:p>
        </w:tc>
        <w:tc>
          <w:tcPr>
            <w:tcW w:w="2500" w:type="pct"/>
            <w:shd w:val="clear" w:color="auto" w:fill="auto"/>
            <w:vAlign w:val="center"/>
          </w:tcPr>
          <w:p w14:paraId="6430752C">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r>
    </w:tbl>
    <w:p w14:paraId="298F3B1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（2）评价方法</w:t>
      </w:r>
    </w:p>
    <w:p w14:paraId="36CB5811">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采用单项标准指数法对地表水现状监测结果进行评价，评价模式如下：</w:t>
      </w:r>
    </w:p>
    <w:p w14:paraId="489082A4">
      <w:pPr>
        <w:pStyle w:val="94"/>
        <w:ind w:firstLine="48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si</w:t>
      </w:r>
    </w:p>
    <w:p w14:paraId="3D146B0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式中：P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—第i个水质因子的标准指数，无量纲；</w:t>
      </w:r>
    </w:p>
    <w:p w14:paraId="5515D7A7">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      C</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—第i个水质因子的监测质量浓度值，mg/L；</w:t>
      </w:r>
    </w:p>
    <w:p w14:paraId="5860687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      C</w:t>
      </w:r>
      <w:r>
        <w:rPr>
          <w:rFonts w:hint="default" w:ascii="Times New Roman" w:hAnsi="Times New Roman" w:eastAsia="宋体" w:cs="Times New Roman"/>
          <w:snapToGrid w:val="0"/>
          <w:color w:val="auto"/>
          <w:highlight w:val="none"/>
          <w:vertAlign w:val="subscript"/>
        </w:rPr>
        <w:t>si</w:t>
      </w:r>
      <w:r>
        <w:rPr>
          <w:rFonts w:hint="default" w:ascii="Times New Roman" w:hAnsi="Times New Roman" w:eastAsia="宋体" w:cs="Times New Roman"/>
          <w:snapToGrid w:val="0"/>
          <w:color w:val="auto"/>
          <w:highlight w:val="none"/>
        </w:rPr>
        <w:t>—第i个水质因子的标准质量浓度值，mg/L。</w:t>
      </w:r>
    </w:p>
    <w:p w14:paraId="5149B1FD">
      <w:pPr>
        <w:spacing w:line="360" w:lineRule="auto"/>
        <w:ind w:firstLine="420"/>
        <w:jc w:val="center"/>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rPr>
        <w:object>
          <v:shape id="_x0000_i1025" o:spt="75" type="#_x0000_t75" style="height:37.5pt;width:79.5pt;" o:ole="t" filled="f" coordsize="21600,21600">
            <v:path/>
            <v:fill on="f" focussize="0,0"/>
            <v:stroke/>
            <v:imagedata r:id="rId69" o:title=""/>
            <o:lock v:ext="edit" aspectratio="t"/>
            <w10:wrap type="none"/>
            <w10:anchorlock/>
          </v:shape>
          <o:OLEObject Type="Embed" ProgID="Equation.DSMT4" ShapeID="_x0000_i1025" DrawAspect="Content" ObjectID="_1468075725" r:id="rId68">
            <o:LockedField>false</o:LockedField>
          </o:OLEObject>
        </w:object>
      </w:r>
      <w:r>
        <w:rPr>
          <w:rFonts w:hint="default" w:ascii="Times New Roman" w:hAnsi="Times New Roman" w:eastAsia="宋体" w:cs="Times New Roman"/>
          <w:snapToGrid w:val="0"/>
          <w:color w:val="auto"/>
          <w:highlight w:val="none"/>
          <w:lang w:val="zh-CN"/>
        </w:rPr>
        <w:t xml:space="preserve">          pH≤7.0时</w:t>
      </w:r>
    </w:p>
    <w:p w14:paraId="0D703341">
      <w:pPr>
        <w:spacing w:line="360" w:lineRule="auto"/>
        <w:ind w:firstLine="420"/>
        <w:jc w:val="center"/>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rPr>
        <w:object>
          <v:shape id="_x0000_i1026" o:spt="75" type="#_x0000_t75" style="height:37.5pt;width:79.5pt;" o:ole="t" filled="f" coordsize="21600,21600">
            <v:path/>
            <v:fill on="f" focussize="0,0"/>
            <v:stroke/>
            <v:imagedata r:id="rId71" o:title=""/>
            <o:lock v:ext="edit" aspectratio="t"/>
            <w10:wrap type="none"/>
            <w10:anchorlock/>
          </v:shape>
          <o:OLEObject Type="Embed" ProgID="Equation.DSMT4" ShapeID="_x0000_i1026" DrawAspect="Content" ObjectID="_1468075726" r:id="rId70">
            <o:LockedField>false</o:LockedField>
          </o:OLEObject>
        </w:object>
      </w:r>
      <w:r>
        <w:rPr>
          <w:rFonts w:hint="default" w:ascii="Times New Roman" w:hAnsi="Times New Roman" w:eastAsia="宋体" w:cs="Times New Roman"/>
          <w:snapToGrid w:val="0"/>
          <w:color w:val="auto"/>
          <w:highlight w:val="none"/>
          <w:lang w:val="zh-CN"/>
        </w:rPr>
        <w:t xml:space="preserve">            pH＞7.0时</w:t>
      </w:r>
    </w:p>
    <w:p w14:paraId="41EB9ED4">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式中：P</w:t>
      </w:r>
      <w:r>
        <w:rPr>
          <w:rFonts w:hint="default" w:ascii="Times New Roman" w:hAnsi="Times New Roman" w:eastAsia="宋体" w:cs="Times New Roman"/>
          <w:snapToGrid w:val="0"/>
          <w:color w:val="auto"/>
          <w:highlight w:val="none"/>
          <w:vertAlign w:val="subscript"/>
          <w:lang w:val="zh-CN"/>
        </w:rPr>
        <w:t>pH</w:t>
      </w:r>
      <w:r>
        <w:rPr>
          <w:rFonts w:hint="default" w:ascii="Times New Roman" w:hAnsi="Times New Roman" w:eastAsia="宋体" w:cs="Times New Roman"/>
          <w:snapToGrid w:val="0"/>
          <w:color w:val="auto"/>
          <w:highlight w:val="none"/>
          <w:lang w:val="zh-CN"/>
        </w:rPr>
        <w:t>——pH的标准指数，无量纲；</w:t>
      </w:r>
    </w:p>
    <w:p w14:paraId="4647CA88">
      <w:pPr>
        <w:spacing w:line="360" w:lineRule="auto"/>
        <w:ind w:firstLine="1200" w:firstLineChars="50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pH——pH监测值；</w:t>
      </w:r>
    </w:p>
    <w:p w14:paraId="395CD35C">
      <w:pPr>
        <w:spacing w:line="360" w:lineRule="auto"/>
        <w:ind w:firstLine="1200" w:firstLineChars="50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pH</w:t>
      </w:r>
      <w:r>
        <w:rPr>
          <w:rFonts w:hint="default" w:ascii="Times New Roman" w:hAnsi="Times New Roman" w:eastAsia="宋体" w:cs="Times New Roman"/>
          <w:snapToGrid w:val="0"/>
          <w:color w:val="auto"/>
          <w:highlight w:val="none"/>
          <w:vertAlign w:val="subscript"/>
          <w:lang w:val="zh-CN"/>
        </w:rPr>
        <w:t>su</w:t>
      </w:r>
      <w:r>
        <w:rPr>
          <w:rFonts w:hint="default" w:ascii="Times New Roman" w:hAnsi="Times New Roman" w:eastAsia="宋体" w:cs="Times New Roman"/>
          <w:snapToGrid w:val="0"/>
          <w:color w:val="auto"/>
          <w:highlight w:val="none"/>
          <w:lang w:val="zh-CN"/>
        </w:rPr>
        <w:t>——标准中pH的上限值；</w:t>
      </w:r>
    </w:p>
    <w:p w14:paraId="4427101D">
      <w:pPr>
        <w:spacing w:line="360" w:lineRule="auto"/>
        <w:ind w:firstLine="1200" w:firstLineChars="50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pH</w:t>
      </w:r>
      <w:r>
        <w:rPr>
          <w:rFonts w:hint="default" w:ascii="Times New Roman" w:hAnsi="Times New Roman" w:eastAsia="宋体" w:cs="Times New Roman"/>
          <w:snapToGrid w:val="0"/>
          <w:color w:val="auto"/>
          <w:highlight w:val="none"/>
          <w:vertAlign w:val="subscript"/>
          <w:lang w:val="zh-CN"/>
        </w:rPr>
        <w:t>sd</w:t>
      </w:r>
      <w:r>
        <w:rPr>
          <w:rFonts w:hint="default" w:ascii="Times New Roman" w:hAnsi="Times New Roman" w:eastAsia="宋体" w:cs="Times New Roman"/>
          <w:snapToGrid w:val="0"/>
          <w:color w:val="auto"/>
          <w:highlight w:val="none"/>
          <w:lang w:val="zh-CN"/>
        </w:rPr>
        <w:t>——标准中pH的下限值。</w:t>
      </w:r>
    </w:p>
    <w:p w14:paraId="3551B7EC">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当标准指数＞1时，表示该水质参数所表征的污染物已满足不了标准要求，水体已受到污染；反之，则满足标准要求。</w:t>
      </w:r>
    </w:p>
    <w:p w14:paraId="699FF0F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（3）评价结果</w:t>
      </w:r>
    </w:p>
    <w:p w14:paraId="41173811">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单项水质参数计算结果见表4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11</w:t>
      </w:r>
      <w:r>
        <w:rPr>
          <w:rFonts w:hint="default" w:ascii="Times New Roman" w:hAnsi="Times New Roman" w:eastAsia="宋体" w:cs="Times New Roman"/>
          <w:snapToGrid w:val="0"/>
          <w:color w:val="auto"/>
          <w:highlight w:val="none"/>
        </w:rPr>
        <w:t>。</w:t>
      </w:r>
    </w:p>
    <w:p w14:paraId="06442791">
      <w:pPr>
        <w:pStyle w:val="216"/>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11  </w:t>
      </w:r>
      <w:r>
        <w:rPr>
          <w:rFonts w:hint="default" w:ascii="Times New Roman" w:hAnsi="Times New Roman" w:eastAsia="黑体" w:cs="Times New Roman"/>
          <w:b w:val="0"/>
          <w:bCs/>
          <w:smallCaps w:val="0"/>
          <w:snapToGrid/>
          <w:color w:val="auto"/>
          <w:kern w:val="2"/>
          <w:sz w:val="21"/>
          <w:szCs w:val="24"/>
          <w:highlight w:val="none"/>
          <w:lang w:val="en-US" w:eastAsia="zh-CN" w:bidi="ar-SA"/>
        </w:rPr>
        <w:t>地下水评价结果</w:t>
      </w:r>
    </w:p>
    <w:tbl>
      <w:tblPr>
        <w:tblStyle w:val="430"/>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5"/>
        <w:gridCol w:w="1221"/>
        <w:gridCol w:w="2791"/>
        <w:gridCol w:w="2791"/>
        <w:gridCol w:w="2791"/>
        <w:gridCol w:w="2794"/>
      </w:tblGrid>
      <w:tr w14:paraId="6F1C6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pct"/>
            <w:vMerge w:val="restart"/>
            <w:vAlign w:val="center"/>
          </w:tcPr>
          <w:p w14:paraId="024377A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监测项目</w:t>
            </w:r>
          </w:p>
        </w:tc>
        <w:tc>
          <w:tcPr>
            <w:tcW w:w="431" w:type="pct"/>
            <w:vMerge w:val="restart"/>
            <w:vAlign w:val="center"/>
          </w:tcPr>
          <w:p w14:paraId="6EC31FB2">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单位</w:t>
            </w:r>
          </w:p>
        </w:tc>
        <w:tc>
          <w:tcPr>
            <w:tcW w:w="3941" w:type="pct"/>
            <w:gridSpan w:val="4"/>
            <w:vAlign w:val="center"/>
          </w:tcPr>
          <w:p w14:paraId="0F8C919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监测点位</w:t>
            </w:r>
          </w:p>
        </w:tc>
      </w:tr>
      <w:tr w14:paraId="66352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627" w:type="pct"/>
            <w:vMerge w:val="continue"/>
            <w:vAlign w:val="center"/>
          </w:tcPr>
          <w:p w14:paraId="00B6C154">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431" w:type="pct"/>
            <w:vMerge w:val="continue"/>
            <w:vAlign w:val="center"/>
          </w:tcPr>
          <w:p w14:paraId="48444D43">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2791" w:type="dxa"/>
            <w:vAlign w:val="center"/>
          </w:tcPr>
          <w:p w14:paraId="0A990A40">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1#厂内上游</w:t>
            </w:r>
          </w:p>
        </w:tc>
        <w:tc>
          <w:tcPr>
            <w:tcW w:w="2791" w:type="dxa"/>
            <w:vAlign w:val="center"/>
          </w:tcPr>
          <w:p w14:paraId="60566FF3">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2#厂内下游</w:t>
            </w:r>
          </w:p>
        </w:tc>
        <w:tc>
          <w:tcPr>
            <w:tcW w:w="2791" w:type="dxa"/>
            <w:vAlign w:val="center"/>
          </w:tcPr>
          <w:p w14:paraId="2DA29EAE">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3#厂区东南侧</w:t>
            </w:r>
          </w:p>
        </w:tc>
        <w:tc>
          <w:tcPr>
            <w:tcW w:w="2794" w:type="dxa"/>
            <w:vAlign w:val="center"/>
          </w:tcPr>
          <w:p w14:paraId="43F8FC6B">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4#厂区东北侧</w:t>
            </w:r>
          </w:p>
        </w:tc>
      </w:tr>
      <w:tr w14:paraId="2463A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627" w:type="pct"/>
            <w:vAlign w:val="center"/>
          </w:tcPr>
          <w:p w14:paraId="6448AA7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pH（无量纲）</w:t>
            </w:r>
          </w:p>
        </w:tc>
        <w:tc>
          <w:tcPr>
            <w:tcW w:w="431" w:type="pct"/>
            <w:vAlign w:val="center"/>
          </w:tcPr>
          <w:p w14:paraId="2AD78E56">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无量纲</w:t>
            </w:r>
          </w:p>
        </w:tc>
        <w:tc>
          <w:tcPr>
            <w:tcW w:w="2791" w:type="dxa"/>
            <w:vAlign w:val="center"/>
          </w:tcPr>
          <w:p w14:paraId="42C2728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-0.224</w:t>
            </w:r>
          </w:p>
        </w:tc>
        <w:tc>
          <w:tcPr>
            <w:tcW w:w="2791" w:type="dxa"/>
            <w:vAlign w:val="center"/>
          </w:tcPr>
          <w:p w14:paraId="12A98E7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-0.324</w:t>
            </w:r>
          </w:p>
        </w:tc>
        <w:tc>
          <w:tcPr>
            <w:tcW w:w="2791" w:type="dxa"/>
            <w:vAlign w:val="center"/>
          </w:tcPr>
          <w:p w14:paraId="7860AEE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-1.024</w:t>
            </w:r>
          </w:p>
        </w:tc>
        <w:tc>
          <w:tcPr>
            <w:tcW w:w="2794" w:type="dxa"/>
            <w:vAlign w:val="center"/>
          </w:tcPr>
          <w:p w14:paraId="2A7CAE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-0.624</w:t>
            </w:r>
          </w:p>
        </w:tc>
      </w:tr>
      <w:tr w14:paraId="24D69C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6E80072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溶解性总固体</w:t>
            </w:r>
          </w:p>
        </w:tc>
        <w:tc>
          <w:tcPr>
            <w:tcW w:w="431" w:type="pct"/>
            <w:vAlign w:val="center"/>
          </w:tcPr>
          <w:p w14:paraId="7645C4C4">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1228A9F8">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0.001</w:t>
            </w:r>
          </w:p>
        </w:tc>
        <w:tc>
          <w:tcPr>
            <w:tcW w:w="2791" w:type="dxa"/>
            <w:vAlign w:val="center"/>
          </w:tcPr>
          <w:p w14:paraId="2865EA8E">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0.001</w:t>
            </w:r>
          </w:p>
        </w:tc>
        <w:tc>
          <w:tcPr>
            <w:tcW w:w="2791" w:type="dxa"/>
            <w:vAlign w:val="center"/>
          </w:tcPr>
          <w:p w14:paraId="0023E664">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0.001</w:t>
            </w:r>
          </w:p>
        </w:tc>
        <w:tc>
          <w:tcPr>
            <w:tcW w:w="2794" w:type="dxa"/>
            <w:vAlign w:val="center"/>
          </w:tcPr>
          <w:p w14:paraId="35D83A0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0.001</w:t>
            </w:r>
          </w:p>
        </w:tc>
      </w:tr>
      <w:tr w14:paraId="7C257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6031DE96">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总硬度</w:t>
            </w:r>
          </w:p>
        </w:tc>
        <w:tc>
          <w:tcPr>
            <w:tcW w:w="431" w:type="pct"/>
            <w:vAlign w:val="center"/>
          </w:tcPr>
          <w:p w14:paraId="390E2959">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01514AD0">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0.611</w:t>
            </w:r>
          </w:p>
        </w:tc>
        <w:tc>
          <w:tcPr>
            <w:tcW w:w="2791" w:type="dxa"/>
            <w:vAlign w:val="center"/>
          </w:tcPr>
          <w:p w14:paraId="4225B177">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0.622</w:t>
            </w:r>
          </w:p>
        </w:tc>
        <w:tc>
          <w:tcPr>
            <w:tcW w:w="2791" w:type="dxa"/>
            <w:vAlign w:val="center"/>
          </w:tcPr>
          <w:p w14:paraId="165B3FB2">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0.596</w:t>
            </w:r>
          </w:p>
        </w:tc>
        <w:tc>
          <w:tcPr>
            <w:tcW w:w="2794" w:type="dxa"/>
            <w:vAlign w:val="center"/>
          </w:tcPr>
          <w:p w14:paraId="74439B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0.431</w:t>
            </w:r>
          </w:p>
        </w:tc>
      </w:tr>
      <w:tr w14:paraId="7908D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pct"/>
            <w:vAlign w:val="center"/>
          </w:tcPr>
          <w:p w14:paraId="377D5CA8">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耗氧量</w:t>
            </w:r>
          </w:p>
        </w:tc>
        <w:tc>
          <w:tcPr>
            <w:tcW w:w="431" w:type="pct"/>
            <w:vAlign w:val="center"/>
          </w:tcPr>
          <w:p w14:paraId="6BFC8158">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43238395">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0.300</w:t>
            </w:r>
          </w:p>
        </w:tc>
        <w:tc>
          <w:tcPr>
            <w:tcW w:w="2791" w:type="dxa"/>
            <w:vAlign w:val="center"/>
          </w:tcPr>
          <w:p w14:paraId="52B1FC58">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0.233</w:t>
            </w:r>
          </w:p>
        </w:tc>
        <w:tc>
          <w:tcPr>
            <w:tcW w:w="2791" w:type="dxa"/>
            <w:vAlign w:val="center"/>
          </w:tcPr>
          <w:p w14:paraId="43CEB844">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0.433</w:t>
            </w:r>
          </w:p>
        </w:tc>
        <w:tc>
          <w:tcPr>
            <w:tcW w:w="2794" w:type="dxa"/>
            <w:vAlign w:val="center"/>
          </w:tcPr>
          <w:p w14:paraId="7C1D5D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0.367</w:t>
            </w:r>
          </w:p>
        </w:tc>
      </w:tr>
      <w:tr w14:paraId="12D106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74715387">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铁</w:t>
            </w:r>
          </w:p>
        </w:tc>
        <w:tc>
          <w:tcPr>
            <w:tcW w:w="431" w:type="pct"/>
            <w:vAlign w:val="center"/>
          </w:tcPr>
          <w:p w14:paraId="29F33BA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4EA8EAD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2D26508E">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13D5557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30873EA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5AF7CD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1B4AFB01">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锰</w:t>
            </w:r>
          </w:p>
        </w:tc>
        <w:tc>
          <w:tcPr>
            <w:tcW w:w="431" w:type="pct"/>
            <w:vAlign w:val="center"/>
          </w:tcPr>
          <w:p w14:paraId="7296D7B0">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7DB0D80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5F91D8B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140CACF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2210A7B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108179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54CF8959">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氨氮</w:t>
            </w:r>
          </w:p>
        </w:tc>
        <w:tc>
          <w:tcPr>
            <w:tcW w:w="431" w:type="pct"/>
            <w:vAlign w:val="center"/>
          </w:tcPr>
          <w:p w14:paraId="2A45B34E">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652EE6DD">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0.888</w:t>
            </w:r>
          </w:p>
        </w:tc>
        <w:tc>
          <w:tcPr>
            <w:tcW w:w="2791" w:type="dxa"/>
            <w:vAlign w:val="center"/>
          </w:tcPr>
          <w:p w14:paraId="51962191">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0.794</w:t>
            </w:r>
          </w:p>
        </w:tc>
        <w:tc>
          <w:tcPr>
            <w:tcW w:w="2791" w:type="dxa"/>
            <w:vAlign w:val="center"/>
          </w:tcPr>
          <w:p w14:paraId="79920E92">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0.950</w:t>
            </w:r>
          </w:p>
        </w:tc>
        <w:tc>
          <w:tcPr>
            <w:tcW w:w="2794" w:type="dxa"/>
            <w:vAlign w:val="center"/>
          </w:tcPr>
          <w:p w14:paraId="2162DA9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0.842</w:t>
            </w:r>
          </w:p>
        </w:tc>
      </w:tr>
      <w:tr w14:paraId="545A1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48F8315F">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硝酸盐</w:t>
            </w:r>
          </w:p>
        </w:tc>
        <w:tc>
          <w:tcPr>
            <w:tcW w:w="431" w:type="pct"/>
            <w:vAlign w:val="center"/>
          </w:tcPr>
          <w:p w14:paraId="65A1311C">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AAF7FB4">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0.041</w:t>
            </w:r>
          </w:p>
        </w:tc>
        <w:tc>
          <w:tcPr>
            <w:tcW w:w="2791" w:type="dxa"/>
            <w:vAlign w:val="center"/>
          </w:tcPr>
          <w:p w14:paraId="3058CD38">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0.039</w:t>
            </w:r>
          </w:p>
        </w:tc>
        <w:tc>
          <w:tcPr>
            <w:tcW w:w="2791" w:type="dxa"/>
            <w:vAlign w:val="center"/>
          </w:tcPr>
          <w:p w14:paraId="4445E69B">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0.334</w:t>
            </w:r>
          </w:p>
        </w:tc>
        <w:tc>
          <w:tcPr>
            <w:tcW w:w="2794" w:type="dxa"/>
            <w:vAlign w:val="center"/>
          </w:tcPr>
          <w:p w14:paraId="1973EFDB">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0.005</w:t>
            </w:r>
          </w:p>
        </w:tc>
      </w:tr>
      <w:tr w14:paraId="74921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04A9FB16">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亚硝酸盐</w:t>
            </w:r>
          </w:p>
        </w:tc>
        <w:tc>
          <w:tcPr>
            <w:tcW w:w="431" w:type="pct"/>
            <w:vAlign w:val="center"/>
          </w:tcPr>
          <w:p w14:paraId="0C746941">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1599AE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6C66430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636E7CE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303D8F1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3E614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596C8D2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氟化物</w:t>
            </w:r>
          </w:p>
        </w:tc>
        <w:tc>
          <w:tcPr>
            <w:tcW w:w="431" w:type="pct"/>
            <w:vAlign w:val="center"/>
          </w:tcPr>
          <w:p w14:paraId="126987B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3A75548">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0.172</w:t>
            </w:r>
          </w:p>
        </w:tc>
        <w:tc>
          <w:tcPr>
            <w:tcW w:w="2791" w:type="dxa"/>
            <w:vAlign w:val="center"/>
          </w:tcPr>
          <w:p w14:paraId="15F311D2">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0.279</w:t>
            </w:r>
          </w:p>
        </w:tc>
        <w:tc>
          <w:tcPr>
            <w:tcW w:w="2791" w:type="dxa"/>
            <w:vAlign w:val="center"/>
          </w:tcPr>
          <w:p w14:paraId="049743F0">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0.352</w:t>
            </w:r>
          </w:p>
        </w:tc>
        <w:tc>
          <w:tcPr>
            <w:tcW w:w="2794" w:type="dxa"/>
            <w:vAlign w:val="center"/>
          </w:tcPr>
          <w:p w14:paraId="61848F6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0.326</w:t>
            </w:r>
          </w:p>
        </w:tc>
      </w:tr>
      <w:tr w14:paraId="06D84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7E5271B6">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硫酸盐</w:t>
            </w:r>
          </w:p>
        </w:tc>
        <w:tc>
          <w:tcPr>
            <w:tcW w:w="431" w:type="pct"/>
            <w:vAlign w:val="center"/>
          </w:tcPr>
          <w:p w14:paraId="1F7A1B4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D16EB6D">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0.009</w:t>
            </w:r>
          </w:p>
        </w:tc>
        <w:tc>
          <w:tcPr>
            <w:tcW w:w="2791" w:type="dxa"/>
            <w:vAlign w:val="center"/>
          </w:tcPr>
          <w:p w14:paraId="6E688A7B">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0.010</w:t>
            </w:r>
          </w:p>
        </w:tc>
        <w:tc>
          <w:tcPr>
            <w:tcW w:w="2791" w:type="dxa"/>
            <w:vAlign w:val="center"/>
          </w:tcPr>
          <w:p w14:paraId="209E6335">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0.038</w:t>
            </w:r>
          </w:p>
        </w:tc>
        <w:tc>
          <w:tcPr>
            <w:tcW w:w="2794" w:type="dxa"/>
            <w:vAlign w:val="center"/>
          </w:tcPr>
          <w:p w14:paraId="4AD76DE6">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0.005</w:t>
            </w:r>
          </w:p>
        </w:tc>
      </w:tr>
      <w:tr w14:paraId="21C379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10289DEF">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氯化物</w:t>
            </w:r>
          </w:p>
        </w:tc>
        <w:tc>
          <w:tcPr>
            <w:tcW w:w="431" w:type="pct"/>
            <w:vAlign w:val="center"/>
          </w:tcPr>
          <w:p w14:paraId="549C609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36D1C2D8">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0.023</w:t>
            </w:r>
          </w:p>
        </w:tc>
        <w:tc>
          <w:tcPr>
            <w:tcW w:w="2791" w:type="dxa"/>
            <w:vAlign w:val="center"/>
          </w:tcPr>
          <w:p w14:paraId="4BAFE83C">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0.017</w:t>
            </w:r>
          </w:p>
        </w:tc>
        <w:tc>
          <w:tcPr>
            <w:tcW w:w="2791" w:type="dxa"/>
            <w:vAlign w:val="center"/>
          </w:tcPr>
          <w:p w14:paraId="468FC917">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0.091</w:t>
            </w:r>
          </w:p>
        </w:tc>
        <w:tc>
          <w:tcPr>
            <w:tcW w:w="2794" w:type="dxa"/>
            <w:vAlign w:val="center"/>
          </w:tcPr>
          <w:p w14:paraId="05DE94FE">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0BCED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6013DF73">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挥发酚</w:t>
            </w:r>
          </w:p>
        </w:tc>
        <w:tc>
          <w:tcPr>
            <w:tcW w:w="431" w:type="pct"/>
            <w:vAlign w:val="center"/>
          </w:tcPr>
          <w:p w14:paraId="35187DEC">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71A4604F">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484CEF8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01441E0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1783F69C">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2ACDE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50C06679">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氰化物</w:t>
            </w:r>
          </w:p>
        </w:tc>
        <w:tc>
          <w:tcPr>
            <w:tcW w:w="431" w:type="pct"/>
            <w:vAlign w:val="center"/>
          </w:tcPr>
          <w:p w14:paraId="0603F19F">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1FA8432B">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65A5FE6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6E37121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25687F1D">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3EC46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29AD03AD">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铬（六价）</w:t>
            </w:r>
          </w:p>
        </w:tc>
        <w:tc>
          <w:tcPr>
            <w:tcW w:w="431" w:type="pct"/>
            <w:vAlign w:val="center"/>
          </w:tcPr>
          <w:p w14:paraId="1E756F4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3F65D81C">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5FAD7AC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0ECD607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68BDF761">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03D88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5FEEC2C0">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砷</w:t>
            </w:r>
          </w:p>
        </w:tc>
        <w:tc>
          <w:tcPr>
            <w:tcW w:w="431" w:type="pct"/>
            <w:vAlign w:val="center"/>
          </w:tcPr>
          <w:p w14:paraId="6612324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22CAE38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43FA9B2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2ACDD56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5F923BB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1D2A88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6417DA2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铅</w:t>
            </w:r>
          </w:p>
        </w:tc>
        <w:tc>
          <w:tcPr>
            <w:tcW w:w="431" w:type="pct"/>
            <w:vAlign w:val="center"/>
          </w:tcPr>
          <w:p w14:paraId="5268DD1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297CF0C4">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3D45FBE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101F0BEE">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48D38B2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7B294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0DB0DC5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镉</w:t>
            </w:r>
          </w:p>
        </w:tc>
        <w:tc>
          <w:tcPr>
            <w:tcW w:w="431" w:type="pct"/>
            <w:vAlign w:val="center"/>
          </w:tcPr>
          <w:p w14:paraId="15E773A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D6D6881">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3937B09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4213BA4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18CF1D44">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2C028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391812B3">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汞</w:t>
            </w:r>
          </w:p>
        </w:tc>
        <w:tc>
          <w:tcPr>
            <w:tcW w:w="431" w:type="pct"/>
            <w:vAlign w:val="center"/>
          </w:tcPr>
          <w:p w14:paraId="4429B898">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4633A045">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400B6EA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7662A15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6A54B89D">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5D25F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0C64E984">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菌落总数</w:t>
            </w:r>
            <w:r>
              <w:rPr>
                <w:rFonts w:hint="default" w:ascii="Times New Roman" w:hAnsi="Times New Roman" w:eastAsia="宋体" w:cs="Times New Roman"/>
                <w:snapToGrid w:val="0"/>
                <w:color w:val="auto"/>
                <w:sz w:val="21"/>
                <w:szCs w:val="21"/>
                <w:highlight w:val="none"/>
                <w:lang w:val="en-US" w:eastAsia="zh-CN"/>
              </w:rPr>
              <w:t>（CFU/mL）</w:t>
            </w:r>
          </w:p>
        </w:tc>
        <w:tc>
          <w:tcPr>
            <w:tcW w:w="431" w:type="pct"/>
            <w:vAlign w:val="center"/>
          </w:tcPr>
          <w:p w14:paraId="4C33C761">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CFU/mL</w:t>
            </w:r>
          </w:p>
        </w:tc>
        <w:tc>
          <w:tcPr>
            <w:tcW w:w="2791" w:type="dxa"/>
            <w:vAlign w:val="center"/>
          </w:tcPr>
          <w:p w14:paraId="5A9BEFC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0.770</w:t>
            </w:r>
          </w:p>
        </w:tc>
        <w:tc>
          <w:tcPr>
            <w:tcW w:w="2791" w:type="dxa"/>
            <w:vAlign w:val="center"/>
          </w:tcPr>
          <w:p w14:paraId="3F1CE304">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0.650</w:t>
            </w:r>
          </w:p>
        </w:tc>
        <w:tc>
          <w:tcPr>
            <w:tcW w:w="2791" w:type="dxa"/>
            <w:vAlign w:val="center"/>
          </w:tcPr>
          <w:p w14:paraId="1DC13FF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0.800</w:t>
            </w:r>
          </w:p>
        </w:tc>
        <w:tc>
          <w:tcPr>
            <w:tcW w:w="2794" w:type="dxa"/>
            <w:vAlign w:val="center"/>
          </w:tcPr>
          <w:p w14:paraId="5C5637F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0.550</w:t>
            </w:r>
          </w:p>
        </w:tc>
      </w:tr>
      <w:tr w14:paraId="6B2D7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27" w:type="pct"/>
            <w:vAlign w:val="center"/>
          </w:tcPr>
          <w:p w14:paraId="2528305D">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总大肠菌群（MPN/L）</w:t>
            </w:r>
          </w:p>
        </w:tc>
        <w:tc>
          <w:tcPr>
            <w:tcW w:w="431" w:type="pct"/>
            <w:vAlign w:val="center"/>
          </w:tcPr>
          <w:p w14:paraId="72571582">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MPN/L</w:t>
            </w:r>
          </w:p>
        </w:tc>
        <w:tc>
          <w:tcPr>
            <w:tcW w:w="2791" w:type="dxa"/>
            <w:vAlign w:val="center"/>
          </w:tcPr>
          <w:p w14:paraId="28EF56D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0.667</w:t>
            </w:r>
          </w:p>
        </w:tc>
        <w:tc>
          <w:tcPr>
            <w:tcW w:w="2791" w:type="dxa"/>
            <w:vAlign w:val="center"/>
          </w:tcPr>
          <w:p w14:paraId="6933CA1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0.667</w:t>
            </w:r>
          </w:p>
        </w:tc>
        <w:tc>
          <w:tcPr>
            <w:tcW w:w="2791" w:type="dxa"/>
            <w:vAlign w:val="center"/>
          </w:tcPr>
          <w:p w14:paraId="51603CD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0.667</w:t>
            </w:r>
          </w:p>
        </w:tc>
        <w:tc>
          <w:tcPr>
            <w:tcW w:w="2794" w:type="dxa"/>
            <w:vAlign w:val="center"/>
          </w:tcPr>
          <w:p w14:paraId="2044DDF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0.667</w:t>
            </w:r>
          </w:p>
        </w:tc>
      </w:tr>
      <w:tr w14:paraId="7FB946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27" w:type="pct"/>
            <w:vAlign w:val="center"/>
          </w:tcPr>
          <w:p w14:paraId="7F27A2B5">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钠</w:t>
            </w:r>
          </w:p>
        </w:tc>
        <w:tc>
          <w:tcPr>
            <w:tcW w:w="431" w:type="pct"/>
            <w:vAlign w:val="center"/>
          </w:tcPr>
          <w:p w14:paraId="09E72B59">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mg/L</w:t>
            </w:r>
          </w:p>
        </w:tc>
        <w:tc>
          <w:tcPr>
            <w:tcW w:w="985" w:type="pct"/>
            <w:vAlign w:val="center"/>
          </w:tcPr>
          <w:p w14:paraId="21AF2FC7">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0.675</w:t>
            </w:r>
          </w:p>
        </w:tc>
        <w:tc>
          <w:tcPr>
            <w:tcW w:w="985" w:type="pct"/>
            <w:vAlign w:val="center"/>
          </w:tcPr>
          <w:p w14:paraId="257F5598">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0.0915</w:t>
            </w:r>
          </w:p>
        </w:tc>
        <w:tc>
          <w:tcPr>
            <w:tcW w:w="985" w:type="pct"/>
            <w:vAlign w:val="center"/>
          </w:tcPr>
          <w:p w14:paraId="0995EF17">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0.1875</w:t>
            </w:r>
          </w:p>
        </w:tc>
        <w:tc>
          <w:tcPr>
            <w:tcW w:w="985" w:type="pct"/>
            <w:vAlign w:val="center"/>
          </w:tcPr>
          <w:p w14:paraId="38BF1B1B">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0.1215</w:t>
            </w:r>
          </w:p>
        </w:tc>
      </w:tr>
    </w:tbl>
    <w:p w14:paraId="1D03C55F">
      <w:pPr>
        <w:pStyle w:val="152"/>
        <w:adjustRightInd w:val="0"/>
        <w:snapToGrid w:val="0"/>
        <w:rPr>
          <w:rFonts w:hint="default" w:ascii="Times New Roman" w:hAnsi="Times New Roman" w:eastAsia="宋体" w:cs="Times New Roman"/>
          <w:snapToGrid w:val="0"/>
          <w:color w:val="auto"/>
          <w:sz w:val="21"/>
          <w:szCs w:val="21"/>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1E73CD60">
      <w:pPr>
        <w:pStyle w:val="152"/>
        <w:adjustRightInd w:val="0"/>
        <w:snapToGrid w:val="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（4）评价结论</w:t>
      </w:r>
    </w:p>
    <w:p w14:paraId="789600A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根据计算结果，评价区内各指标单因子指数均不大于1，满足《地下水质量标准》（GB/T 14848-2017）</w:t>
      </w:r>
      <w:r>
        <w:rPr>
          <w:rFonts w:hint="default" w:ascii="Times New Roman" w:hAnsi="Times New Roman" w:eastAsia="宋体" w:cs="Times New Roman"/>
          <w:snapToGrid w:val="0"/>
          <w:color w:val="auto"/>
          <w:highlight w:val="none"/>
        </w:rPr>
        <w:t>。</w:t>
      </w:r>
    </w:p>
    <w:p w14:paraId="625E4FB7">
      <w:pPr>
        <w:pStyle w:val="7"/>
        <w:bidi w:val="0"/>
        <w:rPr>
          <w:rFonts w:hint="default"/>
          <w:highlight w:val="none"/>
          <w:lang w:val="en-US" w:eastAsia="zh-CN"/>
        </w:rPr>
      </w:pPr>
      <w:bookmarkStart w:id="617" w:name="_Toc10613"/>
      <w:bookmarkStart w:id="618" w:name="_Toc16036"/>
      <w:bookmarkStart w:id="619" w:name="_Toc8867"/>
      <w:bookmarkStart w:id="620" w:name="_Toc18793"/>
      <w:bookmarkStart w:id="621" w:name="_Toc5847"/>
      <w:r>
        <w:rPr>
          <w:rFonts w:hint="default"/>
          <w:highlight w:val="none"/>
          <w:lang w:val="en-US" w:eastAsia="zh-CN"/>
        </w:rPr>
        <w:t>4.2.3.3地下水化学类型评价</w:t>
      </w:r>
      <w:bookmarkEnd w:id="617"/>
      <w:bookmarkEnd w:id="618"/>
      <w:bookmarkEnd w:id="619"/>
      <w:bookmarkEnd w:id="620"/>
      <w:bookmarkEnd w:id="621"/>
    </w:p>
    <w:p w14:paraId="6C6A417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地下水化学类型的舒卡列夫分类是根据地下水中8种主要离子（Na</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、Mg</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、SO</w:t>
      </w:r>
      <w:r>
        <w:rPr>
          <w:rFonts w:hint="default" w:ascii="Times New Roman" w:hAnsi="Times New Roman" w:eastAsia="宋体" w:cs="Times New Roman"/>
          <w:color w:val="auto"/>
          <w:highlight w:val="none"/>
          <w:vertAlign w:val="subscript"/>
          <w:lang w:val="en-US" w:eastAsia="zh-CN"/>
        </w:rPr>
        <w:t>4</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、Cl</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，K</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+Na</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）及矿化度划分的。具体步骤如下：</w:t>
      </w:r>
    </w:p>
    <w:p w14:paraId="7D78391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第一步，根据水质分析结果，将8种主要离子中含量大于25％毫克当量的阴离子和阳离子进行组合，可组合出49型水，并将每型用一个阿拉伯数字作为代号。</w:t>
      </w:r>
    </w:p>
    <w:p w14:paraId="73A905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32"/>
          <w:szCs w:val="32"/>
          <w:highlight w:val="none"/>
          <w:lang w:val="en-US" w:eastAsia="zh-CN"/>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2  </w:t>
      </w:r>
      <w:r>
        <w:rPr>
          <w:rFonts w:hint="default" w:ascii="Times New Roman" w:hAnsi="Times New Roman" w:eastAsia="黑体" w:cs="Times New Roman"/>
          <w:b w:val="0"/>
          <w:bCs/>
          <w:smallCaps w:val="0"/>
          <w:snapToGrid/>
          <w:color w:val="auto"/>
          <w:kern w:val="2"/>
          <w:sz w:val="21"/>
          <w:szCs w:val="24"/>
          <w:highlight w:val="none"/>
          <w:lang w:val="en-US" w:eastAsia="zh-CN" w:bidi="ar-SA"/>
        </w:rPr>
        <w:t>舒克列夫分类图表</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92"/>
        <w:gridCol w:w="806"/>
        <w:gridCol w:w="1293"/>
        <w:gridCol w:w="1606"/>
        <w:gridCol w:w="1087"/>
        <w:gridCol w:w="712"/>
        <w:gridCol w:w="990"/>
        <w:gridCol w:w="530"/>
      </w:tblGrid>
      <w:tr w14:paraId="446FB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34AD81D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超过25%毫克当量的离子</w:t>
            </w:r>
          </w:p>
        </w:tc>
        <w:tc>
          <w:tcPr>
            <w:tcW w:w="1066" w:type="dxa"/>
            <w:tcBorders>
              <w:tl2br w:val="nil"/>
              <w:tr2bl w:val="nil"/>
            </w:tcBorders>
            <w:noWrap w:val="0"/>
            <w:vAlign w:val="center"/>
          </w:tcPr>
          <w:p w14:paraId="0D449F8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729EF97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FB1C2B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17E5E73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43698FE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AC6F5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0A1665B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r>
      <w:tr w14:paraId="097AB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0DF60E7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F8E1EE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1066" w:type="dxa"/>
            <w:tcBorders>
              <w:tl2br w:val="nil"/>
              <w:tr2bl w:val="nil"/>
            </w:tcBorders>
            <w:noWrap w:val="0"/>
            <w:vAlign w:val="center"/>
          </w:tcPr>
          <w:p w14:paraId="3B042F2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w:t>
            </w:r>
          </w:p>
        </w:tc>
        <w:tc>
          <w:tcPr>
            <w:tcW w:w="1066" w:type="dxa"/>
            <w:tcBorders>
              <w:tl2br w:val="nil"/>
              <w:tr2bl w:val="nil"/>
            </w:tcBorders>
            <w:noWrap w:val="0"/>
            <w:vAlign w:val="center"/>
          </w:tcPr>
          <w:p w14:paraId="0D954F2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15</w:t>
            </w:r>
          </w:p>
        </w:tc>
        <w:tc>
          <w:tcPr>
            <w:tcW w:w="1066" w:type="dxa"/>
            <w:tcBorders>
              <w:tl2br w:val="nil"/>
              <w:tr2bl w:val="nil"/>
            </w:tcBorders>
            <w:noWrap w:val="0"/>
            <w:vAlign w:val="center"/>
          </w:tcPr>
          <w:p w14:paraId="7CCF140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22</w:t>
            </w:r>
          </w:p>
        </w:tc>
        <w:tc>
          <w:tcPr>
            <w:tcW w:w="1066" w:type="dxa"/>
            <w:tcBorders>
              <w:tl2br w:val="nil"/>
              <w:tr2bl w:val="nil"/>
            </w:tcBorders>
            <w:noWrap w:val="0"/>
            <w:vAlign w:val="center"/>
          </w:tcPr>
          <w:p w14:paraId="2C1B761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29</w:t>
            </w:r>
          </w:p>
        </w:tc>
        <w:tc>
          <w:tcPr>
            <w:tcW w:w="1066" w:type="dxa"/>
            <w:tcBorders>
              <w:tl2br w:val="nil"/>
              <w:tr2bl w:val="nil"/>
            </w:tcBorders>
            <w:noWrap w:val="0"/>
            <w:vAlign w:val="center"/>
          </w:tcPr>
          <w:p w14:paraId="0CFA169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w:t>
            </w:r>
          </w:p>
        </w:tc>
        <w:tc>
          <w:tcPr>
            <w:tcW w:w="1066" w:type="dxa"/>
            <w:tcBorders>
              <w:tl2br w:val="nil"/>
              <w:tr2bl w:val="nil"/>
            </w:tcBorders>
            <w:noWrap w:val="0"/>
            <w:vAlign w:val="center"/>
          </w:tcPr>
          <w:p w14:paraId="6DE715D4">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43</w:t>
            </w:r>
          </w:p>
        </w:tc>
      </w:tr>
      <w:tr w14:paraId="4EAA77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40E64CE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11BD122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p>
        </w:tc>
        <w:tc>
          <w:tcPr>
            <w:tcW w:w="1066" w:type="dxa"/>
            <w:tcBorders>
              <w:tl2br w:val="nil"/>
              <w:tr2bl w:val="nil"/>
            </w:tcBorders>
            <w:noWrap w:val="0"/>
            <w:vAlign w:val="center"/>
          </w:tcPr>
          <w:p w14:paraId="0B8B3F9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w:t>
            </w:r>
          </w:p>
        </w:tc>
        <w:tc>
          <w:tcPr>
            <w:tcW w:w="1066" w:type="dxa"/>
            <w:tcBorders>
              <w:tl2br w:val="nil"/>
              <w:tr2bl w:val="nil"/>
            </w:tcBorders>
            <w:noWrap w:val="0"/>
            <w:vAlign w:val="center"/>
          </w:tcPr>
          <w:p w14:paraId="0C9B9F8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16</w:t>
            </w:r>
          </w:p>
        </w:tc>
        <w:tc>
          <w:tcPr>
            <w:tcW w:w="1066" w:type="dxa"/>
            <w:tcBorders>
              <w:tl2br w:val="nil"/>
              <w:tr2bl w:val="nil"/>
            </w:tcBorders>
            <w:noWrap w:val="0"/>
            <w:vAlign w:val="center"/>
          </w:tcPr>
          <w:p w14:paraId="02FD62B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23</w:t>
            </w:r>
          </w:p>
        </w:tc>
        <w:tc>
          <w:tcPr>
            <w:tcW w:w="1066" w:type="dxa"/>
            <w:tcBorders>
              <w:tl2br w:val="nil"/>
              <w:tr2bl w:val="nil"/>
            </w:tcBorders>
            <w:noWrap w:val="0"/>
            <w:vAlign w:val="center"/>
          </w:tcPr>
          <w:p w14:paraId="5F56FB4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30</w:t>
            </w:r>
          </w:p>
        </w:tc>
        <w:tc>
          <w:tcPr>
            <w:tcW w:w="1066" w:type="dxa"/>
            <w:tcBorders>
              <w:tl2br w:val="nil"/>
              <w:tr2bl w:val="nil"/>
            </w:tcBorders>
            <w:noWrap w:val="0"/>
            <w:vAlign w:val="center"/>
          </w:tcPr>
          <w:p w14:paraId="708BD3E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37</w:t>
            </w:r>
          </w:p>
        </w:tc>
        <w:tc>
          <w:tcPr>
            <w:tcW w:w="1066" w:type="dxa"/>
            <w:tcBorders>
              <w:tl2br w:val="nil"/>
              <w:tr2bl w:val="nil"/>
            </w:tcBorders>
            <w:noWrap w:val="0"/>
            <w:vAlign w:val="center"/>
          </w:tcPr>
          <w:p w14:paraId="38028FC9">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44</w:t>
            </w:r>
          </w:p>
        </w:tc>
      </w:tr>
      <w:tr w14:paraId="55EA6D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272EEDA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A24D26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p>
        </w:tc>
        <w:tc>
          <w:tcPr>
            <w:tcW w:w="1066" w:type="dxa"/>
            <w:tcBorders>
              <w:tl2br w:val="nil"/>
              <w:tr2bl w:val="nil"/>
            </w:tcBorders>
            <w:noWrap w:val="0"/>
            <w:vAlign w:val="center"/>
          </w:tcPr>
          <w:p w14:paraId="3B4C89C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10</w:t>
            </w:r>
          </w:p>
        </w:tc>
        <w:tc>
          <w:tcPr>
            <w:tcW w:w="1066" w:type="dxa"/>
            <w:tcBorders>
              <w:tl2br w:val="nil"/>
              <w:tr2bl w:val="nil"/>
            </w:tcBorders>
            <w:noWrap w:val="0"/>
            <w:vAlign w:val="center"/>
          </w:tcPr>
          <w:p w14:paraId="38C674F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17</w:t>
            </w:r>
          </w:p>
        </w:tc>
        <w:tc>
          <w:tcPr>
            <w:tcW w:w="1066" w:type="dxa"/>
            <w:tcBorders>
              <w:tl2br w:val="nil"/>
              <w:tr2bl w:val="nil"/>
            </w:tcBorders>
            <w:noWrap w:val="0"/>
            <w:vAlign w:val="center"/>
          </w:tcPr>
          <w:p w14:paraId="1CDDFF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24</w:t>
            </w:r>
          </w:p>
        </w:tc>
        <w:tc>
          <w:tcPr>
            <w:tcW w:w="1066" w:type="dxa"/>
            <w:tcBorders>
              <w:tl2br w:val="nil"/>
              <w:tr2bl w:val="nil"/>
            </w:tcBorders>
            <w:noWrap w:val="0"/>
            <w:vAlign w:val="center"/>
          </w:tcPr>
          <w:p w14:paraId="71EA86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31</w:t>
            </w:r>
          </w:p>
        </w:tc>
        <w:tc>
          <w:tcPr>
            <w:tcW w:w="1066" w:type="dxa"/>
            <w:tcBorders>
              <w:tl2br w:val="nil"/>
              <w:tr2bl w:val="nil"/>
            </w:tcBorders>
            <w:noWrap w:val="0"/>
            <w:vAlign w:val="center"/>
          </w:tcPr>
          <w:p w14:paraId="55BB0EE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38</w:t>
            </w:r>
          </w:p>
        </w:tc>
        <w:tc>
          <w:tcPr>
            <w:tcW w:w="1066" w:type="dxa"/>
            <w:tcBorders>
              <w:tl2br w:val="nil"/>
              <w:tr2bl w:val="nil"/>
            </w:tcBorders>
            <w:noWrap w:val="0"/>
            <w:vAlign w:val="center"/>
          </w:tcPr>
          <w:p w14:paraId="5A68A8D1">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45</w:t>
            </w:r>
          </w:p>
        </w:tc>
      </w:tr>
      <w:tr w14:paraId="16D96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602F530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2D4AC1A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p>
        </w:tc>
        <w:tc>
          <w:tcPr>
            <w:tcW w:w="1066" w:type="dxa"/>
            <w:tcBorders>
              <w:tl2br w:val="nil"/>
              <w:tr2bl w:val="nil"/>
            </w:tcBorders>
            <w:noWrap w:val="0"/>
            <w:vAlign w:val="center"/>
          </w:tcPr>
          <w:p w14:paraId="5200C46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11</w:t>
            </w:r>
          </w:p>
        </w:tc>
        <w:tc>
          <w:tcPr>
            <w:tcW w:w="1066" w:type="dxa"/>
            <w:tcBorders>
              <w:tl2br w:val="nil"/>
              <w:tr2bl w:val="nil"/>
            </w:tcBorders>
            <w:noWrap w:val="0"/>
            <w:vAlign w:val="center"/>
          </w:tcPr>
          <w:p w14:paraId="55DFFC5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18</w:t>
            </w:r>
          </w:p>
        </w:tc>
        <w:tc>
          <w:tcPr>
            <w:tcW w:w="1066" w:type="dxa"/>
            <w:tcBorders>
              <w:tl2br w:val="nil"/>
              <w:tr2bl w:val="nil"/>
            </w:tcBorders>
            <w:noWrap w:val="0"/>
            <w:vAlign w:val="center"/>
          </w:tcPr>
          <w:p w14:paraId="3C958C9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w:t>
            </w:r>
          </w:p>
        </w:tc>
        <w:tc>
          <w:tcPr>
            <w:tcW w:w="1066" w:type="dxa"/>
            <w:tcBorders>
              <w:tl2br w:val="nil"/>
              <w:tr2bl w:val="nil"/>
            </w:tcBorders>
            <w:noWrap w:val="0"/>
            <w:vAlign w:val="center"/>
          </w:tcPr>
          <w:p w14:paraId="64E4A3E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32</w:t>
            </w:r>
          </w:p>
        </w:tc>
        <w:tc>
          <w:tcPr>
            <w:tcW w:w="1066" w:type="dxa"/>
            <w:tcBorders>
              <w:tl2br w:val="nil"/>
              <w:tr2bl w:val="nil"/>
            </w:tcBorders>
            <w:noWrap w:val="0"/>
            <w:vAlign w:val="center"/>
          </w:tcPr>
          <w:p w14:paraId="50B3380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39</w:t>
            </w:r>
          </w:p>
        </w:tc>
        <w:tc>
          <w:tcPr>
            <w:tcW w:w="1066" w:type="dxa"/>
            <w:tcBorders>
              <w:tl2br w:val="nil"/>
              <w:tr2bl w:val="nil"/>
            </w:tcBorders>
            <w:noWrap w:val="0"/>
            <w:vAlign w:val="center"/>
          </w:tcPr>
          <w:p w14:paraId="6C886DE6">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46</w:t>
            </w:r>
          </w:p>
        </w:tc>
      </w:tr>
      <w:tr w14:paraId="4B04EE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69E4E30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0D5F423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p>
        </w:tc>
        <w:tc>
          <w:tcPr>
            <w:tcW w:w="1066" w:type="dxa"/>
            <w:tcBorders>
              <w:tl2br w:val="nil"/>
              <w:tr2bl w:val="nil"/>
            </w:tcBorders>
            <w:noWrap w:val="0"/>
            <w:vAlign w:val="center"/>
          </w:tcPr>
          <w:p w14:paraId="676730C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12</w:t>
            </w:r>
          </w:p>
        </w:tc>
        <w:tc>
          <w:tcPr>
            <w:tcW w:w="1066" w:type="dxa"/>
            <w:tcBorders>
              <w:tl2br w:val="nil"/>
              <w:tr2bl w:val="nil"/>
            </w:tcBorders>
            <w:noWrap w:val="0"/>
            <w:vAlign w:val="center"/>
          </w:tcPr>
          <w:p w14:paraId="28CCB35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w:t>
            </w:r>
          </w:p>
        </w:tc>
        <w:tc>
          <w:tcPr>
            <w:tcW w:w="1066" w:type="dxa"/>
            <w:tcBorders>
              <w:tl2br w:val="nil"/>
              <w:tr2bl w:val="nil"/>
            </w:tcBorders>
            <w:noWrap w:val="0"/>
            <w:vAlign w:val="center"/>
          </w:tcPr>
          <w:p w14:paraId="7478503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w:t>
            </w:r>
          </w:p>
        </w:tc>
        <w:tc>
          <w:tcPr>
            <w:tcW w:w="1066" w:type="dxa"/>
            <w:tcBorders>
              <w:tl2br w:val="nil"/>
              <w:tr2bl w:val="nil"/>
            </w:tcBorders>
            <w:noWrap w:val="0"/>
            <w:vAlign w:val="center"/>
          </w:tcPr>
          <w:p w14:paraId="6E04FD6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33</w:t>
            </w:r>
          </w:p>
        </w:tc>
        <w:tc>
          <w:tcPr>
            <w:tcW w:w="1066" w:type="dxa"/>
            <w:tcBorders>
              <w:tl2br w:val="nil"/>
              <w:tr2bl w:val="nil"/>
            </w:tcBorders>
            <w:noWrap w:val="0"/>
            <w:vAlign w:val="center"/>
          </w:tcPr>
          <w:p w14:paraId="125F650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w:t>
            </w:r>
          </w:p>
        </w:tc>
        <w:tc>
          <w:tcPr>
            <w:tcW w:w="1066" w:type="dxa"/>
            <w:tcBorders>
              <w:tl2br w:val="nil"/>
              <w:tr2bl w:val="nil"/>
            </w:tcBorders>
            <w:noWrap w:val="0"/>
            <w:vAlign w:val="center"/>
          </w:tcPr>
          <w:p w14:paraId="42B200B4">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47</w:t>
            </w:r>
          </w:p>
        </w:tc>
      </w:tr>
      <w:tr w14:paraId="3C205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6DD2BB5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BA4FC9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p>
        </w:tc>
        <w:tc>
          <w:tcPr>
            <w:tcW w:w="1066" w:type="dxa"/>
            <w:tcBorders>
              <w:tl2br w:val="nil"/>
              <w:tr2bl w:val="nil"/>
            </w:tcBorders>
            <w:noWrap w:val="0"/>
            <w:vAlign w:val="center"/>
          </w:tcPr>
          <w:p w14:paraId="61F7286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13</w:t>
            </w:r>
          </w:p>
        </w:tc>
        <w:tc>
          <w:tcPr>
            <w:tcW w:w="1066" w:type="dxa"/>
            <w:tcBorders>
              <w:tl2br w:val="nil"/>
              <w:tr2bl w:val="nil"/>
            </w:tcBorders>
            <w:noWrap w:val="0"/>
            <w:vAlign w:val="center"/>
          </w:tcPr>
          <w:p w14:paraId="33723B6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w:t>
            </w:r>
          </w:p>
        </w:tc>
        <w:tc>
          <w:tcPr>
            <w:tcW w:w="1066" w:type="dxa"/>
            <w:tcBorders>
              <w:tl2br w:val="nil"/>
              <w:tr2bl w:val="nil"/>
            </w:tcBorders>
            <w:noWrap w:val="0"/>
            <w:vAlign w:val="center"/>
          </w:tcPr>
          <w:p w14:paraId="76064B7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27</w:t>
            </w:r>
          </w:p>
        </w:tc>
        <w:tc>
          <w:tcPr>
            <w:tcW w:w="1066" w:type="dxa"/>
            <w:tcBorders>
              <w:tl2br w:val="nil"/>
              <w:tr2bl w:val="nil"/>
            </w:tcBorders>
            <w:noWrap w:val="0"/>
            <w:vAlign w:val="center"/>
          </w:tcPr>
          <w:p w14:paraId="323F95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34</w:t>
            </w:r>
          </w:p>
        </w:tc>
        <w:tc>
          <w:tcPr>
            <w:tcW w:w="1066" w:type="dxa"/>
            <w:tcBorders>
              <w:tl2br w:val="nil"/>
              <w:tr2bl w:val="nil"/>
            </w:tcBorders>
            <w:noWrap w:val="0"/>
            <w:vAlign w:val="center"/>
          </w:tcPr>
          <w:p w14:paraId="2C5C15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41</w:t>
            </w:r>
          </w:p>
        </w:tc>
        <w:tc>
          <w:tcPr>
            <w:tcW w:w="1066" w:type="dxa"/>
            <w:tcBorders>
              <w:tl2br w:val="nil"/>
              <w:tr2bl w:val="nil"/>
            </w:tcBorders>
            <w:noWrap w:val="0"/>
            <w:vAlign w:val="center"/>
          </w:tcPr>
          <w:p w14:paraId="3407F204">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48</w:t>
            </w:r>
          </w:p>
        </w:tc>
      </w:tr>
      <w:tr w14:paraId="202C0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1F8F01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628EFF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w:t>
            </w:r>
          </w:p>
        </w:tc>
        <w:tc>
          <w:tcPr>
            <w:tcW w:w="1066" w:type="dxa"/>
            <w:tcBorders>
              <w:tl2br w:val="nil"/>
              <w:tr2bl w:val="nil"/>
            </w:tcBorders>
            <w:noWrap w:val="0"/>
            <w:vAlign w:val="center"/>
          </w:tcPr>
          <w:p w14:paraId="0577BE5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14</w:t>
            </w:r>
          </w:p>
        </w:tc>
        <w:tc>
          <w:tcPr>
            <w:tcW w:w="1066" w:type="dxa"/>
            <w:tcBorders>
              <w:tl2br w:val="nil"/>
              <w:tr2bl w:val="nil"/>
            </w:tcBorders>
            <w:noWrap w:val="0"/>
            <w:vAlign w:val="center"/>
          </w:tcPr>
          <w:p w14:paraId="24EE99B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w:t>
            </w:r>
          </w:p>
        </w:tc>
        <w:tc>
          <w:tcPr>
            <w:tcW w:w="1066" w:type="dxa"/>
            <w:tcBorders>
              <w:tl2br w:val="nil"/>
              <w:tr2bl w:val="nil"/>
            </w:tcBorders>
            <w:noWrap w:val="0"/>
            <w:vAlign w:val="center"/>
          </w:tcPr>
          <w:p w14:paraId="0909034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28</w:t>
            </w:r>
          </w:p>
        </w:tc>
        <w:tc>
          <w:tcPr>
            <w:tcW w:w="1066" w:type="dxa"/>
            <w:tcBorders>
              <w:tl2br w:val="nil"/>
              <w:tr2bl w:val="nil"/>
            </w:tcBorders>
            <w:noWrap w:val="0"/>
            <w:vAlign w:val="center"/>
          </w:tcPr>
          <w:p w14:paraId="486D342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w:t>
            </w:r>
          </w:p>
        </w:tc>
        <w:tc>
          <w:tcPr>
            <w:tcW w:w="1066" w:type="dxa"/>
            <w:tcBorders>
              <w:tl2br w:val="nil"/>
              <w:tr2bl w:val="nil"/>
            </w:tcBorders>
            <w:noWrap w:val="0"/>
            <w:vAlign w:val="center"/>
          </w:tcPr>
          <w:p w14:paraId="0DEE60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42</w:t>
            </w:r>
          </w:p>
        </w:tc>
        <w:tc>
          <w:tcPr>
            <w:tcW w:w="1066" w:type="dxa"/>
            <w:tcBorders>
              <w:tl2br w:val="nil"/>
              <w:tr2bl w:val="nil"/>
            </w:tcBorders>
            <w:noWrap w:val="0"/>
            <w:vAlign w:val="center"/>
          </w:tcPr>
          <w:p w14:paraId="374B760C">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49</w:t>
            </w:r>
          </w:p>
        </w:tc>
      </w:tr>
    </w:tbl>
    <w:p w14:paraId="43342E2F">
      <w:pPr>
        <w:widowControl w:val="0"/>
        <w:spacing w:line="360" w:lineRule="auto"/>
        <w:ind w:firstLine="480" w:firstLineChars="200"/>
        <w:jc w:val="both"/>
        <w:rPr>
          <w:rFonts w:ascii="Times New Roman" w:hAnsi="Times New Roman" w:eastAsia="宋体" w:cs="Times New Roman"/>
          <w:color w:val="auto"/>
          <w:kern w:val="2"/>
          <w:sz w:val="24"/>
          <w:highlight w:val="none"/>
        </w:rPr>
      </w:pPr>
      <w:r>
        <w:rPr>
          <w:rFonts w:hint="eastAsia" w:ascii="宋体" w:hAnsi="宋体" w:eastAsia="宋体" w:cs="宋体"/>
          <w:color w:val="auto"/>
          <w:kern w:val="2"/>
          <w:sz w:val="24"/>
          <w:highlight w:val="none"/>
        </w:rPr>
        <w:t>③</w:t>
      </w:r>
      <w:r>
        <w:rPr>
          <w:rFonts w:ascii="Times New Roman" w:hAnsi="Times New Roman" w:eastAsia="宋体" w:cs="Times New Roman"/>
          <w:color w:val="auto"/>
          <w:kern w:val="2"/>
          <w:sz w:val="24"/>
          <w:highlight w:val="none"/>
        </w:rPr>
        <w:t>矿化度</w:t>
      </w:r>
    </w:p>
    <w:p w14:paraId="54AD226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按矿化度（M）的大小划分为4组。</w:t>
      </w:r>
    </w:p>
    <w:p w14:paraId="408B1B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A组——M≤1.5g/L；B组——1.5＜M≤10g/L；</w:t>
      </w:r>
    </w:p>
    <w:p w14:paraId="722280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C组——10＜M≤40g/L；D组——M＞40g/L</w:t>
      </w:r>
    </w:p>
    <w:p w14:paraId="7F03D82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矿化度的计算采用《用主要阴离子含量计算水的矿化度》（高仁先.山东省水利科学研究院），计算方法如下：</w:t>
      </w:r>
    </w:p>
    <w:p w14:paraId="5F36CEC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vertAlign w:val="subscript"/>
        </w:rPr>
      </w:pPr>
      <w:r>
        <w:rPr>
          <w:rFonts w:ascii="Times New Roman" w:hAnsi="Times New Roman" w:eastAsia="宋体" w:cs="Times New Roman"/>
          <w:color w:val="auto"/>
          <w:kern w:val="2"/>
          <w:sz w:val="24"/>
          <w:highlight w:val="none"/>
        </w:rPr>
        <w:t>矿化度（g/L）=C（∑A）×M</w:t>
      </w:r>
      <w:r>
        <w:rPr>
          <w:rFonts w:ascii="Times New Roman" w:hAnsi="Times New Roman" w:eastAsia="宋体" w:cs="Times New Roman"/>
          <w:color w:val="auto"/>
          <w:kern w:val="2"/>
          <w:sz w:val="24"/>
          <w:highlight w:val="none"/>
          <w:vertAlign w:val="subscript"/>
        </w:rPr>
        <w:t>S</w:t>
      </w:r>
    </w:p>
    <w:p w14:paraId="3C600DE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SB=</w:t>
      </w:r>
      <m:oMath>
        <m:f>
          <m:fPr>
            <m:ctrlPr>
              <w:rPr>
                <w:rFonts w:ascii="Cambria Math" w:hAnsi="Cambria Math"/>
                <w:color w:val="auto"/>
                <w:sz w:val="24"/>
                <w:highlight w:val="none"/>
              </w:rPr>
            </m:ctrlPr>
          </m:fPr>
          <m:num>
            <m:r>
              <m:rPr>
                <m:sty m:val="p"/>
              </m:rPr>
              <w:rPr>
                <w:rFonts w:ascii="Cambria Math"/>
                <w:color w:val="auto"/>
                <w:sz w:val="24"/>
                <w:highlight w:val="none"/>
              </w:rPr>
              <m:t>C</m:t>
            </m:r>
            <m:r>
              <m:rPr>
                <m:sty m:val="p"/>
              </m:rPr>
              <w:rPr>
                <w:rFonts w:ascii="Cambria Math" w:hAnsi="Cambria Math"/>
                <w:color w:val="auto"/>
                <w:sz w:val="24"/>
                <w:highlight w:val="none"/>
              </w:rPr>
              <m:t>（</m:t>
            </m:r>
            <m:f>
              <m:fPr>
                <m:type m:val="skw"/>
                <m:ctrlPr>
                  <w:rPr>
                    <w:rFonts w:ascii="Cambria Math" w:hAnsi="Cambria Math"/>
                    <w:color w:val="auto"/>
                    <w:sz w:val="24"/>
                    <w:highlight w:val="none"/>
                  </w:rPr>
                </m:ctrlPr>
              </m:fPr>
              <m:num>
                <m:r>
                  <m:rPr>
                    <m:sty m:val="p"/>
                  </m:rPr>
                  <w:rPr>
                    <w:rFonts w:ascii="Cambria Math"/>
                    <w:color w:val="auto"/>
                    <w:sz w:val="24"/>
                    <w:highlight w:val="none"/>
                  </w:rPr>
                  <m:t>1</m:t>
                </m:r>
                <m:ctrlPr>
                  <w:rPr>
                    <w:rFonts w:ascii="Cambria Math" w:hAnsi="Cambria Math"/>
                    <w:color w:val="auto"/>
                    <w:sz w:val="24"/>
                    <w:highlight w:val="none"/>
                  </w:rPr>
                </m:ctrlPr>
              </m:num>
              <m:den>
                <m:r>
                  <m:rPr>
                    <m:sty m:val="p"/>
                  </m:rPr>
                  <w:rPr>
                    <w:rFonts w:ascii="Cambria Math"/>
                    <w:color w:val="auto"/>
                    <w:sz w:val="24"/>
                    <w:highlight w:val="none"/>
                  </w:rPr>
                  <m:t>2</m:t>
                </m:r>
                <m:ctrlPr>
                  <w:rPr>
                    <w:rFonts w:ascii="Cambria Math" w:hAnsi="Cambria Math"/>
                    <w:color w:val="auto"/>
                    <w:sz w:val="24"/>
                    <w:highlight w:val="none"/>
                  </w:rPr>
                </m:ctrlPr>
              </m:den>
            </m:f>
            <m:sSubSup>
              <m:sSubSupPr>
                <m:ctrlPr>
                  <w:rPr>
                    <w:rFonts w:ascii="Cambria Math" w:hAnsi="Cambria Math"/>
                    <w:color w:val="auto"/>
                    <w:sz w:val="24"/>
                    <w:highlight w:val="none"/>
                  </w:rPr>
                </m:ctrlPr>
              </m:sSubSupPr>
              <m:e>
                <m:r>
                  <m:rPr>
                    <m:sty m:val="p"/>
                  </m:rPr>
                  <w:rPr>
                    <w:rFonts w:ascii="Cambria Math"/>
                    <w:color w:val="auto"/>
                    <w:sz w:val="24"/>
                    <w:highlight w:val="none"/>
                  </w:rPr>
                  <m:t>SO</m:t>
                </m:r>
                <m:ctrlPr>
                  <w:rPr>
                    <w:rFonts w:ascii="Cambria Math" w:hAnsi="Cambria Math"/>
                    <w:color w:val="auto"/>
                    <w:sz w:val="24"/>
                    <w:highlight w:val="none"/>
                  </w:rPr>
                </m:ctrlPr>
              </m:e>
              <m:sub>
                <m:r>
                  <m:rPr>
                    <m:sty m:val="p"/>
                  </m:rPr>
                  <w:rPr>
                    <w:rFonts w:ascii="Cambria Math"/>
                    <w:color w:val="auto"/>
                    <w:sz w:val="24"/>
                    <w:highlight w:val="none"/>
                  </w:rPr>
                  <m:t>4</m:t>
                </m:r>
                <m:ctrlPr>
                  <w:rPr>
                    <w:rFonts w:ascii="Cambria Math" w:hAnsi="Cambria Math"/>
                    <w:color w:val="auto"/>
                    <w:sz w:val="24"/>
                    <w:highlight w:val="none"/>
                  </w:rPr>
                </m:ctrlPr>
              </m:sub>
              <m:sup>
                <m:r>
                  <m:rPr>
                    <m:sty m:val="p"/>
                  </m:rPr>
                  <w:rPr>
                    <w:rFonts w:ascii="Cambria Math"/>
                    <w:color w:val="auto"/>
                    <w:sz w:val="24"/>
                    <w:highlight w:val="none"/>
                  </w:rPr>
                  <m:t>2</m:t>
                </m:r>
                <m:r>
                  <m:rPr>
                    <m:sty m:val="p"/>
                  </m:rPr>
                  <w:rPr>
                    <w:rFonts w:ascii="Cambria Math" w:hAnsi="Cambria Math"/>
                    <w:color w:val="auto"/>
                    <w:sz w:val="24"/>
                    <w:highlight w:val="none"/>
                  </w:rPr>
                  <m:t>−</m:t>
                </m:r>
                <m:ctrlPr>
                  <w:rPr>
                    <w:rFonts w:ascii="Cambria Math" w:hAnsi="Cambria Math"/>
                    <w:color w:val="auto"/>
                    <w:sz w:val="24"/>
                    <w:highlight w:val="none"/>
                  </w:rPr>
                </m:ctrlPr>
              </m:sup>
            </m:sSubSup>
            <m:r>
              <m:rPr>
                <m:sty m:val="p"/>
              </m:rPr>
              <w:rPr>
                <w:rFonts w:ascii="Cambria Math" w:hAnsi="Cambria Math"/>
                <w:color w:val="auto"/>
                <w:sz w:val="24"/>
                <w:highlight w:val="none"/>
              </w:rPr>
              <m:t>）</m:t>
            </m:r>
            <m:ctrlPr>
              <w:rPr>
                <w:rFonts w:ascii="Cambria Math" w:hAnsi="Cambria Math"/>
                <w:color w:val="auto"/>
                <w:sz w:val="24"/>
                <w:highlight w:val="none"/>
              </w:rPr>
            </m:ctrlPr>
          </m:num>
          <m:den>
            <m:r>
              <m:rPr>
                <m:sty m:val="p"/>
              </m:rPr>
              <w:rPr>
                <w:rFonts w:ascii="Cambria Math"/>
                <w:color w:val="auto"/>
                <w:sz w:val="24"/>
                <w:highlight w:val="none"/>
              </w:rPr>
              <m:t>C(∑A)</m:t>
            </m:r>
            <m:ctrlPr>
              <w:rPr>
                <w:rFonts w:ascii="Cambria Math" w:hAnsi="Cambria Math"/>
                <w:color w:val="auto"/>
                <w:sz w:val="24"/>
                <w:highlight w:val="none"/>
              </w:rPr>
            </m:ctrlPr>
          </m:den>
        </m:f>
      </m:oMath>
      <w:r>
        <w:rPr>
          <w:rFonts w:ascii="Times New Roman" w:hAnsi="Times New Roman" w:eastAsia="宋体" w:cs="Times New Roman"/>
          <w:color w:val="auto"/>
          <w:kern w:val="2"/>
          <w:sz w:val="24"/>
          <w:highlight w:val="none"/>
        </w:rPr>
        <w:t>或</w:t>
      </w:r>
      <m:oMath>
        <m:f>
          <m:fPr>
            <m:ctrlPr>
              <w:rPr>
                <w:rFonts w:ascii="Cambria Math" w:hAnsi="Cambria Math"/>
                <w:color w:val="auto"/>
                <w:sz w:val="24"/>
                <w:highlight w:val="none"/>
              </w:rPr>
            </m:ctrlPr>
          </m:fPr>
          <m:num>
            <m:r>
              <m:rPr>
                <m:sty m:val="p"/>
              </m:rPr>
              <w:rPr>
                <w:rFonts w:ascii="Cambria Math"/>
                <w:color w:val="auto"/>
                <w:sz w:val="24"/>
                <w:highlight w:val="none"/>
              </w:rPr>
              <m:t>C</m:t>
            </m:r>
            <m:d>
              <m:dPr>
                <m:ctrlPr>
                  <w:rPr>
                    <w:rFonts w:ascii="Cambria Math" w:hAnsi="Cambria Math"/>
                    <w:color w:val="auto"/>
                    <w:sz w:val="24"/>
                    <w:highlight w:val="none"/>
                  </w:rPr>
                </m:ctrlPr>
              </m:dPr>
              <m:e>
                <m:r>
                  <m:rPr>
                    <m:sty m:val="p"/>
                  </m:rPr>
                  <w:rPr>
                    <w:rFonts w:ascii="Cambria Math"/>
                    <w:color w:val="auto"/>
                    <w:sz w:val="24"/>
                    <w:highlight w:val="none"/>
                  </w:rPr>
                  <m:t>∑H</m:t>
                </m:r>
                <m:ctrlPr>
                  <w:rPr>
                    <w:rFonts w:ascii="Cambria Math" w:hAnsi="Cambria Math"/>
                    <w:color w:val="auto"/>
                    <w:sz w:val="24"/>
                    <w:highlight w:val="none"/>
                  </w:rPr>
                </m:ctrlPr>
              </m:e>
            </m:d>
            <m:r>
              <m:rPr>
                <m:sty m:val="p"/>
              </m:rPr>
              <w:rPr>
                <w:rFonts w:ascii="Cambria Math" w:hAnsi="Cambria Math"/>
                <w:color w:val="auto"/>
                <w:sz w:val="24"/>
                <w:highlight w:val="none"/>
              </w:rPr>
              <m:t>−</m:t>
            </m:r>
            <m:r>
              <m:rPr>
                <m:sty m:val="p"/>
              </m:rPr>
              <w:rPr>
                <w:rFonts w:ascii="Cambria Math"/>
                <w:color w:val="auto"/>
                <w:sz w:val="24"/>
                <w:highlight w:val="none"/>
              </w:rPr>
              <m:t>C(</m:t>
            </m:r>
            <m:sSup>
              <m:sSupPr>
                <m:ctrlPr>
                  <w:rPr>
                    <w:rFonts w:ascii="Cambria Math" w:hAnsi="Cambria Math"/>
                    <w:color w:val="auto"/>
                    <w:sz w:val="24"/>
                    <w:highlight w:val="none"/>
                  </w:rPr>
                </m:ctrlPr>
              </m:sSupPr>
              <m:e>
                <m:r>
                  <m:rPr>
                    <m:sty m:val="p"/>
                  </m:rPr>
                  <w:rPr>
                    <w:rFonts w:ascii="Cambria Math"/>
                    <w:color w:val="auto"/>
                    <w:sz w:val="24"/>
                    <w:highlight w:val="none"/>
                  </w:rPr>
                  <m:t>Cl</m:t>
                </m:r>
                <m:ctrlPr>
                  <w:rPr>
                    <w:rFonts w:ascii="Cambria Math" w:hAnsi="Cambria Math"/>
                    <w:color w:val="auto"/>
                    <w:sz w:val="24"/>
                    <w:highlight w:val="none"/>
                  </w:rPr>
                </m:ctrlPr>
              </m:e>
              <m:sup>
                <m:r>
                  <m:rPr>
                    <m:sty m:val="p"/>
                  </m:rPr>
                  <w:rPr>
                    <w:rFonts w:ascii="Cambria Math" w:hAnsi="Cambria Math"/>
                    <w:color w:val="auto"/>
                    <w:sz w:val="24"/>
                    <w:highlight w:val="none"/>
                  </w:rPr>
                  <m:t>−</m:t>
                </m:r>
                <m:ctrlPr>
                  <w:rPr>
                    <w:rFonts w:ascii="Cambria Math" w:hAnsi="Cambria Math"/>
                    <w:color w:val="auto"/>
                    <w:sz w:val="24"/>
                    <w:highlight w:val="none"/>
                  </w:rPr>
                </m:ctrlPr>
              </m:sup>
            </m:sSup>
            <m:r>
              <m:rPr>
                <m:sty m:val="p"/>
              </m:rPr>
              <w:rPr>
                <w:rFonts w:ascii="Cambria Math"/>
                <w:color w:val="auto"/>
                <w:sz w:val="24"/>
                <w:highlight w:val="none"/>
              </w:rPr>
              <m:t>)</m:t>
            </m:r>
            <m:ctrlPr>
              <w:rPr>
                <w:rFonts w:ascii="Cambria Math" w:hAnsi="Cambria Math"/>
                <w:color w:val="auto"/>
                <w:sz w:val="24"/>
                <w:highlight w:val="none"/>
              </w:rPr>
            </m:ctrlPr>
          </m:num>
          <m:den>
            <m:r>
              <m:rPr>
                <m:sty m:val="p"/>
              </m:rPr>
              <w:rPr>
                <w:rFonts w:ascii="Cambria Math"/>
                <w:color w:val="auto"/>
                <w:sz w:val="24"/>
                <w:highlight w:val="none"/>
              </w:rPr>
              <m:t>C(∑A)</m:t>
            </m:r>
            <m:ctrlPr>
              <w:rPr>
                <w:rFonts w:ascii="Cambria Math" w:hAnsi="Cambria Math"/>
                <w:color w:val="auto"/>
                <w:sz w:val="24"/>
                <w:highlight w:val="none"/>
              </w:rPr>
            </m:ctrlPr>
          </m:den>
        </m:f>
      </m:oMath>
    </w:p>
    <w:p w14:paraId="6E56E17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HCB=</w:t>
      </w:r>
      <m:oMath>
        <m:f>
          <m:fPr>
            <m:ctrlPr>
              <w:rPr>
                <w:rFonts w:ascii="Cambria Math" w:hAnsi="Cambria Math"/>
                <w:color w:val="auto"/>
                <w:sz w:val="24"/>
                <w:highlight w:val="none"/>
              </w:rPr>
            </m:ctrlPr>
          </m:fPr>
          <m:num>
            <m:r>
              <m:rPr>
                <m:sty m:val="p"/>
              </m:rPr>
              <w:rPr>
                <w:rFonts w:ascii="Cambria Math"/>
                <w:color w:val="auto"/>
                <w:sz w:val="24"/>
                <w:highlight w:val="none"/>
              </w:rPr>
              <m:t>C(</m:t>
            </m:r>
            <m:sSubSup>
              <m:sSubSupPr>
                <m:ctrlPr>
                  <w:rPr>
                    <w:rFonts w:ascii="Cambria Math" w:hAnsi="Cambria Math"/>
                    <w:color w:val="auto"/>
                    <w:sz w:val="24"/>
                    <w:highlight w:val="none"/>
                  </w:rPr>
                </m:ctrlPr>
              </m:sSubSupPr>
              <m:e>
                <m:r>
                  <m:rPr>
                    <m:sty m:val="p"/>
                  </m:rPr>
                  <w:rPr>
                    <w:rFonts w:ascii="Cambria Math"/>
                    <w:color w:val="auto"/>
                    <w:sz w:val="24"/>
                    <w:highlight w:val="none"/>
                  </w:rPr>
                  <m:t>HCO</m:t>
                </m:r>
                <m:ctrlPr>
                  <w:rPr>
                    <w:rFonts w:ascii="Cambria Math" w:hAnsi="Cambria Math"/>
                    <w:color w:val="auto"/>
                    <w:sz w:val="24"/>
                    <w:highlight w:val="none"/>
                  </w:rPr>
                </m:ctrlPr>
              </m:e>
              <m:sub>
                <m:r>
                  <m:rPr>
                    <m:sty m:val="p"/>
                  </m:rPr>
                  <w:rPr>
                    <w:rFonts w:ascii="Cambria Math"/>
                    <w:color w:val="auto"/>
                    <w:sz w:val="24"/>
                    <w:highlight w:val="none"/>
                  </w:rPr>
                  <m:t>3</m:t>
                </m:r>
                <m:ctrlPr>
                  <w:rPr>
                    <w:rFonts w:ascii="Cambria Math" w:hAnsi="Cambria Math"/>
                    <w:color w:val="auto"/>
                    <w:sz w:val="24"/>
                    <w:highlight w:val="none"/>
                  </w:rPr>
                </m:ctrlPr>
              </m:sub>
              <m:sup>
                <m:r>
                  <m:rPr>
                    <m:sty m:val="p"/>
                  </m:rPr>
                  <w:rPr>
                    <w:rFonts w:ascii="Cambria Math" w:hAnsi="Cambria Math"/>
                    <w:color w:val="auto"/>
                    <w:sz w:val="24"/>
                    <w:highlight w:val="none"/>
                  </w:rPr>
                  <m:t>−</m:t>
                </m:r>
                <m:ctrlPr>
                  <w:rPr>
                    <w:rFonts w:ascii="Cambria Math" w:hAnsi="Cambria Math"/>
                    <w:color w:val="auto"/>
                    <w:sz w:val="24"/>
                    <w:highlight w:val="none"/>
                  </w:rPr>
                </m:ctrlPr>
              </m:sup>
            </m:sSubSup>
            <m:r>
              <m:rPr>
                <m:sty m:val="p"/>
              </m:rPr>
              <w:rPr>
                <w:rFonts w:ascii="Cambria Math"/>
                <w:color w:val="auto"/>
                <w:sz w:val="24"/>
                <w:highlight w:val="none"/>
              </w:rPr>
              <m:t>)</m:t>
            </m:r>
            <m:ctrlPr>
              <w:rPr>
                <w:rFonts w:ascii="Cambria Math" w:hAnsi="Cambria Math"/>
                <w:color w:val="auto"/>
                <w:sz w:val="24"/>
                <w:highlight w:val="none"/>
              </w:rPr>
            </m:ctrlPr>
          </m:num>
          <m:den>
            <m:r>
              <m:rPr>
                <m:sty m:val="p"/>
              </m:rPr>
              <w:rPr>
                <w:rFonts w:ascii="Cambria Math"/>
                <w:color w:val="auto"/>
                <w:sz w:val="24"/>
                <w:highlight w:val="none"/>
              </w:rPr>
              <m:t>C</m:t>
            </m:r>
            <m:d>
              <m:dPr>
                <m:ctrlPr>
                  <w:rPr>
                    <w:rFonts w:ascii="Cambria Math" w:hAnsi="Cambria Math"/>
                    <w:color w:val="auto"/>
                    <w:sz w:val="24"/>
                    <w:highlight w:val="none"/>
                  </w:rPr>
                </m:ctrlPr>
              </m:dPr>
              <m:e>
                <m:f>
                  <m:fPr>
                    <m:type m:val="skw"/>
                    <m:ctrlPr>
                      <w:rPr>
                        <w:rFonts w:ascii="Cambria Math" w:hAnsi="Cambria Math"/>
                        <w:color w:val="auto"/>
                        <w:sz w:val="24"/>
                        <w:highlight w:val="none"/>
                      </w:rPr>
                    </m:ctrlPr>
                  </m:fPr>
                  <m:num>
                    <m:r>
                      <m:rPr>
                        <m:sty m:val="p"/>
                      </m:rPr>
                      <w:rPr>
                        <w:rFonts w:ascii="Cambria Math"/>
                        <w:color w:val="auto"/>
                        <w:sz w:val="24"/>
                        <w:highlight w:val="none"/>
                      </w:rPr>
                      <m:t>1</m:t>
                    </m:r>
                    <m:ctrlPr>
                      <w:rPr>
                        <w:rFonts w:ascii="Cambria Math" w:hAnsi="Cambria Math"/>
                        <w:color w:val="auto"/>
                        <w:sz w:val="24"/>
                        <w:highlight w:val="none"/>
                      </w:rPr>
                    </m:ctrlPr>
                  </m:num>
                  <m:den>
                    <m:r>
                      <m:rPr>
                        <m:sty m:val="p"/>
                      </m:rPr>
                      <w:rPr>
                        <w:rFonts w:ascii="Cambria Math"/>
                        <w:color w:val="auto"/>
                        <w:sz w:val="24"/>
                        <w:highlight w:val="none"/>
                      </w:rPr>
                      <m:t>2</m:t>
                    </m:r>
                    <m:ctrlPr>
                      <w:rPr>
                        <w:rFonts w:ascii="Cambria Math" w:hAnsi="Cambria Math"/>
                        <w:color w:val="auto"/>
                        <w:sz w:val="24"/>
                        <w:highlight w:val="none"/>
                      </w:rPr>
                    </m:ctrlPr>
                  </m:den>
                </m:f>
                <m:sSubSup>
                  <m:sSubSupPr>
                    <m:ctrlPr>
                      <w:rPr>
                        <w:rFonts w:ascii="Cambria Math" w:hAnsi="Cambria Math"/>
                        <w:color w:val="auto"/>
                        <w:sz w:val="24"/>
                        <w:highlight w:val="none"/>
                      </w:rPr>
                    </m:ctrlPr>
                  </m:sSubSupPr>
                  <m:e>
                    <m:r>
                      <m:rPr>
                        <m:sty m:val="p"/>
                      </m:rPr>
                      <w:rPr>
                        <w:rFonts w:ascii="Cambria Math"/>
                        <w:color w:val="auto"/>
                        <w:sz w:val="24"/>
                        <w:highlight w:val="none"/>
                      </w:rPr>
                      <m:t>CO</m:t>
                    </m:r>
                    <m:ctrlPr>
                      <w:rPr>
                        <w:rFonts w:ascii="Cambria Math" w:hAnsi="Cambria Math"/>
                        <w:color w:val="auto"/>
                        <w:sz w:val="24"/>
                        <w:highlight w:val="none"/>
                      </w:rPr>
                    </m:ctrlPr>
                  </m:e>
                  <m:sub>
                    <m:r>
                      <m:rPr>
                        <m:sty m:val="p"/>
                      </m:rPr>
                      <w:rPr>
                        <w:rFonts w:ascii="Cambria Math"/>
                        <w:color w:val="auto"/>
                        <w:sz w:val="24"/>
                        <w:highlight w:val="none"/>
                      </w:rPr>
                      <m:t>3</m:t>
                    </m:r>
                    <m:ctrlPr>
                      <w:rPr>
                        <w:rFonts w:ascii="Cambria Math" w:hAnsi="Cambria Math"/>
                        <w:color w:val="auto"/>
                        <w:sz w:val="24"/>
                        <w:highlight w:val="none"/>
                      </w:rPr>
                    </m:ctrlPr>
                  </m:sub>
                  <m:sup>
                    <m:r>
                      <m:rPr>
                        <m:sty m:val="p"/>
                      </m:rPr>
                      <w:rPr>
                        <w:rFonts w:ascii="Cambria Math"/>
                        <w:color w:val="auto"/>
                        <w:sz w:val="24"/>
                        <w:highlight w:val="none"/>
                      </w:rPr>
                      <m:t>2</m:t>
                    </m:r>
                    <m:r>
                      <m:rPr>
                        <m:sty m:val="p"/>
                      </m:rPr>
                      <w:rPr>
                        <w:rFonts w:ascii="Cambria Math" w:hAnsi="Cambria Math"/>
                        <w:color w:val="auto"/>
                        <w:sz w:val="24"/>
                        <w:highlight w:val="none"/>
                      </w:rPr>
                      <m:t>−</m:t>
                    </m:r>
                    <m:ctrlPr>
                      <w:rPr>
                        <w:rFonts w:ascii="Cambria Math" w:hAnsi="Cambria Math"/>
                        <w:color w:val="auto"/>
                        <w:sz w:val="24"/>
                        <w:highlight w:val="none"/>
                      </w:rPr>
                    </m:ctrlPr>
                  </m:sup>
                </m:sSubSup>
                <m:ctrlPr>
                  <w:rPr>
                    <w:rFonts w:ascii="Cambria Math" w:hAnsi="Cambria Math"/>
                    <w:color w:val="auto"/>
                    <w:sz w:val="24"/>
                    <w:highlight w:val="none"/>
                  </w:rPr>
                </m:ctrlPr>
              </m:e>
            </m:d>
            <m:r>
              <m:rPr>
                <m:sty m:val="p"/>
              </m:rPr>
              <w:rPr>
                <w:rFonts w:ascii="Cambria Math"/>
                <w:color w:val="auto"/>
                <w:sz w:val="24"/>
                <w:highlight w:val="none"/>
              </w:rPr>
              <m:t>+C(</m:t>
            </m:r>
            <m:sSup>
              <m:sSupPr>
                <m:ctrlPr>
                  <w:rPr>
                    <w:rFonts w:ascii="Cambria Math" w:hAnsi="Cambria Math"/>
                    <w:color w:val="auto"/>
                    <w:sz w:val="24"/>
                    <w:highlight w:val="none"/>
                  </w:rPr>
                </m:ctrlPr>
              </m:sSupPr>
              <m:e>
                <m:r>
                  <m:rPr>
                    <m:sty m:val="p"/>
                  </m:rPr>
                  <w:rPr>
                    <w:rFonts w:ascii="Cambria Math"/>
                    <w:color w:val="auto"/>
                    <w:sz w:val="24"/>
                    <w:highlight w:val="none"/>
                  </w:rPr>
                  <m:t>Cl</m:t>
                </m:r>
                <m:ctrlPr>
                  <w:rPr>
                    <w:rFonts w:ascii="Cambria Math" w:hAnsi="Cambria Math"/>
                    <w:color w:val="auto"/>
                    <w:sz w:val="24"/>
                    <w:highlight w:val="none"/>
                  </w:rPr>
                </m:ctrlPr>
              </m:e>
              <m:sup>
                <m:r>
                  <m:rPr>
                    <m:sty m:val="p"/>
                  </m:rPr>
                  <w:rPr>
                    <w:rFonts w:ascii="Cambria Math" w:hAnsi="Cambria Math"/>
                    <w:color w:val="auto"/>
                    <w:sz w:val="24"/>
                    <w:highlight w:val="none"/>
                  </w:rPr>
                  <m:t>−</m:t>
                </m:r>
                <m:ctrlPr>
                  <w:rPr>
                    <w:rFonts w:ascii="Cambria Math" w:hAnsi="Cambria Math"/>
                    <w:color w:val="auto"/>
                    <w:sz w:val="24"/>
                    <w:highlight w:val="none"/>
                  </w:rPr>
                </m:ctrlPr>
              </m:sup>
            </m:sSup>
            <m:r>
              <m:rPr>
                <m:sty m:val="p"/>
              </m:rPr>
              <w:rPr>
                <w:rFonts w:ascii="Cambria Math"/>
                <w:color w:val="auto"/>
                <w:sz w:val="24"/>
                <w:highlight w:val="none"/>
              </w:rPr>
              <m:t>)</m:t>
            </m:r>
            <m:ctrlPr>
              <w:rPr>
                <w:rFonts w:ascii="Cambria Math" w:hAnsi="Cambria Math"/>
                <w:color w:val="auto"/>
                <w:sz w:val="24"/>
                <w:highlight w:val="none"/>
              </w:rPr>
            </m:ctrlPr>
          </m:den>
        </m:f>
      </m:oMath>
    </w:p>
    <w:p w14:paraId="7E68929D">
      <w:pPr>
        <w:widowControl w:val="0"/>
        <w:spacing w:line="360" w:lineRule="auto"/>
        <w:jc w:val="both"/>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注：Ms是在计算出SB值和HCB值后查表4</w:t>
      </w:r>
      <w:r>
        <w:rPr>
          <w:rFonts w:hint="eastAsia" w:ascii="Times New Roman" w:hAnsi="Times New Roman" w:eastAsia="宋体" w:cs="Times New Roman"/>
          <w:color w:val="auto"/>
          <w:kern w:val="2"/>
          <w:sz w:val="24"/>
          <w:highlight w:val="none"/>
          <w:lang w:val="en-US" w:eastAsia="zh-CN"/>
        </w:rPr>
        <w:t>.</w:t>
      </w:r>
      <w:r>
        <w:rPr>
          <w:rFonts w:ascii="Times New Roman" w:hAnsi="Times New Roman" w:eastAsia="宋体" w:cs="Times New Roman"/>
          <w:color w:val="auto"/>
          <w:kern w:val="2"/>
          <w:sz w:val="24"/>
          <w:highlight w:val="none"/>
        </w:rPr>
        <w:t>2-1</w:t>
      </w:r>
      <w:r>
        <w:rPr>
          <w:rFonts w:hint="eastAsia" w:ascii="Times New Roman" w:hAnsi="Times New Roman" w:eastAsia="宋体" w:cs="Times New Roman"/>
          <w:color w:val="auto"/>
          <w:kern w:val="2"/>
          <w:sz w:val="24"/>
          <w:highlight w:val="none"/>
          <w:lang w:val="en-US" w:eastAsia="zh-CN"/>
        </w:rPr>
        <w:t>3</w:t>
      </w:r>
      <w:r>
        <w:rPr>
          <w:rFonts w:ascii="Times New Roman" w:hAnsi="Times New Roman" w:eastAsia="宋体" w:cs="Times New Roman"/>
          <w:color w:val="auto"/>
          <w:kern w:val="2"/>
          <w:sz w:val="24"/>
          <w:highlight w:val="none"/>
        </w:rPr>
        <w:t>中查得。</w:t>
      </w:r>
    </w:p>
    <w:p w14:paraId="33EE3EFE">
      <w:pPr>
        <w:pStyle w:val="216"/>
        <w:keepNext w:val="0"/>
        <w:keepLines w:val="0"/>
        <w:pageBreakBefore w:val="0"/>
        <w:widowControl/>
        <w:kinsoku/>
        <w:wordWrap/>
        <w:overflowPunct/>
        <w:topLinePunct w:val="0"/>
        <w:autoSpaceDE/>
        <w:autoSpaceDN/>
        <w:bidi w:val="0"/>
        <w:adjustRightInd/>
        <w:snapToGrid/>
        <w:textAlignment w:val="auto"/>
        <w:rPr>
          <w:rFonts w:hint="eastAsia" w:ascii="Times New Roman" w:hAnsi="Times New Roman" w:eastAsia="黑体" w:cs="Times New Roman"/>
          <w:b w:val="0"/>
          <w:bCs/>
          <w:smallCaps w:val="0"/>
          <w:snapToGrid/>
          <w:color w:val="auto"/>
          <w:kern w:val="2"/>
          <w:sz w:val="21"/>
          <w:szCs w:val="24"/>
          <w:highlight w:val="none"/>
          <w:lang w:val="en-US"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表4.2-13  SB、HCB、Ms关系表</w:t>
      </w:r>
    </w:p>
    <w:p w14:paraId="2EC92DEE">
      <w:pPr>
        <w:widowControl w:val="0"/>
        <w:jc w:val="center"/>
        <w:rPr>
          <w:rFonts w:ascii="Times New Roman" w:hAnsi="Times New Roman" w:eastAsia="宋体" w:cs="Times New Roman"/>
          <w:color w:val="FF0000"/>
          <w:kern w:val="2"/>
          <w:sz w:val="24"/>
          <w:highlight w:val="none"/>
        </w:rPr>
      </w:pPr>
      <w:r>
        <w:rPr>
          <w:rFonts w:ascii="Times New Roman" w:hAnsi="Times New Roman" w:eastAsia="宋体" w:cs="Times New Roman"/>
          <w:color w:val="FF0000"/>
          <w:kern w:val="2"/>
          <w:sz w:val="21"/>
          <w:highlight w:val="none"/>
        </w:rPr>
        <w:drawing>
          <wp:inline distT="0" distB="0" distL="0" distR="0">
            <wp:extent cx="5189220" cy="2927985"/>
            <wp:effectExtent l="0" t="0" r="11430" b="571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noChangeArrowheads="1"/>
                    </pic:cNvPicPr>
                  </pic:nvPicPr>
                  <pic:blipFill>
                    <a:blip r:embed="rId72" cstate="print"/>
                    <a:srcRect/>
                    <a:stretch>
                      <a:fillRect/>
                    </a:stretch>
                  </pic:blipFill>
                  <pic:spPr>
                    <a:xfrm>
                      <a:off x="0" y="0"/>
                      <a:ext cx="5194045" cy="2931117"/>
                    </a:xfrm>
                    <a:prstGeom prst="rect">
                      <a:avLst/>
                    </a:prstGeom>
                    <a:noFill/>
                    <a:ln w="9525">
                      <a:noFill/>
                      <a:miter lim="800000"/>
                      <a:headEnd/>
                      <a:tailEnd/>
                    </a:ln>
                  </pic:spPr>
                </pic:pic>
              </a:graphicData>
            </a:graphic>
          </wp:inline>
        </w:drawing>
      </w:r>
    </w:p>
    <w:p w14:paraId="2703A857">
      <w:pPr>
        <w:widowControl w:val="0"/>
        <w:spacing w:line="360" w:lineRule="auto"/>
        <w:ind w:firstLine="480" w:firstLineChars="200"/>
        <w:jc w:val="both"/>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第三步，将地下水化学类型用阿拉伯数字（1～49）与字母（A、B、C或D）组合在一起的表达式表示。</w:t>
      </w:r>
    </w:p>
    <w:p w14:paraId="7C44411B">
      <w:pPr>
        <w:widowControl w:val="0"/>
        <w:spacing w:line="360" w:lineRule="auto"/>
        <w:ind w:firstLine="480" w:firstLineChars="200"/>
        <w:jc w:val="both"/>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（2）地下水化学类型评价结果</w:t>
      </w:r>
    </w:p>
    <w:p w14:paraId="45583E76">
      <w:pPr>
        <w:widowControl w:val="0"/>
        <w:spacing w:line="360" w:lineRule="auto"/>
        <w:ind w:firstLine="480" w:firstLineChars="200"/>
        <w:jc w:val="both"/>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首先对水文资料进行整理，换算毫克/升为毫克当量/升及毫克当量百分数；知道了离子在水中的毫克当量数以后，根据计算公式计算其毫克当量百分数。</w:t>
      </w:r>
    </w:p>
    <w:p w14:paraId="420D5AAF">
      <w:pPr>
        <w:widowControl w:val="0"/>
        <w:spacing w:line="360" w:lineRule="auto"/>
        <w:ind w:firstLine="480" w:firstLineChars="200"/>
        <w:jc w:val="both"/>
        <w:rPr>
          <w:rFonts w:hint="default" w:ascii="Times New Roman" w:hAnsi="Times New Roman" w:eastAsia="宋体" w:cs="Times New Roman"/>
          <w:bCs/>
          <w:kern w:val="2"/>
          <w:sz w:val="24"/>
          <w:highlight w:val="none"/>
          <w:lang w:val="en-US" w:eastAsia="zh-CN"/>
        </w:rPr>
      </w:pPr>
      <w:r>
        <w:rPr>
          <w:rFonts w:ascii="Times New Roman" w:hAnsi="Times New Roman" w:eastAsia="宋体" w:cs="Times New Roman"/>
          <w:color w:val="auto"/>
          <w:kern w:val="2"/>
          <w:sz w:val="24"/>
          <w:highlight w:val="none"/>
        </w:rPr>
        <w:t>本次监测换算结果见表</w:t>
      </w:r>
      <w:r>
        <w:rPr>
          <w:rFonts w:hint="eastAsia" w:ascii="Times New Roman" w:hAnsi="Times New Roman" w:eastAsia="宋体" w:cs="Times New Roman"/>
          <w:bCs/>
          <w:kern w:val="2"/>
          <w:sz w:val="24"/>
          <w:highlight w:val="none"/>
          <w:lang w:val="en-US" w:eastAsia="zh-CN"/>
        </w:rPr>
        <w:t>4.2-14。</w:t>
      </w:r>
    </w:p>
    <w:p w14:paraId="475EC9BB">
      <w:pPr>
        <w:pStyle w:val="216"/>
        <w:keepNext w:val="0"/>
        <w:keepLines w:val="0"/>
        <w:pageBreakBefore w:val="0"/>
        <w:widowControl/>
        <w:kinsoku/>
        <w:wordWrap/>
        <w:overflowPunct/>
        <w:topLinePunct w:val="0"/>
        <w:autoSpaceDE/>
        <w:autoSpaceDN/>
        <w:bidi w:val="0"/>
        <w:adjustRightInd/>
        <w:snapToGrid/>
        <w:textAlignment w:val="auto"/>
        <w:rPr>
          <w:rFonts w:hint="eastAsia" w:ascii="Times New Roman" w:hAnsi="Times New Roman" w:eastAsia="宋体" w:cs="Times New Roman"/>
          <w:bCs/>
          <w:kern w:val="2"/>
          <w:sz w:val="24"/>
          <w:szCs w:val="24"/>
          <w:highlight w:val="none"/>
          <w:lang w:val="en-US"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表4.2-14监测换算结果表</w:t>
      </w:r>
    </w:p>
    <w:tbl>
      <w:tblPr>
        <w:tblStyle w:val="48"/>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555"/>
        <w:gridCol w:w="1557"/>
        <w:gridCol w:w="1555"/>
        <w:gridCol w:w="1923"/>
        <w:gridCol w:w="1923"/>
      </w:tblGrid>
      <w:tr w14:paraId="0630AD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1827" w:type="pct"/>
            <w:gridSpan w:val="2"/>
            <w:tcBorders>
              <w:tl2br w:val="nil"/>
              <w:tr2bl w:val="nil"/>
            </w:tcBorders>
            <w:shd w:val="clear" w:color="auto" w:fill="auto"/>
            <w:vAlign w:val="center"/>
          </w:tcPr>
          <w:p w14:paraId="5B0EF35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1#离子</w:t>
            </w:r>
          </w:p>
        </w:tc>
        <w:tc>
          <w:tcPr>
            <w:tcW w:w="913" w:type="pct"/>
            <w:tcBorders>
              <w:tl2br w:val="nil"/>
              <w:tr2bl w:val="nil"/>
            </w:tcBorders>
            <w:shd w:val="clear" w:color="auto" w:fill="auto"/>
            <w:vAlign w:val="center"/>
          </w:tcPr>
          <w:p w14:paraId="0A7DC8B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mg/L</w:t>
            </w:r>
          </w:p>
        </w:tc>
        <w:tc>
          <w:tcPr>
            <w:tcW w:w="1129" w:type="pct"/>
            <w:tcBorders>
              <w:tl2br w:val="nil"/>
              <w:tr2bl w:val="nil"/>
            </w:tcBorders>
            <w:shd w:val="clear" w:color="auto" w:fill="auto"/>
            <w:vAlign w:val="center"/>
          </w:tcPr>
          <w:p w14:paraId="211691A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meq/L</w:t>
            </w:r>
          </w:p>
        </w:tc>
        <w:tc>
          <w:tcPr>
            <w:tcW w:w="1129" w:type="pct"/>
            <w:tcBorders>
              <w:tl2br w:val="nil"/>
              <w:tr2bl w:val="nil"/>
            </w:tcBorders>
            <w:shd w:val="clear" w:color="auto" w:fill="auto"/>
            <w:vAlign w:val="center"/>
          </w:tcPr>
          <w:p w14:paraId="6415D2E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meq%</w:t>
            </w:r>
          </w:p>
        </w:tc>
      </w:tr>
      <w:tr w14:paraId="69AAB6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913" w:type="pct"/>
            <w:vMerge w:val="restart"/>
            <w:tcBorders>
              <w:tl2br w:val="nil"/>
              <w:tr2bl w:val="nil"/>
            </w:tcBorders>
            <w:shd w:val="clear" w:color="auto" w:fill="auto"/>
            <w:vAlign w:val="center"/>
          </w:tcPr>
          <w:p w14:paraId="1636787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阳离子</w:t>
            </w:r>
          </w:p>
        </w:tc>
        <w:tc>
          <w:tcPr>
            <w:tcW w:w="914" w:type="pct"/>
            <w:tcBorders>
              <w:tl2br w:val="nil"/>
              <w:tr2bl w:val="nil"/>
            </w:tcBorders>
            <w:shd w:val="clear" w:color="auto" w:fill="auto"/>
            <w:vAlign w:val="center"/>
          </w:tcPr>
          <w:p w14:paraId="0BBA553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K</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2A09E3F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1.18</w:t>
            </w:r>
          </w:p>
        </w:tc>
        <w:tc>
          <w:tcPr>
            <w:tcW w:w="1129" w:type="pct"/>
            <w:tcBorders>
              <w:tl2br w:val="nil"/>
              <w:tr2bl w:val="nil"/>
            </w:tcBorders>
            <w:shd w:val="clear" w:color="auto" w:fill="auto"/>
            <w:vAlign w:val="center"/>
          </w:tcPr>
          <w:p w14:paraId="1A78332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0.0303</w:t>
            </w:r>
          </w:p>
        </w:tc>
        <w:tc>
          <w:tcPr>
            <w:tcW w:w="1129" w:type="pct"/>
            <w:tcBorders>
              <w:tl2br w:val="nil"/>
              <w:tr2bl w:val="nil"/>
            </w:tcBorders>
            <w:shd w:val="clear" w:color="auto" w:fill="auto"/>
            <w:vAlign w:val="center"/>
          </w:tcPr>
          <w:p w14:paraId="0DD429B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1.238</w:t>
            </w:r>
          </w:p>
        </w:tc>
      </w:tr>
      <w:tr w14:paraId="6AE6A9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913" w:type="pct"/>
            <w:vMerge w:val="continue"/>
            <w:tcBorders>
              <w:tl2br w:val="nil"/>
              <w:tr2bl w:val="nil"/>
            </w:tcBorders>
            <w:shd w:val="clear" w:color="auto" w:fill="auto"/>
            <w:vAlign w:val="center"/>
          </w:tcPr>
          <w:p w14:paraId="2A778EB4">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18EAE71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Na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7091430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13.5</w:t>
            </w:r>
          </w:p>
        </w:tc>
        <w:tc>
          <w:tcPr>
            <w:tcW w:w="1129" w:type="pct"/>
            <w:tcBorders>
              <w:tl2br w:val="nil"/>
              <w:tr2bl w:val="nil"/>
            </w:tcBorders>
            <w:shd w:val="clear" w:color="auto" w:fill="auto"/>
            <w:vAlign w:val="center"/>
          </w:tcPr>
          <w:p w14:paraId="4226490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0.587</w:t>
            </w:r>
          </w:p>
        </w:tc>
        <w:tc>
          <w:tcPr>
            <w:tcW w:w="1129" w:type="pct"/>
            <w:tcBorders>
              <w:tl2br w:val="nil"/>
              <w:tr2bl w:val="nil"/>
            </w:tcBorders>
            <w:shd w:val="clear" w:color="auto" w:fill="auto"/>
            <w:vAlign w:val="center"/>
          </w:tcPr>
          <w:p w14:paraId="4002AA2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23.981</w:t>
            </w:r>
          </w:p>
        </w:tc>
      </w:tr>
      <w:tr w14:paraId="0E2364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17C39C3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C4AE50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7ECBA0D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54.9</w:t>
            </w:r>
          </w:p>
        </w:tc>
        <w:tc>
          <w:tcPr>
            <w:tcW w:w="1129" w:type="pct"/>
            <w:tcBorders>
              <w:tl2br w:val="nil"/>
              <w:tr2bl w:val="nil"/>
            </w:tcBorders>
            <w:shd w:val="clear" w:color="auto" w:fill="auto"/>
            <w:vAlign w:val="center"/>
          </w:tcPr>
          <w:p w14:paraId="7FAD2E4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1.3725</w:t>
            </w:r>
          </w:p>
        </w:tc>
        <w:tc>
          <w:tcPr>
            <w:tcW w:w="1129" w:type="pct"/>
            <w:tcBorders>
              <w:tl2br w:val="nil"/>
              <w:tr2bl w:val="nil"/>
            </w:tcBorders>
            <w:shd w:val="clear" w:color="auto" w:fill="auto"/>
            <w:vAlign w:val="center"/>
          </w:tcPr>
          <w:p w14:paraId="73DC203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56.071</w:t>
            </w:r>
          </w:p>
        </w:tc>
      </w:tr>
      <w:tr w14:paraId="196886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3AD64130">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0FD77DA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6DC2DBC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11.0</w:t>
            </w:r>
          </w:p>
        </w:tc>
        <w:tc>
          <w:tcPr>
            <w:tcW w:w="1129" w:type="pct"/>
            <w:tcBorders>
              <w:tl2br w:val="nil"/>
              <w:tr2bl w:val="nil"/>
            </w:tcBorders>
            <w:shd w:val="clear" w:color="auto" w:fill="auto"/>
            <w:vAlign w:val="center"/>
          </w:tcPr>
          <w:p w14:paraId="239D03B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0.458</w:t>
            </w:r>
          </w:p>
        </w:tc>
        <w:tc>
          <w:tcPr>
            <w:tcW w:w="1129" w:type="pct"/>
            <w:tcBorders>
              <w:tl2br w:val="nil"/>
              <w:tr2bl w:val="nil"/>
            </w:tcBorders>
            <w:shd w:val="clear" w:color="auto" w:fill="auto"/>
            <w:vAlign w:val="center"/>
          </w:tcPr>
          <w:p w14:paraId="123122A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18.710</w:t>
            </w:r>
          </w:p>
        </w:tc>
      </w:tr>
      <w:tr w14:paraId="5B4315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C2EFB6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B2E898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322059E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rPr>
              <w:t>80.58</w:t>
            </w:r>
          </w:p>
        </w:tc>
        <w:tc>
          <w:tcPr>
            <w:tcW w:w="1129" w:type="pct"/>
            <w:tcBorders>
              <w:tl2br w:val="nil"/>
              <w:tr2bl w:val="nil"/>
            </w:tcBorders>
            <w:shd w:val="clear" w:color="auto" w:fill="auto"/>
            <w:vAlign w:val="center"/>
          </w:tcPr>
          <w:p w14:paraId="7154A10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2.4478</w:t>
            </w:r>
          </w:p>
        </w:tc>
        <w:tc>
          <w:tcPr>
            <w:tcW w:w="1129" w:type="pct"/>
            <w:tcBorders>
              <w:tl2br w:val="nil"/>
              <w:tr2bl w:val="nil"/>
            </w:tcBorders>
            <w:shd w:val="clear" w:color="auto" w:fill="auto"/>
            <w:vAlign w:val="center"/>
          </w:tcPr>
          <w:p w14:paraId="10FB68D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11E0AD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913" w:type="pct"/>
            <w:vMerge w:val="restart"/>
            <w:tcBorders>
              <w:tl2br w:val="nil"/>
              <w:tr2bl w:val="nil"/>
            </w:tcBorders>
            <w:shd w:val="clear" w:color="auto" w:fill="auto"/>
            <w:vAlign w:val="center"/>
          </w:tcPr>
          <w:p w14:paraId="4ACFD82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阴离子</w:t>
            </w:r>
          </w:p>
        </w:tc>
        <w:tc>
          <w:tcPr>
            <w:tcW w:w="914" w:type="pct"/>
            <w:tcBorders>
              <w:tl2br w:val="nil"/>
              <w:tr2bl w:val="nil"/>
            </w:tcBorders>
            <w:shd w:val="clear" w:color="auto" w:fill="auto"/>
            <w:vAlign w:val="center"/>
          </w:tcPr>
          <w:p w14:paraId="70F1D42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4F91914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2"/>
                <w:sz w:val="21"/>
                <w:szCs w:val="21"/>
                <w:highlight w:val="none"/>
                <w:u w:val="none"/>
                <w:lang w:val="en-US" w:eastAsia="zh-CN"/>
              </w:rPr>
              <w:t>265</w:t>
            </w:r>
          </w:p>
        </w:tc>
        <w:tc>
          <w:tcPr>
            <w:tcW w:w="1129" w:type="pct"/>
            <w:tcBorders>
              <w:tl2br w:val="nil"/>
              <w:tr2bl w:val="nil"/>
            </w:tcBorders>
            <w:shd w:val="clear" w:color="auto" w:fill="auto"/>
            <w:vAlign w:val="center"/>
          </w:tcPr>
          <w:p w14:paraId="4BACA8DF">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4.344</w:t>
            </w:r>
          </w:p>
        </w:tc>
        <w:tc>
          <w:tcPr>
            <w:tcW w:w="1129" w:type="pct"/>
            <w:tcBorders>
              <w:tl2br w:val="nil"/>
              <w:tr2bl w:val="nil"/>
            </w:tcBorders>
            <w:shd w:val="clear" w:color="auto" w:fill="auto"/>
            <w:vAlign w:val="center"/>
          </w:tcPr>
          <w:p w14:paraId="4E29F2D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95.996</w:t>
            </w:r>
          </w:p>
        </w:tc>
      </w:tr>
      <w:tr w14:paraId="6FBC32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913" w:type="pct"/>
            <w:vMerge w:val="continue"/>
            <w:tcBorders>
              <w:tl2br w:val="nil"/>
              <w:tr2bl w:val="nil"/>
            </w:tcBorders>
            <w:shd w:val="clear" w:color="auto" w:fill="auto"/>
            <w:vAlign w:val="center"/>
          </w:tcPr>
          <w:p w14:paraId="196D92D0">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512BCA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Cl</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0791A01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2"/>
                <w:sz w:val="21"/>
                <w:szCs w:val="21"/>
                <w:highlight w:val="none"/>
                <w:u w:val="none"/>
                <w:lang w:val="en-US" w:eastAsia="zh-CN"/>
              </w:rPr>
              <w:t>5.64</w:t>
            </w:r>
          </w:p>
        </w:tc>
        <w:tc>
          <w:tcPr>
            <w:tcW w:w="1129" w:type="pct"/>
            <w:tcBorders>
              <w:tl2br w:val="nil"/>
              <w:tr2bl w:val="nil"/>
            </w:tcBorders>
            <w:shd w:val="clear" w:color="auto" w:fill="auto"/>
            <w:vAlign w:val="center"/>
          </w:tcPr>
          <w:p w14:paraId="599382F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0.159</w:t>
            </w:r>
          </w:p>
        </w:tc>
        <w:tc>
          <w:tcPr>
            <w:tcW w:w="1129" w:type="pct"/>
            <w:tcBorders>
              <w:tl2br w:val="nil"/>
              <w:tr2bl w:val="nil"/>
            </w:tcBorders>
            <w:shd w:val="clear" w:color="auto" w:fill="auto"/>
            <w:vAlign w:val="center"/>
          </w:tcPr>
          <w:p w14:paraId="2410521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3.514</w:t>
            </w:r>
          </w:p>
        </w:tc>
      </w:tr>
      <w:tr w14:paraId="5E1780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913" w:type="pct"/>
            <w:vMerge w:val="continue"/>
            <w:tcBorders>
              <w:tl2br w:val="nil"/>
              <w:tr2bl w:val="nil"/>
            </w:tcBorders>
            <w:shd w:val="clear" w:color="auto" w:fill="auto"/>
            <w:vAlign w:val="center"/>
          </w:tcPr>
          <w:p w14:paraId="0A796594">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4F8CC4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18A66F7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2"/>
                <w:sz w:val="21"/>
                <w:szCs w:val="21"/>
                <w:highlight w:val="none"/>
                <w:u w:val="none"/>
                <w:lang w:val="en-US" w:eastAsia="zh-CN"/>
              </w:rPr>
              <w:t>2.13</w:t>
            </w:r>
          </w:p>
        </w:tc>
        <w:tc>
          <w:tcPr>
            <w:tcW w:w="1129" w:type="pct"/>
            <w:tcBorders>
              <w:tl2br w:val="nil"/>
              <w:tr2bl w:val="nil"/>
            </w:tcBorders>
            <w:shd w:val="clear" w:color="auto" w:fill="auto"/>
            <w:vAlign w:val="center"/>
          </w:tcPr>
          <w:p w14:paraId="182D413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0.0222</w:t>
            </w:r>
          </w:p>
        </w:tc>
        <w:tc>
          <w:tcPr>
            <w:tcW w:w="1129" w:type="pct"/>
            <w:tcBorders>
              <w:tl2br w:val="nil"/>
              <w:tr2bl w:val="nil"/>
            </w:tcBorders>
            <w:shd w:val="clear" w:color="auto" w:fill="auto"/>
            <w:vAlign w:val="center"/>
          </w:tcPr>
          <w:p w14:paraId="06EB909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0.490</w:t>
            </w:r>
          </w:p>
        </w:tc>
      </w:tr>
      <w:tr w14:paraId="40F339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3F267E47">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4D351BDF">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31C8763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rPr>
              <w:t>272.77</w:t>
            </w:r>
          </w:p>
        </w:tc>
        <w:tc>
          <w:tcPr>
            <w:tcW w:w="1129" w:type="pct"/>
            <w:tcBorders>
              <w:tl2br w:val="nil"/>
              <w:tr2bl w:val="nil"/>
            </w:tcBorders>
            <w:shd w:val="clear" w:color="auto" w:fill="auto"/>
            <w:vAlign w:val="center"/>
          </w:tcPr>
          <w:p w14:paraId="39AA9CB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4.5252</w:t>
            </w:r>
          </w:p>
        </w:tc>
        <w:tc>
          <w:tcPr>
            <w:tcW w:w="1129" w:type="pct"/>
            <w:tcBorders>
              <w:tl2br w:val="nil"/>
              <w:tr2bl w:val="nil"/>
            </w:tcBorders>
            <w:shd w:val="clear" w:color="auto" w:fill="auto"/>
            <w:vAlign w:val="center"/>
          </w:tcPr>
          <w:p w14:paraId="06501EE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26CE23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1827" w:type="pct"/>
            <w:gridSpan w:val="2"/>
            <w:tcBorders>
              <w:tl2br w:val="nil"/>
              <w:tr2bl w:val="nil"/>
            </w:tcBorders>
            <w:shd w:val="clear" w:color="auto" w:fill="auto"/>
            <w:vAlign w:val="center"/>
          </w:tcPr>
          <w:p w14:paraId="11DFF51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2#离子</w:t>
            </w:r>
          </w:p>
        </w:tc>
        <w:tc>
          <w:tcPr>
            <w:tcW w:w="913" w:type="pct"/>
            <w:tcBorders>
              <w:tl2br w:val="nil"/>
              <w:tr2bl w:val="nil"/>
            </w:tcBorders>
            <w:shd w:val="clear" w:color="auto" w:fill="auto"/>
            <w:vAlign w:val="center"/>
          </w:tcPr>
          <w:p w14:paraId="0D0AD7C0">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7594D64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3394EE83">
            <w:pPr>
              <w:widowControl w:val="0"/>
              <w:jc w:val="center"/>
              <w:rPr>
                <w:rFonts w:hint="default" w:ascii="Times New Roman" w:hAnsi="Times New Roman" w:eastAsia="宋体" w:cs="Times New Roman"/>
                <w:i w:val="0"/>
                <w:iCs w:val="0"/>
                <w:color w:val="000000"/>
                <w:kern w:val="2"/>
                <w:sz w:val="21"/>
                <w:szCs w:val="21"/>
                <w:highlight w:val="none"/>
                <w:u w:val="none"/>
              </w:rPr>
            </w:pPr>
          </w:p>
        </w:tc>
      </w:tr>
      <w:tr w14:paraId="45A946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restart"/>
            <w:tcBorders>
              <w:tl2br w:val="nil"/>
              <w:tr2bl w:val="nil"/>
            </w:tcBorders>
            <w:shd w:val="clear" w:color="auto" w:fill="auto"/>
            <w:vAlign w:val="center"/>
          </w:tcPr>
          <w:p w14:paraId="3AF8898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阳离子</w:t>
            </w:r>
          </w:p>
        </w:tc>
        <w:tc>
          <w:tcPr>
            <w:tcW w:w="914" w:type="pct"/>
            <w:tcBorders>
              <w:tl2br w:val="nil"/>
              <w:tr2bl w:val="nil"/>
            </w:tcBorders>
            <w:shd w:val="clear" w:color="auto" w:fill="auto"/>
            <w:vAlign w:val="center"/>
          </w:tcPr>
          <w:p w14:paraId="0DBE502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K</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56284AF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1.07</w:t>
            </w:r>
          </w:p>
        </w:tc>
        <w:tc>
          <w:tcPr>
            <w:tcW w:w="1129" w:type="pct"/>
            <w:tcBorders>
              <w:tl2br w:val="nil"/>
              <w:tr2bl w:val="nil"/>
            </w:tcBorders>
            <w:shd w:val="clear" w:color="auto" w:fill="auto"/>
            <w:vAlign w:val="center"/>
          </w:tcPr>
          <w:p w14:paraId="625E802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0.0274</w:t>
            </w:r>
          </w:p>
        </w:tc>
        <w:tc>
          <w:tcPr>
            <w:tcW w:w="1129" w:type="pct"/>
            <w:tcBorders>
              <w:tl2br w:val="nil"/>
              <w:tr2bl w:val="nil"/>
            </w:tcBorders>
            <w:shd w:val="clear" w:color="auto" w:fill="auto"/>
            <w:vAlign w:val="center"/>
          </w:tcPr>
          <w:p w14:paraId="03E80A9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0.886</w:t>
            </w:r>
          </w:p>
        </w:tc>
      </w:tr>
      <w:tr w14:paraId="7C4875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0A14532A">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60E5BC4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Na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331FEBC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18.3</w:t>
            </w:r>
          </w:p>
        </w:tc>
        <w:tc>
          <w:tcPr>
            <w:tcW w:w="1129" w:type="pct"/>
            <w:tcBorders>
              <w:tl2br w:val="nil"/>
              <w:tr2bl w:val="nil"/>
            </w:tcBorders>
            <w:shd w:val="clear" w:color="auto" w:fill="auto"/>
            <w:vAlign w:val="center"/>
          </w:tcPr>
          <w:p w14:paraId="7363252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0.796</w:t>
            </w:r>
          </w:p>
        </w:tc>
        <w:tc>
          <w:tcPr>
            <w:tcW w:w="1129" w:type="pct"/>
            <w:tcBorders>
              <w:tl2br w:val="nil"/>
              <w:tr2bl w:val="nil"/>
            </w:tcBorders>
            <w:shd w:val="clear" w:color="auto" w:fill="auto"/>
            <w:vAlign w:val="center"/>
          </w:tcPr>
          <w:p w14:paraId="2E22F85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25.749</w:t>
            </w:r>
          </w:p>
        </w:tc>
      </w:tr>
      <w:tr w14:paraId="28B142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593AB5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D61274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0FC8E85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65.4</w:t>
            </w:r>
          </w:p>
        </w:tc>
        <w:tc>
          <w:tcPr>
            <w:tcW w:w="1129" w:type="pct"/>
            <w:tcBorders>
              <w:tl2br w:val="nil"/>
              <w:tr2bl w:val="nil"/>
            </w:tcBorders>
            <w:shd w:val="clear" w:color="auto" w:fill="auto"/>
            <w:vAlign w:val="center"/>
          </w:tcPr>
          <w:p w14:paraId="71A3986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1.635</w:t>
            </w:r>
          </w:p>
        </w:tc>
        <w:tc>
          <w:tcPr>
            <w:tcW w:w="1129" w:type="pct"/>
            <w:tcBorders>
              <w:tl2br w:val="nil"/>
              <w:tr2bl w:val="nil"/>
            </w:tcBorders>
            <w:shd w:val="clear" w:color="auto" w:fill="auto"/>
            <w:vAlign w:val="center"/>
          </w:tcPr>
          <w:p w14:paraId="33BB9D9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52.889</w:t>
            </w:r>
          </w:p>
        </w:tc>
      </w:tr>
      <w:tr w14:paraId="55A168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7" w:hRule="atLeast"/>
        </w:trPr>
        <w:tc>
          <w:tcPr>
            <w:tcW w:w="913" w:type="pct"/>
            <w:vMerge w:val="continue"/>
            <w:tcBorders>
              <w:tl2br w:val="nil"/>
              <w:tr2bl w:val="nil"/>
            </w:tcBorders>
            <w:shd w:val="clear" w:color="auto" w:fill="auto"/>
            <w:vAlign w:val="center"/>
          </w:tcPr>
          <w:p w14:paraId="3929815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B66DBD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3E6AFA2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15.2</w:t>
            </w:r>
          </w:p>
        </w:tc>
        <w:tc>
          <w:tcPr>
            <w:tcW w:w="1129" w:type="pct"/>
            <w:tcBorders>
              <w:tl2br w:val="nil"/>
              <w:tr2bl w:val="nil"/>
            </w:tcBorders>
            <w:shd w:val="clear" w:color="auto" w:fill="auto"/>
            <w:vAlign w:val="center"/>
          </w:tcPr>
          <w:p w14:paraId="2C39BA6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0.633</w:t>
            </w:r>
          </w:p>
        </w:tc>
        <w:tc>
          <w:tcPr>
            <w:tcW w:w="1129" w:type="pct"/>
            <w:tcBorders>
              <w:tl2br w:val="nil"/>
              <w:tr2bl w:val="nil"/>
            </w:tcBorders>
            <w:shd w:val="clear" w:color="auto" w:fill="auto"/>
            <w:vAlign w:val="center"/>
          </w:tcPr>
          <w:p w14:paraId="5E5708C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20.476</w:t>
            </w:r>
          </w:p>
        </w:tc>
      </w:tr>
      <w:tr w14:paraId="505E66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3492A6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1B44CB6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4ADE48D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rPr>
              <w:t>99.97</w:t>
            </w:r>
          </w:p>
        </w:tc>
        <w:tc>
          <w:tcPr>
            <w:tcW w:w="1129" w:type="pct"/>
            <w:tcBorders>
              <w:tl2br w:val="nil"/>
              <w:tr2bl w:val="nil"/>
            </w:tcBorders>
            <w:shd w:val="clear" w:color="auto" w:fill="auto"/>
            <w:vAlign w:val="center"/>
          </w:tcPr>
          <w:p w14:paraId="14D7286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3.0914</w:t>
            </w:r>
          </w:p>
        </w:tc>
        <w:tc>
          <w:tcPr>
            <w:tcW w:w="1129" w:type="pct"/>
            <w:tcBorders>
              <w:tl2br w:val="nil"/>
              <w:tr2bl w:val="nil"/>
            </w:tcBorders>
            <w:shd w:val="clear" w:color="auto" w:fill="auto"/>
            <w:vAlign w:val="center"/>
          </w:tcPr>
          <w:p w14:paraId="3E4C345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2B5611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5" w:hRule="atLeast"/>
        </w:trPr>
        <w:tc>
          <w:tcPr>
            <w:tcW w:w="913" w:type="pct"/>
            <w:vMerge w:val="restart"/>
            <w:tcBorders>
              <w:tl2br w:val="nil"/>
              <w:tr2bl w:val="nil"/>
            </w:tcBorders>
            <w:shd w:val="clear" w:color="auto" w:fill="auto"/>
            <w:vAlign w:val="center"/>
          </w:tcPr>
          <w:p w14:paraId="5FA43E7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阴离子</w:t>
            </w:r>
          </w:p>
        </w:tc>
        <w:tc>
          <w:tcPr>
            <w:tcW w:w="914" w:type="pct"/>
            <w:tcBorders>
              <w:tl2br w:val="nil"/>
              <w:tr2bl w:val="nil"/>
            </w:tcBorders>
            <w:shd w:val="clear" w:color="auto" w:fill="auto"/>
            <w:vAlign w:val="center"/>
          </w:tcPr>
          <w:p w14:paraId="3C411C5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7E4DE50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271</w:t>
            </w:r>
          </w:p>
        </w:tc>
        <w:tc>
          <w:tcPr>
            <w:tcW w:w="1129" w:type="pct"/>
            <w:tcBorders>
              <w:tl2br w:val="nil"/>
              <w:tr2bl w:val="nil"/>
            </w:tcBorders>
            <w:shd w:val="clear" w:color="auto" w:fill="auto"/>
            <w:vAlign w:val="center"/>
          </w:tcPr>
          <w:p w14:paraId="4E885C9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4.443</w:t>
            </w:r>
          </w:p>
        </w:tc>
        <w:tc>
          <w:tcPr>
            <w:tcW w:w="1129" w:type="pct"/>
            <w:tcBorders>
              <w:tl2br w:val="nil"/>
              <w:tr2bl w:val="nil"/>
            </w:tcBorders>
            <w:shd w:val="clear" w:color="auto" w:fill="auto"/>
            <w:vAlign w:val="center"/>
          </w:tcPr>
          <w:p w14:paraId="50DF2E7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96.789</w:t>
            </w:r>
          </w:p>
        </w:tc>
      </w:tr>
      <w:tr w14:paraId="3AD0B7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8796161">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1ACA6FC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Cl</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1935C84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4.32</w:t>
            </w:r>
          </w:p>
        </w:tc>
        <w:tc>
          <w:tcPr>
            <w:tcW w:w="1129" w:type="pct"/>
            <w:tcBorders>
              <w:tl2br w:val="nil"/>
              <w:tr2bl w:val="nil"/>
            </w:tcBorders>
            <w:shd w:val="clear" w:color="auto" w:fill="auto"/>
            <w:vAlign w:val="center"/>
          </w:tcPr>
          <w:p w14:paraId="23E13F9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0.122</w:t>
            </w:r>
          </w:p>
        </w:tc>
        <w:tc>
          <w:tcPr>
            <w:tcW w:w="1129" w:type="pct"/>
            <w:tcBorders>
              <w:tl2br w:val="nil"/>
              <w:tr2bl w:val="nil"/>
            </w:tcBorders>
            <w:shd w:val="clear" w:color="auto" w:fill="auto"/>
            <w:vAlign w:val="center"/>
          </w:tcPr>
          <w:p w14:paraId="62B3A2C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2.658</w:t>
            </w:r>
          </w:p>
        </w:tc>
      </w:tr>
      <w:tr w14:paraId="65A335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913" w:type="pct"/>
            <w:vMerge w:val="continue"/>
            <w:tcBorders>
              <w:tl2br w:val="nil"/>
              <w:tr2bl w:val="nil"/>
            </w:tcBorders>
            <w:shd w:val="clear" w:color="auto" w:fill="auto"/>
            <w:vAlign w:val="center"/>
          </w:tcPr>
          <w:p w14:paraId="3A48D651">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F578B4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1E837DA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2.44</w:t>
            </w:r>
          </w:p>
        </w:tc>
        <w:tc>
          <w:tcPr>
            <w:tcW w:w="1129" w:type="pct"/>
            <w:tcBorders>
              <w:tl2br w:val="nil"/>
              <w:tr2bl w:val="nil"/>
            </w:tcBorders>
            <w:shd w:val="clear" w:color="auto" w:fill="auto"/>
            <w:vAlign w:val="center"/>
          </w:tcPr>
          <w:p w14:paraId="2AD98F6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0.0254</w:t>
            </w:r>
          </w:p>
        </w:tc>
        <w:tc>
          <w:tcPr>
            <w:tcW w:w="1129" w:type="pct"/>
            <w:tcBorders>
              <w:tl2br w:val="nil"/>
              <w:tr2bl w:val="nil"/>
            </w:tcBorders>
            <w:shd w:val="clear" w:color="auto" w:fill="auto"/>
            <w:vAlign w:val="center"/>
          </w:tcPr>
          <w:p w14:paraId="433ECD4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0.553</w:t>
            </w:r>
          </w:p>
        </w:tc>
      </w:tr>
      <w:tr w14:paraId="05430A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5" w:hRule="atLeast"/>
        </w:trPr>
        <w:tc>
          <w:tcPr>
            <w:tcW w:w="913" w:type="pct"/>
            <w:vMerge w:val="continue"/>
            <w:tcBorders>
              <w:tl2br w:val="nil"/>
              <w:tr2bl w:val="nil"/>
            </w:tcBorders>
            <w:shd w:val="clear" w:color="auto" w:fill="auto"/>
            <w:vAlign w:val="center"/>
          </w:tcPr>
          <w:p w14:paraId="0CA4561D">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238CC83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7548918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rPr>
              <w:t>277.76</w:t>
            </w:r>
          </w:p>
        </w:tc>
        <w:tc>
          <w:tcPr>
            <w:tcW w:w="1129" w:type="pct"/>
            <w:tcBorders>
              <w:tl2br w:val="nil"/>
              <w:tr2bl w:val="nil"/>
            </w:tcBorders>
            <w:shd w:val="clear" w:color="auto" w:fill="auto"/>
            <w:vAlign w:val="center"/>
          </w:tcPr>
          <w:p w14:paraId="7B9DF78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4.5904</w:t>
            </w:r>
          </w:p>
        </w:tc>
        <w:tc>
          <w:tcPr>
            <w:tcW w:w="1129" w:type="pct"/>
            <w:tcBorders>
              <w:tl2br w:val="nil"/>
              <w:tr2bl w:val="nil"/>
            </w:tcBorders>
            <w:shd w:val="clear" w:color="auto" w:fill="auto"/>
            <w:vAlign w:val="center"/>
          </w:tcPr>
          <w:p w14:paraId="33EDEC5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7BB093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827" w:type="pct"/>
            <w:gridSpan w:val="2"/>
            <w:tcBorders>
              <w:tl2br w:val="nil"/>
              <w:tr2bl w:val="nil"/>
            </w:tcBorders>
            <w:shd w:val="clear" w:color="auto" w:fill="auto"/>
            <w:vAlign w:val="center"/>
          </w:tcPr>
          <w:p w14:paraId="1FDE7C0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3#离子</w:t>
            </w:r>
          </w:p>
        </w:tc>
        <w:tc>
          <w:tcPr>
            <w:tcW w:w="913" w:type="pct"/>
            <w:tcBorders>
              <w:tl2br w:val="nil"/>
              <w:tr2bl w:val="nil"/>
            </w:tcBorders>
            <w:shd w:val="clear" w:color="auto" w:fill="auto"/>
            <w:vAlign w:val="center"/>
          </w:tcPr>
          <w:p w14:paraId="52A10F9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556DF249">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74AC2EEB">
            <w:pPr>
              <w:widowControl w:val="0"/>
              <w:jc w:val="center"/>
              <w:rPr>
                <w:rFonts w:hint="default" w:ascii="Times New Roman" w:hAnsi="Times New Roman" w:eastAsia="宋体" w:cs="Times New Roman"/>
                <w:i w:val="0"/>
                <w:iCs w:val="0"/>
                <w:color w:val="000000"/>
                <w:kern w:val="2"/>
                <w:sz w:val="21"/>
                <w:szCs w:val="21"/>
                <w:highlight w:val="none"/>
                <w:u w:val="none"/>
              </w:rPr>
            </w:pPr>
          </w:p>
        </w:tc>
      </w:tr>
      <w:tr w14:paraId="2F1456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restart"/>
            <w:tcBorders>
              <w:tl2br w:val="nil"/>
              <w:tr2bl w:val="nil"/>
            </w:tcBorders>
            <w:shd w:val="clear" w:color="auto" w:fill="auto"/>
            <w:vAlign w:val="center"/>
          </w:tcPr>
          <w:p w14:paraId="6A08A00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阳离子</w:t>
            </w:r>
          </w:p>
        </w:tc>
        <w:tc>
          <w:tcPr>
            <w:tcW w:w="914" w:type="pct"/>
            <w:tcBorders>
              <w:tl2br w:val="nil"/>
              <w:tr2bl w:val="nil"/>
            </w:tcBorders>
            <w:shd w:val="clear" w:color="auto" w:fill="auto"/>
            <w:vAlign w:val="center"/>
          </w:tcPr>
          <w:p w14:paraId="1B11770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K</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2442FB4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1.74</w:t>
            </w:r>
          </w:p>
        </w:tc>
        <w:tc>
          <w:tcPr>
            <w:tcW w:w="1129" w:type="pct"/>
            <w:tcBorders>
              <w:tl2br w:val="nil"/>
              <w:tr2bl w:val="nil"/>
            </w:tcBorders>
            <w:shd w:val="clear" w:color="auto" w:fill="auto"/>
            <w:vAlign w:val="center"/>
          </w:tcPr>
          <w:p w14:paraId="79C0B28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0.0446</w:t>
            </w:r>
          </w:p>
        </w:tc>
        <w:tc>
          <w:tcPr>
            <w:tcW w:w="1129" w:type="pct"/>
            <w:tcBorders>
              <w:tl2br w:val="nil"/>
              <w:tr2bl w:val="nil"/>
            </w:tcBorders>
            <w:shd w:val="clear" w:color="auto" w:fill="auto"/>
            <w:vAlign w:val="center"/>
          </w:tcPr>
          <w:p w14:paraId="5D788C4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1.221</w:t>
            </w:r>
          </w:p>
        </w:tc>
      </w:tr>
      <w:tr w14:paraId="2268F5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18F6BBEE">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6B18BAD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Na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38EE885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37.5</w:t>
            </w:r>
          </w:p>
        </w:tc>
        <w:tc>
          <w:tcPr>
            <w:tcW w:w="1129" w:type="pct"/>
            <w:tcBorders>
              <w:tl2br w:val="nil"/>
              <w:tr2bl w:val="nil"/>
            </w:tcBorders>
            <w:shd w:val="clear" w:color="auto" w:fill="auto"/>
            <w:vAlign w:val="center"/>
          </w:tcPr>
          <w:p w14:paraId="5E642CD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1.630</w:t>
            </w:r>
          </w:p>
        </w:tc>
        <w:tc>
          <w:tcPr>
            <w:tcW w:w="1129" w:type="pct"/>
            <w:tcBorders>
              <w:tl2br w:val="nil"/>
              <w:tr2bl w:val="nil"/>
            </w:tcBorders>
            <w:shd w:val="clear" w:color="auto" w:fill="auto"/>
            <w:vAlign w:val="center"/>
          </w:tcPr>
          <w:p w14:paraId="264D2EC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44.632</w:t>
            </w:r>
          </w:p>
        </w:tc>
      </w:tr>
      <w:tr w14:paraId="204E9E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689AA2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FADA9F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1D940F7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58.6</w:t>
            </w:r>
          </w:p>
        </w:tc>
        <w:tc>
          <w:tcPr>
            <w:tcW w:w="1129" w:type="pct"/>
            <w:tcBorders>
              <w:tl2br w:val="nil"/>
              <w:tr2bl w:val="nil"/>
            </w:tcBorders>
            <w:shd w:val="clear" w:color="auto" w:fill="auto"/>
            <w:vAlign w:val="center"/>
          </w:tcPr>
          <w:p w14:paraId="7D63463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1.465</w:t>
            </w:r>
          </w:p>
        </w:tc>
        <w:tc>
          <w:tcPr>
            <w:tcW w:w="1129" w:type="pct"/>
            <w:tcBorders>
              <w:tl2br w:val="nil"/>
              <w:tr2bl w:val="nil"/>
            </w:tcBorders>
            <w:shd w:val="clear" w:color="auto" w:fill="auto"/>
            <w:vAlign w:val="center"/>
          </w:tcPr>
          <w:p w14:paraId="029B358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40.114</w:t>
            </w:r>
          </w:p>
        </w:tc>
      </w:tr>
      <w:tr w14:paraId="214481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81CA455">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4757424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0DFCD94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12.3</w:t>
            </w:r>
          </w:p>
        </w:tc>
        <w:tc>
          <w:tcPr>
            <w:tcW w:w="1129" w:type="pct"/>
            <w:tcBorders>
              <w:tl2br w:val="nil"/>
              <w:tr2bl w:val="nil"/>
            </w:tcBorders>
            <w:shd w:val="clear" w:color="auto" w:fill="auto"/>
            <w:vAlign w:val="center"/>
          </w:tcPr>
          <w:p w14:paraId="6A1187C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0.5125</w:t>
            </w:r>
          </w:p>
        </w:tc>
        <w:tc>
          <w:tcPr>
            <w:tcW w:w="1129" w:type="pct"/>
            <w:tcBorders>
              <w:tl2br w:val="nil"/>
              <w:tr2bl w:val="nil"/>
            </w:tcBorders>
            <w:shd w:val="clear" w:color="auto" w:fill="auto"/>
            <w:vAlign w:val="center"/>
          </w:tcPr>
          <w:p w14:paraId="42D7DDE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14.033</w:t>
            </w:r>
          </w:p>
        </w:tc>
      </w:tr>
      <w:tr w14:paraId="557FA6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0DE6A2E">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5E7E78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7533E2FB">
            <w:pPr>
              <w:widowControl w:val="0"/>
              <w:jc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110.14</w:t>
            </w:r>
          </w:p>
        </w:tc>
        <w:tc>
          <w:tcPr>
            <w:tcW w:w="1129" w:type="pct"/>
            <w:tcBorders>
              <w:tl2br w:val="nil"/>
              <w:tr2bl w:val="nil"/>
            </w:tcBorders>
            <w:shd w:val="clear" w:color="auto" w:fill="auto"/>
            <w:vAlign w:val="center"/>
          </w:tcPr>
          <w:p w14:paraId="025134F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3.6521</w:t>
            </w:r>
          </w:p>
        </w:tc>
        <w:tc>
          <w:tcPr>
            <w:tcW w:w="1129" w:type="pct"/>
            <w:tcBorders>
              <w:tl2br w:val="nil"/>
              <w:tr2bl w:val="nil"/>
            </w:tcBorders>
            <w:shd w:val="clear" w:color="auto" w:fill="auto"/>
            <w:vAlign w:val="center"/>
          </w:tcPr>
          <w:p w14:paraId="73E3B12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4E12A8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7" w:hRule="atLeast"/>
        </w:trPr>
        <w:tc>
          <w:tcPr>
            <w:tcW w:w="913" w:type="pct"/>
            <w:vMerge w:val="restart"/>
            <w:tcBorders>
              <w:tl2br w:val="nil"/>
              <w:tr2bl w:val="nil"/>
            </w:tcBorders>
            <w:shd w:val="clear" w:color="auto" w:fill="auto"/>
            <w:vAlign w:val="center"/>
          </w:tcPr>
          <w:p w14:paraId="3CA3910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阴离子</w:t>
            </w:r>
          </w:p>
        </w:tc>
        <w:tc>
          <w:tcPr>
            <w:tcW w:w="914" w:type="pct"/>
            <w:tcBorders>
              <w:tl2br w:val="nil"/>
              <w:tr2bl w:val="nil"/>
            </w:tcBorders>
            <w:shd w:val="clear" w:color="auto" w:fill="auto"/>
            <w:vAlign w:val="center"/>
          </w:tcPr>
          <w:p w14:paraId="331DFA8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5F6878E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213</w:t>
            </w:r>
          </w:p>
        </w:tc>
        <w:tc>
          <w:tcPr>
            <w:tcW w:w="1129" w:type="pct"/>
            <w:tcBorders>
              <w:tl2br w:val="nil"/>
              <w:tr2bl w:val="nil"/>
            </w:tcBorders>
            <w:shd w:val="clear" w:color="auto" w:fill="auto"/>
            <w:vAlign w:val="center"/>
          </w:tcPr>
          <w:p w14:paraId="32C659C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3.492</w:t>
            </w:r>
          </w:p>
        </w:tc>
        <w:tc>
          <w:tcPr>
            <w:tcW w:w="1129" w:type="pct"/>
            <w:tcBorders>
              <w:tl2br w:val="nil"/>
              <w:tr2bl w:val="nil"/>
            </w:tcBorders>
            <w:shd w:val="clear" w:color="auto" w:fill="auto"/>
            <w:vAlign w:val="center"/>
          </w:tcPr>
          <w:p w14:paraId="3B06529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82.489</w:t>
            </w:r>
          </w:p>
        </w:tc>
      </w:tr>
      <w:tr w14:paraId="0DFEAE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6" w:hRule="atLeast"/>
        </w:trPr>
        <w:tc>
          <w:tcPr>
            <w:tcW w:w="913" w:type="pct"/>
            <w:vMerge w:val="continue"/>
            <w:tcBorders>
              <w:tl2br w:val="nil"/>
              <w:tr2bl w:val="nil"/>
            </w:tcBorders>
            <w:shd w:val="clear" w:color="auto" w:fill="auto"/>
            <w:vAlign w:val="center"/>
          </w:tcPr>
          <w:p w14:paraId="5B04C1A7">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44834F7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Cl</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220BBD1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22.8</w:t>
            </w:r>
          </w:p>
        </w:tc>
        <w:tc>
          <w:tcPr>
            <w:tcW w:w="1129" w:type="pct"/>
            <w:tcBorders>
              <w:tl2br w:val="nil"/>
              <w:tr2bl w:val="nil"/>
            </w:tcBorders>
            <w:shd w:val="clear" w:color="auto" w:fill="auto"/>
            <w:vAlign w:val="center"/>
          </w:tcPr>
          <w:p w14:paraId="75BE575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0.642</w:t>
            </w:r>
          </w:p>
        </w:tc>
        <w:tc>
          <w:tcPr>
            <w:tcW w:w="1129" w:type="pct"/>
            <w:tcBorders>
              <w:tl2br w:val="nil"/>
              <w:tr2bl w:val="nil"/>
            </w:tcBorders>
            <w:shd w:val="clear" w:color="auto" w:fill="auto"/>
            <w:vAlign w:val="center"/>
          </w:tcPr>
          <w:p w14:paraId="0B4C6B7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15.165</w:t>
            </w:r>
          </w:p>
        </w:tc>
      </w:tr>
      <w:tr w14:paraId="024022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913" w:type="pct"/>
            <w:vMerge w:val="continue"/>
            <w:tcBorders>
              <w:tl2br w:val="nil"/>
              <w:tr2bl w:val="nil"/>
            </w:tcBorders>
            <w:shd w:val="clear" w:color="auto" w:fill="auto"/>
            <w:vAlign w:val="center"/>
          </w:tcPr>
          <w:p w14:paraId="14FD95D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2FF289E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04E62A2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9.53</w:t>
            </w:r>
          </w:p>
        </w:tc>
        <w:tc>
          <w:tcPr>
            <w:tcW w:w="1129" w:type="pct"/>
            <w:tcBorders>
              <w:tl2br w:val="nil"/>
              <w:tr2bl w:val="nil"/>
            </w:tcBorders>
            <w:shd w:val="clear" w:color="auto" w:fill="auto"/>
            <w:vAlign w:val="center"/>
          </w:tcPr>
          <w:p w14:paraId="315D918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0.0993</w:t>
            </w:r>
          </w:p>
        </w:tc>
        <w:tc>
          <w:tcPr>
            <w:tcW w:w="1129" w:type="pct"/>
            <w:tcBorders>
              <w:tl2br w:val="nil"/>
              <w:tr2bl w:val="nil"/>
            </w:tcBorders>
            <w:shd w:val="clear" w:color="auto" w:fill="auto"/>
            <w:vAlign w:val="center"/>
          </w:tcPr>
          <w:p w14:paraId="038B694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2.346</w:t>
            </w:r>
          </w:p>
        </w:tc>
      </w:tr>
      <w:tr w14:paraId="352EBE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0CF70AFC">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B2051F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437047A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245.33</w:t>
            </w:r>
          </w:p>
        </w:tc>
        <w:tc>
          <w:tcPr>
            <w:tcW w:w="1129" w:type="pct"/>
            <w:tcBorders>
              <w:tl2br w:val="nil"/>
              <w:tr2bl w:val="nil"/>
            </w:tcBorders>
            <w:shd w:val="clear" w:color="auto" w:fill="auto"/>
            <w:vAlign w:val="center"/>
          </w:tcPr>
          <w:p w14:paraId="5492C1F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4.2333</w:t>
            </w:r>
          </w:p>
        </w:tc>
        <w:tc>
          <w:tcPr>
            <w:tcW w:w="1129" w:type="pct"/>
            <w:tcBorders>
              <w:tl2br w:val="nil"/>
              <w:tr2bl w:val="nil"/>
            </w:tcBorders>
            <w:shd w:val="clear" w:color="auto" w:fill="auto"/>
            <w:vAlign w:val="center"/>
          </w:tcPr>
          <w:p w14:paraId="7C84C24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4351C2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3" w:hRule="atLeast"/>
        </w:trPr>
        <w:tc>
          <w:tcPr>
            <w:tcW w:w="1827" w:type="pct"/>
            <w:gridSpan w:val="2"/>
            <w:tcBorders>
              <w:tl2br w:val="nil"/>
              <w:tr2bl w:val="nil"/>
            </w:tcBorders>
            <w:shd w:val="clear" w:color="auto" w:fill="auto"/>
            <w:vAlign w:val="center"/>
          </w:tcPr>
          <w:p w14:paraId="76022B5F">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4#离子</w:t>
            </w:r>
          </w:p>
        </w:tc>
        <w:tc>
          <w:tcPr>
            <w:tcW w:w="913" w:type="pct"/>
            <w:tcBorders>
              <w:tl2br w:val="nil"/>
              <w:tr2bl w:val="nil"/>
            </w:tcBorders>
            <w:shd w:val="clear" w:color="auto" w:fill="auto"/>
            <w:vAlign w:val="center"/>
          </w:tcPr>
          <w:p w14:paraId="47C21D9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53561B7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6DA446ED">
            <w:pPr>
              <w:widowControl w:val="0"/>
              <w:jc w:val="center"/>
              <w:rPr>
                <w:rFonts w:hint="default" w:ascii="Times New Roman" w:hAnsi="Times New Roman" w:eastAsia="宋体" w:cs="Times New Roman"/>
                <w:i w:val="0"/>
                <w:iCs w:val="0"/>
                <w:color w:val="000000"/>
                <w:kern w:val="2"/>
                <w:sz w:val="21"/>
                <w:szCs w:val="21"/>
                <w:highlight w:val="none"/>
                <w:u w:val="none"/>
              </w:rPr>
            </w:pPr>
          </w:p>
        </w:tc>
      </w:tr>
      <w:tr w14:paraId="49C708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restart"/>
            <w:tcBorders>
              <w:tl2br w:val="nil"/>
              <w:tr2bl w:val="nil"/>
            </w:tcBorders>
            <w:shd w:val="clear" w:color="auto" w:fill="auto"/>
            <w:vAlign w:val="center"/>
          </w:tcPr>
          <w:p w14:paraId="4B1F487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阳离子</w:t>
            </w:r>
          </w:p>
        </w:tc>
        <w:tc>
          <w:tcPr>
            <w:tcW w:w="914" w:type="pct"/>
            <w:tcBorders>
              <w:tl2br w:val="nil"/>
              <w:tr2bl w:val="nil"/>
            </w:tcBorders>
            <w:shd w:val="clear" w:color="auto" w:fill="auto"/>
            <w:vAlign w:val="center"/>
          </w:tcPr>
          <w:p w14:paraId="6D8A4DB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K</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0E6A149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0.336</w:t>
            </w:r>
          </w:p>
        </w:tc>
        <w:tc>
          <w:tcPr>
            <w:tcW w:w="1129" w:type="pct"/>
            <w:tcBorders>
              <w:tl2br w:val="nil"/>
              <w:tr2bl w:val="nil"/>
            </w:tcBorders>
            <w:shd w:val="clear" w:color="auto" w:fill="auto"/>
            <w:vAlign w:val="center"/>
          </w:tcPr>
          <w:p w14:paraId="18E905D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0.00862</w:t>
            </w:r>
          </w:p>
        </w:tc>
        <w:tc>
          <w:tcPr>
            <w:tcW w:w="1129" w:type="pct"/>
            <w:tcBorders>
              <w:tl2br w:val="nil"/>
              <w:tr2bl w:val="nil"/>
            </w:tcBorders>
            <w:shd w:val="clear" w:color="auto" w:fill="auto"/>
            <w:vAlign w:val="center"/>
          </w:tcPr>
          <w:p w14:paraId="2A7646F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0.336</w:t>
            </w:r>
          </w:p>
        </w:tc>
      </w:tr>
      <w:tr w14:paraId="166277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913" w:type="pct"/>
            <w:vMerge w:val="continue"/>
            <w:tcBorders>
              <w:tl2br w:val="nil"/>
              <w:tr2bl w:val="nil"/>
            </w:tcBorders>
            <w:shd w:val="clear" w:color="auto" w:fill="auto"/>
            <w:vAlign w:val="center"/>
          </w:tcPr>
          <w:p w14:paraId="4379415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2396EF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Na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55F9E05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24.3</w:t>
            </w:r>
          </w:p>
        </w:tc>
        <w:tc>
          <w:tcPr>
            <w:tcW w:w="1129" w:type="pct"/>
            <w:tcBorders>
              <w:tl2br w:val="nil"/>
              <w:tr2bl w:val="nil"/>
            </w:tcBorders>
            <w:shd w:val="clear" w:color="auto" w:fill="auto"/>
            <w:vAlign w:val="center"/>
          </w:tcPr>
          <w:p w14:paraId="6F4FAD9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1.057</w:t>
            </w:r>
          </w:p>
        </w:tc>
        <w:tc>
          <w:tcPr>
            <w:tcW w:w="1129" w:type="pct"/>
            <w:tcBorders>
              <w:tl2br w:val="nil"/>
              <w:tr2bl w:val="nil"/>
            </w:tcBorders>
            <w:shd w:val="clear" w:color="auto" w:fill="auto"/>
            <w:vAlign w:val="center"/>
          </w:tcPr>
          <w:p w14:paraId="4F0E7C9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41.167</w:t>
            </w:r>
          </w:p>
        </w:tc>
      </w:tr>
      <w:tr w14:paraId="609533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9645B0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19FE0D8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54FC5BF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42.4</w:t>
            </w:r>
          </w:p>
        </w:tc>
        <w:tc>
          <w:tcPr>
            <w:tcW w:w="1129" w:type="pct"/>
            <w:tcBorders>
              <w:tl2br w:val="nil"/>
              <w:tr2bl w:val="nil"/>
            </w:tcBorders>
            <w:shd w:val="clear" w:color="auto" w:fill="auto"/>
            <w:vAlign w:val="center"/>
          </w:tcPr>
          <w:p w14:paraId="1CC25C6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1.06</w:t>
            </w:r>
          </w:p>
        </w:tc>
        <w:tc>
          <w:tcPr>
            <w:tcW w:w="1129" w:type="pct"/>
            <w:tcBorders>
              <w:tl2br w:val="nil"/>
              <w:tr2bl w:val="nil"/>
            </w:tcBorders>
            <w:shd w:val="clear" w:color="auto" w:fill="auto"/>
            <w:vAlign w:val="center"/>
          </w:tcPr>
          <w:p w14:paraId="36846A6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41.283</w:t>
            </w:r>
          </w:p>
        </w:tc>
      </w:tr>
      <w:tr w14:paraId="4AAC3F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21DA5A6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03DE2D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4C58842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10.6</w:t>
            </w:r>
          </w:p>
        </w:tc>
        <w:tc>
          <w:tcPr>
            <w:tcW w:w="1129" w:type="pct"/>
            <w:tcBorders>
              <w:tl2br w:val="nil"/>
              <w:tr2bl w:val="nil"/>
            </w:tcBorders>
            <w:shd w:val="clear" w:color="auto" w:fill="auto"/>
            <w:vAlign w:val="center"/>
          </w:tcPr>
          <w:p w14:paraId="15C8054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0.442</w:t>
            </w:r>
          </w:p>
        </w:tc>
        <w:tc>
          <w:tcPr>
            <w:tcW w:w="1129" w:type="pct"/>
            <w:tcBorders>
              <w:tl2br w:val="nil"/>
              <w:tr2bl w:val="nil"/>
            </w:tcBorders>
            <w:shd w:val="clear" w:color="auto" w:fill="auto"/>
            <w:vAlign w:val="center"/>
          </w:tcPr>
          <w:p w14:paraId="1D3CC58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17.214</w:t>
            </w:r>
          </w:p>
        </w:tc>
      </w:tr>
      <w:tr w14:paraId="5222BB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30DC1BB">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A506DE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5C07E177">
            <w:pPr>
              <w:widowControl w:val="0"/>
              <w:jc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77.636</w:t>
            </w:r>
          </w:p>
        </w:tc>
        <w:tc>
          <w:tcPr>
            <w:tcW w:w="1129" w:type="pct"/>
            <w:tcBorders>
              <w:tl2br w:val="nil"/>
              <w:tr2bl w:val="nil"/>
            </w:tcBorders>
            <w:shd w:val="clear" w:color="auto" w:fill="auto"/>
            <w:vAlign w:val="center"/>
          </w:tcPr>
          <w:p w14:paraId="249B1D4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2.56762</w:t>
            </w:r>
          </w:p>
        </w:tc>
        <w:tc>
          <w:tcPr>
            <w:tcW w:w="1129" w:type="pct"/>
            <w:tcBorders>
              <w:tl2br w:val="nil"/>
              <w:tr2bl w:val="nil"/>
            </w:tcBorders>
            <w:shd w:val="clear" w:color="auto" w:fill="auto"/>
            <w:vAlign w:val="center"/>
          </w:tcPr>
          <w:p w14:paraId="1D6ED5E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143678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913" w:type="pct"/>
            <w:vMerge w:val="restart"/>
            <w:tcBorders>
              <w:tl2br w:val="nil"/>
              <w:tr2bl w:val="nil"/>
            </w:tcBorders>
            <w:shd w:val="clear" w:color="auto" w:fill="auto"/>
            <w:vAlign w:val="center"/>
          </w:tcPr>
          <w:p w14:paraId="4168D93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阴离子</w:t>
            </w:r>
          </w:p>
        </w:tc>
        <w:tc>
          <w:tcPr>
            <w:tcW w:w="914" w:type="pct"/>
            <w:tcBorders>
              <w:tl2br w:val="nil"/>
              <w:tr2bl w:val="nil"/>
            </w:tcBorders>
            <w:shd w:val="clear" w:color="auto" w:fill="auto"/>
            <w:vAlign w:val="center"/>
          </w:tcPr>
          <w:p w14:paraId="754C235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106997B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208</w:t>
            </w:r>
          </w:p>
        </w:tc>
        <w:tc>
          <w:tcPr>
            <w:tcW w:w="1129" w:type="pct"/>
            <w:tcBorders>
              <w:tl2br w:val="nil"/>
              <w:tr2bl w:val="nil"/>
            </w:tcBorders>
            <w:shd w:val="clear" w:color="auto" w:fill="auto"/>
            <w:vAlign w:val="center"/>
          </w:tcPr>
          <w:p w14:paraId="70A4743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3.410</w:t>
            </w:r>
          </w:p>
        </w:tc>
        <w:tc>
          <w:tcPr>
            <w:tcW w:w="1129" w:type="pct"/>
            <w:tcBorders>
              <w:tl2br w:val="nil"/>
              <w:tr2bl w:val="nil"/>
            </w:tcBorders>
            <w:shd w:val="clear" w:color="auto" w:fill="auto"/>
            <w:vAlign w:val="center"/>
          </w:tcPr>
          <w:p w14:paraId="5C51352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97.342</w:t>
            </w:r>
          </w:p>
        </w:tc>
      </w:tr>
      <w:tr w14:paraId="7E402E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2A96C18">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A89606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Cl</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6BA5CAC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2.81</w:t>
            </w:r>
          </w:p>
        </w:tc>
        <w:tc>
          <w:tcPr>
            <w:tcW w:w="1129" w:type="pct"/>
            <w:tcBorders>
              <w:tl2br w:val="nil"/>
              <w:tr2bl w:val="nil"/>
            </w:tcBorders>
            <w:shd w:val="clear" w:color="auto" w:fill="auto"/>
            <w:vAlign w:val="center"/>
          </w:tcPr>
          <w:p w14:paraId="5A66620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0.0792</w:t>
            </w:r>
          </w:p>
        </w:tc>
        <w:tc>
          <w:tcPr>
            <w:tcW w:w="1129" w:type="pct"/>
            <w:tcBorders>
              <w:tl2br w:val="nil"/>
              <w:tr2bl w:val="nil"/>
            </w:tcBorders>
            <w:shd w:val="clear" w:color="auto" w:fill="auto"/>
            <w:vAlign w:val="center"/>
          </w:tcPr>
          <w:p w14:paraId="67F5D33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2.261</w:t>
            </w:r>
          </w:p>
        </w:tc>
      </w:tr>
      <w:tr w14:paraId="42E155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913" w:type="pct"/>
            <w:vMerge w:val="continue"/>
            <w:tcBorders>
              <w:tl2br w:val="nil"/>
              <w:tr2bl w:val="nil"/>
            </w:tcBorders>
            <w:shd w:val="clear" w:color="auto" w:fill="auto"/>
            <w:vAlign w:val="center"/>
          </w:tcPr>
          <w:p w14:paraId="76640C8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B9DE0D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20C4BB6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1.33</w:t>
            </w:r>
          </w:p>
        </w:tc>
        <w:tc>
          <w:tcPr>
            <w:tcW w:w="1129" w:type="pct"/>
            <w:tcBorders>
              <w:tl2br w:val="nil"/>
              <w:tr2bl w:val="nil"/>
            </w:tcBorders>
            <w:shd w:val="clear" w:color="auto" w:fill="auto"/>
            <w:vAlign w:val="center"/>
          </w:tcPr>
          <w:p w14:paraId="1F70300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0.0139</w:t>
            </w:r>
          </w:p>
        </w:tc>
        <w:tc>
          <w:tcPr>
            <w:tcW w:w="1129" w:type="pct"/>
            <w:tcBorders>
              <w:tl2br w:val="nil"/>
              <w:tr2bl w:val="nil"/>
            </w:tcBorders>
            <w:shd w:val="clear" w:color="auto" w:fill="auto"/>
            <w:vAlign w:val="center"/>
          </w:tcPr>
          <w:p w14:paraId="29F0BB7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0.397</w:t>
            </w:r>
          </w:p>
        </w:tc>
      </w:tr>
      <w:tr w14:paraId="106301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209846B7">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889F6A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2EE59EF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212.14</w:t>
            </w:r>
          </w:p>
        </w:tc>
        <w:tc>
          <w:tcPr>
            <w:tcW w:w="1129" w:type="pct"/>
            <w:tcBorders>
              <w:tl2br w:val="nil"/>
              <w:tr2bl w:val="nil"/>
            </w:tcBorders>
            <w:shd w:val="clear" w:color="auto" w:fill="auto"/>
            <w:vAlign w:val="center"/>
          </w:tcPr>
          <w:p w14:paraId="0F1B4EE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3.5031</w:t>
            </w:r>
          </w:p>
        </w:tc>
        <w:tc>
          <w:tcPr>
            <w:tcW w:w="1129" w:type="pct"/>
            <w:tcBorders>
              <w:tl2br w:val="nil"/>
              <w:tr2bl w:val="nil"/>
            </w:tcBorders>
            <w:shd w:val="clear" w:color="auto" w:fill="auto"/>
            <w:vAlign w:val="center"/>
          </w:tcPr>
          <w:p w14:paraId="2D8D4D0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bl>
    <w:p w14:paraId="47A668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lang w:eastAsia="zh-CN"/>
        </w:rPr>
        <w:t>1#</w:t>
      </w:r>
      <w:r>
        <w:rPr>
          <w:rFonts w:hint="default" w:ascii="Times New Roman" w:hAnsi="Times New Roman" w:eastAsia="宋体" w:cs="Times New Roman"/>
          <w:color w:val="auto"/>
          <w:kern w:val="2"/>
          <w:sz w:val="24"/>
          <w:highlight w:val="none"/>
        </w:rPr>
        <w:t>水质矿化度计算过程：</w:t>
      </w:r>
    </w:p>
    <w:p w14:paraId="1A9FBB95">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jc w:val="both"/>
        <w:textAlignment w:val="auto"/>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rPr>
        <w:t>应先将阴离子的mg/L数换算成mmol/L数。它们的摩尔质量—mg/mmol数分别采用：M（</w:t>
      </w:r>
      <m:oMath>
        <m:f>
          <m:fPr>
            <m:type m:val="skw"/>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highlight w:val="none"/>
              </w:rPr>
              <m:t>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den>
        </m:f>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CO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3</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sup>
        </m:sSubSup>
      </m:oMath>
      <w:r>
        <w:rPr>
          <w:rFonts w:hint="default" w:ascii="Times New Roman" w:hAnsi="Times New Roman" w:eastAsia="宋体" w:cs="Times New Roman"/>
          <w:color w:val="auto"/>
          <w:kern w:val="2"/>
          <w:sz w:val="24"/>
          <w:highlight w:val="none"/>
        </w:rPr>
        <w:t>）是30，M（</w:t>
      </w:r>
      <m:oMath>
        <m:r>
          <m:rPr>
            <m:sty m:val="p"/>
          </m:rPr>
          <w:rPr>
            <w:rFonts w:hint="default" w:ascii="Cambria Math" w:hAnsi="Cambria Math" w:cs="Times New Roman"/>
            <w:color w:val="auto"/>
            <w:highlight w:val="none"/>
          </w:rPr>
          <m:t>H</m:t>
        </m:r>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CO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3</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m:t>
            </m:r>
            <m:ctrlPr>
              <w:rPr>
                <w:rFonts w:hint="default" w:ascii="Cambria Math" w:hAnsi="Cambria Math" w:cs="Times New Roman"/>
                <w:color w:val="auto"/>
                <w:sz w:val="24"/>
                <w:highlight w:val="none"/>
              </w:rPr>
            </m:ctrlPr>
          </m:sup>
        </m:sSubSup>
      </m:oMath>
      <w:r>
        <w:rPr>
          <w:rFonts w:hint="default" w:ascii="Times New Roman" w:hAnsi="Times New Roman" w:eastAsia="宋体" w:cs="Times New Roman"/>
          <w:color w:val="auto"/>
          <w:kern w:val="2"/>
          <w:sz w:val="24"/>
          <w:highlight w:val="none"/>
        </w:rPr>
        <w:t>）是61，M（Cl</w:t>
      </w:r>
      <w:r>
        <w:rPr>
          <w:rFonts w:hint="default" w:ascii="Times New Roman" w:hAnsi="Times New Roman" w:eastAsia="宋体" w:cs="Times New Roman"/>
          <w:color w:val="auto"/>
          <w:kern w:val="2"/>
          <w:sz w:val="24"/>
          <w:highlight w:val="none"/>
          <w:vertAlign w:val="superscript"/>
        </w:rPr>
        <w:t>-</w:t>
      </w:r>
      <w:r>
        <w:rPr>
          <w:rFonts w:hint="default" w:ascii="Times New Roman" w:hAnsi="Times New Roman" w:eastAsia="宋体" w:cs="Times New Roman"/>
          <w:color w:val="auto"/>
          <w:kern w:val="2"/>
          <w:sz w:val="24"/>
          <w:highlight w:val="none"/>
        </w:rPr>
        <w:t>）是35.5，M（</w:t>
      </w:r>
      <m:oMath>
        <m:f>
          <m:fPr>
            <m:type m:val="skw"/>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highlight w:val="none"/>
              </w:rPr>
              <m:t>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den>
        </m:f>
        <m:r>
          <m:rPr>
            <m:sty m:val="p"/>
          </m:rPr>
          <w:rPr>
            <w:rFonts w:hint="default" w:ascii="Cambria Math" w:hAnsi="Cambria Math" w:cs="Times New Roman"/>
            <w:color w:val="auto"/>
            <w:highlight w:val="none"/>
          </w:rPr>
          <m:t>H</m:t>
        </m:r>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SO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4</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sup>
        </m:sSubSup>
      </m:oMath>
      <w:r>
        <w:rPr>
          <w:rFonts w:hint="default" w:ascii="Times New Roman" w:hAnsi="Times New Roman" w:eastAsia="宋体" w:cs="Times New Roman"/>
          <w:color w:val="auto"/>
          <w:kern w:val="2"/>
          <w:sz w:val="24"/>
          <w:highlight w:val="none"/>
        </w:rPr>
        <w:t>）是48。</w:t>
      </w:r>
    </w:p>
    <w:p w14:paraId="3D419ED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所以，C（</w:t>
      </w:r>
      <m:oMath>
        <m:r>
          <m:rPr>
            <m:sty m:val="p"/>
          </m:rPr>
          <w:rPr>
            <w:rFonts w:ascii="Cambria Math"/>
            <w:color w:val="auto"/>
            <w:highlight w:val="none"/>
          </w:rPr>
          <m:t>H</m:t>
        </m:r>
        <m:sSubSup>
          <m:sSubSupPr>
            <m:ctrlPr>
              <w:rPr>
                <w:rFonts w:ascii="Cambria Math" w:hAnsi="Cambria Math"/>
                <w:color w:val="auto"/>
                <w:sz w:val="24"/>
                <w:highlight w:val="none"/>
              </w:rPr>
            </m:ctrlPr>
          </m:sSubSupPr>
          <m:e>
            <m:r>
              <m:rPr>
                <m:sty m:val="p"/>
              </m:rPr>
              <w:rPr>
                <w:rFonts w:ascii="Cambria Math"/>
                <w:color w:val="auto"/>
                <w:highlight w:val="none"/>
              </w:rPr>
              <m:t>CO</m:t>
            </m:r>
            <m:ctrlPr>
              <w:rPr>
                <w:rFonts w:ascii="Cambria Math" w:hAnsi="Cambria Math"/>
                <w:color w:val="auto"/>
                <w:sz w:val="24"/>
                <w:highlight w:val="none"/>
              </w:rPr>
            </m:ctrlPr>
          </m:e>
          <m:sub>
            <m:r>
              <m:rPr>
                <m:sty m:val="p"/>
              </m:rPr>
              <w:rPr>
                <w:rFonts w:ascii="Cambria Math"/>
                <w:color w:val="auto"/>
                <w:highlight w:val="none"/>
              </w:rPr>
              <m:t>3</m:t>
            </m:r>
            <m:ctrlPr>
              <w:rPr>
                <w:rFonts w:ascii="Cambria Math" w:hAnsi="Cambria Math"/>
                <w:color w:val="auto"/>
                <w:sz w:val="24"/>
                <w:highlight w:val="none"/>
              </w:rPr>
            </m:ctrlPr>
          </m:sub>
          <m:sup>
            <m:r>
              <m:rPr>
                <m:sty m:val="p"/>
              </m:rPr>
              <w:rPr>
                <w:rFonts w:ascii="Cambria Math" w:hAnsi="Cambria Math"/>
                <w:color w:val="auto"/>
                <w:highlight w:val="none"/>
              </w:rPr>
              <m:t>−</m:t>
            </m:r>
            <m:ctrlPr>
              <w:rPr>
                <w:rFonts w:ascii="Cambria Math" w:hAnsi="Cambria Math"/>
                <w:color w:val="auto"/>
                <w:sz w:val="24"/>
                <w:highlight w:val="none"/>
              </w:rPr>
            </m:ctrlPr>
          </m:sup>
        </m:sSubSup>
      </m:oMath>
      <w:r>
        <w:rPr>
          <w:rFonts w:ascii="Times New Roman" w:hAnsi="Times New Roman" w:eastAsia="宋体" w:cs="Times New Roman"/>
          <w:color w:val="auto"/>
          <w:kern w:val="2"/>
          <w:sz w:val="24"/>
          <w:highlight w:val="none"/>
        </w:rPr>
        <w:t>）=</w:t>
      </w:r>
      <w:r>
        <w:rPr>
          <w:rFonts w:ascii="Times New Roman" w:hAnsi="Times New Roman" w:eastAsia="宋体" w:cs="Times New Roman"/>
          <w:color w:val="auto"/>
          <w:kern w:val="2"/>
          <w:sz w:val="24"/>
          <w:highlight w:val="none"/>
        </w:rPr>
        <w:softHyphen/>
      </w:r>
      <w:r>
        <w:rPr>
          <w:rFonts w:hint="eastAsia" w:ascii="Times New Roman" w:hAnsi="Times New Roman" w:eastAsia="宋体" w:cs="Times New Roman"/>
          <w:color w:val="auto"/>
          <w:kern w:val="2"/>
          <w:sz w:val="24"/>
          <w:highlight w:val="none"/>
          <w:lang w:val="en-US" w:eastAsia="zh-CN"/>
        </w:rPr>
        <w:t>265/61</w:t>
      </w:r>
      <w:r>
        <w:rPr>
          <w:rFonts w:ascii="Times New Roman" w:hAnsi="Times New Roman" w:eastAsia="宋体" w:cs="Times New Roman"/>
          <w:color w:val="auto"/>
          <w:kern w:val="2"/>
          <w:sz w:val="24"/>
          <w:highlight w:val="none"/>
        </w:rPr>
        <w:fldChar w:fldCharType="begin"/>
      </w:r>
      <w:r>
        <w:rPr>
          <w:rFonts w:ascii="Times New Roman" w:hAnsi="Times New Roman" w:eastAsia="宋体" w:cs="Times New Roman"/>
          <w:color w:val="auto"/>
          <w:kern w:val="2"/>
          <w:sz w:val="24"/>
          <w:highlight w:val="none"/>
        </w:rPr>
        <w:instrText xml:space="preserve"> QUOTE </w:instrText>
      </w:r>
      <m:oMath>
        <m:f>
          <m:fPr>
            <m:ctrlPr>
              <w:rPr>
                <w:rFonts w:ascii="Cambria Math" w:hAnsi="Cambria Math"/>
                <w:color w:val="auto"/>
                <w:sz w:val="24"/>
                <w:highlight w:val="none"/>
              </w:rPr>
            </m:ctrlPr>
          </m:fPr>
          <m:num>
            <m:r>
              <m:rPr>
                <m:sty m:val="p"/>
              </m:rPr>
              <w:rPr>
                <w:rFonts w:ascii="Cambria Math"/>
                <w:color w:val="auto"/>
                <w:highlight w:val="none"/>
              </w:rPr>
              <m:t xml:space="preserve">231</m:t>
            </m:r>
            <m:ctrlPr>
              <w:rPr>
                <w:rFonts w:ascii="Cambria Math" w:hAnsi="Cambria Math"/>
                <w:color w:val="auto"/>
                <w:sz w:val="24"/>
                <w:highlight w:val="none"/>
              </w:rPr>
            </m:ctrlPr>
          </m:num>
          <m:den>
            <m:r>
              <m:rPr>
                <m:sty m:val="p"/>
              </m:rPr>
              <w:rPr>
                <w:rFonts w:ascii="Cambria Math"/>
                <w:color w:val="auto"/>
                <w:highlight w:val="none"/>
              </w:rPr>
              <m:t xml:space="preserve">61</m:t>
            </m:r>
            <m:ctrlPr>
              <w:rPr>
                <w:rFonts w:ascii="Cambria Math" w:hAnsi="Cambria Math"/>
                <w:color w:val="auto"/>
                <w:sz w:val="24"/>
                <w:highlight w:val="none"/>
              </w:rPr>
            </m:ctrlPr>
          </m:den>
        </m:f>
      </m:oMath>
      <w:r>
        <w:rPr>
          <w:rFonts w:ascii="Times New Roman" w:hAnsi="Times New Roman" w:eastAsia="宋体" w:cs="Times New Roman"/>
          <w:color w:val="auto"/>
          <w:kern w:val="2"/>
          <w:sz w:val="24"/>
          <w:highlight w:val="none"/>
        </w:rPr>
        <w:fldChar w:fldCharType="end"/>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4.344</w:t>
      </w:r>
    </w:p>
    <w:p w14:paraId="4AE4A0E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C（Cl</w:t>
      </w:r>
      <w:r>
        <w:rPr>
          <w:rFonts w:ascii="Times New Roman" w:hAnsi="Times New Roman" w:eastAsia="宋体" w:cs="Times New Roman"/>
          <w:color w:val="auto"/>
          <w:kern w:val="2"/>
          <w:sz w:val="24"/>
          <w:highlight w:val="none"/>
          <w:vertAlign w:val="superscript"/>
        </w:rPr>
        <w:t>-</w:t>
      </w:r>
      <w:r>
        <w:rPr>
          <w:rFonts w:ascii="Times New Roman" w:hAnsi="Times New Roman" w:eastAsia="宋体" w:cs="Times New Roman"/>
          <w:color w:val="auto"/>
          <w:kern w:val="2"/>
          <w:sz w:val="24"/>
          <w:highlight w:val="none"/>
        </w:rPr>
        <w:t>）=</w:t>
      </w:r>
      <w:r>
        <w:rPr>
          <w:rFonts w:hint="default" w:ascii="Times New Roman" w:hAnsi="Times New Roman" w:eastAsia="宋体" w:cs="Times New Roman"/>
          <w:color w:val="auto"/>
          <w:kern w:val="2"/>
          <w:sz w:val="24"/>
          <w:highlight w:val="none"/>
          <w:lang w:val="en-US" w:eastAsia="zh-CN"/>
        </w:rPr>
        <w:t>5.64</w:t>
      </w:r>
      <w:r>
        <w:rPr>
          <w:rFonts w:hint="eastAsia" w:ascii="Times New Roman" w:hAnsi="Times New Roman" w:eastAsia="宋体" w:cs="Times New Roman"/>
          <w:color w:val="auto"/>
          <w:kern w:val="2"/>
          <w:sz w:val="24"/>
          <w:highlight w:val="none"/>
          <w:lang w:val="en-US" w:eastAsia="zh-CN"/>
        </w:rPr>
        <w:t>/35.5</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0.159</w:t>
      </w:r>
    </w:p>
    <w:p w14:paraId="1896763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C（</w:t>
      </w:r>
      <m:oMath>
        <m:f>
          <m:fPr>
            <m:type m:val="skw"/>
            <m:ctrlPr>
              <w:rPr>
                <w:rFonts w:ascii="Cambria Math" w:hAnsi="Cambria Math"/>
                <w:color w:val="auto"/>
                <w:sz w:val="24"/>
                <w:highlight w:val="none"/>
              </w:rPr>
            </m:ctrlPr>
          </m:fPr>
          <m:num>
            <m:r>
              <m:rPr>
                <m:sty m:val="p"/>
              </m:rPr>
              <w:rPr>
                <w:rFonts w:ascii="Cambria Math"/>
                <w:color w:val="auto"/>
                <w:highlight w:val="none"/>
              </w:rPr>
              <m:t>1</m:t>
            </m:r>
            <m:ctrlPr>
              <w:rPr>
                <w:rFonts w:ascii="Cambria Math" w:hAnsi="Cambria Math"/>
                <w:color w:val="auto"/>
                <w:sz w:val="24"/>
                <w:highlight w:val="none"/>
              </w:rPr>
            </m:ctrlPr>
          </m:num>
          <m:den>
            <m:r>
              <m:rPr>
                <m:sty m:val="p"/>
              </m:rPr>
              <w:rPr>
                <w:rFonts w:ascii="Cambria Math"/>
                <w:color w:val="auto"/>
                <w:highlight w:val="none"/>
              </w:rPr>
              <m:t>2</m:t>
            </m:r>
            <m:ctrlPr>
              <w:rPr>
                <w:rFonts w:ascii="Cambria Math" w:hAnsi="Cambria Math"/>
                <w:color w:val="auto"/>
                <w:sz w:val="24"/>
                <w:highlight w:val="none"/>
              </w:rPr>
            </m:ctrlPr>
          </m:den>
        </m:f>
        <m:sSubSup>
          <m:sSubSupPr>
            <m:ctrlPr>
              <w:rPr>
                <w:rFonts w:ascii="Cambria Math" w:hAnsi="Cambria Math"/>
                <w:color w:val="auto"/>
                <w:sz w:val="24"/>
                <w:highlight w:val="none"/>
              </w:rPr>
            </m:ctrlPr>
          </m:sSubSupPr>
          <m:e>
            <m:r>
              <m:rPr>
                <m:sty m:val="p"/>
              </m:rPr>
              <w:rPr>
                <w:rFonts w:ascii="Cambria Math"/>
                <w:color w:val="auto"/>
                <w:highlight w:val="none"/>
              </w:rPr>
              <m:t>SO</m:t>
            </m:r>
            <m:ctrlPr>
              <w:rPr>
                <w:rFonts w:ascii="Cambria Math" w:hAnsi="Cambria Math"/>
                <w:color w:val="auto"/>
                <w:sz w:val="24"/>
                <w:highlight w:val="none"/>
              </w:rPr>
            </m:ctrlPr>
          </m:e>
          <m:sub>
            <m:r>
              <m:rPr>
                <m:sty m:val="p"/>
              </m:rPr>
              <w:rPr>
                <w:rFonts w:ascii="Cambria Math"/>
                <w:color w:val="auto"/>
                <w:highlight w:val="none"/>
              </w:rPr>
              <m:t>4</m:t>
            </m:r>
            <m:ctrlPr>
              <w:rPr>
                <w:rFonts w:ascii="Cambria Math" w:hAnsi="Cambria Math"/>
                <w:color w:val="auto"/>
                <w:sz w:val="24"/>
                <w:highlight w:val="none"/>
              </w:rPr>
            </m:ctrlPr>
          </m:sub>
          <m:sup>
            <m:r>
              <m:rPr>
                <m:sty m:val="p"/>
              </m:rPr>
              <w:rPr>
                <w:rFonts w:ascii="Cambria Math"/>
                <w:color w:val="auto"/>
                <w:highlight w:val="none"/>
              </w:rPr>
              <m:t>2</m:t>
            </m:r>
            <m:r>
              <m:rPr>
                <m:sty m:val="p"/>
              </m:rPr>
              <w:rPr>
                <w:rFonts w:ascii="Cambria Math" w:hAnsi="Cambria Math"/>
                <w:color w:val="auto"/>
                <w:highlight w:val="none"/>
              </w:rPr>
              <m:t>−</m:t>
            </m:r>
            <m:ctrlPr>
              <w:rPr>
                <w:rFonts w:ascii="Cambria Math" w:hAnsi="Cambria Math"/>
                <w:color w:val="auto"/>
                <w:sz w:val="24"/>
                <w:highlight w:val="none"/>
              </w:rPr>
            </m:ctrlPr>
          </m:sup>
        </m:sSubSup>
      </m:oMath>
      <w:r>
        <w:rPr>
          <w:rFonts w:ascii="Times New Roman" w:hAnsi="Times New Roman" w:eastAsia="宋体" w:cs="Times New Roman"/>
          <w:color w:val="auto"/>
          <w:kern w:val="2"/>
          <w:sz w:val="24"/>
          <w:highlight w:val="none"/>
        </w:rPr>
        <w:t>）=</w:t>
      </w:r>
      <w:r>
        <w:rPr>
          <w:rFonts w:hint="default" w:ascii="Times New Roman" w:hAnsi="Times New Roman" w:eastAsia="宋体" w:cs="Times New Roman"/>
          <w:color w:val="auto"/>
          <w:kern w:val="2"/>
          <w:sz w:val="24"/>
          <w:highlight w:val="none"/>
          <w:lang w:val="en-US" w:eastAsia="zh-CN"/>
        </w:rPr>
        <w:t>2.13</w:t>
      </w:r>
      <w:r>
        <w:rPr>
          <w:rFonts w:hint="eastAsia" w:ascii="Times New Roman" w:hAnsi="Times New Roman" w:eastAsia="宋体" w:cs="Times New Roman"/>
          <w:color w:val="auto"/>
          <w:kern w:val="2"/>
          <w:sz w:val="24"/>
          <w:highlight w:val="none"/>
          <w:lang w:val="en-US" w:eastAsia="zh-CN"/>
        </w:rPr>
        <w:t>/48</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0.0444</w:t>
      </w:r>
    </w:p>
    <w:p w14:paraId="345E627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则：C（∑A）=</w:t>
      </w:r>
      <w:r>
        <w:rPr>
          <w:rFonts w:hint="eastAsia" w:ascii="Times New Roman" w:hAnsi="Times New Roman" w:eastAsia="宋体" w:cs="Times New Roman"/>
          <w:color w:val="auto"/>
          <w:kern w:val="2"/>
          <w:sz w:val="24"/>
          <w:highlight w:val="none"/>
          <w:lang w:val="en-US" w:eastAsia="zh-CN"/>
        </w:rPr>
        <w:t>4.344</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0.159</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0.0444</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4.5</w:t>
      </w:r>
      <w:r>
        <w:rPr>
          <w:rFonts w:hint="eastAsia" w:ascii="Times New Roman" w:hAnsi="Times New Roman" w:cs="Times New Roman"/>
          <w:color w:val="auto"/>
          <w:kern w:val="2"/>
          <w:sz w:val="24"/>
          <w:highlight w:val="none"/>
          <w:lang w:val="en-US" w:eastAsia="zh-CN"/>
        </w:rPr>
        <w:t>5</w:t>
      </w:r>
    </w:p>
    <w:p w14:paraId="57C5990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SB=</w:t>
      </w:r>
      <w:r>
        <w:rPr>
          <w:rFonts w:hint="eastAsia" w:ascii="Times New Roman" w:hAnsi="Times New Roman" w:eastAsia="宋体" w:cs="Times New Roman"/>
          <w:color w:val="auto"/>
          <w:kern w:val="2"/>
          <w:sz w:val="24"/>
          <w:highlight w:val="none"/>
          <w:lang w:val="en-US" w:eastAsia="zh-CN"/>
        </w:rPr>
        <w:t>0.0444/4.5</w:t>
      </w:r>
      <w:r>
        <w:rPr>
          <w:rFonts w:hint="eastAsia" w:ascii="Times New Roman" w:hAnsi="Times New Roman" w:cs="Times New Roman"/>
          <w:color w:val="auto"/>
          <w:kern w:val="2"/>
          <w:sz w:val="24"/>
          <w:highlight w:val="none"/>
          <w:lang w:val="en-US" w:eastAsia="zh-CN"/>
        </w:rPr>
        <w:t>5</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0.0097</w:t>
      </w:r>
      <w:r>
        <w:rPr>
          <w:rFonts w:hint="eastAsia" w:ascii="Times New Roman" w:hAnsi="Times New Roman" w:cs="Times New Roman"/>
          <w:color w:val="auto"/>
          <w:kern w:val="2"/>
          <w:sz w:val="24"/>
          <w:highlight w:val="none"/>
          <w:lang w:val="en-US" w:eastAsia="zh-CN"/>
        </w:rPr>
        <w:t>6</w:t>
      </w:r>
    </w:p>
    <w:p w14:paraId="404E453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HCB=</w:t>
      </w:r>
      <w:r>
        <w:rPr>
          <w:rFonts w:hint="eastAsia" w:ascii="Times New Roman" w:hAnsi="Times New Roman" w:eastAsia="宋体" w:cs="Times New Roman"/>
          <w:color w:val="auto"/>
          <w:kern w:val="2"/>
          <w:sz w:val="24"/>
          <w:highlight w:val="none"/>
          <w:lang w:val="en-US" w:eastAsia="zh-CN"/>
        </w:rPr>
        <w:t>4.344/（30+0.159）</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0.144</w:t>
      </w:r>
    </w:p>
    <w:p w14:paraId="7A0A94C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经查表4</w:t>
      </w:r>
      <w:r>
        <w:rPr>
          <w:rFonts w:hint="eastAsia" w:ascii="Times New Roman" w:hAnsi="Times New Roman" w:eastAsia="宋体" w:cs="Times New Roman"/>
          <w:color w:val="auto"/>
          <w:kern w:val="2"/>
          <w:sz w:val="24"/>
          <w:highlight w:val="none"/>
          <w:lang w:val="en-US" w:eastAsia="zh-CN"/>
        </w:rPr>
        <w:t>.2</w:t>
      </w:r>
      <w:r>
        <w:rPr>
          <w:rFonts w:ascii="Times New Roman" w:hAnsi="Times New Roman" w:eastAsia="宋体" w:cs="Times New Roman"/>
          <w:color w:val="auto"/>
          <w:kern w:val="2"/>
          <w:sz w:val="24"/>
          <w:highlight w:val="none"/>
        </w:rPr>
        <w:t>-13得Ms为</w:t>
      </w:r>
      <w:r>
        <w:rPr>
          <w:rFonts w:hint="eastAsia" w:ascii="Times New Roman" w:hAnsi="Times New Roman" w:eastAsia="宋体" w:cs="Times New Roman"/>
          <w:color w:val="auto"/>
          <w:kern w:val="2"/>
          <w:sz w:val="24"/>
          <w:highlight w:val="none"/>
          <w:lang w:val="en-US" w:eastAsia="zh-CN"/>
        </w:rPr>
        <w:t>0.058</w:t>
      </w:r>
    </w:p>
    <w:p w14:paraId="105F65D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矿化度（g/L）=</w:t>
      </w:r>
      <w:r>
        <w:rPr>
          <w:rFonts w:hint="eastAsia" w:ascii="Times New Roman" w:hAnsi="Times New Roman" w:eastAsia="宋体" w:cs="Times New Roman"/>
          <w:color w:val="auto"/>
          <w:kern w:val="2"/>
          <w:sz w:val="24"/>
          <w:highlight w:val="none"/>
          <w:lang w:val="en-US" w:eastAsia="zh-CN"/>
        </w:rPr>
        <w:t>4.5</w:t>
      </w:r>
      <w:r>
        <w:rPr>
          <w:rFonts w:hint="eastAsia" w:ascii="Times New Roman" w:hAnsi="Times New Roman" w:cs="Times New Roman"/>
          <w:color w:val="auto"/>
          <w:kern w:val="2"/>
          <w:sz w:val="24"/>
          <w:highlight w:val="none"/>
          <w:lang w:val="en-US" w:eastAsia="zh-CN"/>
        </w:rPr>
        <w:t>5</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0.058</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0.26</w:t>
      </w:r>
      <w:r>
        <w:rPr>
          <w:rFonts w:hint="eastAsia" w:ascii="Times New Roman" w:hAnsi="Times New Roman" w:cs="Times New Roman"/>
          <w:color w:val="auto"/>
          <w:kern w:val="2"/>
          <w:sz w:val="24"/>
          <w:highlight w:val="none"/>
          <w:lang w:val="en-US" w:eastAsia="zh-CN"/>
        </w:rPr>
        <w:t>4</w:t>
      </w:r>
      <w:r>
        <w:rPr>
          <w:rFonts w:ascii="Times New Roman" w:hAnsi="Times New Roman" w:eastAsia="宋体" w:cs="Times New Roman"/>
          <w:color w:val="auto"/>
          <w:kern w:val="2"/>
          <w:sz w:val="24"/>
          <w:highlight w:val="none"/>
        </w:rPr>
        <w:t>，所以1</w:t>
      </w:r>
      <w:r>
        <w:rPr>
          <w:rFonts w:hint="eastAsia" w:ascii="Times New Roman" w:hAnsi="Times New Roman" w:eastAsia="宋体" w:cs="Times New Roman"/>
          <w:color w:val="auto"/>
          <w:kern w:val="2"/>
          <w:sz w:val="24"/>
          <w:highlight w:val="none"/>
          <w:lang w:val="en-US" w:eastAsia="zh-CN"/>
        </w:rPr>
        <w:t>#</w:t>
      </w:r>
      <w:r>
        <w:rPr>
          <w:rFonts w:ascii="Times New Roman" w:hAnsi="Times New Roman" w:eastAsia="宋体" w:cs="Times New Roman"/>
          <w:color w:val="auto"/>
          <w:kern w:val="2"/>
          <w:sz w:val="24"/>
          <w:highlight w:val="none"/>
        </w:rPr>
        <w:t>矿化度处于A组，其它监测点位参考以上方法计算，水质矿化度计算结果见表4</w:t>
      </w:r>
      <w:r>
        <w:rPr>
          <w:rFonts w:hint="eastAsia" w:ascii="Times New Roman" w:hAnsi="Times New Roman" w:eastAsia="宋体" w:cs="Times New Roman"/>
          <w:color w:val="auto"/>
          <w:kern w:val="2"/>
          <w:sz w:val="24"/>
          <w:highlight w:val="none"/>
          <w:lang w:val="en-US" w:eastAsia="zh-CN"/>
        </w:rPr>
        <w:t>.2</w:t>
      </w:r>
      <w:r>
        <w:rPr>
          <w:rFonts w:ascii="Times New Roman" w:hAnsi="Times New Roman" w:eastAsia="宋体" w:cs="Times New Roman"/>
          <w:color w:val="auto"/>
          <w:kern w:val="2"/>
          <w:sz w:val="24"/>
          <w:highlight w:val="none"/>
        </w:rPr>
        <w:t>-1</w:t>
      </w:r>
      <w:r>
        <w:rPr>
          <w:rFonts w:hint="eastAsia" w:ascii="Times New Roman" w:hAnsi="Times New Roman" w:eastAsia="宋体" w:cs="Times New Roman"/>
          <w:color w:val="auto"/>
          <w:kern w:val="2"/>
          <w:sz w:val="24"/>
          <w:highlight w:val="none"/>
          <w:lang w:val="en-US" w:eastAsia="zh-CN"/>
        </w:rPr>
        <w:t>5</w:t>
      </w:r>
      <w:r>
        <w:rPr>
          <w:rFonts w:ascii="Times New Roman" w:hAnsi="Times New Roman" w:eastAsia="宋体" w:cs="Times New Roman"/>
          <w:color w:val="auto"/>
          <w:kern w:val="2"/>
          <w:sz w:val="24"/>
          <w:highlight w:val="none"/>
        </w:rPr>
        <w:t>。</w:t>
      </w:r>
    </w:p>
    <w:p w14:paraId="316F0F90">
      <w:pPr>
        <w:pStyle w:val="216"/>
        <w:keepNext w:val="0"/>
        <w:keepLines w:val="0"/>
        <w:pageBreakBefore w:val="0"/>
        <w:widowControl/>
        <w:kinsoku/>
        <w:wordWrap/>
        <w:overflowPunct/>
        <w:topLinePunct w:val="0"/>
        <w:autoSpaceDE/>
        <w:autoSpaceDN/>
        <w:bidi w:val="0"/>
        <w:adjustRightInd/>
        <w:snapToGrid/>
        <w:textAlignment w:val="auto"/>
        <w:rPr>
          <w:rFonts w:ascii="Times New Roman" w:hAnsi="Times New Roman" w:eastAsia="宋体" w:cs="Times New Roman"/>
          <w:b/>
          <w:color w:val="auto"/>
          <w:kern w:val="2"/>
          <w:sz w:val="24"/>
          <w:highlight w:val="none"/>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表4.2-15水质矿化度</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3"/>
        <w:gridCol w:w="1703"/>
        <w:gridCol w:w="1703"/>
        <w:gridCol w:w="1703"/>
      </w:tblGrid>
      <w:tr w14:paraId="127F76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tcBorders>
              <w:top w:val="single" w:color="auto" w:sz="12" w:space="0"/>
              <w:left w:val="nil"/>
              <w:bottom w:val="single" w:color="auto" w:sz="4" w:space="0"/>
              <w:right w:val="single" w:color="auto" w:sz="4" w:space="0"/>
              <w:tl2br w:val="single" w:color="000000" w:sz="12" w:space="0"/>
            </w:tcBorders>
            <w:vAlign w:val="center"/>
          </w:tcPr>
          <w:p w14:paraId="131A3CEC">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编号</w:t>
            </w:r>
          </w:p>
          <w:p w14:paraId="2FF0EC10">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项目</w:t>
            </w:r>
          </w:p>
        </w:tc>
        <w:tc>
          <w:tcPr>
            <w:tcW w:w="1000" w:type="pct"/>
            <w:tcBorders>
              <w:top w:val="single" w:color="auto" w:sz="12" w:space="0"/>
              <w:left w:val="single" w:color="auto" w:sz="4" w:space="0"/>
              <w:bottom w:val="single" w:color="auto" w:sz="4" w:space="0"/>
              <w:right w:val="single" w:color="auto" w:sz="4" w:space="0"/>
            </w:tcBorders>
            <w:vAlign w:val="center"/>
          </w:tcPr>
          <w:p w14:paraId="3170626D">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1#</w:t>
            </w:r>
          </w:p>
        </w:tc>
        <w:tc>
          <w:tcPr>
            <w:tcW w:w="1000" w:type="pct"/>
            <w:tcBorders>
              <w:top w:val="single" w:color="auto" w:sz="12" w:space="0"/>
              <w:left w:val="single" w:color="auto" w:sz="4" w:space="0"/>
              <w:bottom w:val="single" w:color="auto" w:sz="4" w:space="0"/>
              <w:right w:val="single" w:color="auto" w:sz="4" w:space="0"/>
            </w:tcBorders>
            <w:vAlign w:val="center"/>
          </w:tcPr>
          <w:p w14:paraId="162D4AA0">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2#</w:t>
            </w:r>
          </w:p>
        </w:tc>
        <w:tc>
          <w:tcPr>
            <w:tcW w:w="1000" w:type="pct"/>
            <w:tcBorders>
              <w:top w:val="single" w:color="auto" w:sz="12" w:space="0"/>
              <w:left w:val="single" w:color="auto" w:sz="4" w:space="0"/>
              <w:bottom w:val="single" w:color="auto" w:sz="4" w:space="0"/>
              <w:right w:val="nil"/>
            </w:tcBorders>
            <w:vAlign w:val="center"/>
          </w:tcPr>
          <w:p w14:paraId="42369D59">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3#</w:t>
            </w:r>
          </w:p>
        </w:tc>
        <w:tc>
          <w:tcPr>
            <w:tcW w:w="1000" w:type="pct"/>
            <w:tcBorders>
              <w:top w:val="single" w:color="auto" w:sz="12" w:space="0"/>
              <w:left w:val="single" w:color="auto" w:sz="4" w:space="0"/>
              <w:bottom w:val="single" w:color="auto" w:sz="4" w:space="0"/>
              <w:right w:val="nil"/>
            </w:tcBorders>
            <w:vAlign w:val="center"/>
          </w:tcPr>
          <w:p w14:paraId="0DD69174">
            <w:pPr>
              <w:widowControl/>
              <w:adjustRightInd w:val="0"/>
              <w:snapToGrid w:val="0"/>
              <w:jc w:val="center"/>
              <w:rPr>
                <w:rFonts w:hint="default"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rPr>
              <w:t>4</w:t>
            </w:r>
            <w:r>
              <w:rPr>
                <w:rFonts w:hint="default" w:ascii="Times New Roman" w:hAnsi="Times New Roman" w:eastAsia="宋体" w:cs="Times New Roman"/>
                <w:color w:val="auto"/>
                <w:kern w:val="2"/>
                <w:sz w:val="21"/>
                <w:szCs w:val="21"/>
                <w:highlight w:val="none"/>
                <w:lang w:eastAsia="zh-CN"/>
              </w:rPr>
              <w:t>#</w:t>
            </w:r>
          </w:p>
        </w:tc>
      </w:tr>
      <w:tr w14:paraId="4E0E38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tcBorders>
              <w:top w:val="single" w:color="auto" w:sz="4" w:space="0"/>
              <w:left w:val="nil"/>
              <w:bottom w:val="single" w:color="auto" w:sz="4" w:space="0"/>
              <w:right w:val="single" w:color="auto" w:sz="4" w:space="0"/>
            </w:tcBorders>
            <w:vAlign w:val="center"/>
          </w:tcPr>
          <w:p w14:paraId="4FC765CC">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矿化度（M）</w:t>
            </w:r>
          </w:p>
        </w:tc>
        <w:tc>
          <w:tcPr>
            <w:tcW w:w="1000" w:type="pct"/>
            <w:tcBorders>
              <w:top w:val="single" w:color="auto" w:sz="4" w:space="0"/>
              <w:left w:val="single" w:color="auto" w:sz="4" w:space="0"/>
              <w:bottom w:val="single" w:color="auto" w:sz="4" w:space="0"/>
              <w:right w:val="single" w:color="auto" w:sz="4" w:space="0"/>
            </w:tcBorders>
            <w:vAlign w:val="center"/>
          </w:tcPr>
          <w:p w14:paraId="7C885A0E">
            <w:pPr>
              <w:widowControl w:val="0"/>
              <w:jc w:val="center"/>
              <w:rPr>
                <w:rFonts w:hint="default" w:ascii="Times New Roman" w:hAnsi="Times New Roman" w:eastAsia="宋体" w:cs="Times New Roman"/>
                <w:color w:val="auto"/>
                <w:kern w:val="0"/>
                <w:sz w:val="21"/>
                <w:highlight w:val="none"/>
                <w:lang w:val="en-US" w:eastAsia="zh-CN"/>
              </w:rPr>
            </w:pPr>
            <w:r>
              <w:rPr>
                <w:rFonts w:hint="eastAsia" w:ascii="Times New Roman" w:hAnsi="Times New Roman" w:eastAsia="宋体" w:cs="Times New Roman"/>
                <w:color w:val="auto"/>
                <w:kern w:val="0"/>
                <w:sz w:val="21"/>
                <w:highlight w:val="none"/>
                <w:lang w:val="en-US" w:eastAsia="zh-CN"/>
              </w:rPr>
              <w:t>0.26</w:t>
            </w:r>
            <w:r>
              <w:rPr>
                <w:rFonts w:hint="eastAsia" w:ascii="Times New Roman" w:hAnsi="Times New Roman" w:cs="Times New Roman"/>
                <w:color w:val="auto"/>
                <w:kern w:val="0"/>
                <w:sz w:val="21"/>
                <w:highlight w:val="none"/>
                <w:lang w:val="en-US" w:eastAsia="zh-CN"/>
              </w:rPr>
              <w:t>4</w:t>
            </w:r>
          </w:p>
        </w:tc>
        <w:tc>
          <w:tcPr>
            <w:tcW w:w="1000" w:type="pct"/>
            <w:tcBorders>
              <w:top w:val="single" w:color="auto" w:sz="4" w:space="0"/>
              <w:left w:val="single" w:color="auto" w:sz="4" w:space="0"/>
              <w:bottom w:val="single" w:color="auto" w:sz="4" w:space="0"/>
              <w:right w:val="single" w:color="auto" w:sz="4" w:space="0"/>
            </w:tcBorders>
            <w:vAlign w:val="center"/>
          </w:tcPr>
          <w:p w14:paraId="4E862A80">
            <w:pPr>
              <w:widowControl w:val="0"/>
              <w:jc w:val="center"/>
              <w:rPr>
                <w:rFonts w:hint="default" w:ascii="Times New Roman" w:hAnsi="Times New Roman" w:eastAsia="宋体" w:cs="Times New Roman"/>
                <w:color w:val="auto"/>
                <w:kern w:val="0"/>
                <w:sz w:val="21"/>
                <w:highlight w:val="none"/>
                <w:lang w:val="en-US" w:eastAsia="zh-CN"/>
              </w:rPr>
            </w:pPr>
            <w:r>
              <w:rPr>
                <w:rFonts w:hint="eastAsia" w:ascii="Times New Roman" w:hAnsi="Times New Roman" w:cs="Times New Roman"/>
                <w:color w:val="auto"/>
                <w:kern w:val="0"/>
                <w:sz w:val="21"/>
                <w:highlight w:val="none"/>
                <w:lang w:val="en-US" w:eastAsia="zh-CN"/>
              </w:rPr>
              <w:t>0.268</w:t>
            </w:r>
          </w:p>
        </w:tc>
        <w:tc>
          <w:tcPr>
            <w:tcW w:w="1000" w:type="pct"/>
            <w:tcBorders>
              <w:top w:val="single" w:color="auto" w:sz="4" w:space="0"/>
              <w:left w:val="single" w:color="auto" w:sz="4" w:space="0"/>
              <w:bottom w:val="single" w:color="auto" w:sz="4" w:space="0"/>
              <w:right w:val="nil"/>
            </w:tcBorders>
            <w:vAlign w:val="center"/>
          </w:tcPr>
          <w:p w14:paraId="29D2B2A2">
            <w:pPr>
              <w:widowControl w:val="0"/>
              <w:jc w:val="center"/>
              <w:rPr>
                <w:rFonts w:hint="default" w:ascii="Times New Roman" w:hAnsi="Times New Roman" w:eastAsia="宋体" w:cs="Times New Roman"/>
                <w:color w:val="auto"/>
                <w:kern w:val="0"/>
                <w:sz w:val="21"/>
                <w:highlight w:val="none"/>
                <w:lang w:val="en-US" w:eastAsia="zh-CN"/>
              </w:rPr>
            </w:pPr>
            <w:r>
              <w:rPr>
                <w:rFonts w:hint="eastAsia" w:ascii="Times New Roman" w:hAnsi="Times New Roman" w:eastAsia="宋体" w:cs="Times New Roman"/>
                <w:color w:val="auto"/>
                <w:kern w:val="0"/>
                <w:sz w:val="21"/>
                <w:highlight w:val="none"/>
                <w:lang w:val="en-US" w:eastAsia="zh-CN"/>
              </w:rPr>
              <w:t>0.2</w:t>
            </w:r>
            <w:r>
              <w:rPr>
                <w:rFonts w:hint="eastAsia" w:ascii="Times New Roman" w:hAnsi="Times New Roman" w:cs="Times New Roman"/>
                <w:color w:val="auto"/>
                <w:kern w:val="0"/>
                <w:sz w:val="21"/>
                <w:highlight w:val="none"/>
                <w:lang w:val="en-US" w:eastAsia="zh-CN"/>
              </w:rPr>
              <w:t>47</w:t>
            </w:r>
          </w:p>
        </w:tc>
        <w:tc>
          <w:tcPr>
            <w:tcW w:w="1000" w:type="pct"/>
            <w:tcBorders>
              <w:top w:val="single" w:color="auto" w:sz="4" w:space="0"/>
              <w:left w:val="single" w:color="auto" w:sz="4" w:space="0"/>
              <w:bottom w:val="single" w:color="auto" w:sz="4" w:space="0"/>
              <w:right w:val="nil"/>
            </w:tcBorders>
            <w:vAlign w:val="center"/>
          </w:tcPr>
          <w:p w14:paraId="0F6BBCC2">
            <w:pPr>
              <w:widowControl w:val="0"/>
              <w:jc w:val="center"/>
              <w:rPr>
                <w:rFonts w:hint="default" w:ascii="Times New Roman" w:hAnsi="Times New Roman" w:eastAsia="宋体" w:cs="Times New Roman"/>
                <w:color w:val="auto"/>
                <w:kern w:val="0"/>
                <w:sz w:val="21"/>
                <w:highlight w:val="none"/>
                <w:lang w:val="en-US" w:eastAsia="zh-CN"/>
              </w:rPr>
            </w:pPr>
            <w:r>
              <w:rPr>
                <w:rFonts w:hint="eastAsia" w:ascii="Times New Roman" w:hAnsi="Times New Roman" w:cs="Times New Roman"/>
                <w:color w:val="auto"/>
                <w:kern w:val="0"/>
                <w:sz w:val="21"/>
                <w:highlight w:val="none"/>
                <w:lang w:val="en-US" w:eastAsia="zh-CN"/>
              </w:rPr>
              <w:t>0.200</w:t>
            </w:r>
          </w:p>
        </w:tc>
      </w:tr>
      <w:tr w14:paraId="291CF5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tcBorders>
              <w:top w:val="single" w:color="auto" w:sz="4" w:space="0"/>
              <w:left w:val="nil"/>
              <w:bottom w:val="single" w:color="auto" w:sz="12" w:space="0"/>
              <w:right w:val="single" w:color="auto" w:sz="4" w:space="0"/>
            </w:tcBorders>
            <w:vAlign w:val="center"/>
          </w:tcPr>
          <w:p w14:paraId="0FC3B890">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矿化度分组</w:t>
            </w:r>
          </w:p>
        </w:tc>
        <w:tc>
          <w:tcPr>
            <w:tcW w:w="1000" w:type="pct"/>
            <w:tcBorders>
              <w:top w:val="single" w:color="auto" w:sz="4" w:space="0"/>
              <w:left w:val="single" w:color="auto" w:sz="4" w:space="0"/>
              <w:bottom w:val="single" w:color="auto" w:sz="12" w:space="0"/>
              <w:right w:val="single" w:color="auto" w:sz="4" w:space="0"/>
            </w:tcBorders>
            <w:vAlign w:val="center"/>
          </w:tcPr>
          <w:p w14:paraId="23077224">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A</w:t>
            </w:r>
          </w:p>
        </w:tc>
        <w:tc>
          <w:tcPr>
            <w:tcW w:w="1000" w:type="pct"/>
            <w:tcBorders>
              <w:top w:val="single" w:color="auto" w:sz="4" w:space="0"/>
              <w:left w:val="single" w:color="auto" w:sz="4" w:space="0"/>
              <w:bottom w:val="single" w:color="auto" w:sz="12" w:space="0"/>
              <w:right w:val="single" w:color="auto" w:sz="4" w:space="0"/>
            </w:tcBorders>
            <w:vAlign w:val="center"/>
          </w:tcPr>
          <w:p w14:paraId="093B49F4">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A</w:t>
            </w:r>
          </w:p>
        </w:tc>
        <w:tc>
          <w:tcPr>
            <w:tcW w:w="1000" w:type="pct"/>
            <w:tcBorders>
              <w:top w:val="single" w:color="auto" w:sz="4" w:space="0"/>
              <w:left w:val="single" w:color="auto" w:sz="4" w:space="0"/>
              <w:bottom w:val="single" w:color="auto" w:sz="12" w:space="0"/>
              <w:right w:val="nil"/>
            </w:tcBorders>
            <w:vAlign w:val="center"/>
          </w:tcPr>
          <w:p w14:paraId="731472B5">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A</w:t>
            </w:r>
          </w:p>
        </w:tc>
        <w:tc>
          <w:tcPr>
            <w:tcW w:w="1000" w:type="pct"/>
            <w:tcBorders>
              <w:top w:val="single" w:color="auto" w:sz="4" w:space="0"/>
              <w:left w:val="single" w:color="auto" w:sz="4" w:space="0"/>
              <w:bottom w:val="single" w:color="auto" w:sz="12" w:space="0"/>
              <w:right w:val="nil"/>
            </w:tcBorders>
            <w:vAlign w:val="center"/>
          </w:tcPr>
          <w:p w14:paraId="6DD3C79A">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A</w:t>
            </w:r>
          </w:p>
        </w:tc>
      </w:tr>
    </w:tbl>
    <w:p w14:paraId="2447D36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综上所述，项目区矿化度小于1.5g/L。</w:t>
      </w:r>
    </w:p>
    <w:p w14:paraId="6BA818F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zh-CN"/>
        </w:rPr>
      </w:pPr>
      <w:r>
        <w:rPr>
          <w:rFonts w:hint="default" w:ascii="Times New Roman" w:hAnsi="Times New Roman" w:eastAsia="宋体" w:cs="Times New Roman"/>
          <w:color w:val="auto"/>
          <w:kern w:val="2"/>
          <w:sz w:val="24"/>
          <w:highlight w:val="none"/>
          <w:lang w:val="zh-CN"/>
        </w:rPr>
        <w:t>（3）现状评价结论</w:t>
      </w:r>
    </w:p>
    <w:p w14:paraId="79DE893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highlight w:val="none"/>
          <w:lang w:val="en-US" w:eastAsia="zh-CN"/>
        </w:rPr>
      </w:pPr>
      <w:r>
        <w:rPr>
          <w:rFonts w:hint="default" w:ascii="Times New Roman" w:hAnsi="Times New Roman" w:eastAsia="宋体" w:cs="Times New Roman"/>
          <w:color w:val="auto"/>
          <w:highlight w:val="none"/>
          <w:lang w:val="en-US" w:eastAsia="zh-CN"/>
        </w:rPr>
        <w:t>根据计算结果，1#点Ca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阳离子毫克当量百分比大于25%，阴离子毫克当量百分比大于25%的是HCO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，1#点地下水类型为Ca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型水；</w:t>
      </w:r>
      <w:r>
        <w:rPr>
          <w:rFonts w:hint="default" w:ascii="Times New Roman" w:hAnsi="Times New Roman" w:eastAsia="宋体" w:cs="Times New Roman"/>
          <w:color w:val="auto"/>
          <w:highlight w:val="none"/>
          <w:lang w:val="en-US" w:eastAsia="zh-CN"/>
        </w:rPr>
        <w:t>2#点的</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eastAsia" w:ascii="Times New Roman" w:hAnsi="Times New Roman" w:cs="Times New Roman"/>
          <w:color w:val="auto"/>
          <w:highlight w:val="none"/>
          <w:vertAlign w:val="baseline"/>
          <w:lang w:val="en-US" w:eastAsia="zh-CN"/>
        </w:rPr>
        <w:t>和</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阳离子毫克当量百分比大于25%，阴离子毫克当量百分比大于25%的是HCO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，2#点地下水类型为</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型水；</w:t>
      </w:r>
      <w:r>
        <w:rPr>
          <w:rFonts w:hint="default" w:ascii="Times New Roman" w:hAnsi="Times New Roman" w:eastAsia="宋体" w:cs="Times New Roman"/>
          <w:color w:val="auto"/>
          <w:highlight w:val="none"/>
          <w:lang w:val="en-US" w:eastAsia="zh-CN"/>
        </w:rPr>
        <w:t>3#点</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eastAsia" w:ascii="Times New Roman" w:hAnsi="Times New Roman" w:cs="Times New Roman"/>
          <w:color w:val="auto"/>
          <w:highlight w:val="none"/>
          <w:vertAlign w:val="baseline"/>
          <w:lang w:val="en-US" w:eastAsia="zh-CN"/>
        </w:rPr>
        <w:t>和</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阳离子毫克当量百分比大于25%，阴离子毫克当量百分比大于25%的是HCO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#点地下水类型为</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型水</w:t>
      </w:r>
      <w:r>
        <w:rPr>
          <w:rFonts w:hint="eastAsia" w:ascii="Times New Roman" w:hAnsi="Times New Roman" w:eastAsia="宋体" w:cs="Times New Roman"/>
          <w:color w:val="auto"/>
          <w:kern w:val="2"/>
          <w:sz w:val="24"/>
          <w:highlight w:val="none"/>
          <w:lang w:eastAsia="zh-CN"/>
        </w:rPr>
        <w:t>。</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lang w:val="en-US" w:eastAsia="zh-CN"/>
        </w:rPr>
        <w:t>#点</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eastAsia" w:ascii="Times New Roman" w:hAnsi="Times New Roman" w:cs="Times New Roman"/>
          <w:color w:val="auto"/>
          <w:highlight w:val="none"/>
          <w:vertAlign w:val="baseline"/>
          <w:lang w:val="en-US" w:eastAsia="zh-CN"/>
        </w:rPr>
        <w:t>和</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阳离子毫克当量百分比大于25%，阴离子毫克当量百分比大于25%的是HCO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lang w:val="en-US" w:eastAsia="zh-CN"/>
        </w:rPr>
        <w:t>#点地下水类型为</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型水</w:t>
      </w:r>
      <w:r>
        <w:rPr>
          <w:rFonts w:hint="eastAsia" w:ascii="Times New Roman" w:hAnsi="Times New Roman" w:eastAsia="宋体" w:cs="Times New Roman"/>
          <w:color w:val="auto"/>
          <w:kern w:val="2"/>
          <w:sz w:val="24"/>
          <w:highlight w:val="none"/>
          <w:lang w:eastAsia="zh-CN"/>
        </w:rPr>
        <w:t>。</w:t>
      </w:r>
    </w:p>
    <w:p w14:paraId="4C6717F8">
      <w:pPr>
        <w:pStyle w:val="7"/>
        <w:bidi w:val="0"/>
        <w:rPr>
          <w:rFonts w:hint="default"/>
          <w:highlight w:val="none"/>
        </w:rPr>
      </w:pPr>
      <w:bookmarkStart w:id="622" w:name="_Toc24109"/>
      <w:bookmarkStart w:id="623" w:name="_Toc22793"/>
      <w:bookmarkStart w:id="624" w:name="_Toc4305"/>
      <w:bookmarkStart w:id="625" w:name="_Toc16558"/>
      <w:bookmarkStart w:id="626" w:name="_Toc26650"/>
      <w:r>
        <w:rPr>
          <w:rFonts w:hint="default"/>
          <w:highlight w:val="none"/>
        </w:rPr>
        <w:t>4.2.4声环境质量现状</w:t>
      </w:r>
      <w:bookmarkEnd w:id="622"/>
      <w:bookmarkEnd w:id="623"/>
      <w:bookmarkEnd w:id="624"/>
      <w:bookmarkEnd w:id="625"/>
      <w:bookmarkEnd w:id="626"/>
    </w:p>
    <w:p w14:paraId="7B1BDE2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本项目委托</w:t>
      </w:r>
      <w:r>
        <w:rPr>
          <w:rFonts w:hint="eastAsia" w:ascii="Times New Roman" w:hAnsi="Times New Roman" w:cs="Times New Roman"/>
          <w:snapToGrid w:val="0"/>
          <w:color w:val="auto"/>
          <w:highlight w:val="none"/>
          <w:lang w:eastAsia="zh-CN"/>
        </w:rPr>
        <w:t>黑龙江克巽检测技术有限公司</w:t>
      </w:r>
      <w:r>
        <w:rPr>
          <w:rFonts w:hint="default" w:ascii="Times New Roman" w:hAnsi="Times New Roman" w:eastAsia="宋体" w:cs="Times New Roman"/>
          <w:snapToGrid w:val="0"/>
          <w:color w:val="auto"/>
          <w:highlight w:val="none"/>
        </w:rPr>
        <w:t>对项目所在区域声环境进行监测。</w:t>
      </w:r>
    </w:p>
    <w:p w14:paraId="50A5EBC4">
      <w:pPr>
        <w:pStyle w:val="8"/>
        <w:rPr>
          <w:rFonts w:hint="default" w:ascii="Times New Roman" w:hAnsi="Times New Roman" w:eastAsia="宋体" w:cs="Times New Roman"/>
          <w:snapToGrid w:val="0"/>
          <w:color w:val="auto"/>
          <w:highlight w:val="none"/>
        </w:rPr>
      </w:pPr>
      <w:bookmarkStart w:id="627" w:name="_Toc1846"/>
      <w:bookmarkStart w:id="628" w:name="_Toc30976"/>
      <w:r>
        <w:rPr>
          <w:rFonts w:hint="default" w:ascii="Times New Roman" w:hAnsi="Times New Roman" w:eastAsia="宋体" w:cs="Times New Roman"/>
          <w:snapToGrid w:val="0"/>
          <w:color w:val="auto"/>
          <w:highlight w:val="none"/>
        </w:rPr>
        <w:t>4.2.4.1声环境现状监测</w:t>
      </w:r>
      <w:bookmarkEnd w:id="627"/>
      <w:bookmarkEnd w:id="628"/>
    </w:p>
    <w:p w14:paraId="23F27129">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（1）监测点位</w:t>
      </w:r>
    </w:p>
    <w:p w14:paraId="6EFFE6A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本项目声环境现状监测点位布置具体见表4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default" w:ascii="Times New Roman" w:hAnsi="Times New Roman" w:cs="Times New Roman"/>
          <w:snapToGrid w:val="0"/>
          <w:color w:val="auto"/>
          <w:highlight w:val="none"/>
          <w:lang w:val="en-US" w:eastAsia="zh-CN"/>
        </w:rPr>
        <w:t>1</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和图4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default"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p w14:paraId="79D68F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声环境现状监测点位表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2528"/>
        <w:gridCol w:w="2642"/>
        <w:gridCol w:w="2117"/>
      </w:tblGrid>
      <w:tr w14:paraId="658A1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0D16A8B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484" w:type="pct"/>
            <w:vAlign w:val="center"/>
          </w:tcPr>
          <w:p w14:paraId="4D9A434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监测点名称</w:t>
            </w:r>
          </w:p>
        </w:tc>
        <w:tc>
          <w:tcPr>
            <w:tcW w:w="1551" w:type="pct"/>
            <w:vAlign w:val="center"/>
          </w:tcPr>
          <w:p w14:paraId="1468624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监测位置</w:t>
            </w:r>
          </w:p>
        </w:tc>
        <w:tc>
          <w:tcPr>
            <w:tcW w:w="1243" w:type="pct"/>
            <w:vAlign w:val="center"/>
          </w:tcPr>
          <w:p w14:paraId="7E577AD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监测因子</w:t>
            </w:r>
          </w:p>
        </w:tc>
      </w:tr>
      <w:tr w14:paraId="3D3A64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2164257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531" w:type="dxa"/>
            <w:vAlign w:val="center"/>
          </w:tcPr>
          <w:p w14:paraId="23878EB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w:t>
            </w:r>
            <w:r>
              <w:rPr>
                <w:rFonts w:hint="default" w:ascii="Times New Roman" w:hAnsi="Times New Roman" w:eastAsia="宋体" w:cs="Times New Roman"/>
                <w:color w:val="auto"/>
                <w:highlight w:val="none"/>
                <w:lang w:val="en-US" w:eastAsia="zh-CN"/>
              </w:rPr>
              <w:t>东</w:t>
            </w:r>
            <w:r>
              <w:rPr>
                <w:rFonts w:hint="default" w:ascii="Times New Roman" w:hAnsi="Times New Roman" w:eastAsia="宋体" w:cs="Times New Roman"/>
                <w:color w:val="auto"/>
                <w:highlight w:val="none"/>
              </w:rPr>
              <w:t>侧</w:t>
            </w:r>
          </w:p>
        </w:tc>
        <w:tc>
          <w:tcPr>
            <w:tcW w:w="1551" w:type="pct"/>
            <w:vAlign w:val="center"/>
          </w:tcPr>
          <w:p w14:paraId="4DFD318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东侧场界外1m</w:t>
            </w:r>
          </w:p>
        </w:tc>
        <w:tc>
          <w:tcPr>
            <w:tcW w:w="1243" w:type="pct"/>
            <w:vMerge w:val="restart"/>
            <w:vAlign w:val="center"/>
          </w:tcPr>
          <w:p w14:paraId="6C73A2F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等效连续A声级LAeq</w:t>
            </w:r>
          </w:p>
        </w:tc>
      </w:tr>
      <w:tr w14:paraId="3E8B13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2377E19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531" w:type="dxa"/>
            <w:vAlign w:val="center"/>
          </w:tcPr>
          <w:p w14:paraId="52A5BEE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w:t>
            </w:r>
            <w:r>
              <w:rPr>
                <w:rFonts w:hint="eastAsia" w:ascii="Times New Roman" w:hAnsi="Times New Roman" w:cs="Times New Roman"/>
                <w:color w:val="auto"/>
                <w:highlight w:val="none"/>
                <w:lang w:val="en-US" w:eastAsia="zh-CN"/>
              </w:rPr>
              <w:t>南</w:t>
            </w:r>
            <w:r>
              <w:rPr>
                <w:rFonts w:hint="default" w:ascii="Times New Roman" w:hAnsi="Times New Roman" w:eastAsia="宋体" w:cs="Times New Roman"/>
                <w:color w:val="auto"/>
                <w:highlight w:val="none"/>
              </w:rPr>
              <w:t>侧</w:t>
            </w:r>
          </w:p>
        </w:tc>
        <w:tc>
          <w:tcPr>
            <w:tcW w:w="1551" w:type="pct"/>
            <w:vAlign w:val="center"/>
          </w:tcPr>
          <w:p w14:paraId="06BB0ED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南</w:t>
            </w:r>
            <w:r>
              <w:rPr>
                <w:rFonts w:hint="default" w:ascii="Times New Roman" w:hAnsi="Times New Roman" w:eastAsia="宋体" w:cs="Times New Roman"/>
                <w:color w:val="auto"/>
                <w:highlight w:val="none"/>
              </w:rPr>
              <w:t>侧场界外1m</w:t>
            </w:r>
          </w:p>
        </w:tc>
        <w:tc>
          <w:tcPr>
            <w:tcW w:w="1243" w:type="pct"/>
            <w:vMerge w:val="continue"/>
            <w:vAlign w:val="center"/>
          </w:tcPr>
          <w:p w14:paraId="6974DF6B">
            <w:pPr>
              <w:pStyle w:val="152"/>
              <w:rPr>
                <w:rFonts w:hint="default" w:ascii="Times New Roman" w:hAnsi="Times New Roman" w:eastAsia="宋体" w:cs="Times New Roman"/>
                <w:color w:val="auto"/>
                <w:highlight w:val="none"/>
              </w:rPr>
            </w:pPr>
          </w:p>
        </w:tc>
      </w:tr>
      <w:tr w14:paraId="49C0B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281A9E6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2531" w:type="dxa"/>
            <w:vAlign w:val="center"/>
          </w:tcPr>
          <w:p w14:paraId="5892B5C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w:t>
            </w:r>
            <w:r>
              <w:rPr>
                <w:rFonts w:hint="eastAsia" w:ascii="Times New Roman" w:hAnsi="Times New Roman" w:cs="Times New Roman"/>
                <w:color w:val="auto"/>
                <w:highlight w:val="none"/>
                <w:lang w:val="en-US" w:eastAsia="zh-CN"/>
              </w:rPr>
              <w:t>西</w:t>
            </w:r>
            <w:r>
              <w:rPr>
                <w:rFonts w:hint="default" w:ascii="Times New Roman" w:hAnsi="Times New Roman" w:eastAsia="宋体" w:cs="Times New Roman"/>
                <w:color w:val="auto"/>
                <w:highlight w:val="none"/>
              </w:rPr>
              <w:t>侧</w:t>
            </w:r>
          </w:p>
        </w:tc>
        <w:tc>
          <w:tcPr>
            <w:tcW w:w="1551" w:type="pct"/>
            <w:vAlign w:val="center"/>
          </w:tcPr>
          <w:p w14:paraId="0228160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西</w:t>
            </w:r>
            <w:r>
              <w:rPr>
                <w:rFonts w:hint="default" w:ascii="Times New Roman" w:hAnsi="Times New Roman" w:eastAsia="宋体" w:cs="Times New Roman"/>
                <w:color w:val="auto"/>
                <w:highlight w:val="none"/>
              </w:rPr>
              <w:t>侧场界外1m</w:t>
            </w:r>
          </w:p>
        </w:tc>
        <w:tc>
          <w:tcPr>
            <w:tcW w:w="1243" w:type="pct"/>
            <w:vMerge w:val="continue"/>
            <w:vAlign w:val="center"/>
          </w:tcPr>
          <w:p w14:paraId="36C17CC1">
            <w:pPr>
              <w:pStyle w:val="152"/>
              <w:rPr>
                <w:rFonts w:hint="default" w:ascii="Times New Roman" w:hAnsi="Times New Roman" w:eastAsia="宋体" w:cs="Times New Roman"/>
                <w:color w:val="auto"/>
                <w:highlight w:val="none"/>
              </w:rPr>
            </w:pPr>
          </w:p>
        </w:tc>
      </w:tr>
      <w:tr w14:paraId="23EC3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12F262D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2531" w:type="dxa"/>
            <w:vAlign w:val="center"/>
          </w:tcPr>
          <w:p w14:paraId="179EC58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w:t>
            </w:r>
            <w:r>
              <w:rPr>
                <w:rFonts w:hint="eastAsia" w:ascii="Times New Roman" w:hAnsi="Times New Roman" w:cs="Times New Roman"/>
                <w:color w:val="auto"/>
                <w:highlight w:val="none"/>
                <w:lang w:val="en-US" w:eastAsia="zh-CN"/>
              </w:rPr>
              <w:t>北</w:t>
            </w:r>
            <w:r>
              <w:rPr>
                <w:rFonts w:hint="default" w:ascii="Times New Roman" w:hAnsi="Times New Roman" w:eastAsia="宋体" w:cs="Times New Roman"/>
                <w:color w:val="auto"/>
                <w:highlight w:val="none"/>
              </w:rPr>
              <w:t>侧</w:t>
            </w:r>
          </w:p>
        </w:tc>
        <w:tc>
          <w:tcPr>
            <w:tcW w:w="1551" w:type="pct"/>
            <w:vAlign w:val="center"/>
          </w:tcPr>
          <w:p w14:paraId="69A3D20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北侧场界外1m</w:t>
            </w:r>
          </w:p>
        </w:tc>
        <w:tc>
          <w:tcPr>
            <w:tcW w:w="1243" w:type="pct"/>
            <w:vMerge w:val="continue"/>
            <w:vAlign w:val="center"/>
          </w:tcPr>
          <w:p w14:paraId="2B70840C">
            <w:pPr>
              <w:pStyle w:val="152"/>
              <w:rPr>
                <w:rFonts w:hint="default" w:ascii="Times New Roman" w:hAnsi="Times New Roman" w:eastAsia="宋体" w:cs="Times New Roman"/>
                <w:color w:val="auto"/>
                <w:highlight w:val="none"/>
              </w:rPr>
            </w:pPr>
          </w:p>
        </w:tc>
      </w:tr>
    </w:tbl>
    <w:p w14:paraId="2B3A6525">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（2）监测时间</w:t>
      </w:r>
    </w:p>
    <w:p w14:paraId="72FFDEA0">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rPr>
        <w:t>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23</w:t>
      </w:r>
      <w:r>
        <w:rPr>
          <w:rFonts w:hint="default" w:ascii="Times New Roman" w:hAnsi="Times New Roman" w:eastAsia="宋体" w:cs="Times New Roman"/>
          <w:snapToGrid w:val="0"/>
          <w:color w:val="auto"/>
          <w:highlight w:val="none"/>
        </w:rPr>
        <w:t>日～</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24</w:t>
      </w:r>
      <w:r>
        <w:rPr>
          <w:rFonts w:hint="default" w:ascii="Times New Roman" w:hAnsi="Times New Roman" w:eastAsia="宋体" w:cs="Times New Roman"/>
          <w:snapToGrid w:val="0"/>
          <w:color w:val="auto"/>
          <w:highlight w:val="none"/>
        </w:rPr>
        <w:t>日进行噪声监测，</w:t>
      </w:r>
      <w:r>
        <w:rPr>
          <w:rFonts w:hint="default" w:ascii="Times New Roman" w:hAnsi="Times New Roman" w:eastAsia="宋体" w:cs="Times New Roman"/>
          <w:snapToGrid w:val="0"/>
          <w:color w:val="auto"/>
          <w:highlight w:val="none"/>
          <w:lang w:val="zh-CN"/>
        </w:rPr>
        <w:t>连续两天。</w:t>
      </w:r>
    </w:p>
    <w:p w14:paraId="67DEA07F">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（3）监测结果</w:t>
      </w:r>
    </w:p>
    <w:p w14:paraId="484A2EE0">
      <w:pPr>
        <w:spacing w:line="360" w:lineRule="auto"/>
        <w:ind w:firstLine="420"/>
        <w:jc w:val="both"/>
        <w:rPr>
          <w:rFonts w:hint="default" w:ascii="Times New Roman" w:hAnsi="Times New Roman" w:eastAsia="宋体" w:cs="Times New Roman"/>
          <w:snapToGrid w:val="0"/>
          <w:color w:val="auto"/>
          <w:highlight w:val="none"/>
          <w:lang w:val="zh-CN" w:eastAsia="zh-CN"/>
        </w:rPr>
      </w:pPr>
      <w:r>
        <w:rPr>
          <w:rFonts w:hint="default" w:ascii="Times New Roman" w:hAnsi="Times New Roman" w:eastAsia="宋体" w:cs="Times New Roman"/>
          <w:snapToGrid w:val="0"/>
          <w:color w:val="auto"/>
          <w:highlight w:val="none"/>
          <w:lang w:val="zh-CN"/>
        </w:rPr>
        <w:t>监测结果见表4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zh-CN"/>
        </w:rPr>
        <w:t>2-</w:t>
      </w:r>
      <w:r>
        <w:rPr>
          <w:rFonts w:hint="default" w:ascii="Times New Roman" w:hAnsi="Times New Roman" w:cs="Times New Roman"/>
          <w:snapToGrid w:val="0"/>
          <w:color w:val="auto"/>
          <w:highlight w:val="none"/>
          <w:lang w:val="en-US" w:eastAsia="zh-CN"/>
        </w:rPr>
        <w:t>1</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lang w:val="zh-CN"/>
        </w:rPr>
        <w:t>。</w:t>
      </w:r>
    </w:p>
    <w:p w14:paraId="512DD712">
      <w:pPr>
        <w:pStyle w:val="216"/>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7</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声环境现状监测结果        单位：dB（A）</w:t>
      </w:r>
    </w:p>
    <w:tbl>
      <w:tblPr>
        <w:tblStyle w:val="49"/>
        <w:tblW w:w="5085"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680"/>
        <w:gridCol w:w="1763"/>
        <w:gridCol w:w="1143"/>
        <w:gridCol w:w="1143"/>
        <w:gridCol w:w="1143"/>
        <w:gridCol w:w="1143"/>
        <w:gridCol w:w="1646"/>
      </w:tblGrid>
      <w:tr w14:paraId="63C858F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410" w:type="pct"/>
            <w:gridSpan w:val="2"/>
            <w:tcBorders>
              <w:tl2br w:val="nil"/>
              <w:tr2bl w:val="nil"/>
            </w:tcBorders>
            <w:vAlign w:val="center"/>
          </w:tcPr>
          <w:p w14:paraId="2A3CA237">
            <w:pPr>
              <w:adjustRightInd w:val="0"/>
              <w:snapToGrid w:val="0"/>
              <w:jc w:val="center"/>
              <w:rPr>
                <w:rFonts w:ascii="Times New Roman" w:hAnsi="Times New Roman"/>
                <w:b/>
                <w:bCs/>
                <w:szCs w:val="21"/>
                <w:highlight w:val="none"/>
              </w:rPr>
            </w:pPr>
            <w:r>
              <w:rPr>
                <w:rFonts w:ascii="Times New Roman" w:hAnsi="Times New Roman"/>
                <w:b/>
                <w:bCs/>
                <w:szCs w:val="21"/>
                <w:highlight w:val="none"/>
              </w:rPr>
              <w:t>监测日期</w:t>
            </w:r>
          </w:p>
        </w:tc>
        <w:tc>
          <w:tcPr>
            <w:tcW w:w="1319" w:type="pct"/>
            <w:gridSpan w:val="2"/>
            <w:tcBorders>
              <w:tl2br w:val="nil"/>
              <w:tr2bl w:val="nil"/>
            </w:tcBorders>
            <w:vAlign w:val="center"/>
          </w:tcPr>
          <w:p w14:paraId="1191EF29">
            <w:pPr>
              <w:pStyle w:val="2"/>
              <w:snapToGrid w:val="0"/>
              <w:jc w:val="center"/>
              <w:rPr>
                <w:rFonts w:hint="default" w:ascii="Times New Roman" w:eastAsia="宋体"/>
                <w:b/>
                <w:bCs/>
                <w:color w:val="auto"/>
                <w:sz w:val="21"/>
                <w:szCs w:val="21"/>
                <w:highlight w:val="none"/>
                <w:lang w:val="en-US" w:eastAsia="zh-CN"/>
              </w:rPr>
            </w:pPr>
            <w:r>
              <w:rPr>
                <w:rFonts w:ascii="Times New Roman" w:eastAsia="宋体"/>
                <w:b/>
                <w:bCs/>
                <w:color w:val="auto"/>
                <w:sz w:val="21"/>
                <w:szCs w:val="21"/>
                <w:highlight w:val="none"/>
              </w:rPr>
              <w:t>20</w:t>
            </w:r>
            <w:r>
              <w:rPr>
                <w:rFonts w:hint="eastAsia" w:ascii="Times New Roman" w:eastAsia="宋体"/>
                <w:b/>
                <w:bCs/>
                <w:color w:val="auto"/>
                <w:sz w:val="21"/>
                <w:szCs w:val="21"/>
                <w:highlight w:val="none"/>
              </w:rPr>
              <w:t>2</w:t>
            </w:r>
            <w:r>
              <w:rPr>
                <w:rFonts w:hint="eastAsia" w:ascii="Times New Roman" w:eastAsia="宋体"/>
                <w:b/>
                <w:bCs/>
                <w:color w:val="auto"/>
                <w:sz w:val="21"/>
                <w:szCs w:val="21"/>
                <w:highlight w:val="none"/>
                <w:lang w:val="en-US" w:eastAsia="zh-CN"/>
              </w:rPr>
              <w:t>5.07.23</w:t>
            </w:r>
          </w:p>
        </w:tc>
        <w:tc>
          <w:tcPr>
            <w:tcW w:w="1319" w:type="pct"/>
            <w:gridSpan w:val="2"/>
            <w:tcBorders>
              <w:tl2br w:val="nil"/>
              <w:tr2bl w:val="nil"/>
            </w:tcBorders>
            <w:vAlign w:val="center"/>
          </w:tcPr>
          <w:p w14:paraId="07120820">
            <w:pPr>
              <w:pStyle w:val="2"/>
              <w:snapToGrid w:val="0"/>
              <w:jc w:val="center"/>
              <w:rPr>
                <w:rFonts w:hint="default" w:ascii="Times New Roman" w:eastAsia="宋体"/>
                <w:b/>
                <w:bCs/>
                <w:color w:val="auto"/>
                <w:sz w:val="21"/>
                <w:szCs w:val="21"/>
                <w:highlight w:val="none"/>
                <w:lang w:val="en-US" w:eastAsia="zh-CN"/>
              </w:rPr>
            </w:pPr>
            <w:r>
              <w:rPr>
                <w:rFonts w:hint="eastAsia" w:ascii="Times New Roman" w:eastAsia="宋体"/>
                <w:b/>
                <w:bCs/>
                <w:color w:val="auto"/>
                <w:sz w:val="21"/>
                <w:szCs w:val="21"/>
                <w:highlight w:val="none"/>
                <w:lang w:val="en-US" w:eastAsia="zh-CN"/>
              </w:rPr>
              <w:t>2025.07.24</w:t>
            </w:r>
          </w:p>
        </w:tc>
        <w:tc>
          <w:tcPr>
            <w:tcW w:w="950" w:type="pct"/>
            <w:vMerge w:val="restart"/>
            <w:tcBorders>
              <w:tl2br w:val="nil"/>
              <w:tr2bl w:val="nil"/>
            </w:tcBorders>
            <w:vAlign w:val="center"/>
          </w:tcPr>
          <w:p w14:paraId="5A89CC70">
            <w:pPr>
              <w:adjustRightInd w:val="0"/>
              <w:snapToGrid w:val="0"/>
              <w:jc w:val="center"/>
              <w:rPr>
                <w:rFonts w:ascii="Times New Roman" w:hAnsi="Times New Roman"/>
                <w:szCs w:val="21"/>
                <w:highlight w:val="none"/>
              </w:rPr>
            </w:pPr>
            <w:r>
              <w:rPr>
                <w:rFonts w:ascii="Times New Roman" w:hAnsi="Times New Roman"/>
                <w:b/>
                <w:bCs/>
                <w:szCs w:val="21"/>
                <w:highlight w:val="none"/>
              </w:rPr>
              <w:t>单位</w:t>
            </w:r>
          </w:p>
        </w:tc>
      </w:tr>
      <w:tr w14:paraId="0CA3DEF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0B1077CA">
            <w:pPr>
              <w:pStyle w:val="2"/>
              <w:snapToGrid w:val="0"/>
              <w:jc w:val="center"/>
              <w:rPr>
                <w:rFonts w:ascii="Times New Roman" w:eastAsia="宋体"/>
                <w:b/>
                <w:bCs/>
                <w:color w:val="auto"/>
                <w:sz w:val="21"/>
                <w:szCs w:val="21"/>
                <w:highlight w:val="none"/>
              </w:rPr>
            </w:pPr>
            <w:r>
              <w:rPr>
                <w:rFonts w:ascii="Times New Roman" w:eastAsia="宋体"/>
                <w:b/>
                <w:bCs/>
                <w:color w:val="auto"/>
                <w:sz w:val="21"/>
                <w:szCs w:val="21"/>
                <w:highlight w:val="none"/>
              </w:rPr>
              <w:t>序号</w:t>
            </w:r>
          </w:p>
        </w:tc>
        <w:tc>
          <w:tcPr>
            <w:tcW w:w="1017" w:type="pct"/>
            <w:tcBorders>
              <w:tl2br w:val="nil"/>
              <w:tr2bl w:val="nil"/>
            </w:tcBorders>
            <w:vAlign w:val="center"/>
          </w:tcPr>
          <w:p w14:paraId="1EF42942">
            <w:pPr>
              <w:adjustRightInd w:val="0"/>
              <w:snapToGrid w:val="0"/>
              <w:jc w:val="center"/>
              <w:rPr>
                <w:rFonts w:ascii="Times New Roman" w:hAnsi="Times New Roman"/>
                <w:b/>
                <w:bCs/>
                <w:szCs w:val="21"/>
                <w:highlight w:val="none"/>
              </w:rPr>
            </w:pPr>
            <w:r>
              <w:rPr>
                <w:rFonts w:ascii="Times New Roman" w:hAnsi="Times New Roman"/>
                <w:b/>
                <w:bCs/>
                <w:szCs w:val="21"/>
                <w:highlight w:val="none"/>
              </w:rPr>
              <w:t>监测点位</w:t>
            </w:r>
          </w:p>
        </w:tc>
        <w:tc>
          <w:tcPr>
            <w:tcW w:w="659" w:type="pct"/>
            <w:tcBorders>
              <w:tl2br w:val="nil"/>
              <w:tr2bl w:val="nil"/>
            </w:tcBorders>
            <w:vAlign w:val="center"/>
          </w:tcPr>
          <w:p w14:paraId="7E12298B">
            <w:pPr>
              <w:pStyle w:val="2"/>
              <w:snapToGrid w:val="0"/>
              <w:jc w:val="center"/>
              <w:rPr>
                <w:rFonts w:ascii="Times New Roman" w:eastAsia="宋体"/>
                <w:b/>
                <w:bCs/>
                <w:color w:val="auto"/>
                <w:sz w:val="21"/>
                <w:szCs w:val="21"/>
                <w:highlight w:val="none"/>
              </w:rPr>
            </w:pPr>
            <w:r>
              <w:rPr>
                <w:rFonts w:ascii="Times New Roman" w:eastAsia="宋体"/>
                <w:b/>
                <w:bCs/>
                <w:color w:val="auto"/>
                <w:sz w:val="21"/>
                <w:szCs w:val="21"/>
                <w:highlight w:val="none"/>
              </w:rPr>
              <w:t>昼间</w:t>
            </w:r>
          </w:p>
        </w:tc>
        <w:tc>
          <w:tcPr>
            <w:tcW w:w="659" w:type="pct"/>
            <w:tcBorders>
              <w:tl2br w:val="nil"/>
              <w:tr2bl w:val="nil"/>
            </w:tcBorders>
            <w:vAlign w:val="center"/>
          </w:tcPr>
          <w:p w14:paraId="39F32FA1">
            <w:pPr>
              <w:pStyle w:val="2"/>
              <w:snapToGrid w:val="0"/>
              <w:jc w:val="center"/>
              <w:rPr>
                <w:rFonts w:ascii="Times New Roman" w:eastAsia="宋体"/>
                <w:b/>
                <w:bCs/>
                <w:color w:val="auto"/>
                <w:sz w:val="21"/>
                <w:szCs w:val="21"/>
                <w:highlight w:val="none"/>
              </w:rPr>
            </w:pPr>
            <w:r>
              <w:rPr>
                <w:rFonts w:ascii="Times New Roman" w:eastAsia="宋体"/>
                <w:b/>
                <w:bCs/>
                <w:color w:val="auto"/>
                <w:sz w:val="21"/>
                <w:szCs w:val="21"/>
                <w:highlight w:val="none"/>
              </w:rPr>
              <w:t>夜间</w:t>
            </w:r>
          </w:p>
        </w:tc>
        <w:tc>
          <w:tcPr>
            <w:tcW w:w="659" w:type="pct"/>
            <w:tcBorders>
              <w:tl2br w:val="nil"/>
              <w:tr2bl w:val="nil"/>
            </w:tcBorders>
            <w:shd w:val="clear" w:color="auto" w:fill="auto"/>
            <w:vAlign w:val="center"/>
          </w:tcPr>
          <w:p w14:paraId="0F174955">
            <w:pPr>
              <w:pStyle w:val="2"/>
              <w:snapToGrid w:val="0"/>
              <w:jc w:val="center"/>
              <w:rPr>
                <w:rFonts w:ascii="Times New Roman" w:hAnsi="Times New Roman" w:eastAsia="宋体" w:cs="Times New Roman"/>
                <w:b/>
                <w:bCs/>
                <w:color w:val="auto"/>
                <w:sz w:val="21"/>
                <w:szCs w:val="21"/>
                <w:highlight w:val="none"/>
                <w:lang w:val="en-US" w:eastAsia="zh-CN" w:bidi="ar-SA"/>
              </w:rPr>
            </w:pPr>
            <w:r>
              <w:rPr>
                <w:rFonts w:ascii="Times New Roman" w:eastAsia="宋体"/>
                <w:b/>
                <w:bCs/>
                <w:color w:val="auto"/>
                <w:sz w:val="21"/>
                <w:szCs w:val="21"/>
                <w:highlight w:val="none"/>
              </w:rPr>
              <w:t>昼间</w:t>
            </w:r>
          </w:p>
        </w:tc>
        <w:tc>
          <w:tcPr>
            <w:tcW w:w="659" w:type="pct"/>
            <w:tcBorders>
              <w:tl2br w:val="nil"/>
              <w:tr2bl w:val="nil"/>
            </w:tcBorders>
            <w:shd w:val="clear" w:color="auto" w:fill="auto"/>
            <w:vAlign w:val="center"/>
          </w:tcPr>
          <w:p w14:paraId="2386816C">
            <w:pPr>
              <w:pStyle w:val="2"/>
              <w:snapToGrid w:val="0"/>
              <w:jc w:val="center"/>
              <w:rPr>
                <w:rFonts w:ascii="Times New Roman" w:hAnsi="Times New Roman" w:eastAsia="宋体" w:cs="Times New Roman"/>
                <w:b/>
                <w:bCs/>
                <w:color w:val="auto"/>
                <w:sz w:val="21"/>
                <w:szCs w:val="21"/>
                <w:highlight w:val="none"/>
                <w:lang w:val="en-US" w:eastAsia="zh-CN" w:bidi="ar-SA"/>
              </w:rPr>
            </w:pPr>
            <w:r>
              <w:rPr>
                <w:rFonts w:ascii="Times New Roman" w:eastAsia="宋体"/>
                <w:b/>
                <w:bCs/>
                <w:color w:val="auto"/>
                <w:sz w:val="21"/>
                <w:szCs w:val="21"/>
                <w:highlight w:val="none"/>
              </w:rPr>
              <w:t>夜间</w:t>
            </w:r>
          </w:p>
        </w:tc>
        <w:tc>
          <w:tcPr>
            <w:tcW w:w="950" w:type="pct"/>
            <w:vMerge w:val="continue"/>
            <w:tcBorders>
              <w:tl2br w:val="nil"/>
              <w:tr2bl w:val="nil"/>
            </w:tcBorders>
            <w:vAlign w:val="center"/>
          </w:tcPr>
          <w:p w14:paraId="494A9061">
            <w:pPr>
              <w:pStyle w:val="2"/>
              <w:snapToGrid w:val="0"/>
              <w:jc w:val="center"/>
              <w:rPr>
                <w:rFonts w:ascii="Times New Roman" w:eastAsia="宋体"/>
                <w:b/>
                <w:bCs/>
                <w:color w:val="auto"/>
                <w:sz w:val="21"/>
                <w:szCs w:val="21"/>
                <w:highlight w:val="none"/>
              </w:rPr>
            </w:pPr>
          </w:p>
        </w:tc>
      </w:tr>
      <w:tr w14:paraId="7E0DA8E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16B92A31">
            <w:pPr>
              <w:pStyle w:val="2"/>
              <w:snapToGrid w:val="0"/>
              <w:jc w:val="center"/>
              <w:rPr>
                <w:rFonts w:ascii="Times New Roman" w:eastAsia="宋体"/>
                <w:color w:val="auto"/>
                <w:sz w:val="21"/>
                <w:szCs w:val="21"/>
                <w:highlight w:val="none"/>
              </w:rPr>
            </w:pPr>
            <w:r>
              <w:rPr>
                <w:rFonts w:ascii="Times New Roman" w:eastAsia="宋体"/>
                <w:color w:val="auto"/>
                <w:sz w:val="21"/>
                <w:szCs w:val="21"/>
                <w:highlight w:val="none"/>
              </w:rPr>
              <w:t>▲1</w:t>
            </w:r>
          </w:p>
        </w:tc>
        <w:tc>
          <w:tcPr>
            <w:tcW w:w="1017" w:type="pct"/>
            <w:tcBorders>
              <w:tl2br w:val="nil"/>
              <w:tr2bl w:val="nil"/>
            </w:tcBorders>
            <w:vAlign w:val="center"/>
          </w:tcPr>
          <w:p w14:paraId="00A70864">
            <w:pPr>
              <w:pStyle w:val="268"/>
              <w:autoSpaceDE w:val="0"/>
              <w:autoSpaceDN w:val="0"/>
              <w:snapToGrid w:val="0"/>
              <w:spacing w:line="240" w:lineRule="auto"/>
              <w:jc w:val="center"/>
              <w:textAlignment w:val="bottom"/>
              <w:rPr>
                <w:rFonts w:hint="eastAsia" w:ascii="Times New Roman" w:hAnsi="Times New Roman"/>
                <w:kern w:val="0"/>
                <w:szCs w:val="21"/>
                <w:highlight w:val="none"/>
                <w:lang w:val="en-US" w:eastAsia="zh-CN"/>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东</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1143" w:type="dxa"/>
            <w:tcBorders>
              <w:tl2br w:val="nil"/>
              <w:tr2bl w:val="nil"/>
            </w:tcBorders>
            <w:vAlign w:val="center"/>
          </w:tcPr>
          <w:p w14:paraId="7CBA41EF">
            <w:pPr>
              <w:pStyle w:val="2"/>
              <w:snapToGrid w:val="0"/>
              <w:jc w:val="center"/>
              <w:rPr>
                <w:rFonts w:hint="default" w:ascii="Times New Roman" w:hAnsi="Times New Roman" w:eastAsia="宋体"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eastAsia="宋体" w:cs="Times New Roman"/>
                <w:color w:val="000000" w:themeColor="text1"/>
                <w:spacing w:val="20"/>
                <w:kern w:val="2"/>
                <w:sz w:val="21"/>
                <w:szCs w:val="21"/>
                <w:highlight w:val="none"/>
                <w:lang w:val="en-US" w:eastAsia="zh-CN" w:bidi="ar-SA"/>
                <w14:textFill>
                  <w14:solidFill>
                    <w14:schemeClr w14:val="tx1"/>
                  </w14:solidFill>
                </w14:textFill>
              </w:rPr>
              <w:t>52</w:t>
            </w:r>
          </w:p>
        </w:tc>
        <w:tc>
          <w:tcPr>
            <w:tcW w:w="1143" w:type="dxa"/>
            <w:tcBorders>
              <w:tl2br w:val="nil"/>
              <w:tr2bl w:val="nil"/>
            </w:tcBorders>
            <w:vAlign w:val="center"/>
          </w:tcPr>
          <w:p w14:paraId="52BB8691">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1143" w:type="dxa"/>
            <w:tcBorders>
              <w:tl2br w:val="nil"/>
              <w:tr2bl w:val="nil"/>
            </w:tcBorders>
            <w:vAlign w:val="center"/>
          </w:tcPr>
          <w:p w14:paraId="06C58A7C">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54</w:t>
            </w:r>
          </w:p>
        </w:tc>
        <w:tc>
          <w:tcPr>
            <w:tcW w:w="1143" w:type="dxa"/>
            <w:tcBorders>
              <w:tl2br w:val="nil"/>
              <w:tr2bl w:val="nil"/>
            </w:tcBorders>
            <w:vAlign w:val="center"/>
          </w:tcPr>
          <w:p w14:paraId="5F47924C">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950" w:type="pct"/>
            <w:vMerge w:val="restart"/>
            <w:tcBorders>
              <w:tl2br w:val="nil"/>
              <w:tr2bl w:val="nil"/>
            </w:tcBorders>
            <w:vAlign w:val="center"/>
          </w:tcPr>
          <w:p w14:paraId="265D70E0">
            <w:pPr>
              <w:pStyle w:val="2"/>
              <w:snapToGrid w:val="0"/>
              <w:jc w:val="center"/>
              <w:rPr>
                <w:rFonts w:ascii="Times New Roman" w:eastAsia="宋体"/>
                <w:color w:val="auto"/>
                <w:sz w:val="21"/>
                <w:szCs w:val="21"/>
                <w:highlight w:val="none"/>
              </w:rPr>
            </w:pPr>
            <w:r>
              <w:rPr>
                <w:rFonts w:ascii="Times New Roman" w:eastAsia="宋体"/>
                <w:b w:val="0"/>
                <w:bCs w:val="0"/>
                <w:color w:val="auto"/>
                <w:sz w:val="21"/>
                <w:szCs w:val="21"/>
                <w:highlight w:val="none"/>
              </w:rPr>
              <w:t>dB（A）</w:t>
            </w:r>
          </w:p>
        </w:tc>
      </w:tr>
      <w:tr w14:paraId="48E4992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0E74C03D">
            <w:pPr>
              <w:adjustRightInd w:val="0"/>
              <w:snapToGrid w:val="0"/>
              <w:jc w:val="center"/>
              <w:rPr>
                <w:rFonts w:hint="eastAsia" w:ascii="Times New Roman" w:eastAsia="宋体"/>
                <w:color w:val="auto"/>
                <w:sz w:val="21"/>
                <w:szCs w:val="21"/>
                <w:highlight w:val="none"/>
                <w:lang w:val="en-US" w:eastAsia="zh-CN"/>
              </w:rPr>
            </w:pPr>
            <w:r>
              <w:rPr>
                <w:rFonts w:ascii="Times New Roman" w:eastAsia="宋体"/>
                <w:color w:val="auto"/>
                <w:sz w:val="21"/>
                <w:szCs w:val="21"/>
                <w:highlight w:val="none"/>
              </w:rPr>
              <w:t>▲</w:t>
            </w:r>
            <w:r>
              <w:rPr>
                <w:rFonts w:hint="eastAsia" w:ascii="Times New Roman"/>
                <w:color w:val="auto"/>
                <w:sz w:val="21"/>
                <w:szCs w:val="21"/>
                <w:highlight w:val="none"/>
                <w:lang w:val="en-US" w:eastAsia="zh-CN"/>
              </w:rPr>
              <w:t>2</w:t>
            </w:r>
          </w:p>
        </w:tc>
        <w:tc>
          <w:tcPr>
            <w:tcW w:w="1017" w:type="pct"/>
            <w:tcBorders>
              <w:tl2br w:val="nil"/>
              <w:tr2bl w:val="nil"/>
            </w:tcBorders>
            <w:vAlign w:val="center"/>
          </w:tcPr>
          <w:p w14:paraId="3217B993">
            <w:pPr>
              <w:pStyle w:val="268"/>
              <w:autoSpaceDE w:val="0"/>
              <w:autoSpaceDN w:val="0"/>
              <w:snapToGrid w:val="0"/>
              <w:spacing w:line="240" w:lineRule="auto"/>
              <w:jc w:val="center"/>
              <w:textAlignment w:val="bottom"/>
              <w:rPr>
                <w:rFonts w:hint="eastAsia" w:ascii="Times New Roman" w:hAnsi="Times New Roman"/>
                <w:kern w:val="0"/>
                <w:szCs w:val="21"/>
                <w:highlight w:val="none"/>
                <w:lang w:val="en-US" w:eastAsia="zh-CN"/>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南</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1143" w:type="dxa"/>
            <w:tcBorders>
              <w:tl2br w:val="nil"/>
              <w:tr2bl w:val="nil"/>
            </w:tcBorders>
            <w:vAlign w:val="center"/>
          </w:tcPr>
          <w:p w14:paraId="2A33B49E">
            <w:pPr>
              <w:pStyle w:val="2"/>
              <w:snapToGrid w:val="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51</w:t>
            </w:r>
          </w:p>
        </w:tc>
        <w:tc>
          <w:tcPr>
            <w:tcW w:w="1143" w:type="dxa"/>
            <w:tcBorders>
              <w:tl2br w:val="nil"/>
              <w:tr2bl w:val="nil"/>
            </w:tcBorders>
            <w:vAlign w:val="center"/>
          </w:tcPr>
          <w:p w14:paraId="57C868B1">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1143" w:type="dxa"/>
            <w:tcBorders>
              <w:tl2br w:val="nil"/>
              <w:tr2bl w:val="nil"/>
            </w:tcBorders>
            <w:vAlign w:val="center"/>
          </w:tcPr>
          <w:p w14:paraId="31A68291">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52</w:t>
            </w:r>
          </w:p>
        </w:tc>
        <w:tc>
          <w:tcPr>
            <w:tcW w:w="1143" w:type="dxa"/>
            <w:tcBorders>
              <w:tl2br w:val="nil"/>
              <w:tr2bl w:val="nil"/>
            </w:tcBorders>
            <w:vAlign w:val="center"/>
          </w:tcPr>
          <w:p w14:paraId="240AD280">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44</w:t>
            </w:r>
          </w:p>
        </w:tc>
        <w:tc>
          <w:tcPr>
            <w:tcW w:w="950" w:type="pct"/>
            <w:vMerge w:val="continue"/>
            <w:tcBorders>
              <w:tl2br w:val="nil"/>
              <w:tr2bl w:val="nil"/>
            </w:tcBorders>
            <w:vAlign w:val="center"/>
          </w:tcPr>
          <w:p w14:paraId="79997C65">
            <w:pPr>
              <w:pStyle w:val="2"/>
              <w:snapToGrid w:val="0"/>
              <w:jc w:val="center"/>
              <w:rPr>
                <w:rFonts w:ascii="Times New Roman" w:eastAsia="宋体"/>
                <w:color w:val="auto"/>
                <w:sz w:val="21"/>
                <w:szCs w:val="21"/>
                <w:highlight w:val="none"/>
              </w:rPr>
            </w:pPr>
          </w:p>
        </w:tc>
      </w:tr>
      <w:tr w14:paraId="7C01582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0FAB4EAF">
            <w:pPr>
              <w:adjustRightInd w:val="0"/>
              <w:snapToGrid w:val="0"/>
              <w:jc w:val="center"/>
              <w:rPr>
                <w:rFonts w:hint="eastAsia" w:ascii="Times New Roman" w:eastAsia="宋体"/>
                <w:color w:val="auto"/>
                <w:sz w:val="21"/>
                <w:szCs w:val="21"/>
                <w:highlight w:val="none"/>
                <w:lang w:val="en-US" w:eastAsia="zh-CN"/>
              </w:rPr>
            </w:pPr>
            <w:r>
              <w:rPr>
                <w:rFonts w:ascii="Times New Roman" w:eastAsia="宋体"/>
                <w:color w:val="auto"/>
                <w:sz w:val="21"/>
                <w:szCs w:val="21"/>
                <w:highlight w:val="none"/>
              </w:rPr>
              <w:t>▲</w:t>
            </w:r>
            <w:r>
              <w:rPr>
                <w:rFonts w:hint="eastAsia" w:ascii="Times New Roman"/>
                <w:color w:val="auto"/>
                <w:sz w:val="21"/>
                <w:szCs w:val="21"/>
                <w:highlight w:val="none"/>
                <w:lang w:val="en-US" w:eastAsia="zh-CN"/>
              </w:rPr>
              <w:t>3</w:t>
            </w:r>
          </w:p>
        </w:tc>
        <w:tc>
          <w:tcPr>
            <w:tcW w:w="1017" w:type="pct"/>
            <w:tcBorders>
              <w:tl2br w:val="nil"/>
              <w:tr2bl w:val="nil"/>
            </w:tcBorders>
            <w:vAlign w:val="center"/>
          </w:tcPr>
          <w:p w14:paraId="309E0645">
            <w:pPr>
              <w:pStyle w:val="268"/>
              <w:autoSpaceDE w:val="0"/>
              <w:autoSpaceDN w:val="0"/>
              <w:snapToGrid w:val="0"/>
              <w:spacing w:line="240" w:lineRule="auto"/>
              <w:jc w:val="center"/>
              <w:textAlignment w:val="bottom"/>
              <w:rPr>
                <w:rFonts w:hint="eastAsia" w:ascii="Times New Roman" w:hAnsi="Times New Roman"/>
                <w:kern w:val="0"/>
                <w:szCs w:val="21"/>
                <w:highlight w:val="none"/>
                <w:lang w:val="en-US" w:eastAsia="zh-CN"/>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西</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1143" w:type="dxa"/>
            <w:tcBorders>
              <w:tl2br w:val="nil"/>
              <w:tr2bl w:val="nil"/>
            </w:tcBorders>
            <w:vAlign w:val="center"/>
          </w:tcPr>
          <w:p w14:paraId="4DBBF1C9">
            <w:pPr>
              <w:pStyle w:val="2"/>
              <w:snapToGrid w:val="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53</w:t>
            </w:r>
          </w:p>
        </w:tc>
        <w:tc>
          <w:tcPr>
            <w:tcW w:w="1143" w:type="dxa"/>
            <w:tcBorders>
              <w:tl2br w:val="nil"/>
              <w:tr2bl w:val="nil"/>
            </w:tcBorders>
            <w:vAlign w:val="center"/>
          </w:tcPr>
          <w:p w14:paraId="360570A3">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44</w:t>
            </w:r>
          </w:p>
        </w:tc>
        <w:tc>
          <w:tcPr>
            <w:tcW w:w="1143" w:type="dxa"/>
            <w:tcBorders>
              <w:tl2br w:val="nil"/>
              <w:tr2bl w:val="nil"/>
            </w:tcBorders>
            <w:vAlign w:val="center"/>
          </w:tcPr>
          <w:p w14:paraId="118E568B">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53</w:t>
            </w:r>
          </w:p>
        </w:tc>
        <w:tc>
          <w:tcPr>
            <w:tcW w:w="1143" w:type="dxa"/>
            <w:tcBorders>
              <w:tl2br w:val="nil"/>
              <w:tr2bl w:val="nil"/>
            </w:tcBorders>
            <w:vAlign w:val="center"/>
          </w:tcPr>
          <w:p w14:paraId="29117F60">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44</w:t>
            </w:r>
          </w:p>
        </w:tc>
        <w:tc>
          <w:tcPr>
            <w:tcW w:w="950" w:type="pct"/>
            <w:vMerge w:val="continue"/>
            <w:tcBorders>
              <w:tl2br w:val="nil"/>
              <w:tr2bl w:val="nil"/>
            </w:tcBorders>
            <w:vAlign w:val="center"/>
          </w:tcPr>
          <w:p w14:paraId="3301986F">
            <w:pPr>
              <w:pStyle w:val="2"/>
              <w:snapToGrid w:val="0"/>
              <w:jc w:val="center"/>
              <w:rPr>
                <w:rFonts w:ascii="Times New Roman" w:eastAsia="宋体"/>
                <w:color w:val="auto"/>
                <w:sz w:val="21"/>
                <w:szCs w:val="21"/>
                <w:highlight w:val="none"/>
              </w:rPr>
            </w:pPr>
          </w:p>
        </w:tc>
      </w:tr>
      <w:tr w14:paraId="1022E2A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17CE666D">
            <w:pPr>
              <w:adjustRightInd w:val="0"/>
              <w:snapToGrid w:val="0"/>
              <w:jc w:val="center"/>
              <w:rPr>
                <w:rFonts w:hint="eastAsia" w:ascii="Times New Roman" w:eastAsia="宋体"/>
                <w:color w:val="auto"/>
                <w:sz w:val="21"/>
                <w:szCs w:val="21"/>
                <w:highlight w:val="none"/>
                <w:lang w:val="en-US" w:eastAsia="zh-CN"/>
              </w:rPr>
            </w:pPr>
            <w:r>
              <w:rPr>
                <w:rFonts w:ascii="Times New Roman" w:eastAsia="宋体"/>
                <w:color w:val="auto"/>
                <w:sz w:val="21"/>
                <w:szCs w:val="21"/>
                <w:highlight w:val="none"/>
              </w:rPr>
              <w:t>▲</w:t>
            </w:r>
            <w:r>
              <w:rPr>
                <w:rFonts w:hint="eastAsia" w:ascii="Times New Roman"/>
                <w:color w:val="auto"/>
                <w:sz w:val="21"/>
                <w:szCs w:val="21"/>
                <w:highlight w:val="none"/>
                <w:lang w:val="en-US" w:eastAsia="zh-CN"/>
              </w:rPr>
              <w:t>4</w:t>
            </w:r>
          </w:p>
        </w:tc>
        <w:tc>
          <w:tcPr>
            <w:tcW w:w="1017" w:type="pct"/>
            <w:tcBorders>
              <w:tl2br w:val="nil"/>
              <w:tr2bl w:val="nil"/>
            </w:tcBorders>
            <w:vAlign w:val="center"/>
          </w:tcPr>
          <w:p w14:paraId="57B0DC2E">
            <w:pPr>
              <w:pStyle w:val="268"/>
              <w:autoSpaceDE w:val="0"/>
              <w:autoSpaceDN w:val="0"/>
              <w:snapToGrid w:val="0"/>
              <w:spacing w:line="240" w:lineRule="auto"/>
              <w:jc w:val="center"/>
              <w:textAlignment w:val="bottom"/>
              <w:rPr>
                <w:rFonts w:hint="eastAsia" w:ascii="Times New Roman" w:hAnsi="Times New Roman"/>
                <w:kern w:val="0"/>
                <w:szCs w:val="21"/>
                <w:highlight w:val="none"/>
                <w:lang w:val="en-US" w:eastAsia="zh-CN"/>
              </w:rPr>
            </w:pPr>
            <w:r>
              <w:rPr>
                <w:rFonts w:ascii="Times New Roman" w:eastAsia="宋体" w:cs="Times New Roman"/>
                <w:color w:val="000000" w:themeColor="text1"/>
                <w:spacing w:val="20"/>
                <w:sz w:val="21"/>
                <w:szCs w:val="21"/>
                <w:highlight w:val="none"/>
                <w14:textFill>
                  <w14:solidFill>
                    <w14:schemeClr w14:val="tx1"/>
                  </w14:solidFill>
                </w14:textFill>
              </w:rPr>
              <w:t>厂界北侧</w:t>
            </w:r>
          </w:p>
        </w:tc>
        <w:tc>
          <w:tcPr>
            <w:tcW w:w="1143" w:type="dxa"/>
            <w:tcBorders>
              <w:tl2br w:val="nil"/>
              <w:tr2bl w:val="nil"/>
            </w:tcBorders>
            <w:vAlign w:val="center"/>
          </w:tcPr>
          <w:p w14:paraId="48CBD803">
            <w:pPr>
              <w:pStyle w:val="2"/>
              <w:snapToGrid w:val="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54</w:t>
            </w:r>
          </w:p>
        </w:tc>
        <w:tc>
          <w:tcPr>
            <w:tcW w:w="1143" w:type="dxa"/>
            <w:tcBorders>
              <w:tl2br w:val="nil"/>
              <w:tr2bl w:val="nil"/>
            </w:tcBorders>
            <w:vAlign w:val="center"/>
          </w:tcPr>
          <w:p w14:paraId="768E47F9">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1143" w:type="dxa"/>
            <w:tcBorders>
              <w:tl2br w:val="nil"/>
              <w:tr2bl w:val="nil"/>
            </w:tcBorders>
            <w:vAlign w:val="center"/>
          </w:tcPr>
          <w:p w14:paraId="4FC46037">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53</w:t>
            </w:r>
          </w:p>
        </w:tc>
        <w:tc>
          <w:tcPr>
            <w:tcW w:w="1143" w:type="dxa"/>
            <w:tcBorders>
              <w:tl2br w:val="nil"/>
              <w:tr2bl w:val="nil"/>
            </w:tcBorders>
            <w:vAlign w:val="center"/>
          </w:tcPr>
          <w:p w14:paraId="1D6BAA29">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950" w:type="pct"/>
            <w:vMerge w:val="continue"/>
            <w:tcBorders>
              <w:tl2br w:val="nil"/>
              <w:tr2bl w:val="nil"/>
            </w:tcBorders>
            <w:vAlign w:val="center"/>
          </w:tcPr>
          <w:p w14:paraId="05282D94">
            <w:pPr>
              <w:pStyle w:val="2"/>
              <w:snapToGrid w:val="0"/>
              <w:jc w:val="center"/>
              <w:rPr>
                <w:rFonts w:ascii="Times New Roman" w:eastAsia="宋体"/>
                <w:color w:val="auto"/>
                <w:sz w:val="21"/>
                <w:szCs w:val="21"/>
                <w:highlight w:val="none"/>
              </w:rPr>
            </w:pPr>
          </w:p>
        </w:tc>
      </w:tr>
    </w:tbl>
    <w:p w14:paraId="5C6D52BA">
      <w:pPr>
        <w:pStyle w:val="216"/>
        <w:jc w:val="center"/>
        <w:rPr>
          <w:rFonts w:hint="default" w:ascii="Times New Roman" w:hAnsi="Times New Roman" w:eastAsia="宋体" w:cs="Times New Roman"/>
          <w:snapToGrid w:val="0"/>
          <w:color w:val="auto"/>
          <w:sz w:val="24"/>
          <w:szCs w:val="32"/>
          <w:highlight w:val="none"/>
        </w:rPr>
      </w:pPr>
    </w:p>
    <w:p w14:paraId="26D935FB">
      <w:pPr>
        <w:jc w:val="center"/>
        <w:rPr>
          <w:rFonts w:hint="default" w:ascii="Times New Roman" w:hAnsi="Times New Roman" w:eastAsia="宋体" w:cs="Times New Roman"/>
          <w:color w:val="auto"/>
          <w:highlight w:val="none"/>
        </w:rPr>
      </w:pPr>
      <w:r>
        <w:rPr>
          <w:highlight w:val="none"/>
        </w:rPr>
        <w:drawing>
          <wp:inline distT="0" distB="0" distL="114300" distR="114300">
            <wp:extent cx="5268595" cy="3521710"/>
            <wp:effectExtent l="0" t="0" r="8255" b="254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73"/>
                    <a:stretch>
                      <a:fillRect/>
                    </a:stretch>
                  </pic:blipFill>
                  <pic:spPr>
                    <a:xfrm>
                      <a:off x="0" y="0"/>
                      <a:ext cx="5268595" cy="3521710"/>
                    </a:xfrm>
                    <a:prstGeom prst="rect">
                      <a:avLst/>
                    </a:prstGeom>
                    <a:noFill/>
                    <a:ln>
                      <a:noFill/>
                    </a:ln>
                  </pic:spPr>
                </pic:pic>
              </a:graphicData>
            </a:graphic>
          </wp:inline>
        </w:drawing>
      </w:r>
    </w:p>
    <w:p w14:paraId="46E87F54">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2-3  声现状监测布点示意图</w:t>
      </w:r>
    </w:p>
    <w:p w14:paraId="547F5303">
      <w:pPr>
        <w:pStyle w:val="8"/>
        <w:bidi w:val="0"/>
        <w:rPr>
          <w:rFonts w:hint="default"/>
          <w:highlight w:val="none"/>
        </w:rPr>
      </w:pPr>
      <w:bookmarkStart w:id="629" w:name="_Toc16394"/>
      <w:bookmarkStart w:id="630" w:name="_Toc27792"/>
      <w:r>
        <w:rPr>
          <w:rFonts w:hint="default"/>
          <w:highlight w:val="none"/>
        </w:rPr>
        <w:t>4.2.4.2声环境质量现状评价</w:t>
      </w:r>
      <w:bookmarkEnd w:id="629"/>
      <w:bookmarkEnd w:id="630"/>
    </w:p>
    <w:p w14:paraId="4F203657">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（1）评价因子</w:t>
      </w:r>
    </w:p>
    <w:p w14:paraId="3911C5B5">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选择等效连续A声级Leq（A）为本建设项目环境噪声的评价因子。</w:t>
      </w:r>
    </w:p>
    <w:p w14:paraId="10A33BC7">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（2）评价方法</w:t>
      </w:r>
    </w:p>
    <w:p w14:paraId="15BB2211">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直接比较法。</w:t>
      </w:r>
    </w:p>
    <w:p w14:paraId="54C64818">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（3）评价标准</w:t>
      </w:r>
    </w:p>
    <w:p w14:paraId="160EC622">
      <w:pPr>
        <w:pStyle w:val="94"/>
        <w:ind w:firstLine="480"/>
        <w:rPr>
          <w:rFonts w:hint="default" w:ascii="Times New Roman" w:hAnsi="Times New Roman" w:cs="Times New Roman"/>
          <w:snapToGrid w:val="0"/>
          <w:color w:val="auto"/>
          <w:highlight w:val="none"/>
          <w:lang w:val="zh-CN"/>
        </w:rPr>
      </w:pPr>
      <w:r>
        <w:rPr>
          <w:rFonts w:hint="default" w:ascii="Times New Roman" w:hAnsi="Times New Roman" w:cs="Times New Roman"/>
          <w:snapToGrid w:val="0"/>
          <w:color w:val="auto"/>
          <w:highlight w:val="none"/>
          <w:lang w:val="zh-CN"/>
        </w:rPr>
        <w:t>场址区域为《声环境质量标准》（GB3096-2008）中的</w:t>
      </w:r>
      <w:r>
        <w:rPr>
          <w:rFonts w:hint="eastAsia" w:ascii="Times New Roman" w:hAnsi="Times New Roman" w:cs="Times New Roman"/>
          <w:snapToGrid w:val="0"/>
          <w:color w:val="auto"/>
          <w:highlight w:val="none"/>
          <w:lang w:val="en-US" w:eastAsia="zh-CN"/>
        </w:rPr>
        <w:t>1类</w:t>
      </w:r>
      <w:r>
        <w:rPr>
          <w:rFonts w:hint="default" w:ascii="Times New Roman" w:hAnsi="Times New Roman" w:cs="Times New Roman"/>
          <w:snapToGrid w:val="0"/>
          <w:color w:val="auto"/>
          <w:highlight w:val="none"/>
          <w:lang w:val="zh-CN"/>
        </w:rPr>
        <w:t>区，因此，评价标准采用《声环境质量标准》（GB3096-2008）中的</w:t>
      </w:r>
      <w:r>
        <w:rPr>
          <w:rFonts w:hint="eastAsia" w:ascii="Times New Roman" w:hAnsi="Times New Roman" w:cs="Times New Roman"/>
          <w:snapToGrid w:val="0"/>
          <w:color w:val="auto"/>
          <w:highlight w:val="none"/>
          <w:lang w:val="en-US" w:eastAsia="zh-CN"/>
        </w:rPr>
        <w:t>1类</w:t>
      </w:r>
      <w:r>
        <w:rPr>
          <w:rFonts w:hint="default" w:ascii="Times New Roman" w:hAnsi="Times New Roman" w:cs="Times New Roman"/>
          <w:snapToGrid w:val="0"/>
          <w:color w:val="auto"/>
          <w:highlight w:val="none"/>
          <w:lang w:val="zh-CN"/>
        </w:rPr>
        <w:t>标准，即：昼间</w:t>
      </w:r>
      <w:r>
        <w:rPr>
          <w:rFonts w:hint="eastAsia" w:ascii="Times New Roman" w:hAnsi="Times New Roman" w:cs="Times New Roman"/>
          <w:snapToGrid w:val="0"/>
          <w:color w:val="auto"/>
          <w:highlight w:val="none"/>
          <w:lang w:val="en-US" w:eastAsia="zh-CN"/>
        </w:rPr>
        <w:t>55</w:t>
      </w:r>
      <w:r>
        <w:rPr>
          <w:rFonts w:hint="default" w:ascii="Times New Roman" w:hAnsi="Times New Roman" w:cs="Times New Roman"/>
          <w:snapToGrid w:val="0"/>
          <w:color w:val="auto"/>
          <w:highlight w:val="none"/>
          <w:lang w:val="zh-CN"/>
        </w:rPr>
        <w:t>dB（A），夜间</w:t>
      </w:r>
      <w:r>
        <w:rPr>
          <w:rFonts w:hint="eastAsia" w:ascii="Times New Roman" w:hAnsi="Times New Roman" w:cs="Times New Roman"/>
          <w:snapToGrid w:val="0"/>
          <w:color w:val="auto"/>
          <w:highlight w:val="none"/>
          <w:lang w:val="en-US" w:eastAsia="zh-CN"/>
        </w:rPr>
        <w:t>45</w:t>
      </w:r>
      <w:r>
        <w:rPr>
          <w:rFonts w:hint="default" w:ascii="Times New Roman" w:hAnsi="Times New Roman" w:cs="Times New Roman"/>
          <w:snapToGrid w:val="0"/>
          <w:color w:val="auto"/>
          <w:highlight w:val="none"/>
          <w:lang w:val="zh-CN"/>
        </w:rPr>
        <w:t>dB（A）。</w:t>
      </w:r>
    </w:p>
    <w:p w14:paraId="36BA1A23">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（4）评价结论</w:t>
      </w:r>
    </w:p>
    <w:p w14:paraId="75CCAB74">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将环境噪声现状监测结果与标准比较，各监测点环境噪声昼夜值满足《声环境质量标准》（GB3096-2008）中的</w:t>
      </w:r>
      <w:r>
        <w:rPr>
          <w:rFonts w:hint="eastAsia" w:ascii="Times New Roman" w:hAnsi="Times New Roman" w:cs="Times New Roman"/>
          <w:snapToGrid w:val="0"/>
          <w:color w:val="auto"/>
          <w:highlight w:val="none"/>
          <w:lang w:val="en-US" w:eastAsia="zh-CN"/>
        </w:rPr>
        <w:t>1类</w:t>
      </w:r>
      <w:r>
        <w:rPr>
          <w:rFonts w:hint="default" w:ascii="Times New Roman" w:hAnsi="Times New Roman" w:eastAsia="宋体" w:cs="Times New Roman"/>
          <w:snapToGrid w:val="0"/>
          <w:color w:val="auto"/>
          <w:highlight w:val="none"/>
          <w:lang w:val="zh-CN"/>
        </w:rPr>
        <w:t>标准。</w:t>
      </w:r>
    </w:p>
    <w:p w14:paraId="07900E55">
      <w:pPr>
        <w:pStyle w:val="7"/>
        <w:bidi w:val="0"/>
        <w:rPr>
          <w:rFonts w:hint="default"/>
          <w:highlight w:val="none"/>
          <w:lang w:val="en-US" w:eastAsia="zh-CN"/>
        </w:rPr>
      </w:pPr>
      <w:bookmarkStart w:id="631" w:name="_Toc26080"/>
      <w:bookmarkStart w:id="632" w:name="_Toc7476"/>
      <w:bookmarkStart w:id="633" w:name="_Toc24312"/>
      <w:bookmarkStart w:id="634" w:name="_Toc17741"/>
      <w:bookmarkStart w:id="635" w:name="_Toc6023"/>
      <w:r>
        <w:rPr>
          <w:rFonts w:hint="default"/>
          <w:highlight w:val="none"/>
        </w:rPr>
        <w:t>4.2.5</w:t>
      </w:r>
      <w:r>
        <w:rPr>
          <w:rFonts w:hint="default"/>
          <w:highlight w:val="none"/>
          <w:lang w:val="en-US" w:eastAsia="zh-CN"/>
        </w:rPr>
        <w:t>土壤环境质量现状评价</w:t>
      </w:r>
      <w:bookmarkEnd w:id="631"/>
      <w:bookmarkEnd w:id="632"/>
      <w:bookmarkEnd w:id="633"/>
      <w:bookmarkEnd w:id="634"/>
      <w:bookmarkEnd w:id="635"/>
    </w:p>
    <w:p w14:paraId="00215EFF">
      <w:pPr>
        <w:pStyle w:val="8"/>
        <w:bidi w:val="0"/>
        <w:rPr>
          <w:rFonts w:hint="default"/>
          <w:highlight w:val="none"/>
          <w:lang w:val="en-US" w:eastAsia="zh-CN"/>
        </w:rPr>
      </w:pPr>
      <w:bookmarkStart w:id="636" w:name="_Toc23647"/>
      <w:bookmarkStart w:id="637" w:name="_Toc7092"/>
      <w:r>
        <w:rPr>
          <w:rFonts w:hint="default"/>
          <w:highlight w:val="none"/>
          <w:lang w:val="en-US" w:eastAsia="zh-CN"/>
        </w:rPr>
        <w:t>4.2.5.1土壤环境质量现状调查</w:t>
      </w:r>
      <w:bookmarkEnd w:id="636"/>
      <w:bookmarkEnd w:id="637"/>
    </w:p>
    <w:p w14:paraId="1BD0C9C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本次土壤环境质量现状数据来自</w:t>
      </w:r>
      <w:r>
        <w:rPr>
          <w:rFonts w:hint="eastAsia" w:ascii="Times New Roman" w:hAnsi="Times New Roman" w:cs="Times New Roman"/>
          <w:color w:val="auto"/>
          <w:highlight w:val="none"/>
          <w:lang w:eastAsia="zh-CN"/>
        </w:rPr>
        <w:t>黑龙江克巽检测技术有限公司</w:t>
      </w:r>
      <w:r>
        <w:rPr>
          <w:rFonts w:hint="eastAsia" w:ascii="Times New Roman" w:hAnsi="Times New Roman" w:cs="Times New Roman"/>
          <w:color w:val="auto"/>
          <w:highlight w:val="none"/>
          <w:lang w:val="en-US" w:eastAsia="zh-CN"/>
        </w:rPr>
        <w:t>2025年</w:t>
      </w:r>
      <w:r>
        <w:rPr>
          <w:rFonts w:hint="eastAsia" w:ascii="Times New Roman" w:hAnsi="Times New Roman" w:cs="Times New Roman"/>
          <w:sz w:val="24"/>
          <w:highlight w:val="none"/>
          <w:lang w:val="en-US" w:eastAsia="zh-CN"/>
        </w:rPr>
        <w:t>7月23日和江</w:t>
      </w:r>
      <w:r>
        <w:rPr>
          <w:rFonts w:hint="eastAsia" w:ascii="Times New Roman" w:hAnsi="Times New Roman" w:eastAsia="宋体" w:cs="Times New Roman"/>
          <w:sz w:val="24"/>
          <w:highlight w:val="none"/>
          <w:lang w:val="en-US" w:eastAsia="zh-CN"/>
        </w:rPr>
        <w:t>苏格林勒斯检测科技有限公司</w:t>
      </w:r>
      <w:r>
        <w:rPr>
          <w:rFonts w:hint="eastAsia" w:ascii="Times New Roman" w:hAnsi="Times New Roman" w:cs="Times New Roman"/>
          <w:color w:val="auto"/>
          <w:highlight w:val="none"/>
          <w:lang w:val="en-US" w:eastAsia="zh-CN"/>
        </w:rPr>
        <w:t>2025</w:t>
      </w:r>
      <w:r>
        <w:rPr>
          <w:rFonts w:hint="default" w:ascii="Times New Roman" w:hAnsi="Times New Roman" w:eastAsia="宋体" w:cs="Times New Roman"/>
          <w:color w:val="auto"/>
          <w:highlight w:val="none"/>
          <w:lang w:val="en-US" w:eastAsia="zh-CN"/>
        </w:rPr>
        <w:t>年</w:t>
      </w:r>
      <w:r>
        <w:rPr>
          <w:rFonts w:hint="eastAsia" w:ascii="Times New Roman" w:hAnsi="Times New Roman" w:cs="Times New Roman"/>
          <w:color w:val="auto"/>
          <w:highlight w:val="none"/>
          <w:lang w:val="en-US" w:eastAsia="zh-CN"/>
        </w:rPr>
        <w:t>8</w:t>
      </w:r>
      <w:r>
        <w:rPr>
          <w:rFonts w:hint="default" w:ascii="Times New Roman" w:hAnsi="Times New Roman" w:eastAsia="宋体" w:cs="Times New Roman"/>
          <w:color w:val="auto"/>
          <w:highlight w:val="none"/>
          <w:lang w:val="en-US" w:eastAsia="zh-CN"/>
        </w:rPr>
        <w:t>月</w:t>
      </w: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lang w:val="en-US" w:eastAsia="zh-CN"/>
        </w:rPr>
        <w:t>日对本项目的监测数据。</w:t>
      </w:r>
    </w:p>
    <w:p w14:paraId="5063D48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（1）监测布点</w:t>
      </w:r>
    </w:p>
    <w:p w14:paraId="561A64B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根据《环境影响评价技术导则 土壤环境（试行）》（HJ964—2018）中监测布点原则，7.4.2.2调查评价范围内每种土壤类型应至少设置1个表层样监测点，应尽量设置在未受人为污染或相对未受污染的区域；7.4.2.4涉及入渗途径影响的，主要产污装置区应设置柱状样监测点；7.4.2.5涉及大气沉降影响的，应在占地范围外主导风向的上、下风向各设置1个表层样监测点，可在最大落地浓度点增设表层样监测点；7.4.2.10建设项目占地范围及其可能影响区域的土壤环境已存在污染风险的，应结合用地历史资料和现状调查情况，在可能受影响最重的区域布设监测点。</w:t>
      </w:r>
    </w:p>
    <w:p w14:paraId="600E17B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本项目评价范围</w:t>
      </w:r>
      <w:r>
        <w:rPr>
          <w:rFonts w:hint="default" w:ascii="Times New Roman" w:hAnsi="Times New Roman" w:cs="Times New Roman"/>
          <w:color w:val="auto"/>
          <w:highlight w:val="none"/>
          <w:lang w:val="en-US" w:eastAsia="zh-CN"/>
        </w:rPr>
        <w:t>50</w:t>
      </w:r>
      <w:r>
        <w:rPr>
          <w:rFonts w:hint="default" w:ascii="Times New Roman" w:hAnsi="Times New Roman" w:eastAsia="宋体" w:cs="Times New Roman"/>
          <w:color w:val="auto"/>
          <w:highlight w:val="none"/>
          <w:lang w:val="en-US" w:eastAsia="zh-CN"/>
        </w:rPr>
        <w:t>m，厂址占地范围内布设</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个表层样点。具体监测点位置见表4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2-1</w:t>
      </w:r>
      <w:r>
        <w:rPr>
          <w:rFonts w:hint="eastAsia" w:ascii="Times New Roman" w:hAnsi="Times New Roman" w:cs="Times New Roman"/>
          <w:color w:val="auto"/>
          <w:highlight w:val="none"/>
          <w:lang w:val="en-US" w:eastAsia="zh-CN"/>
        </w:rPr>
        <w:t>8</w:t>
      </w:r>
      <w:r>
        <w:rPr>
          <w:rFonts w:hint="default" w:ascii="Times New Roman" w:hAnsi="Times New Roman" w:eastAsia="宋体" w:cs="Times New Roman"/>
          <w:color w:val="auto"/>
          <w:highlight w:val="none"/>
          <w:lang w:val="en-US" w:eastAsia="zh-CN"/>
        </w:rPr>
        <w:t>，监测点位见图4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2-4。</w:t>
      </w:r>
    </w:p>
    <w:p w14:paraId="1678675F">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表4-2-1</w:t>
      </w:r>
      <w:r>
        <w:rPr>
          <w:rFonts w:hint="eastAsia" w:ascii="Times New Roman" w:hAnsi="Times New Roman" w:eastAsia="黑体" w:cs="Times New Roman"/>
          <w:b w:val="0"/>
          <w:bCs/>
          <w:smallCaps w:val="0"/>
          <w:snapToGrid/>
          <w:color w:val="auto"/>
          <w:kern w:val="2"/>
          <w:sz w:val="21"/>
          <w:szCs w:val="24"/>
          <w:highlight w:val="none"/>
          <w:lang w:val="en-US" w:eastAsia="zh-CN" w:bidi="ar-SA"/>
        </w:rPr>
        <w:t>8</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土壤环境质量监测点</w:t>
      </w:r>
    </w:p>
    <w:tbl>
      <w:tblPr>
        <w:tblStyle w:val="48"/>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5"/>
        <w:gridCol w:w="3559"/>
        <w:gridCol w:w="3518"/>
      </w:tblGrid>
      <w:tr w14:paraId="3E456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0A654430">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监测点编号</w:t>
            </w:r>
          </w:p>
        </w:tc>
        <w:tc>
          <w:tcPr>
            <w:tcW w:w="3559" w:type="dxa"/>
            <w:vAlign w:val="center"/>
          </w:tcPr>
          <w:p w14:paraId="407DB529">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rPr>
              <w:t>经纬度</w:t>
            </w:r>
            <w:r>
              <w:rPr>
                <w:rFonts w:hint="eastAsia" w:ascii="Times New Roman" w:hAnsi="Times New Roman" w:cs="Times New Roman"/>
                <w:sz w:val="21"/>
                <w:szCs w:val="21"/>
                <w:highlight w:val="none"/>
                <w:lang w:val="en-US" w:eastAsia="zh-CN"/>
              </w:rPr>
              <w:t>/°</w:t>
            </w:r>
          </w:p>
        </w:tc>
        <w:tc>
          <w:tcPr>
            <w:tcW w:w="3518" w:type="dxa"/>
            <w:vAlign w:val="center"/>
          </w:tcPr>
          <w:p w14:paraId="3C361E2D">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备注</w:t>
            </w:r>
          </w:p>
        </w:tc>
      </w:tr>
      <w:tr w14:paraId="5AB84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44D316DA">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w:t>
            </w:r>
          </w:p>
        </w:tc>
        <w:tc>
          <w:tcPr>
            <w:tcW w:w="3559" w:type="dxa"/>
            <w:vAlign w:val="center"/>
          </w:tcPr>
          <w:p w14:paraId="26BA0927">
            <w:pPr>
              <w:spacing w:line="32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132.175548</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45.568811</w:t>
            </w:r>
          </w:p>
        </w:tc>
        <w:tc>
          <w:tcPr>
            <w:tcW w:w="3518" w:type="dxa"/>
            <w:vAlign w:val="center"/>
          </w:tcPr>
          <w:p w14:paraId="75CD3346">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r w14:paraId="64820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36D144E9">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w:t>
            </w:r>
          </w:p>
        </w:tc>
        <w:tc>
          <w:tcPr>
            <w:tcW w:w="3559" w:type="dxa"/>
            <w:vAlign w:val="center"/>
          </w:tcPr>
          <w:p w14:paraId="267CE315">
            <w:pPr>
              <w:spacing w:line="320" w:lineRule="exact"/>
              <w:jc w:val="center"/>
              <w:rPr>
                <w:rFonts w:hint="eastAsia"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132.177399</w:t>
            </w:r>
            <w:r>
              <w:rPr>
                <w:rFonts w:hint="eastAsia" w:ascii="Times New Roman" w:hAnsi="Times New Roman" w:cs="Times New Roman"/>
                <w:sz w:val="21"/>
                <w:szCs w:val="21"/>
                <w:highlight w:val="none"/>
                <w:lang w:eastAsia="zh-CN"/>
              </w:rPr>
              <w:t>，45.568965</w:t>
            </w:r>
          </w:p>
        </w:tc>
        <w:tc>
          <w:tcPr>
            <w:tcW w:w="3518" w:type="dxa"/>
            <w:vAlign w:val="center"/>
          </w:tcPr>
          <w:p w14:paraId="3BA526BB">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r w14:paraId="25E848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69333469">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w:t>
            </w:r>
          </w:p>
        </w:tc>
        <w:tc>
          <w:tcPr>
            <w:tcW w:w="3559" w:type="dxa"/>
            <w:vAlign w:val="center"/>
          </w:tcPr>
          <w:p w14:paraId="218EB319">
            <w:pPr>
              <w:spacing w:line="320" w:lineRule="exact"/>
              <w:jc w:val="center"/>
              <w:rPr>
                <w:rFonts w:hint="eastAsia"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132.173231</w:t>
            </w:r>
            <w:r>
              <w:rPr>
                <w:rFonts w:hint="eastAsia" w:ascii="Times New Roman" w:hAnsi="Times New Roman" w:cs="Times New Roman"/>
                <w:sz w:val="21"/>
                <w:szCs w:val="21"/>
                <w:highlight w:val="none"/>
                <w:lang w:eastAsia="zh-CN"/>
              </w:rPr>
              <w:t>，45.567782</w:t>
            </w:r>
          </w:p>
        </w:tc>
        <w:tc>
          <w:tcPr>
            <w:tcW w:w="3518" w:type="dxa"/>
            <w:vAlign w:val="center"/>
          </w:tcPr>
          <w:p w14:paraId="6C63ECC2">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bl>
    <w:p w14:paraId="17F031E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（2）监测因子</w:t>
      </w:r>
    </w:p>
    <w:p w14:paraId="7C166DE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T1、T2、T3均监测：45项+pH、全盐量</w:t>
      </w:r>
    </w:p>
    <w:p w14:paraId="327307B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（3）监测时间及频率</w:t>
      </w:r>
    </w:p>
    <w:p w14:paraId="47A0B4B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eastAsia" w:ascii="Times New Roman" w:hAnsi="Times New Roman" w:eastAsia="宋体" w:cs="Times New Roman"/>
          <w:color w:val="auto"/>
          <w:highlight w:val="none"/>
          <w:lang w:val="en-US" w:eastAsia="zh-CN"/>
        </w:rPr>
        <w:t>土壤</w:t>
      </w:r>
      <w:r>
        <w:rPr>
          <w:rFonts w:hint="eastAsia" w:ascii="Times New Roman" w:hAnsi="Times New Roman" w:eastAsia="宋体" w:cs="Times New Roman"/>
          <w:kern w:val="2"/>
          <w:sz w:val="24"/>
          <w:szCs w:val="24"/>
          <w:highlight w:val="none"/>
          <w:lang w:val="en-US" w:eastAsia="zh-CN" w:bidi="ar-SA"/>
        </w:rPr>
        <w:t>采样时间：2025.07.23，检测单位收样日期：2025.08.01</w:t>
      </w:r>
    </w:p>
    <w:p w14:paraId="492852FE">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highlight w:val="none"/>
        </w:rPr>
        <w:drawing>
          <wp:inline distT="0" distB="0" distL="114300" distR="114300">
            <wp:extent cx="5268595" cy="2927985"/>
            <wp:effectExtent l="0" t="0" r="8255" b="571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74"/>
                    <a:stretch>
                      <a:fillRect/>
                    </a:stretch>
                  </pic:blipFill>
                  <pic:spPr>
                    <a:xfrm>
                      <a:off x="0" y="0"/>
                      <a:ext cx="5268595" cy="2927985"/>
                    </a:xfrm>
                    <a:prstGeom prst="rect">
                      <a:avLst/>
                    </a:prstGeom>
                    <a:noFill/>
                    <a:ln>
                      <a:noFill/>
                    </a:ln>
                  </pic:spPr>
                </pic:pic>
              </a:graphicData>
            </a:graphic>
          </wp:inline>
        </w:drawing>
      </w:r>
    </w:p>
    <w:p w14:paraId="5D19EB86">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2-4  土壤现状监测布点示意图</w:t>
      </w:r>
    </w:p>
    <w:p w14:paraId="32B3C17F">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（4）监测方法</w:t>
      </w:r>
    </w:p>
    <w:p w14:paraId="6B5B04B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监测分析方法按《土壤环境监测技术规范》（HJ/T166-2004）。</w:t>
      </w:r>
    </w:p>
    <w:p w14:paraId="6E284486">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9</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土壤监测分析方法</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302"/>
        <w:gridCol w:w="3387"/>
        <w:gridCol w:w="1228"/>
        <w:gridCol w:w="1905"/>
      </w:tblGrid>
      <w:tr w14:paraId="57313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694" w:type="dxa"/>
            <w:tcBorders>
              <w:tl2br w:val="nil"/>
              <w:tr2bl w:val="nil"/>
            </w:tcBorders>
            <w:vAlign w:val="center"/>
          </w:tcPr>
          <w:p w14:paraId="1CC821FF">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序号</w:t>
            </w:r>
          </w:p>
        </w:tc>
        <w:tc>
          <w:tcPr>
            <w:tcW w:w="1302" w:type="dxa"/>
            <w:tcBorders>
              <w:tl2br w:val="nil"/>
              <w:tr2bl w:val="nil"/>
            </w:tcBorders>
            <w:vAlign w:val="center"/>
          </w:tcPr>
          <w:p w14:paraId="3D2C1DE3">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项目</w:t>
            </w:r>
          </w:p>
        </w:tc>
        <w:tc>
          <w:tcPr>
            <w:tcW w:w="3387" w:type="dxa"/>
            <w:tcBorders>
              <w:tl2br w:val="nil"/>
              <w:tr2bl w:val="nil"/>
            </w:tcBorders>
            <w:vAlign w:val="center"/>
          </w:tcPr>
          <w:p w14:paraId="31670F85">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标准方法</w:t>
            </w:r>
          </w:p>
        </w:tc>
        <w:tc>
          <w:tcPr>
            <w:tcW w:w="1228" w:type="dxa"/>
            <w:tcBorders>
              <w:tl2br w:val="nil"/>
              <w:tr2bl w:val="nil"/>
            </w:tcBorders>
            <w:vAlign w:val="center"/>
          </w:tcPr>
          <w:p w14:paraId="10E57949">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仪器名称</w:t>
            </w:r>
          </w:p>
        </w:tc>
        <w:tc>
          <w:tcPr>
            <w:tcW w:w="1905" w:type="dxa"/>
            <w:tcBorders>
              <w:tl2br w:val="nil"/>
              <w:tr2bl w:val="nil"/>
            </w:tcBorders>
            <w:vAlign w:val="center"/>
          </w:tcPr>
          <w:p w14:paraId="49B705E2">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型号/编号</w:t>
            </w:r>
          </w:p>
        </w:tc>
      </w:tr>
      <w:tr w14:paraId="4BC47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4B4C4A2">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p>
        </w:tc>
        <w:tc>
          <w:tcPr>
            <w:tcW w:w="1302" w:type="dxa"/>
            <w:tcBorders>
              <w:tl2br w:val="nil"/>
              <w:tr2bl w:val="nil"/>
            </w:tcBorders>
            <w:vAlign w:val="center"/>
          </w:tcPr>
          <w:p w14:paraId="4F35BB50">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pH值</w:t>
            </w:r>
          </w:p>
        </w:tc>
        <w:tc>
          <w:tcPr>
            <w:tcW w:w="3387" w:type="dxa"/>
            <w:tcBorders>
              <w:tl2br w:val="nil"/>
              <w:tr2bl w:val="nil"/>
            </w:tcBorders>
            <w:vAlign w:val="center"/>
          </w:tcPr>
          <w:p w14:paraId="1A700AEC">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土壤 pH 值的测定 电位法</w:t>
            </w:r>
          </w:p>
          <w:p w14:paraId="1DCAABEB">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 xml:space="preserve">HJ 962-2018 </w:t>
            </w:r>
          </w:p>
        </w:tc>
        <w:tc>
          <w:tcPr>
            <w:tcW w:w="1228" w:type="dxa"/>
            <w:tcBorders>
              <w:tl2br w:val="nil"/>
              <w:tr2bl w:val="nil"/>
            </w:tcBorders>
            <w:vAlign w:val="center"/>
          </w:tcPr>
          <w:p w14:paraId="08BE1C94">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pH计</w:t>
            </w:r>
          </w:p>
        </w:tc>
        <w:tc>
          <w:tcPr>
            <w:tcW w:w="1905" w:type="dxa"/>
            <w:tcBorders>
              <w:tl2br w:val="nil"/>
              <w:tr2bl w:val="nil"/>
            </w:tcBorders>
            <w:vAlign w:val="center"/>
          </w:tcPr>
          <w:p w14:paraId="17B178FA">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PXS-270 GLLS-JC-054</w:t>
            </w:r>
          </w:p>
        </w:tc>
      </w:tr>
      <w:tr w14:paraId="0CB3C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CA52D6E">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2</w:t>
            </w:r>
          </w:p>
        </w:tc>
        <w:tc>
          <w:tcPr>
            <w:tcW w:w="1302" w:type="dxa"/>
            <w:tcBorders>
              <w:tl2br w:val="nil"/>
              <w:tr2bl w:val="nil"/>
            </w:tcBorders>
            <w:vAlign w:val="center"/>
          </w:tcPr>
          <w:p w14:paraId="13CF238B">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阳离子交换量</w:t>
            </w:r>
          </w:p>
        </w:tc>
        <w:tc>
          <w:tcPr>
            <w:tcW w:w="3387" w:type="dxa"/>
            <w:tcBorders>
              <w:tl2br w:val="nil"/>
              <w:tr2bl w:val="nil"/>
            </w:tcBorders>
            <w:vAlign w:val="center"/>
          </w:tcPr>
          <w:p w14:paraId="7B1FAF9A">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土壤 阳离子交换量的测定 三氯化六氨合钴浸提-分光光度法</w:t>
            </w:r>
          </w:p>
          <w:p w14:paraId="569EC08B">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HJ 889-2017</w:t>
            </w:r>
          </w:p>
        </w:tc>
        <w:tc>
          <w:tcPr>
            <w:tcW w:w="1228" w:type="dxa"/>
            <w:tcBorders>
              <w:tl2br w:val="nil"/>
              <w:tr2bl w:val="nil"/>
            </w:tcBorders>
            <w:vAlign w:val="center"/>
          </w:tcPr>
          <w:p w14:paraId="216CCF28">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紫外可见分光光度计</w:t>
            </w:r>
          </w:p>
        </w:tc>
        <w:tc>
          <w:tcPr>
            <w:tcW w:w="1905" w:type="dxa"/>
            <w:tcBorders>
              <w:tl2br w:val="nil"/>
              <w:tr2bl w:val="nil"/>
            </w:tcBorders>
            <w:vAlign w:val="center"/>
          </w:tcPr>
          <w:p w14:paraId="5CD2C19B">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TU-1900 GLLS-JC-420</w:t>
            </w:r>
          </w:p>
        </w:tc>
      </w:tr>
      <w:tr w14:paraId="48D67C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9CA6575">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3</w:t>
            </w:r>
          </w:p>
        </w:tc>
        <w:tc>
          <w:tcPr>
            <w:tcW w:w="1302" w:type="dxa"/>
            <w:tcBorders>
              <w:tl2br w:val="nil"/>
              <w:tr2bl w:val="nil"/>
            </w:tcBorders>
            <w:vAlign w:val="center"/>
          </w:tcPr>
          <w:p w14:paraId="5A09986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铬（六价）</w:t>
            </w:r>
          </w:p>
        </w:tc>
        <w:tc>
          <w:tcPr>
            <w:tcW w:w="3387" w:type="dxa"/>
            <w:tcBorders>
              <w:tl2br w:val="nil"/>
              <w:tr2bl w:val="nil"/>
            </w:tcBorders>
            <w:vAlign w:val="center"/>
          </w:tcPr>
          <w:p w14:paraId="1B8DE5F1">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土壤和沉积物 六价铬的测定 碱溶液提取-火焰原子吸收分光光度法</w:t>
            </w:r>
          </w:p>
          <w:p w14:paraId="5DD5E6D2">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HJ 1082-2019</w:t>
            </w:r>
          </w:p>
        </w:tc>
        <w:tc>
          <w:tcPr>
            <w:tcW w:w="1228" w:type="dxa"/>
            <w:tcBorders>
              <w:tl2br w:val="nil"/>
              <w:tr2bl w:val="nil"/>
            </w:tcBorders>
            <w:vAlign w:val="center"/>
          </w:tcPr>
          <w:p w14:paraId="377A465D">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火焰原子吸收分光光度计</w:t>
            </w:r>
          </w:p>
        </w:tc>
        <w:tc>
          <w:tcPr>
            <w:tcW w:w="1905" w:type="dxa"/>
            <w:tcBorders>
              <w:tl2br w:val="nil"/>
              <w:tr2bl w:val="nil"/>
            </w:tcBorders>
            <w:vAlign w:val="center"/>
          </w:tcPr>
          <w:p w14:paraId="460BF20B">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Agilent280FS</w:t>
            </w:r>
            <w:r>
              <w:rPr>
                <w:rFonts w:hint="eastAsia" w:ascii="Times New Roman" w:hAnsi="Times New Roman" w:cs="Times New Roman"/>
                <w:kern w:val="2"/>
                <w:sz w:val="21"/>
                <w:szCs w:val="21"/>
                <w:highlight w:val="none"/>
                <w:lang w:val="en-US" w:eastAsia="zh-CN" w:bidi="ar-SA"/>
              </w:rPr>
              <w:t>/</w:t>
            </w:r>
          </w:p>
          <w:p w14:paraId="4B14C271">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GLLS-JC-278</w:t>
            </w:r>
          </w:p>
        </w:tc>
      </w:tr>
      <w:tr w14:paraId="0F14B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82785EC">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4</w:t>
            </w:r>
          </w:p>
        </w:tc>
        <w:tc>
          <w:tcPr>
            <w:tcW w:w="1302" w:type="dxa"/>
            <w:tcBorders>
              <w:tl2br w:val="nil"/>
              <w:tr2bl w:val="nil"/>
            </w:tcBorders>
            <w:vAlign w:val="center"/>
          </w:tcPr>
          <w:p w14:paraId="77964FE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四氯化碳</w:t>
            </w:r>
          </w:p>
        </w:tc>
        <w:tc>
          <w:tcPr>
            <w:tcW w:w="3387" w:type="dxa"/>
            <w:tcBorders>
              <w:tl2br w:val="nil"/>
              <w:tr2bl w:val="nil"/>
            </w:tcBorders>
            <w:vAlign w:val="center"/>
          </w:tcPr>
          <w:p w14:paraId="51B8791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4AB2FA1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138626A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2E44AE1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53DE59E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CCF73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4C71D88D">
            <w:pPr>
              <w:numPr>
                <w:ilvl w:val="0"/>
                <w:numId w:val="0"/>
              </w:numPr>
              <w:ind w:left="425" w:leftChars="0" w:hanging="425"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w:t>
            </w:r>
          </w:p>
        </w:tc>
        <w:tc>
          <w:tcPr>
            <w:tcW w:w="1302" w:type="dxa"/>
            <w:tcBorders>
              <w:tl2br w:val="nil"/>
              <w:tr2bl w:val="nil"/>
            </w:tcBorders>
            <w:vAlign w:val="center"/>
          </w:tcPr>
          <w:p w14:paraId="790279A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氯仿</w:t>
            </w:r>
          </w:p>
        </w:tc>
        <w:tc>
          <w:tcPr>
            <w:tcW w:w="3387" w:type="dxa"/>
            <w:tcBorders>
              <w:tl2br w:val="nil"/>
              <w:tr2bl w:val="nil"/>
            </w:tcBorders>
            <w:vAlign w:val="center"/>
          </w:tcPr>
          <w:p w14:paraId="14D88A6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47FCDE1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6B5E89C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525CCDC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24D3AF4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5E48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D889455">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6</w:t>
            </w:r>
          </w:p>
        </w:tc>
        <w:tc>
          <w:tcPr>
            <w:tcW w:w="1302" w:type="dxa"/>
            <w:tcBorders>
              <w:tl2br w:val="nil"/>
              <w:tr2bl w:val="nil"/>
            </w:tcBorders>
            <w:vAlign w:val="center"/>
          </w:tcPr>
          <w:p w14:paraId="3C74292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氯甲烷</w:t>
            </w:r>
          </w:p>
        </w:tc>
        <w:tc>
          <w:tcPr>
            <w:tcW w:w="3387" w:type="dxa"/>
            <w:tcBorders>
              <w:tl2br w:val="nil"/>
              <w:tr2bl w:val="nil"/>
            </w:tcBorders>
            <w:vAlign w:val="center"/>
          </w:tcPr>
          <w:p w14:paraId="2A6F349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53017E1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7852825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F48764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CDC86F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0466C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84D9C8C">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7</w:t>
            </w:r>
          </w:p>
        </w:tc>
        <w:tc>
          <w:tcPr>
            <w:tcW w:w="1302" w:type="dxa"/>
            <w:tcBorders>
              <w:tl2br w:val="nil"/>
              <w:tr2bl w:val="nil"/>
            </w:tcBorders>
            <w:vAlign w:val="center"/>
          </w:tcPr>
          <w:p w14:paraId="7C453813">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1,1-二氯乙烷</w:t>
            </w:r>
          </w:p>
        </w:tc>
        <w:tc>
          <w:tcPr>
            <w:tcW w:w="3387" w:type="dxa"/>
            <w:tcBorders>
              <w:tl2br w:val="nil"/>
              <w:tr2bl w:val="nil"/>
            </w:tcBorders>
            <w:vAlign w:val="center"/>
          </w:tcPr>
          <w:p w14:paraId="7305BB6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56B6B81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1D1EDA7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2C68F94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866063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93D6F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0227C639">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8</w:t>
            </w:r>
          </w:p>
        </w:tc>
        <w:tc>
          <w:tcPr>
            <w:tcW w:w="1302" w:type="dxa"/>
            <w:tcBorders>
              <w:tl2br w:val="nil"/>
              <w:tr2bl w:val="nil"/>
            </w:tcBorders>
            <w:vAlign w:val="center"/>
          </w:tcPr>
          <w:p w14:paraId="7ED1488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1,2-二氯乙烷</w:t>
            </w:r>
          </w:p>
        </w:tc>
        <w:tc>
          <w:tcPr>
            <w:tcW w:w="3387" w:type="dxa"/>
            <w:tcBorders>
              <w:tl2br w:val="nil"/>
              <w:tr2bl w:val="nil"/>
            </w:tcBorders>
            <w:vAlign w:val="center"/>
          </w:tcPr>
          <w:p w14:paraId="69546AD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43E4DBB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58FFF38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2678E47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B26A87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52AD2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FC5DB3E">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9</w:t>
            </w:r>
          </w:p>
        </w:tc>
        <w:tc>
          <w:tcPr>
            <w:tcW w:w="1302" w:type="dxa"/>
            <w:tcBorders>
              <w:tl2br w:val="nil"/>
              <w:tr2bl w:val="nil"/>
            </w:tcBorders>
            <w:vAlign w:val="center"/>
          </w:tcPr>
          <w:p w14:paraId="3468D67D">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1,1-二氯乙烯</w:t>
            </w:r>
          </w:p>
        </w:tc>
        <w:tc>
          <w:tcPr>
            <w:tcW w:w="3387" w:type="dxa"/>
            <w:tcBorders>
              <w:tl2br w:val="nil"/>
              <w:tr2bl w:val="nil"/>
            </w:tcBorders>
            <w:vAlign w:val="center"/>
          </w:tcPr>
          <w:p w14:paraId="391ED4B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D7D525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7EE3C25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6ED8641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617C7E7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31F5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3C106D6">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10</w:t>
            </w:r>
          </w:p>
        </w:tc>
        <w:tc>
          <w:tcPr>
            <w:tcW w:w="1302" w:type="dxa"/>
            <w:tcBorders>
              <w:tl2br w:val="nil"/>
              <w:tr2bl w:val="nil"/>
            </w:tcBorders>
            <w:vAlign w:val="center"/>
          </w:tcPr>
          <w:p w14:paraId="1164D890">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顺-1,2-二氯乙烯</w:t>
            </w:r>
          </w:p>
        </w:tc>
        <w:tc>
          <w:tcPr>
            <w:tcW w:w="3387" w:type="dxa"/>
            <w:tcBorders>
              <w:tl2br w:val="nil"/>
              <w:tr2bl w:val="nil"/>
            </w:tcBorders>
            <w:vAlign w:val="center"/>
          </w:tcPr>
          <w:p w14:paraId="50EB86E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6DD8333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720061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563A47F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515A0D5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6D3E7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B92A2D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11</w:t>
            </w:r>
          </w:p>
        </w:tc>
        <w:tc>
          <w:tcPr>
            <w:tcW w:w="1302" w:type="dxa"/>
            <w:tcBorders>
              <w:tl2br w:val="nil"/>
              <w:tr2bl w:val="nil"/>
            </w:tcBorders>
            <w:vAlign w:val="center"/>
          </w:tcPr>
          <w:p w14:paraId="7F4DC06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反-1,2-二氯乙烯</w:t>
            </w:r>
          </w:p>
        </w:tc>
        <w:tc>
          <w:tcPr>
            <w:tcW w:w="3387" w:type="dxa"/>
            <w:tcBorders>
              <w:tl2br w:val="nil"/>
              <w:tr2bl w:val="nil"/>
            </w:tcBorders>
            <w:vAlign w:val="center"/>
          </w:tcPr>
          <w:p w14:paraId="4D9FC5A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6019031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1A369E3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821C4A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3810CBB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2E8D60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064C1BD">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12</w:t>
            </w:r>
          </w:p>
        </w:tc>
        <w:tc>
          <w:tcPr>
            <w:tcW w:w="1302" w:type="dxa"/>
            <w:tcBorders>
              <w:tl2br w:val="nil"/>
              <w:tr2bl w:val="nil"/>
            </w:tcBorders>
            <w:vAlign w:val="center"/>
          </w:tcPr>
          <w:p w14:paraId="19153088">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二氯甲烷</w:t>
            </w:r>
          </w:p>
        </w:tc>
        <w:tc>
          <w:tcPr>
            <w:tcW w:w="3387" w:type="dxa"/>
            <w:tcBorders>
              <w:tl2br w:val="nil"/>
              <w:tr2bl w:val="nil"/>
            </w:tcBorders>
            <w:vAlign w:val="center"/>
          </w:tcPr>
          <w:p w14:paraId="6B10EEE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5F36064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65584C5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F74438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29FED4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58C6B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08A55405">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13</w:t>
            </w:r>
          </w:p>
        </w:tc>
        <w:tc>
          <w:tcPr>
            <w:tcW w:w="1302" w:type="dxa"/>
            <w:tcBorders>
              <w:tl2br w:val="nil"/>
              <w:tr2bl w:val="nil"/>
            </w:tcBorders>
            <w:vAlign w:val="center"/>
          </w:tcPr>
          <w:p w14:paraId="2F764CC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1,2-二氯丙烷</w:t>
            </w:r>
          </w:p>
        </w:tc>
        <w:tc>
          <w:tcPr>
            <w:tcW w:w="3387" w:type="dxa"/>
            <w:tcBorders>
              <w:tl2br w:val="nil"/>
              <w:tr2bl w:val="nil"/>
            </w:tcBorders>
            <w:vAlign w:val="center"/>
          </w:tcPr>
          <w:p w14:paraId="2E2CE3F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06E82CF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CCB583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0AF7A0A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EB85CD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0894DE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539C5865">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14</w:t>
            </w:r>
          </w:p>
        </w:tc>
        <w:tc>
          <w:tcPr>
            <w:tcW w:w="1302" w:type="dxa"/>
            <w:tcBorders>
              <w:tl2br w:val="nil"/>
              <w:tr2bl w:val="nil"/>
            </w:tcBorders>
            <w:vAlign w:val="center"/>
          </w:tcPr>
          <w:p w14:paraId="47C814A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1,1,1,2-四氯乙烷</w:t>
            </w:r>
          </w:p>
        </w:tc>
        <w:tc>
          <w:tcPr>
            <w:tcW w:w="3387" w:type="dxa"/>
            <w:tcBorders>
              <w:tl2br w:val="nil"/>
              <w:tr2bl w:val="nil"/>
            </w:tcBorders>
            <w:vAlign w:val="center"/>
          </w:tcPr>
          <w:p w14:paraId="363B4F9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6205E5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50E230E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6146F48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5C7CB1B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4CF7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3ECB1DE">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15</w:t>
            </w:r>
          </w:p>
        </w:tc>
        <w:tc>
          <w:tcPr>
            <w:tcW w:w="1302" w:type="dxa"/>
            <w:tcBorders>
              <w:tl2br w:val="nil"/>
              <w:tr2bl w:val="nil"/>
            </w:tcBorders>
            <w:vAlign w:val="center"/>
          </w:tcPr>
          <w:p w14:paraId="3112048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1,1,2,2-四氯乙烷</w:t>
            </w:r>
          </w:p>
        </w:tc>
        <w:tc>
          <w:tcPr>
            <w:tcW w:w="3387" w:type="dxa"/>
            <w:tcBorders>
              <w:tl2br w:val="nil"/>
              <w:tr2bl w:val="nil"/>
            </w:tcBorders>
            <w:vAlign w:val="center"/>
          </w:tcPr>
          <w:p w14:paraId="2B1961D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3F29045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4BF0ED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6DED29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9381CC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6B839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E066566">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16</w:t>
            </w:r>
          </w:p>
        </w:tc>
        <w:tc>
          <w:tcPr>
            <w:tcW w:w="1302" w:type="dxa"/>
            <w:tcBorders>
              <w:tl2br w:val="nil"/>
              <w:tr2bl w:val="nil"/>
            </w:tcBorders>
            <w:vAlign w:val="center"/>
          </w:tcPr>
          <w:p w14:paraId="7FAE6E2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四氯乙烯</w:t>
            </w:r>
          </w:p>
        </w:tc>
        <w:tc>
          <w:tcPr>
            <w:tcW w:w="3387" w:type="dxa"/>
            <w:tcBorders>
              <w:tl2br w:val="nil"/>
              <w:tr2bl w:val="nil"/>
            </w:tcBorders>
            <w:vAlign w:val="center"/>
          </w:tcPr>
          <w:p w14:paraId="3907E6E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005B0C1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021831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1301935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AB4265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0E9D7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E11FD43">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17</w:t>
            </w:r>
          </w:p>
        </w:tc>
        <w:tc>
          <w:tcPr>
            <w:tcW w:w="1302" w:type="dxa"/>
            <w:tcBorders>
              <w:tl2br w:val="nil"/>
              <w:tr2bl w:val="nil"/>
            </w:tcBorders>
            <w:vAlign w:val="center"/>
          </w:tcPr>
          <w:p w14:paraId="5DC04E4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1,1,1-三氯乙烷</w:t>
            </w:r>
          </w:p>
        </w:tc>
        <w:tc>
          <w:tcPr>
            <w:tcW w:w="3387" w:type="dxa"/>
            <w:tcBorders>
              <w:tl2br w:val="nil"/>
              <w:tr2bl w:val="nil"/>
            </w:tcBorders>
            <w:vAlign w:val="center"/>
          </w:tcPr>
          <w:p w14:paraId="47EBB81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6672BBE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58190F2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3A32F66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028A9E8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856B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56A7025">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18</w:t>
            </w:r>
          </w:p>
        </w:tc>
        <w:tc>
          <w:tcPr>
            <w:tcW w:w="1302" w:type="dxa"/>
            <w:tcBorders>
              <w:tl2br w:val="nil"/>
              <w:tr2bl w:val="nil"/>
            </w:tcBorders>
            <w:vAlign w:val="center"/>
          </w:tcPr>
          <w:p w14:paraId="5227EBC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1,1,2-三氯乙烷</w:t>
            </w:r>
          </w:p>
        </w:tc>
        <w:tc>
          <w:tcPr>
            <w:tcW w:w="3387" w:type="dxa"/>
            <w:tcBorders>
              <w:tl2br w:val="nil"/>
              <w:tr2bl w:val="nil"/>
            </w:tcBorders>
            <w:vAlign w:val="center"/>
          </w:tcPr>
          <w:p w14:paraId="3152429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3D4DFC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3A45768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3463194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2B2B726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0EB0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FD8E7D4">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19</w:t>
            </w:r>
          </w:p>
        </w:tc>
        <w:tc>
          <w:tcPr>
            <w:tcW w:w="1302" w:type="dxa"/>
            <w:tcBorders>
              <w:tl2br w:val="nil"/>
              <w:tr2bl w:val="nil"/>
            </w:tcBorders>
            <w:vAlign w:val="center"/>
          </w:tcPr>
          <w:p w14:paraId="107D45F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三氯乙烯</w:t>
            </w:r>
          </w:p>
        </w:tc>
        <w:tc>
          <w:tcPr>
            <w:tcW w:w="3387" w:type="dxa"/>
            <w:tcBorders>
              <w:tl2br w:val="nil"/>
              <w:tr2bl w:val="nil"/>
            </w:tcBorders>
            <w:vAlign w:val="center"/>
          </w:tcPr>
          <w:p w14:paraId="26A087C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0030EA0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10FD53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6523D21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10CB2C5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2D6AF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425D6CBB">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20</w:t>
            </w:r>
          </w:p>
        </w:tc>
        <w:tc>
          <w:tcPr>
            <w:tcW w:w="1302" w:type="dxa"/>
            <w:tcBorders>
              <w:tl2br w:val="nil"/>
              <w:tr2bl w:val="nil"/>
            </w:tcBorders>
            <w:vAlign w:val="center"/>
          </w:tcPr>
          <w:p w14:paraId="549475E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1,2,3-三氯丙烷</w:t>
            </w:r>
          </w:p>
        </w:tc>
        <w:tc>
          <w:tcPr>
            <w:tcW w:w="3387" w:type="dxa"/>
            <w:tcBorders>
              <w:tl2br w:val="nil"/>
              <w:tr2bl w:val="nil"/>
            </w:tcBorders>
            <w:vAlign w:val="center"/>
          </w:tcPr>
          <w:p w14:paraId="525CF45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568B36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5B5B8A8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7F8201D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394359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00687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44246F7">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21</w:t>
            </w:r>
          </w:p>
        </w:tc>
        <w:tc>
          <w:tcPr>
            <w:tcW w:w="1302" w:type="dxa"/>
            <w:tcBorders>
              <w:tl2br w:val="nil"/>
              <w:tr2bl w:val="nil"/>
            </w:tcBorders>
            <w:vAlign w:val="center"/>
          </w:tcPr>
          <w:p w14:paraId="4F377A13">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氯乙烯</w:t>
            </w:r>
          </w:p>
        </w:tc>
        <w:tc>
          <w:tcPr>
            <w:tcW w:w="3387" w:type="dxa"/>
            <w:tcBorders>
              <w:tl2br w:val="nil"/>
              <w:tr2bl w:val="nil"/>
            </w:tcBorders>
            <w:vAlign w:val="center"/>
          </w:tcPr>
          <w:p w14:paraId="4BA4238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7CE343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69A455E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26C7A22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5710424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9BAD0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AB20D0A">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22</w:t>
            </w:r>
          </w:p>
        </w:tc>
        <w:tc>
          <w:tcPr>
            <w:tcW w:w="1302" w:type="dxa"/>
            <w:tcBorders>
              <w:tl2br w:val="nil"/>
              <w:tr2bl w:val="nil"/>
            </w:tcBorders>
            <w:vAlign w:val="center"/>
          </w:tcPr>
          <w:p w14:paraId="50C808D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w:t>
            </w:r>
          </w:p>
        </w:tc>
        <w:tc>
          <w:tcPr>
            <w:tcW w:w="3387" w:type="dxa"/>
            <w:tcBorders>
              <w:tl2br w:val="nil"/>
              <w:tr2bl w:val="nil"/>
            </w:tcBorders>
            <w:vAlign w:val="center"/>
          </w:tcPr>
          <w:p w14:paraId="19C35F2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7A72CE1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001A213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1446E5C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394D618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8FDA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7FC3A81">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23</w:t>
            </w:r>
          </w:p>
        </w:tc>
        <w:tc>
          <w:tcPr>
            <w:tcW w:w="1302" w:type="dxa"/>
            <w:tcBorders>
              <w:tl2br w:val="nil"/>
              <w:tr2bl w:val="nil"/>
            </w:tcBorders>
            <w:vAlign w:val="center"/>
          </w:tcPr>
          <w:p w14:paraId="1C8623A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氯苯</w:t>
            </w:r>
          </w:p>
        </w:tc>
        <w:tc>
          <w:tcPr>
            <w:tcW w:w="3387" w:type="dxa"/>
            <w:tcBorders>
              <w:tl2br w:val="nil"/>
              <w:tr2bl w:val="nil"/>
            </w:tcBorders>
            <w:vAlign w:val="center"/>
          </w:tcPr>
          <w:p w14:paraId="5A389A2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3FE3671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F82880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112A147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F0EFC6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3173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ABD9187">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24</w:t>
            </w:r>
          </w:p>
        </w:tc>
        <w:tc>
          <w:tcPr>
            <w:tcW w:w="1302" w:type="dxa"/>
            <w:tcBorders>
              <w:tl2br w:val="nil"/>
              <w:tr2bl w:val="nil"/>
            </w:tcBorders>
            <w:vAlign w:val="center"/>
          </w:tcPr>
          <w:p w14:paraId="3929826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1,2-二氯苯</w:t>
            </w:r>
          </w:p>
        </w:tc>
        <w:tc>
          <w:tcPr>
            <w:tcW w:w="3387" w:type="dxa"/>
            <w:tcBorders>
              <w:tl2br w:val="nil"/>
              <w:tr2bl w:val="nil"/>
            </w:tcBorders>
            <w:vAlign w:val="center"/>
          </w:tcPr>
          <w:p w14:paraId="5B5F0A6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81F668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49FCAEA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3C2D989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6D9400A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AD71B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5999D6F">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25</w:t>
            </w:r>
          </w:p>
        </w:tc>
        <w:tc>
          <w:tcPr>
            <w:tcW w:w="1302" w:type="dxa"/>
            <w:tcBorders>
              <w:tl2br w:val="nil"/>
              <w:tr2bl w:val="nil"/>
            </w:tcBorders>
            <w:vAlign w:val="center"/>
          </w:tcPr>
          <w:p w14:paraId="61D3694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1,4-二氯苯</w:t>
            </w:r>
          </w:p>
        </w:tc>
        <w:tc>
          <w:tcPr>
            <w:tcW w:w="3387" w:type="dxa"/>
            <w:tcBorders>
              <w:tl2br w:val="nil"/>
              <w:tr2bl w:val="nil"/>
            </w:tcBorders>
            <w:vAlign w:val="center"/>
          </w:tcPr>
          <w:p w14:paraId="6D33A68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5218FCD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63F31D5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BE790C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03831B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B420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4B7D052B">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26</w:t>
            </w:r>
          </w:p>
        </w:tc>
        <w:tc>
          <w:tcPr>
            <w:tcW w:w="1302" w:type="dxa"/>
            <w:tcBorders>
              <w:tl2br w:val="nil"/>
              <w:tr2bl w:val="nil"/>
            </w:tcBorders>
            <w:vAlign w:val="center"/>
          </w:tcPr>
          <w:p w14:paraId="4DC3CC7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乙苯</w:t>
            </w:r>
          </w:p>
        </w:tc>
        <w:tc>
          <w:tcPr>
            <w:tcW w:w="3387" w:type="dxa"/>
            <w:tcBorders>
              <w:tl2br w:val="nil"/>
              <w:tr2bl w:val="nil"/>
            </w:tcBorders>
            <w:vAlign w:val="center"/>
          </w:tcPr>
          <w:p w14:paraId="6ED098C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15EDA2B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4D3FBCA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18F4817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53A60A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0532F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585CB83">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27</w:t>
            </w:r>
          </w:p>
        </w:tc>
        <w:tc>
          <w:tcPr>
            <w:tcW w:w="1302" w:type="dxa"/>
            <w:tcBorders>
              <w:tl2br w:val="nil"/>
              <w:tr2bl w:val="nil"/>
            </w:tcBorders>
            <w:vAlign w:val="center"/>
          </w:tcPr>
          <w:p w14:paraId="3590C06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苯乙烯</w:t>
            </w:r>
          </w:p>
        </w:tc>
        <w:tc>
          <w:tcPr>
            <w:tcW w:w="3387" w:type="dxa"/>
            <w:tcBorders>
              <w:tl2br w:val="nil"/>
              <w:tr2bl w:val="nil"/>
            </w:tcBorders>
            <w:vAlign w:val="center"/>
          </w:tcPr>
          <w:p w14:paraId="013E2D3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4D847E1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3846C27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5135449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026102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678F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9CD772F">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28</w:t>
            </w:r>
          </w:p>
        </w:tc>
        <w:tc>
          <w:tcPr>
            <w:tcW w:w="1302" w:type="dxa"/>
            <w:tcBorders>
              <w:tl2br w:val="nil"/>
              <w:tr2bl w:val="nil"/>
            </w:tcBorders>
            <w:vAlign w:val="center"/>
          </w:tcPr>
          <w:p w14:paraId="4615D81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甲苯</w:t>
            </w:r>
          </w:p>
        </w:tc>
        <w:tc>
          <w:tcPr>
            <w:tcW w:w="3387" w:type="dxa"/>
            <w:tcBorders>
              <w:tl2br w:val="nil"/>
              <w:tr2bl w:val="nil"/>
            </w:tcBorders>
            <w:vAlign w:val="center"/>
          </w:tcPr>
          <w:p w14:paraId="4F911A4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1079115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1928A64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6653413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F41F56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6819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ADA6ED0">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29</w:t>
            </w:r>
          </w:p>
        </w:tc>
        <w:tc>
          <w:tcPr>
            <w:tcW w:w="1302" w:type="dxa"/>
            <w:tcBorders>
              <w:tl2br w:val="nil"/>
              <w:tr2bl w:val="nil"/>
            </w:tcBorders>
            <w:vAlign w:val="center"/>
          </w:tcPr>
          <w:p w14:paraId="3DC5C34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间二甲苯</w:t>
            </w:r>
          </w:p>
          <w:p w14:paraId="0308240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+对二甲苯</w:t>
            </w:r>
          </w:p>
        </w:tc>
        <w:tc>
          <w:tcPr>
            <w:tcW w:w="3387" w:type="dxa"/>
            <w:tcBorders>
              <w:tl2br w:val="nil"/>
              <w:tr2bl w:val="nil"/>
            </w:tcBorders>
            <w:vAlign w:val="center"/>
          </w:tcPr>
          <w:p w14:paraId="73CA6DC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6DD4294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076D4A0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72C12BC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33CB3BF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C2F9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F04FFC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30</w:t>
            </w:r>
          </w:p>
        </w:tc>
        <w:tc>
          <w:tcPr>
            <w:tcW w:w="1302" w:type="dxa"/>
            <w:tcBorders>
              <w:tl2br w:val="nil"/>
              <w:tr2bl w:val="nil"/>
            </w:tcBorders>
            <w:vAlign w:val="center"/>
          </w:tcPr>
          <w:p w14:paraId="1735AA7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邻二甲苯</w:t>
            </w:r>
          </w:p>
        </w:tc>
        <w:tc>
          <w:tcPr>
            <w:tcW w:w="3387" w:type="dxa"/>
            <w:tcBorders>
              <w:tl2br w:val="nil"/>
              <w:tr2bl w:val="nil"/>
            </w:tcBorders>
            <w:vAlign w:val="center"/>
          </w:tcPr>
          <w:p w14:paraId="67A47BC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395B46E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442935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34EE2A0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620CC1E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063C3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12CF7A5">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31</w:t>
            </w:r>
          </w:p>
        </w:tc>
        <w:tc>
          <w:tcPr>
            <w:tcW w:w="1302" w:type="dxa"/>
            <w:tcBorders>
              <w:tl2br w:val="nil"/>
              <w:tr2bl w:val="nil"/>
            </w:tcBorders>
            <w:vAlign w:val="center"/>
          </w:tcPr>
          <w:p w14:paraId="1D901337">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硝基苯</w:t>
            </w:r>
          </w:p>
        </w:tc>
        <w:tc>
          <w:tcPr>
            <w:tcW w:w="3387" w:type="dxa"/>
            <w:tcBorders>
              <w:tl2br w:val="nil"/>
              <w:tr2bl w:val="nil"/>
            </w:tcBorders>
            <w:vAlign w:val="center"/>
          </w:tcPr>
          <w:p w14:paraId="208B6182">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12C3EC82">
            <w:pPr>
              <w:pStyle w:val="25"/>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100392A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6D3ED46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64FD43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2C70B5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32</w:t>
            </w:r>
          </w:p>
        </w:tc>
        <w:tc>
          <w:tcPr>
            <w:tcW w:w="1302" w:type="dxa"/>
            <w:tcBorders>
              <w:tl2br w:val="nil"/>
              <w:tr2bl w:val="nil"/>
            </w:tcBorders>
            <w:vAlign w:val="center"/>
          </w:tcPr>
          <w:p w14:paraId="73E32C22">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苯胺</w:t>
            </w:r>
          </w:p>
        </w:tc>
        <w:tc>
          <w:tcPr>
            <w:tcW w:w="3387" w:type="dxa"/>
            <w:tcBorders>
              <w:tl2br w:val="nil"/>
              <w:tr2bl w:val="nil"/>
            </w:tcBorders>
            <w:vAlign w:val="center"/>
          </w:tcPr>
          <w:p w14:paraId="463DC543">
            <w:pPr>
              <w:pStyle w:val="25"/>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半挥发性有机物的测定 气相色谱/质谱法</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lang w:val="en-US" w:eastAsia="zh-CN"/>
              </w:rPr>
              <w:t>GLLS-3-H009-2018</w:t>
            </w:r>
          </w:p>
        </w:tc>
        <w:tc>
          <w:tcPr>
            <w:tcW w:w="1228" w:type="dxa"/>
            <w:tcBorders>
              <w:tl2br w:val="nil"/>
              <w:tr2bl w:val="nil"/>
            </w:tcBorders>
            <w:vAlign w:val="center"/>
          </w:tcPr>
          <w:p w14:paraId="7D3832D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394C454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Agilent7890A GC - 5975C MS /GLLS-JC-444</w:t>
            </w:r>
          </w:p>
        </w:tc>
      </w:tr>
      <w:tr w14:paraId="28E7EA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3B04D66">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33</w:t>
            </w:r>
          </w:p>
        </w:tc>
        <w:tc>
          <w:tcPr>
            <w:tcW w:w="1302" w:type="dxa"/>
            <w:tcBorders>
              <w:tl2br w:val="nil"/>
              <w:tr2bl w:val="nil"/>
            </w:tcBorders>
            <w:vAlign w:val="center"/>
          </w:tcPr>
          <w:p w14:paraId="41AC7E7B">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2-氯酚</w:t>
            </w:r>
          </w:p>
        </w:tc>
        <w:tc>
          <w:tcPr>
            <w:tcW w:w="3387" w:type="dxa"/>
            <w:tcBorders>
              <w:tl2br w:val="nil"/>
              <w:tr2bl w:val="nil"/>
            </w:tcBorders>
            <w:vAlign w:val="center"/>
          </w:tcPr>
          <w:p w14:paraId="79D55AF1">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09FC6868">
            <w:pPr>
              <w:pStyle w:val="25"/>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732FF77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407A6AE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59A67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56690EE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34</w:t>
            </w:r>
          </w:p>
        </w:tc>
        <w:tc>
          <w:tcPr>
            <w:tcW w:w="1302" w:type="dxa"/>
            <w:tcBorders>
              <w:tl2br w:val="nil"/>
              <w:tr2bl w:val="nil"/>
            </w:tcBorders>
            <w:vAlign w:val="center"/>
          </w:tcPr>
          <w:p w14:paraId="0183D254">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苯并[a]蒽</w:t>
            </w:r>
          </w:p>
        </w:tc>
        <w:tc>
          <w:tcPr>
            <w:tcW w:w="3387" w:type="dxa"/>
            <w:tcBorders>
              <w:tl2br w:val="nil"/>
              <w:tr2bl w:val="nil"/>
            </w:tcBorders>
            <w:vAlign w:val="center"/>
          </w:tcPr>
          <w:p w14:paraId="7083F657">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34A3BEC4">
            <w:pPr>
              <w:pStyle w:val="25"/>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733C632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5C1B218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1AD38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82D0057">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35</w:t>
            </w:r>
          </w:p>
        </w:tc>
        <w:tc>
          <w:tcPr>
            <w:tcW w:w="1302" w:type="dxa"/>
            <w:tcBorders>
              <w:tl2br w:val="nil"/>
              <w:tr2bl w:val="nil"/>
            </w:tcBorders>
            <w:vAlign w:val="center"/>
          </w:tcPr>
          <w:p w14:paraId="5E397098">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苯并[a]芘</w:t>
            </w:r>
          </w:p>
        </w:tc>
        <w:tc>
          <w:tcPr>
            <w:tcW w:w="3387" w:type="dxa"/>
            <w:tcBorders>
              <w:tl2br w:val="nil"/>
              <w:tr2bl w:val="nil"/>
            </w:tcBorders>
            <w:vAlign w:val="center"/>
          </w:tcPr>
          <w:p w14:paraId="4542CB79">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1C90EDF5">
            <w:pPr>
              <w:pStyle w:val="25"/>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2C69C7A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3D33458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15A46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0D70ECD5">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36</w:t>
            </w:r>
          </w:p>
        </w:tc>
        <w:tc>
          <w:tcPr>
            <w:tcW w:w="1302" w:type="dxa"/>
            <w:tcBorders>
              <w:tl2br w:val="nil"/>
              <w:tr2bl w:val="nil"/>
            </w:tcBorders>
            <w:vAlign w:val="center"/>
          </w:tcPr>
          <w:p w14:paraId="2180F55A">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苯并[b]荧蒽</w:t>
            </w:r>
          </w:p>
        </w:tc>
        <w:tc>
          <w:tcPr>
            <w:tcW w:w="3387" w:type="dxa"/>
            <w:tcBorders>
              <w:tl2br w:val="nil"/>
              <w:tr2bl w:val="nil"/>
            </w:tcBorders>
            <w:vAlign w:val="center"/>
          </w:tcPr>
          <w:p w14:paraId="09CF745A">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15E824F9">
            <w:pPr>
              <w:pStyle w:val="25"/>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7AB51F7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698E3C1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7B390C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339582B">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37</w:t>
            </w:r>
          </w:p>
        </w:tc>
        <w:tc>
          <w:tcPr>
            <w:tcW w:w="1302" w:type="dxa"/>
            <w:tcBorders>
              <w:tl2br w:val="nil"/>
              <w:tr2bl w:val="nil"/>
            </w:tcBorders>
            <w:vAlign w:val="center"/>
          </w:tcPr>
          <w:p w14:paraId="5F778488">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苯并[k]荧蒽</w:t>
            </w:r>
          </w:p>
        </w:tc>
        <w:tc>
          <w:tcPr>
            <w:tcW w:w="3387" w:type="dxa"/>
            <w:tcBorders>
              <w:tl2br w:val="nil"/>
              <w:tr2bl w:val="nil"/>
            </w:tcBorders>
            <w:vAlign w:val="center"/>
          </w:tcPr>
          <w:p w14:paraId="551EB9D2">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26F42338">
            <w:pPr>
              <w:pStyle w:val="25"/>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7E152F8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046F503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3870EC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074905AF">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38</w:t>
            </w:r>
          </w:p>
        </w:tc>
        <w:tc>
          <w:tcPr>
            <w:tcW w:w="1302" w:type="dxa"/>
            <w:tcBorders>
              <w:tl2br w:val="nil"/>
              <w:tr2bl w:val="nil"/>
            </w:tcBorders>
            <w:vAlign w:val="center"/>
          </w:tcPr>
          <w:p w14:paraId="7F07A90A">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䓛</w:t>
            </w:r>
          </w:p>
        </w:tc>
        <w:tc>
          <w:tcPr>
            <w:tcW w:w="3387" w:type="dxa"/>
            <w:tcBorders>
              <w:tl2br w:val="nil"/>
              <w:tr2bl w:val="nil"/>
            </w:tcBorders>
            <w:vAlign w:val="center"/>
          </w:tcPr>
          <w:p w14:paraId="07FDB07E">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14B154F0">
            <w:pPr>
              <w:pStyle w:val="25"/>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5C81F90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54117F3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114F13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A09CC45">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39</w:t>
            </w:r>
          </w:p>
        </w:tc>
        <w:tc>
          <w:tcPr>
            <w:tcW w:w="1302" w:type="dxa"/>
            <w:tcBorders>
              <w:tl2br w:val="nil"/>
              <w:tr2bl w:val="nil"/>
            </w:tcBorders>
            <w:vAlign w:val="center"/>
          </w:tcPr>
          <w:p w14:paraId="166A6175">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二苯并[a, h]蒽</w:t>
            </w:r>
          </w:p>
        </w:tc>
        <w:tc>
          <w:tcPr>
            <w:tcW w:w="3387" w:type="dxa"/>
            <w:tcBorders>
              <w:tl2br w:val="nil"/>
              <w:tr2bl w:val="nil"/>
            </w:tcBorders>
            <w:vAlign w:val="center"/>
          </w:tcPr>
          <w:p w14:paraId="3F5960AD">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22EA96B7">
            <w:pPr>
              <w:pStyle w:val="25"/>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04CB5FF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31A5FB6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65E81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48ED5255">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40</w:t>
            </w:r>
          </w:p>
        </w:tc>
        <w:tc>
          <w:tcPr>
            <w:tcW w:w="1302" w:type="dxa"/>
            <w:tcBorders>
              <w:tl2br w:val="nil"/>
              <w:tr2bl w:val="nil"/>
            </w:tcBorders>
            <w:vAlign w:val="center"/>
          </w:tcPr>
          <w:p w14:paraId="5C33B18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茚并[1,2,3-cd]芘</w:t>
            </w:r>
          </w:p>
        </w:tc>
        <w:tc>
          <w:tcPr>
            <w:tcW w:w="3387" w:type="dxa"/>
            <w:tcBorders>
              <w:tl2br w:val="nil"/>
              <w:tr2bl w:val="nil"/>
            </w:tcBorders>
            <w:vAlign w:val="center"/>
          </w:tcPr>
          <w:p w14:paraId="2F82BF0D">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353077DB">
            <w:pPr>
              <w:pStyle w:val="25"/>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5E8D731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09E3C84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5AA01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4DC9CAA4">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41</w:t>
            </w:r>
          </w:p>
        </w:tc>
        <w:tc>
          <w:tcPr>
            <w:tcW w:w="1302" w:type="dxa"/>
            <w:tcBorders>
              <w:tl2br w:val="nil"/>
              <w:tr2bl w:val="nil"/>
            </w:tcBorders>
            <w:vAlign w:val="center"/>
          </w:tcPr>
          <w:p w14:paraId="596D5A01">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萘</w:t>
            </w:r>
          </w:p>
        </w:tc>
        <w:tc>
          <w:tcPr>
            <w:tcW w:w="3387" w:type="dxa"/>
            <w:tcBorders>
              <w:tl2br w:val="nil"/>
              <w:tr2bl w:val="nil"/>
            </w:tcBorders>
            <w:vAlign w:val="center"/>
          </w:tcPr>
          <w:p w14:paraId="36C87324">
            <w:pPr>
              <w:pStyle w:val="25"/>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4FDE4EE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6C80AC1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73477D1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36C57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282443BB">
            <w:pPr>
              <w:numPr>
                <w:ilvl w:val="0"/>
                <w:numId w:val="0"/>
              </w:numPr>
              <w:ind w:lef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42</w:t>
            </w:r>
          </w:p>
        </w:tc>
        <w:tc>
          <w:tcPr>
            <w:tcW w:w="1302" w:type="dxa"/>
            <w:tcBorders>
              <w:tl2br w:val="nil"/>
              <w:tr2bl w:val="nil"/>
            </w:tcBorders>
            <w:vAlign w:val="center"/>
          </w:tcPr>
          <w:p w14:paraId="05FCEA23">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水溶性盐总量</w:t>
            </w:r>
          </w:p>
        </w:tc>
        <w:tc>
          <w:tcPr>
            <w:tcW w:w="3387" w:type="dxa"/>
            <w:tcBorders>
              <w:tl2br w:val="nil"/>
              <w:tr2bl w:val="nil"/>
            </w:tcBorders>
            <w:vAlign w:val="center"/>
          </w:tcPr>
          <w:p w14:paraId="2793F89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土壤检测 第 16 部分 土壤水溶性盐总量的测定 NY/T 1121.16-2006</w:t>
            </w:r>
          </w:p>
        </w:tc>
        <w:tc>
          <w:tcPr>
            <w:tcW w:w="1228" w:type="dxa"/>
            <w:tcBorders>
              <w:tl2br w:val="nil"/>
              <w:tr2bl w:val="nil"/>
            </w:tcBorders>
            <w:vAlign w:val="center"/>
          </w:tcPr>
          <w:p w14:paraId="6A01A18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电子天平</w:t>
            </w:r>
          </w:p>
        </w:tc>
        <w:tc>
          <w:tcPr>
            <w:tcW w:w="1905" w:type="dxa"/>
            <w:tcBorders>
              <w:tl2br w:val="nil"/>
              <w:tr2bl w:val="nil"/>
            </w:tcBorders>
            <w:vAlign w:val="center"/>
          </w:tcPr>
          <w:p w14:paraId="332AADEE">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lang w:val="en-US" w:eastAsia="zh-CN"/>
              </w:rPr>
              <w:t>ME104E/02 GLLS-JC-291</w:t>
            </w:r>
          </w:p>
        </w:tc>
      </w:tr>
      <w:tr w14:paraId="7C9AB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37A6E416">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43</w:t>
            </w:r>
          </w:p>
        </w:tc>
        <w:tc>
          <w:tcPr>
            <w:tcW w:w="1302" w:type="dxa"/>
            <w:tcBorders>
              <w:tl2br w:val="nil"/>
              <w:tr2bl w:val="nil"/>
            </w:tcBorders>
            <w:vAlign w:val="center"/>
          </w:tcPr>
          <w:p w14:paraId="4A1DF03C">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铅(Pb)</w:t>
            </w:r>
          </w:p>
        </w:tc>
        <w:tc>
          <w:tcPr>
            <w:tcW w:w="3387" w:type="dxa"/>
            <w:tcBorders>
              <w:tl2br w:val="nil"/>
              <w:tr2bl w:val="nil"/>
            </w:tcBorders>
            <w:vAlign w:val="center"/>
          </w:tcPr>
          <w:p w14:paraId="33F8C31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铅、镉的测定 石墨炉原子吸收分光光度法</w:t>
            </w:r>
          </w:p>
          <w:p w14:paraId="08E6B38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17141-1997</w:t>
            </w:r>
          </w:p>
        </w:tc>
        <w:tc>
          <w:tcPr>
            <w:tcW w:w="1228" w:type="dxa"/>
            <w:tcBorders>
              <w:tl2br w:val="nil"/>
              <w:tr2bl w:val="nil"/>
            </w:tcBorders>
            <w:vAlign w:val="center"/>
          </w:tcPr>
          <w:p w14:paraId="76C45D1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石墨炉原子吸收分光光度计</w:t>
            </w:r>
          </w:p>
        </w:tc>
        <w:tc>
          <w:tcPr>
            <w:tcW w:w="1905" w:type="dxa"/>
            <w:tcBorders>
              <w:tl2br w:val="nil"/>
              <w:tr2bl w:val="nil"/>
            </w:tcBorders>
            <w:vAlign w:val="center"/>
          </w:tcPr>
          <w:p w14:paraId="73E9D08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Agilent 240Z/GLLS-JC-454</w:t>
            </w:r>
          </w:p>
        </w:tc>
      </w:tr>
      <w:tr w14:paraId="3AF8F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4A6964C2">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44</w:t>
            </w:r>
          </w:p>
        </w:tc>
        <w:tc>
          <w:tcPr>
            <w:tcW w:w="1302" w:type="dxa"/>
            <w:tcBorders>
              <w:tl2br w:val="nil"/>
              <w:tr2bl w:val="nil"/>
            </w:tcBorders>
            <w:vAlign w:val="center"/>
          </w:tcPr>
          <w:p w14:paraId="4A6F8660">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镉(Cd)</w:t>
            </w:r>
          </w:p>
        </w:tc>
        <w:tc>
          <w:tcPr>
            <w:tcW w:w="3387" w:type="dxa"/>
            <w:tcBorders>
              <w:tl2br w:val="nil"/>
              <w:tr2bl w:val="nil"/>
            </w:tcBorders>
            <w:vAlign w:val="center"/>
          </w:tcPr>
          <w:p w14:paraId="2DA816B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 xml:space="preserve">土壤质量 铅、镉的测定 石墨炉原子吸收分光光度法 </w:t>
            </w:r>
          </w:p>
          <w:p w14:paraId="553F979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GB/T 17141-1997</w:t>
            </w:r>
          </w:p>
        </w:tc>
        <w:tc>
          <w:tcPr>
            <w:tcW w:w="1228" w:type="dxa"/>
            <w:tcBorders>
              <w:tl2br w:val="nil"/>
              <w:tr2bl w:val="nil"/>
            </w:tcBorders>
            <w:vAlign w:val="center"/>
          </w:tcPr>
          <w:p w14:paraId="6FE0C0C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原子吸收分光光度计</w:t>
            </w:r>
          </w:p>
        </w:tc>
        <w:tc>
          <w:tcPr>
            <w:tcW w:w="1905" w:type="dxa"/>
            <w:tcBorders>
              <w:tl2br w:val="nil"/>
              <w:tr2bl w:val="nil"/>
            </w:tcBorders>
            <w:vAlign w:val="center"/>
          </w:tcPr>
          <w:p w14:paraId="0D7BB26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TAS-990AFG/KXYQ-001</w:t>
            </w:r>
          </w:p>
        </w:tc>
      </w:tr>
      <w:tr w14:paraId="68860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7EDCB1F7">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45</w:t>
            </w:r>
          </w:p>
        </w:tc>
        <w:tc>
          <w:tcPr>
            <w:tcW w:w="1302" w:type="dxa"/>
            <w:tcBorders>
              <w:tl2br w:val="nil"/>
              <w:tr2bl w:val="nil"/>
            </w:tcBorders>
            <w:vAlign w:val="center"/>
          </w:tcPr>
          <w:p w14:paraId="15F6D5A4">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砷(As)</w:t>
            </w:r>
          </w:p>
        </w:tc>
        <w:tc>
          <w:tcPr>
            <w:tcW w:w="3387" w:type="dxa"/>
            <w:tcBorders>
              <w:tl2br w:val="nil"/>
              <w:tr2bl w:val="nil"/>
            </w:tcBorders>
            <w:vAlign w:val="center"/>
          </w:tcPr>
          <w:p w14:paraId="621D75F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总汞、总砷、总铅的测定原子荧光法第 2 部分：土壤中总砷的测定GB/T 22105.2-2008</w:t>
            </w:r>
          </w:p>
        </w:tc>
        <w:tc>
          <w:tcPr>
            <w:tcW w:w="1228" w:type="dxa"/>
            <w:tcBorders>
              <w:tl2br w:val="nil"/>
              <w:tr2bl w:val="nil"/>
            </w:tcBorders>
            <w:vAlign w:val="center"/>
          </w:tcPr>
          <w:p w14:paraId="242EB06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原子荧光光度计</w:t>
            </w:r>
          </w:p>
        </w:tc>
        <w:tc>
          <w:tcPr>
            <w:tcW w:w="1905" w:type="dxa"/>
            <w:tcBorders>
              <w:tl2br w:val="nil"/>
              <w:tr2bl w:val="nil"/>
            </w:tcBorders>
            <w:vAlign w:val="center"/>
          </w:tcPr>
          <w:p w14:paraId="099F1F9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北京海光 AFS-8510//GLLS-JC-181</w:t>
            </w:r>
          </w:p>
        </w:tc>
      </w:tr>
      <w:tr w14:paraId="262B7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31B23FF4">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46</w:t>
            </w:r>
          </w:p>
        </w:tc>
        <w:tc>
          <w:tcPr>
            <w:tcW w:w="1302" w:type="dxa"/>
            <w:tcBorders>
              <w:tl2br w:val="nil"/>
              <w:tr2bl w:val="nil"/>
            </w:tcBorders>
            <w:vAlign w:val="center"/>
          </w:tcPr>
          <w:p w14:paraId="61B9784F">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汞(Hg)</w:t>
            </w:r>
          </w:p>
        </w:tc>
        <w:tc>
          <w:tcPr>
            <w:tcW w:w="3387" w:type="dxa"/>
            <w:tcBorders>
              <w:tl2br w:val="nil"/>
              <w:tr2bl w:val="nil"/>
            </w:tcBorders>
            <w:vAlign w:val="center"/>
          </w:tcPr>
          <w:p w14:paraId="1C3B2EC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总汞、总砷、总铅的测定原子荧光法第 2 部分：土壤中总砷的测定GB/T 22105.2-2008</w:t>
            </w:r>
          </w:p>
        </w:tc>
        <w:tc>
          <w:tcPr>
            <w:tcW w:w="1228" w:type="dxa"/>
            <w:tcBorders>
              <w:tl2br w:val="nil"/>
              <w:tr2bl w:val="nil"/>
            </w:tcBorders>
            <w:vAlign w:val="center"/>
          </w:tcPr>
          <w:p w14:paraId="60769B63">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原子荧光光度计</w:t>
            </w:r>
          </w:p>
        </w:tc>
        <w:tc>
          <w:tcPr>
            <w:tcW w:w="1905" w:type="dxa"/>
            <w:tcBorders>
              <w:tl2br w:val="nil"/>
              <w:tr2bl w:val="nil"/>
            </w:tcBorders>
            <w:vAlign w:val="center"/>
          </w:tcPr>
          <w:p w14:paraId="05AC7E3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北京海光 AFS-8510//GLLS-JC-181</w:t>
            </w:r>
          </w:p>
        </w:tc>
      </w:tr>
      <w:tr w14:paraId="2FEDB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628D389E">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47</w:t>
            </w:r>
          </w:p>
        </w:tc>
        <w:tc>
          <w:tcPr>
            <w:tcW w:w="1302" w:type="dxa"/>
            <w:tcBorders>
              <w:tl2br w:val="nil"/>
              <w:tr2bl w:val="nil"/>
            </w:tcBorders>
            <w:vAlign w:val="center"/>
          </w:tcPr>
          <w:p w14:paraId="1E737717">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铜(Cu)</w:t>
            </w:r>
          </w:p>
        </w:tc>
        <w:tc>
          <w:tcPr>
            <w:tcW w:w="3387" w:type="dxa"/>
            <w:tcBorders>
              <w:tl2br w:val="nil"/>
              <w:tr2bl w:val="nil"/>
            </w:tcBorders>
            <w:vAlign w:val="center"/>
          </w:tcPr>
          <w:p w14:paraId="648EFFA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 铜、锌、铅、镍、铬的测定 火焰原子吸收分光光度法</w:t>
            </w:r>
          </w:p>
          <w:p w14:paraId="4AAD2C0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491-2019</w:t>
            </w:r>
          </w:p>
        </w:tc>
        <w:tc>
          <w:tcPr>
            <w:tcW w:w="1228" w:type="dxa"/>
            <w:tcBorders>
              <w:tl2br w:val="nil"/>
              <w:tr2bl w:val="nil"/>
            </w:tcBorders>
            <w:vAlign w:val="center"/>
          </w:tcPr>
          <w:p w14:paraId="781E0EE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火焰原子吸收分光光度计</w:t>
            </w:r>
          </w:p>
        </w:tc>
        <w:tc>
          <w:tcPr>
            <w:tcW w:w="1905" w:type="dxa"/>
            <w:tcBorders>
              <w:tl2br w:val="nil"/>
              <w:tr2bl w:val="nil"/>
            </w:tcBorders>
            <w:vAlign w:val="center"/>
          </w:tcPr>
          <w:p w14:paraId="0B18A0E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Agilent 280FS//GLLS-JC-163</w:t>
            </w:r>
          </w:p>
        </w:tc>
      </w:tr>
      <w:tr w14:paraId="433F2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717C2572">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48</w:t>
            </w:r>
          </w:p>
        </w:tc>
        <w:tc>
          <w:tcPr>
            <w:tcW w:w="1302" w:type="dxa"/>
            <w:tcBorders>
              <w:tl2br w:val="nil"/>
              <w:tr2bl w:val="nil"/>
            </w:tcBorders>
            <w:vAlign w:val="center"/>
          </w:tcPr>
          <w:p w14:paraId="1DB61910">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镍(Ni)</w:t>
            </w:r>
          </w:p>
        </w:tc>
        <w:tc>
          <w:tcPr>
            <w:tcW w:w="3387" w:type="dxa"/>
            <w:tcBorders>
              <w:tl2br w:val="nil"/>
              <w:tr2bl w:val="nil"/>
            </w:tcBorders>
            <w:vAlign w:val="center"/>
          </w:tcPr>
          <w:p w14:paraId="0B19A33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 铜、锌、铅、镍、铬的测定 火焰原子吸收分光光度法</w:t>
            </w:r>
          </w:p>
          <w:p w14:paraId="78ED511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491-2019</w:t>
            </w:r>
          </w:p>
        </w:tc>
        <w:tc>
          <w:tcPr>
            <w:tcW w:w="1228" w:type="dxa"/>
            <w:tcBorders>
              <w:tl2br w:val="nil"/>
              <w:tr2bl w:val="nil"/>
            </w:tcBorders>
            <w:vAlign w:val="center"/>
          </w:tcPr>
          <w:p w14:paraId="5578591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火焰原子吸收分光光度计</w:t>
            </w:r>
          </w:p>
        </w:tc>
        <w:tc>
          <w:tcPr>
            <w:tcW w:w="1905" w:type="dxa"/>
            <w:tcBorders>
              <w:tl2br w:val="nil"/>
              <w:tr2bl w:val="nil"/>
            </w:tcBorders>
            <w:vAlign w:val="center"/>
          </w:tcPr>
          <w:p w14:paraId="14CA3E7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Agilent 280FS//GLLS-JC-163</w:t>
            </w:r>
          </w:p>
        </w:tc>
      </w:tr>
    </w:tbl>
    <w:p w14:paraId="3F6F52A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（5）评价标准</w:t>
      </w:r>
    </w:p>
    <w:p w14:paraId="382C89D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土壤评价标准采用</w:t>
      </w:r>
      <w:r>
        <w:rPr>
          <w:rFonts w:hint="default" w:ascii="Times New Roman" w:hAnsi="Times New Roman" w:cs="Times New Roman"/>
          <w:sz w:val="24"/>
          <w:szCs w:val="32"/>
          <w:highlight w:val="none"/>
        </w:rPr>
        <w:t>《土壤环境质量建设用地土壤污染风险管控标准(试行)（GB36600-2018）</w:t>
      </w:r>
      <w:r>
        <w:rPr>
          <w:rFonts w:hint="default" w:ascii="Times New Roman" w:hAnsi="Times New Roman" w:eastAsia="宋体" w:cs="Times New Roman"/>
          <w:color w:val="auto"/>
          <w:sz w:val="24"/>
          <w:highlight w:val="none"/>
        </w:rPr>
        <w:t>中筛选值标准</w:t>
      </w:r>
      <w:r>
        <w:rPr>
          <w:rFonts w:hint="default" w:ascii="Times New Roman" w:hAnsi="Times New Roman" w:eastAsia="宋体" w:cs="Times New Roman"/>
          <w:color w:val="auto"/>
          <w:highlight w:val="none"/>
          <w:lang w:val="en-US" w:eastAsia="zh-CN"/>
        </w:rPr>
        <w:t>。</w:t>
      </w:r>
    </w:p>
    <w:p w14:paraId="3F8C9A77">
      <w:pPr>
        <w:pStyle w:val="8"/>
        <w:bidi w:val="0"/>
        <w:rPr>
          <w:rFonts w:hint="default"/>
          <w:highlight w:val="none"/>
          <w:lang w:val="en-US" w:eastAsia="zh-CN"/>
        </w:rPr>
      </w:pPr>
      <w:bookmarkStart w:id="638" w:name="_Toc30861"/>
      <w:bookmarkStart w:id="639" w:name="_Toc5997"/>
      <w:r>
        <w:rPr>
          <w:rFonts w:hint="default"/>
          <w:highlight w:val="none"/>
          <w:lang w:val="en-US" w:eastAsia="zh-CN"/>
        </w:rPr>
        <w:t>4.2.5.2现状监测结果</w:t>
      </w:r>
      <w:bookmarkEnd w:id="638"/>
      <w:bookmarkEnd w:id="639"/>
    </w:p>
    <w:p w14:paraId="0A4C8B51">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20</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土壤环境质量现状监测数据统计表</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1713"/>
        <w:gridCol w:w="981"/>
        <w:gridCol w:w="1633"/>
        <w:gridCol w:w="1633"/>
        <w:gridCol w:w="1662"/>
      </w:tblGrid>
      <w:tr w14:paraId="69FEB9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000" w:type="pct"/>
            <w:gridSpan w:val="6"/>
            <w:tcBorders>
              <w:tl2br w:val="nil"/>
              <w:tr2bl w:val="nil"/>
            </w:tcBorders>
            <w:vAlign w:val="center"/>
          </w:tcPr>
          <w:p w14:paraId="7E4A40C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cs="Times New Roman"/>
                <w:b/>
                <w:bCs/>
                <w:sz w:val="21"/>
                <w:szCs w:val="21"/>
                <w:highlight w:val="none"/>
                <w:lang w:val="en-US" w:eastAsia="zh-CN"/>
              </w:rPr>
            </w:pPr>
            <w:bookmarkStart w:id="640" w:name="_Toc28691"/>
            <w:bookmarkStart w:id="641" w:name="_Toc21251"/>
            <w:r>
              <w:rPr>
                <w:rFonts w:hint="eastAsia" w:ascii="Times New Roman" w:hAnsi="Times New Roman" w:cs="Times New Roman"/>
                <w:b/>
                <w:bCs/>
                <w:sz w:val="21"/>
                <w:szCs w:val="21"/>
                <w:highlight w:val="none"/>
                <w:lang w:val="en-US" w:eastAsia="zh-CN"/>
              </w:rPr>
              <w:t>收</w:t>
            </w:r>
            <w:r>
              <w:rPr>
                <w:rFonts w:hint="default" w:ascii="Times New Roman" w:hAnsi="Times New Roman" w:eastAsia="宋体" w:cs="Times New Roman"/>
                <w:b/>
                <w:bCs/>
                <w:sz w:val="21"/>
                <w:szCs w:val="21"/>
                <w:highlight w:val="none"/>
                <w:lang w:val="en-US" w:eastAsia="zh-CN"/>
              </w:rPr>
              <w:t>样时间：</w:t>
            </w:r>
            <w:r>
              <w:rPr>
                <w:rFonts w:hint="eastAsia" w:ascii="Times New Roman" w:hAnsi="Times New Roman" w:cs="Times New Roman"/>
                <w:b/>
                <w:bCs/>
                <w:sz w:val="21"/>
                <w:szCs w:val="21"/>
                <w:highlight w:val="none"/>
                <w:lang w:val="en-US" w:eastAsia="zh-CN"/>
              </w:rPr>
              <w:t>2025</w:t>
            </w:r>
            <w:r>
              <w:rPr>
                <w:rFonts w:hint="default" w:ascii="Times New Roman" w:hAnsi="Times New Roman" w:eastAsia="宋体" w:cs="Times New Roman"/>
                <w:b/>
                <w:bCs/>
                <w:sz w:val="21"/>
                <w:szCs w:val="21"/>
                <w:highlight w:val="none"/>
                <w:lang w:val="en-US" w:eastAsia="zh-CN"/>
              </w:rPr>
              <w:t>.0</w:t>
            </w:r>
            <w:r>
              <w:rPr>
                <w:rFonts w:hint="eastAsia" w:ascii="Times New Roman" w:hAnsi="Times New Roman" w:cs="Times New Roman"/>
                <w:b/>
                <w:bCs/>
                <w:sz w:val="21"/>
                <w:szCs w:val="21"/>
                <w:highlight w:val="none"/>
                <w:lang w:val="en-US" w:eastAsia="zh-CN"/>
              </w:rPr>
              <w:t>8.01</w:t>
            </w:r>
          </w:p>
        </w:tc>
      </w:tr>
      <w:tr w14:paraId="1C808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24" w:type="pct"/>
            <w:vMerge w:val="restart"/>
            <w:tcBorders>
              <w:tl2br w:val="nil"/>
              <w:tr2bl w:val="nil"/>
            </w:tcBorders>
            <w:vAlign w:val="center"/>
          </w:tcPr>
          <w:p w14:paraId="1A7C78E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序号</w:t>
            </w:r>
          </w:p>
        </w:tc>
        <w:tc>
          <w:tcPr>
            <w:tcW w:w="1006" w:type="pct"/>
            <w:vMerge w:val="restart"/>
            <w:tcBorders>
              <w:tl2br w:val="nil"/>
              <w:tr2bl w:val="nil"/>
            </w:tcBorders>
            <w:vAlign w:val="center"/>
          </w:tcPr>
          <w:p w14:paraId="0267E5E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检测项目</w:t>
            </w:r>
          </w:p>
        </w:tc>
        <w:tc>
          <w:tcPr>
            <w:tcW w:w="576" w:type="pct"/>
            <w:vMerge w:val="restart"/>
            <w:tcBorders>
              <w:tl2br w:val="nil"/>
              <w:tr2bl w:val="nil"/>
            </w:tcBorders>
            <w:vAlign w:val="center"/>
          </w:tcPr>
          <w:p w14:paraId="559B91D3">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单位</w:t>
            </w:r>
          </w:p>
        </w:tc>
        <w:tc>
          <w:tcPr>
            <w:tcW w:w="959" w:type="pct"/>
            <w:tcBorders>
              <w:tl2br w:val="nil"/>
              <w:tr2bl w:val="nil"/>
            </w:tcBorders>
            <w:vAlign w:val="center"/>
          </w:tcPr>
          <w:p w14:paraId="1780AB9B">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1</w:t>
            </w:r>
            <w:r>
              <w:rPr>
                <w:rFonts w:hint="eastAsia" w:ascii="Times New Roman" w:hAnsi="Times New Roman" w:cs="Times New Roman"/>
                <w:b/>
                <w:bCs/>
                <w:sz w:val="21"/>
                <w:szCs w:val="21"/>
                <w:highlight w:val="none"/>
                <w:lang w:val="en-US" w:eastAsia="zh-CN"/>
              </w:rPr>
              <w:t>#</w:t>
            </w:r>
          </w:p>
        </w:tc>
        <w:tc>
          <w:tcPr>
            <w:tcW w:w="959" w:type="pct"/>
            <w:tcBorders>
              <w:tl2br w:val="nil"/>
              <w:tr2bl w:val="nil"/>
            </w:tcBorders>
            <w:vAlign w:val="center"/>
          </w:tcPr>
          <w:p w14:paraId="234B8F96">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2</w:t>
            </w:r>
            <w:r>
              <w:rPr>
                <w:rFonts w:hint="eastAsia" w:ascii="Times New Roman" w:hAnsi="Times New Roman" w:cs="Times New Roman"/>
                <w:b/>
                <w:bCs/>
                <w:sz w:val="21"/>
                <w:szCs w:val="21"/>
                <w:highlight w:val="none"/>
                <w:lang w:val="en-US" w:eastAsia="zh-CN"/>
              </w:rPr>
              <w:t>#</w:t>
            </w:r>
          </w:p>
        </w:tc>
        <w:tc>
          <w:tcPr>
            <w:tcW w:w="974" w:type="pct"/>
            <w:tcBorders>
              <w:tl2br w:val="nil"/>
              <w:tr2bl w:val="nil"/>
            </w:tcBorders>
            <w:vAlign w:val="center"/>
          </w:tcPr>
          <w:p w14:paraId="5B98EA76">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3</w:t>
            </w:r>
            <w:r>
              <w:rPr>
                <w:rFonts w:hint="eastAsia" w:ascii="Times New Roman" w:hAnsi="Times New Roman" w:cs="Times New Roman"/>
                <w:b/>
                <w:bCs/>
                <w:sz w:val="21"/>
                <w:szCs w:val="21"/>
                <w:highlight w:val="none"/>
                <w:lang w:val="en-US" w:eastAsia="zh-CN"/>
              </w:rPr>
              <w:t>#</w:t>
            </w:r>
          </w:p>
        </w:tc>
      </w:tr>
      <w:tr w14:paraId="2D0633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24" w:type="pct"/>
            <w:vMerge w:val="continue"/>
            <w:tcBorders>
              <w:tl2br w:val="nil"/>
              <w:tr2bl w:val="nil"/>
            </w:tcBorders>
            <w:vAlign w:val="center"/>
          </w:tcPr>
          <w:p w14:paraId="1A5CED4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1006" w:type="pct"/>
            <w:vMerge w:val="continue"/>
            <w:tcBorders>
              <w:tl2br w:val="nil"/>
              <w:tr2bl w:val="nil"/>
            </w:tcBorders>
            <w:vAlign w:val="center"/>
          </w:tcPr>
          <w:p w14:paraId="7BB01BF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576" w:type="pct"/>
            <w:vMerge w:val="continue"/>
            <w:tcBorders>
              <w:tl2br w:val="nil"/>
              <w:tr2bl w:val="nil"/>
            </w:tcBorders>
            <w:vAlign w:val="center"/>
          </w:tcPr>
          <w:p w14:paraId="4622D5C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959" w:type="pct"/>
            <w:tcBorders>
              <w:tl2br w:val="nil"/>
              <w:tr2bl w:val="nil"/>
            </w:tcBorders>
            <w:vAlign w:val="center"/>
          </w:tcPr>
          <w:p w14:paraId="05EC2A09">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T0801S029</w:t>
            </w:r>
          </w:p>
        </w:tc>
        <w:tc>
          <w:tcPr>
            <w:tcW w:w="959" w:type="pct"/>
            <w:tcBorders>
              <w:tl2br w:val="nil"/>
              <w:tr2bl w:val="nil"/>
            </w:tcBorders>
            <w:vAlign w:val="center"/>
          </w:tcPr>
          <w:p w14:paraId="30BD1C03">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lang w:val="en-US" w:eastAsia="zh-CN"/>
              </w:rPr>
              <w:t>T0801S030</w:t>
            </w:r>
          </w:p>
        </w:tc>
        <w:tc>
          <w:tcPr>
            <w:tcW w:w="974" w:type="pct"/>
            <w:tcBorders>
              <w:tl2br w:val="nil"/>
              <w:tr2bl w:val="nil"/>
            </w:tcBorders>
            <w:vAlign w:val="center"/>
          </w:tcPr>
          <w:p w14:paraId="5B315D6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lang w:val="en-US" w:eastAsia="zh-CN"/>
              </w:rPr>
              <w:t>T0801S031</w:t>
            </w:r>
          </w:p>
        </w:tc>
      </w:tr>
      <w:tr w14:paraId="11AA7E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vAlign w:val="center"/>
          </w:tcPr>
          <w:p w14:paraId="443321CF">
            <w:pPr>
              <w:numPr>
                <w:ilvl w:val="0"/>
                <w:numId w:val="0"/>
              </w:numPr>
              <w:adjustRightInd w:val="0"/>
              <w:snapToGrid w:val="0"/>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p>
        </w:tc>
        <w:tc>
          <w:tcPr>
            <w:tcW w:w="1006" w:type="pct"/>
            <w:tcBorders>
              <w:tl2br w:val="nil"/>
              <w:tr2bl w:val="nil"/>
            </w:tcBorders>
            <w:vAlign w:val="center"/>
          </w:tcPr>
          <w:p w14:paraId="04441895">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pH值</w:t>
            </w:r>
          </w:p>
        </w:tc>
        <w:tc>
          <w:tcPr>
            <w:tcW w:w="576" w:type="pct"/>
            <w:tcBorders>
              <w:tl2br w:val="nil"/>
              <w:tr2bl w:val="nil"/>
            </w:tcBorders>
            <w:vAlign w:val="center"/>
          </w:tcPr>
          <w:p w14:paraId="04794412">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无量纲</w:t>
            </w:r>
          </w:p>
        </w:tc>
        <w:tc>
          <w:tcPr>
            <w:tcW w:w="959" w:type="pct"/>
            <w:tcBorders>
              <w:tl2br w:val="nil"/>
              <w:tr2bl w:val="nil"/>
            </w:tcBorders>
            <w:vAlign w:val="center"/>
          </w:tcPr>
          <w:p w14:paraId="5ABD1F3D">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11.52</w:t>
            </w:r>
          </w:p>
        </w:tc>
        <w:tc>
          <w:tcPr>
            <w:tcW w:w="959" w:type="pct"/>
            <w:tcBorders>
              <w:tl2br w:val="nil"/>
              <w:tr2bl w:val="nil"/>
            </w:tcBorders>
            <w:vAlign w:val="center"/>
          </w:tcPr>
          <w:p w14:paraId="48E2303A">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11.66</w:t>
            </w:r>
          </w:p>
        </w:tc>
        <w:tc>
          <w:tcPr>
            <w:tcW w:w="974" w:type="pct"/>
            <w:tcBorders>
              <w:tl2br w:val="nil"/>
              <w:tr2bl w:val="nil"/>
            </w:tcBorders>
            <w:vAlign w:val="center"/>
          </w:tcPr>
          <w:p w14:paraId="0F0DB5D8">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11.65</w:t>
            </w:r>
          </w:p>
        </w:tc>
      </w:tr>
      <w:tr w14:paraId="14377C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75BA224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w:t>
            </w:r>
          </w:p>
        </w:tc>
        <w:tc>
          <w:tcPr>
            <w:tcW w:w="1006" w:type="pct"/>
            <w:tcBorders>
              <w:tl2br w:val="nil"/>
              <w:tr2bl w:val="nil"/>
            </w:tcBorders>
            <w:vAlign w:val="center"/>
          </w:tcPr>
          <w:p w14:paraId="299960BA">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水溶性盐总量</w:t>
            </w:r>
          </w:p>
        </w:tc>
        <w:tc>
          <w:tcPr>
            <w:tcW w:w="576" w:type="pct"/>
            <w:tcBorders>
              <w:tl2br w:val="nil"/>
              <w:tr2bl w:val="nil"/>
            </w:tcBorders>
            <w:vAlign w:val="center"/>
          </w:tcPr>
          <w:p w14:paraId="01B79AFE">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g/kg</w:t>
            </w:r>
          </w:p>
        </w:tc>
        <w:tc>
          <w:tcPr>
            <w:tcW w:w="959" w:type="pct"/>
            <w:tcBorders>
              <w:tl2br w:val="nil"/>
              <w:tr2bl w:val="nil"/>
            </w:tcBorders>
            <w:vAlign w:val="center"/>
          </w:tcPr>
          <w:p w14:paraId="7FEFF9C4">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0.5</w:t>
            </w:r>
          </w:p>
        </w:tc>
        <w:tc>
          <w:tcPr>
            <w:tcW w:w="959" w:type="pct"/>
            <w:tcBorders>
              <w:tl2br w:val="nil"/>
              <w:tr2bl w:val="nil"/>
            </w:tcBorders>
            <w:vAlign w:val="center"/>
          </w:tcPr>
          <w:p w14:paraId="3BFFC1D1">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0.6</w:t>
            </w:r>
          </w:p>
        </w:tc>
        <w:tc>
          <w:tcPr>
            <w:tcW w:w="974" w:type="pct"/>
            <w:tcBorders>
              <w:tl2br w:val="nil"/>
              <w:tr2bl w:val="nil"/>
            </w:tcBorders>
            <w:vAlign w:val="center"/>
          </w:tcPr>
          <w:p w14:paraId="2A8D5E0C">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0.7</w:t>
            </w:r>
          </w:p>
        </w:tc>
      </w:tr>
      <w:tr w14:paraId="10213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53170CE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w:t>
            </w:r>
          </w:p>
        </w:tc>
        <w:tc>
          <w:tcPr>
            <w:tcW w:w="1006" w:type="pct"/>
            <w:tcBorders>
              <w:tl2br w:val="nil"/>
              <w:tr2bl w:val="nil"/>
            </w:tcBorders>
            <w:vAlign w:val="center"/>
          </w:tcPr>
          <w:p w14:paraId="5E42AD34">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阳离子交换量</w:t>
            </w:r>
          </w:p>
        </w:tc>
        <w:tc>
          <w:tcPr>
            <w:tcW w:w="576" w:type="pct"/>
            <w:tcBorders>
              <w:tl2br w:val="nil"/>
              <w:tr2bl w:val="nil"/>
            </w:tcBorders>
            <w:vAlign w:val="center"/>
          </w:tcPr>
          <w:p w14:paraId="6177E59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cmol</w:t>
            </w:r>
            <w:r>
              <w:rPr>
                <w:rFonts w:hint="default" w:ascii="Times New Roman" w:hAnsi="Times New Roman" w:eastAsia="宋体" w:cs="Times New Roman"/>
                <w:sz w:val="21"/>
                <w:szCs w:val="21"/>
                <w:highlight w:val="none"/>
                <w:vertAlign w:val="superscript"/>
                <w:lang w:val="en-US" w:eastAsia="zh-CN"/>
              </w:rPr>
              <w:t>+</w:t>
            </w:r>
            <w:r>
              <w:rPr>
                <w:rFonts w:hint="default" w:ascii="Times New Roman" w:hAnsi="Times New Roman" w:eastAsia="宋体" w:cs="Times New Roman"/>
                <w:sz w:val="21"/>
                <w:szCs w:val="21"/>
                <w:highlight w:val="none"/>
                <w:lang w:val="en-US" w:eastAsia="zh-CN"/>
              </w:rPr>
              <w:t>/kg</w:t>
            </w:r>
          </w:p>
        </w:tc>
        <w:tc>
          <w:tcPr>
            <w:tcW w:w="959" w:type="pct"/>
            <w:tcBorders>
              <w:tl2br w:val="nil"/>
              <w:tr2bl w:val="nil"/>
            </w:tcBorders>
            <w:vAlign w:val="center"/>
          </w:tcPr>
          <w:p w14:paraId="169C44C0">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5.2</w:t>
            </w:r>
          </w:p>
        </w:tc>
        <w:tc>
          <w:tcPr>
            <w:tcW w:w="959" w:type="pct"/>
            <w:tcBorders>
              <w:tl2br w:val="nil"/>
              <w:tr2bl w:val="nil"/>
            </w:tcBorders>
            <w:vAlign w:val="center"/>
          </w:tcPr>
          <w:p w14:paraId="7A6DB790">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4.4</w:t>
            </w:r>
          </w:p>
        </w:tc>
        <w:tc>
          <w:tcPr>
            <w:tcW w:w="974" w:type="pct"/>
            <w:tcBorders>
              <w:tl2br w:val="nil"/>
              <w:tr2bl w:val="nil"/>
            </w:tcBorders>
            <w:vAlign w:val="center"/>
          </w:tcPr>
          <w:p w14:paraId="0573896C">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1.9</w:t>
            </w:r>
          </w:p>
        </w:tc>
      </w:tr>
      <w:tr w14:paraId="22E3A9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45EE702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w:t>
            </w:r>
          </w:p>
        </w:tc>
        <w:tc>
          <w:tcPr>
            <w:tcW w:w="1006" w:type="pct"/>
            <w:tcBorders>
              <w:tl2br w:val="nil"/>
              <w:tr2bl w:val="nil"/>
            </w:tcBorders>
            <w:vAlign w:val="center"/>
          </w:tcPr>
          <w:p w14:paraId="3C4047E1">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砷</w:t>
            </w:r>
          </w:p>
        </w:tc>
        <w:tc>
          <w:tcPr>
            <w:tcW w:w="576" w:type="pct"/>
            <w:tcBorders>
              <w:tl2br w:val="nil"/>
              <w:tr2bl w:val="nil"/>
            </w:tcBorders>
            <w:vAlign w:val="center"/>
          </w:tcPr>
          <w:p w14:paraId="3795FB1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11099ECA">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51.4</w:t>
            </w:r>
          </w:p>
        </w:tc>
        <w:tc>
          <w:tcPr>
            <w:tcW w:w="959" w:type="pct"/>
            <w:tcBorders>
              <w:tl2br w:val="nil"/>
              <w:tr2bl w:val="nil"/>
            </w:tcBorders>
            <w:shd w:val="clear" w:color="auto" w:fill="auto"/>
            <w:vAlign w:val="center"/>
          </w:tcPr>
          <w:p w14:paraId="12485A6F">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49.5</w:t>
            </w:r>
          </w:p>
        </w:tc>
        <w:tc>
          <w:tcPr>
            <w:tcW w:w="974" w:type="pct"/>
            <w:tcBorders>
              <w:tl2br w:val="nil"/>
              <w:tr2bl w:val="nil"/>
            </w:tcBorders>
            <w:shd w:val="clear" w:color="auto" w:fill="auto"/>
            <w:vAlign w:val="center"/>
          </w:tcPr>
          <w:p w14:paraId="4C52DCDA">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49.2</w:t>
            </w:r>
          </w:p>
        </w:tc>
      </w:tr>
      <w:tr w14:paraId="74205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45B6FD9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5</w:t>
            </w:r>
          </w:p>
        </w:tc>
        <w:tc>
          <w:tcPr>
            <w:tcW w:w="1006" w:type="pct"/>
            <w:tcBorders>
              <w:tl2br w:val="nil"/>
              <w:tr2bl w:val="nil"/>
            </w:tcBorders>
            <w:shd w:val="clear" w:color="auto" w:fill="auto"/>
            <w:vAlign w:val="center"/>
          </w:tcPr>
          <w:p w14:paraId="6CF330C6">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铬(六价)</w:t>
            </w:r>
          </w:p>
        </w:tc>
        <w:tc>
          <w:tcPr>
            <w:tcW w:w="576" w:type="pct"/>
            <w:tcBorders>
              <w:tl2br w:val="nil"/>
              <w:tr2bl w:val="nil"/>
            </w:tcBorders>
            <w:shd w:val="clear" w:color="auto" w:fill="auto"/>
            <w:vAlign w:val="center"/>
          </w:tcPr>
          <w:p w14:paraId="5C75BCEF">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62F32D44">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50DCA469">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0227B4E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123186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54B2E5BE">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6</w:t>
            </w:r>
          </w:p>
        </w:tc>
        <w:tc>
          <w:tcPr>
            <w:tcW w:w="1006" w:type="pct"/>
            <w:tcBorders>
              <w:tl2br w:val="nil"/>
              <w:tr2bl w:val="nil"/>
            </w:tcBorders>
            <w:shd w:val="clear" w:color="auto" w:fill="auto"/>
            <w:vAlign w:val="center"/>
          </w:tcPr>
          <w:p w14:paraId="3F48CC85">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铜</w:t>
            </w:r>
          </w:p>
        </w:tc>
        <w:tc>
          <w:tcPr>
            <w:tcW w:w="576" w:type="pct"/>
            <w:tcBorders>
              <w:tl2br w:val="nil"/>
              <w:tr2bl w:val="nil"/>
            </w:tcBorders>
            <w:shd w:val="clear" w:color="auto" w:fill="auto"/>
            <w:vAlign w:val="center"/>
          </w:tcPr>
          <w:p w14:paraId="297EE7AE">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45D3323D">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150</w:t>
            </w:r>
          </w:p>
        </w:tc>
        <w:tc>
          <w:tcPr>
            <w:tcW w:w="959" w:type="pct"/>
            <w:tcBorders>
              <w:tl2br w:val="nil"/>
              <w:tr2bl w:val="nil"/>
            </w:tcBorders>
            <w:shd w:val="clear" w:color="auto" w:fill="auto"/>
            <w:vAlign w:val="center"/>
          </w:tcPr>
          <w:p w14:paraId="0A523911">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201</w:t>
            </w:r>
          </w:p>
        </w:tc>
        <w:tc>
          <w:tcPr>
            <w:tcW w:w="974" w:type="pct"/>
            <w:tcBorders>
              <w:tl2br w:val="nil"/>
              <w:tr2bl w:val="nil"/>
            </w:tcBorders>
            <w:shd w:val="clear" w:color="auto" w:fill="auto"/>
            <w:vAlign w:val="center"/>
          </w:tcPr>
          <w:p w14:paraId="63FCC612">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168</w:t>
            </w:r>
          </w:p>
        </w:tc>
      </w:tr>
      <w:tr w14:paraId="0135F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7E838EF5">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7</w:t>
            </w:r>
          </w:p>
        </w:tc>
        <w:tc>
          <w:tcPr>
            <w:tcW w:w="1006" w:type="pct"/>
            <w:tcBorders>
              <w:tl2br w:val="nil"/>
              <w:tr2bl w:val="nil"/>
            </w:tcBorders>
            <w:shd w:val="clear" w:color="auto" w:fill="auto"/>
            <w:vAlign w:val="center"/>
          </w:tcPr>
          <w:p w14:paraId="1948F01B">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铅</w:t>
            </w:r>
          </w:p>
        </w:tc>
        <w:tc>
          <w:tcPr>
            <w:tcW w:w="576" w:type="pct"/>
            <w:tcBorders>
              <w:tl2br w:val="nil"/>
              <w:tr2bl w:val="nil"/>
            </w:tcBorders>
            <w:shd w:val="clear" w:color="auto" w:fill="auto"/>
            <w:vAlign w:val="center"/>
          </w:tcPr>
          <w:p w14:paraId="5A60CEDF">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5C1A1DF3">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550</w:t>
            </w:r>
          </w:p>
        </w:tc>
        <w:tc>
          <w:tcPr>
            <w:tcW w:w="959" w:type="pct"/>
            <w:tcBorders>
              <w:tl2br w:val="nil"/>
              <w:tr2bl w:val="nil"/>
            </w:tcBorders>
            <w:shd w:val="clear" w:color="auto" w:fill="auto"/>
            <w:vAlign w:val="center"/>
          </w:tcPr>
          <w:p w14:paraId="23DFF1BB">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785</w:t>
            </w:r>
          </w:p>
        </w:tc>
        <w:tc>
          <w:tcPr>
            <w:tcW w:w="974" w:type="pct"/>
            <w:tcBorders>
              <w:tl2br w:val="nil"/>
              <w:tr2bl w:val="nil"/>
            </w:tcBorders>
            <w:shd w:val="clear" w:color="auto" w:fill="auto"/>
            <w:vAlign w:val="center"/>
          </w:tcPr>
          <w:p w14:paraId="7045654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787</w:t>
            </w:r>
          </w:p>
        </w:tc>
      </w:tr>
      <w:tr w14:paraId="2CD8A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3D219B78">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8</w:t>
            </w:r>
          </w:p>
        </w:tc>
        <w:tc>
          <w:tcPr>
            <w:tcW w:w="1006" w:type="pct"/>
            <w:tcBorders>
              <w:tl2br w:val="nil"/>
              <w:tr2bl w:val="nil"/>
            </w:tcBorders>
            <w:shd w:val="clear" w:color="auto" w:fill="auto"/>
            <w:vAlign w:val="center"/>
          </w:tcPr>
          <w:p w14:paraId="33D7D20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汞</w:t>
            </w:r>
          </w:p>
        </w:tc>
        <w:tc>
          <w:tcPr>
            <w:tcW w:w="576" w:type="pct"/>
            <w:tcBorders>
              <w:tl2br w:val="nil"/>
              <w:tr2bl w:val="nil"/>
            </w:tcBorders>
            <w:shd w:val="clear" w:color="auto" w:fill="auto"/>
            <w:vAlign w:val="center"/>
          </w:tcPr>
          <w:p w14:paraId="4E25C03F">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08F908D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5.46</w:t>
            </w:r>
          </w:p>
        </w:tc>
        <w:tc>
          <w:tcPr>
            <w:tcW w:w="959" w:type="pct"/>
            <w:tcBorders>
              <w:tl2br w:val="nil"/>
              <w:tr2bl w:val="nil"/>
            </w:tcBorders>
            <w:shd w:val="clear" w:color="auto" w:fill="auto"/>
            <w:vAlign w:val="center"/>
          </w:tcPr>
          <w:p w14:paraId="00387A4B">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7.38</w:t>
            </w:r>
          </w:p>
        </w:tc>
        <w:tc>
          <w:tcPr>
            <w:tcW w:w="974" w:type="pct"/>
            <w:tcBorders>
              <w:tl2br w:val="nil"/>
              <w:tr2bl w:val="nil"/>
            </w:tcBorders>
            <w:shd w:val="clear" w:color="auto" w:fill="auto"/>
            <w:vAlign w:val="center"/>
          </w:tcPr>
          <w:p w14:paraId="6C798B1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6.50</w:t>
            </w:r>
          </w:p>
        </w:tc>
      </w:tr>
      <w:tr w14:paraId="51C9F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043408F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9</w:t>
            </w:r>
          </w:p>
        </w:tc>
        <w:tc>
          <w:tcPr>
            <w:tcW w:w="1006" w:type="pct"/>
            <w:tcBorders>
              <w:tl2br w:val="nil"/>
              <w:tr2bl w:val="nil"/>
            </w:tcBorders>
            <w:shd w:val="clear" w:color="auto" w:fill="auto"/>
            <w:vAlign w:val="center"/>
          </w:tcPr>
          <w:p w14:paraId="76B369D1">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镍</w:t>
            </w:r>
          </w:p>
        </w:tc>
        <w:tc>
          <w:tcPr>
            <w:tcW w:w="576" w:type="pct"/>
            <w:tcBorders>
              <w:tl2br w:val="nil"/>
              <w:tr2bl w:val="nil"/>
            </w:tcBorders>
            <w:shd w:val="clear" w:color="auto" w:fill="auto"/>
            <w:vAlign w:val="center"/>
          </w:tcPr>
          <w:p w14:paraId="196ACBDD">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0A284329">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94</w:t>
            </w:r>
          </w:p>
        </w:tc>
        <w:tc>
          <w:tcPr>
            <w:tcW w:w="959" w:type="pct"/>
            <w:tcBorders>
              <w:tl2br w:val="nil"/>
              <w:tr2bl w:val="nil"/>
            </w:tcBorders>
            <w:shd w:val="clear" w:color="auto" w:fill="auto"/>
            <w:vAlign w:val="center"/>
          </w:tcPr>
          <w:p w14:paraId="0B6D5481">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98</w:t>
            </w:r>
          </w:p>
        </w:tc>
        <w:tc>
          <w:tcPr>
            <w:tcW w:w="974" w:type="pct"/>
            <w:tcBorders>
              <w:tl2br w:val="nil"/>
              <w:tr2bl w:val="nil"/>
            </w:tcBorders>
            <w:shd w:val="clear" w:color="auto" w:fill="auto"/>
            <w:vAlign w:val="center"/>
          </w:tcPr>
          <w:p w14:paraId="786F55DC">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94</w:t>
            </w:r>
          </w:p>
        </w:tc>
      </w:tr>
      <w:tr w14:paraId="12AC8E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02ADB0EE">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10</w:t>
            </w:r>
          </w:p>
        </w:tc>
        <w:tc>
          <w:tcPr>
            <w:tcW w:w="1006" w:type="pct"/>
            <w:tcBorders>
              <w:tl2br w:val="nil"/>
              <w:tr2bl w:val="nil"/>
            </w:tcBorders>
            <w:shd w:val="clear" w:color="auto" w:fill="auto"/>
            <w:vAlign w:val="center"/>
          </w:tcPr>
          <w:p w14:paraId="5E6E9B9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四氯化碳</w:t>
            </w:r>
          </w:p>
        </w:tc>
        <w:tc>
          <w:tcPr>
            <w:tcW w:w="576" w:type="pct"/>
            <w:tcBorders>
              <w:tl2br w:val="nil"/>
              <w:tr2bl w:val="nil"/>
            </w:tcBorders>
            <w:shd w:val="clear" w:color="auto" w:fill="auto"/>
            <w:vAlign w:val="center"/>
          </w:tcPr>
          <w:p w14:paraId="4D19366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60CEF372">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458A627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46F40CB4">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06A86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10DCBBA6">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11</w:t>
            </w:r>
          </w:p>
        </w:tc>
        <w:tc>
          <w:tcPr>
            <w:tcW w:w="1006" w:type="pct"/>
            <w:tcBorders>
              <w:tl2br w:val="nil"/>
              <w:tr2bl w:val="nil"/>
            </w:tcBorders>
            <w:shd w:val="clear" w:color="auto" w:fill="auto"/>
            <w:vAlign w:val="center"/>
          </w:tcPr>
          <w:p w14:paraId="42EFFF19">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氯仿</w:t>
            </w:r>
          </w:p>
        </w:tc>
        <w:tc>
          <w:tcPr>
            <w:tcW w:w="576" w:type="pct"/>
            <w:tcBorders>
              <w:tl2br w:val="nil"/>
              <w:tr2bl w:val="nil"/>
            </w:tcBorders>
            <w:shd w:val="clear" w:color="auto" w:fill="auto"/>
            <w:vAlign w:val="center"/>
          </w:tcPr>
          <w:p w14:paraId="74525471">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4E231BA2">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b w:val="0"/>
                <w:bCs w:val="0"/>
                <w:sz w:val="21"/>
                <w:szCs w:val="21"/>
                <w:highlight w:val="none"/>
                <w:lang w:val="en-US" w:eastAsia="zh-CN"/>
              </w:rPr>
              <w:t>1.2</w:t>
            </w:r>
          </w:p>
        </w:tc>
        <w:tc>
          <w:tcPr>
            <w:tcW w:w="959" w:type="pct"/>
            <w:tcBorders>
              <w:tl2br w:val="nil"/>
              <w:tr2bl w:val="nil"/>
            </w:tcBorders>
            <w:shd w:val="clear" w:color="auto" w:fill="auto"/>
            <w:vAlign w:val="center"/>
          </w:tcPr>
          <w:p w14:paraId="2AF6AA0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1748B92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62D627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0034369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12</w:t>
            </w:r>
          </w:p>
        </w:tc>
        <w:tc>
          <w:tcPr>
            <w:tcW w:w="1006" w:type="pct"/>
            <w:tcBorders>
              <w:tl2br w:val="nil"/>
              <w:tr2bl w:val="nil"/>
            </w:tcBorders>
            <w:shd w:val="clear" w:color="auto" w:fill="auto"/>
            <w:vAlign w:val="center"/>
          </w:tcPr>
          <w:p w14:paraId="3A9A4B4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氯甲烷</w:t>
            </w:r>
          </w:p>
        </w:tc>
        <w:tc>
          <w:tcPr>
            <w:tcW w:w="576" w:type="pct"/>
            <w:tcBorders>
              <w:tl2br w:val="nil"/>
              <w:tr2bl w:val="nil"/>
            </w:tcBorders>
            <w:shd w:val="clear" w:color="auto" w:fill="auto"/>
            <w:vAlign w:val="center"/>
          </w:tcPr>
          <w:p w14:paraId="3BE810EB">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3B203304">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1C7118C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3</w:t>
            </w:r>
          </w:p>
        </w:tc>
        <w:tc>
          <w:tcPr>
            <w:tcW w:w="974" w:type="pct"/>
            <w:tcBorders>
              <w:tl2br w:val="nil"/>
              <w:tr2bl w:val="nil"/>
            </w:tcBorders>
            <w:shd w:val="clear" w:color="auto" w:fill="auto"/>
            <w:vAlign w:val="center"/>
          </w:tcPr>
          <w:p w14:paraId="293FBE0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7</w:t>
            </w:r>
          </w:p>
        </w:tc>
      </w:tr>
      <w:tr w14:paraId="2EFE1A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5BC7C960">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13</w:t>
            </w:r>
          </w:p>
        </w:tc>
        <w:tc>
          <w:tcPr>
            <w:tcW w:w="1006" w:type="pct"/>
            <w:tcBorders>
              <w:tl2br w:val="nil"/>
              <w:tr2bl w:val="nil"/>
            </w:tcBorders>
            <w:shd w:val="clear" w:color="auto" w:fill="auto"/>
            <w:vAlign w:val="center"/>
          </w:tcPr>
          <w:p w14:paraId="733B1FA9">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1,1-二氯乙烷</w:t>
            </w:r>
          </w:p>
        </w:tc>
        <w:tc>
          <w:tcPr>
            <w:tcW w:w="576" w:type="pct"/>
            <w:tcBorders>
              <w:tl2br w:val="nil"/>
              <w:tr2bl w:val="nil"/>
            </w:tcBorders>
            <w:shd w:val="clear" w:color="auto" w:fill="auto"/>
            <w:vAlign w:val="center"/>
          </w:tcPr>
          <w:p w14:paraId="2542CA00">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6D7A6B5C">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1B280439">
            <w:pPr>
              <w:adjustRightInd w:val="0"/>
              <w:snapToGrid w:val="0"/>
              <w:jc w:val="center"/>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5C3230F3">
            <w:pPr>
              <w:adjustRightInd w:val="0"/>
              <w:snapToGrid w:val="0"/>
              <w:jc w:val="center"/>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0CC9B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24" w:type="pct"/>
            <w:tcBorders>
              <w:tl2br w:val="nil"/>
              <w:tr2bl w:val="nil"/>
            </w:tcBorders>
            <w:shd w:val="clear" w:color="auto" w:fill="auto"/>
            <w:vAlign w:val="center"/>
          </w:tcPr>
          <w:p w14:paraId="10771CD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14</w:t>
            </w:r>
          </w:p>
        </w:tc>
        <w:tc>
          <w:tcPr>
            <w:tcW w:w="1006" w:type="pct"/>
            <w:tcBorders>
              <w:tl2br w:val="nil"/>
              <w:tr2bl w:val="nil"/>
            </w:tcBorders>
            <w:shd w:val="clear" w:color="auto" w:fill="auto"/>
            <w:vAlign w:val="center"/>
          </w:tcPr>
          <w:p w14:paraId="65F1A39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1,2-二氯乙烷</w:t>
            </w:r>
          </w:p>
        </w:tc>
        <w:tc>
          <w:tcPr>
            <w:tcW w:w="576" w:type="pct"/>
            <w:tcBorders>
              <w:tl2br w:val="nil"/>
              <w:tr2bl w:val="nil"/>
            </w:tcBorders>
            <w:shd w:val="clear" w:color="auto" w:fill="auto"/>
            <w:vAlign w:val="center"/>
          </w:tcPr>
          <w:p w14:paraId="16F4E984">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3342A4AC">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693FC29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2C90037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7BC6C2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17BAB4DC">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15</w:t>
            </w:r>
          </w:p>
        </w:tc>
        <w:tc>
          <w:tcPr>
            <w:tcW w:w="1006" w:type="pct"/>
            <w:tcBorders>
              <w:tl2br w:val="nil"/>
              <w:tr2bl w:val="nil"/>
            </w:tcBorders>
            <w:shd w:val="clear" w:color="auto" w:fill="auto"/>
            <w:vAlign w:val="center"/>
          </w:tcPr>
          <w:p w14:paraId="7A74E00A">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1,1-二氯乙烯</w:t>
            </w:r>
          </w:p>
        </w:tc>
        <w:tc>
          <w:tcPr>
            <w:tcW w:w="576" w:type="pct"/>
            <w:tcBorders>
              <w:tl2br w:val="nil"/>
              <w:tr2bl w:val="nil"/>
            </w:tcBorders>
            <w:shd w:val="clear" w:color="auto" w:fill="auto"/>
            <w:vAlign w:val="center"/>
          </w:tcPr>
          <w:p w14:paraId="7097EF7D">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69993D5E">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06FACAC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5682449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33A38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747535B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16</w:t>
            </w:r>
          </w:p>
        </w:tc>
        <w:tc>
          <w:tcPr>
            <w:tcW w:w="1006" w:type="pct"/>
            <w:tcBorders>
              <w:tl2br w:val="nil"/>
              <w:tr2bl w:val="nil"/>
            </w:tcBorders>
            <w:shd w:val="clear" w:color="auto" w:fill="auto"/>
            <w:vAlign w:val="center"/>
          </w:tcPr>
          <w:p w14:paraId="069EF52E">
            <w:pPr>
              <w:adjustRightInd w:val="0"/>
              <w:snapToGrid w:val="0"/>
              <w:jc w:val="center"/>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顺-1,2-二氯乙烯</w:t>
            </w:r>
          </w:p>
        </w:tc>
        <w:tc>
          <w:tcPr>
            <w:tcW w:w="576" w:type="pct"/>
            <w:tcBorders>
              <w:tl2br w:val="nil"/>
              <w:tr2bl w:val="nil"/>
            </w:tcBorders>
            <w:shd w:val="clear" w:color="auto" w:fill="auto"/>
            <w:vAlign w:val="center"/>
          </w:tcPr>
          <w:p w14:paraId="21F921F9">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0A64C7B4">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12F2F98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6EF6015B">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7F5D22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0A469C69">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17</w:t>
            </w:r>
          </w:p>
        </w:tc>
        <w:tc>
          <w:tcPr>
            <w:tcW w:w="1006" w:type="pct"/>
            <w:tcBorders>
              <w:tl2br w:val="nil"/>
              <w:tr2bl w:val="nil"/>
            </w:tcBorders>
            <w:shd w:val="clear" w:color="auto" w:fill="auto"/>
            <w:vAlign w:val="center"/>
          </w:tcPr>
          <w:p w14:paraId="3AE68BF2">
            <w:pPr>
              <w:adjustRightInd w:val="0"/>
              <w:snapToGrid w:val="0"/>
              <w:jc w:val="center"/>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反-1,2-二氯乙烯</w:t>
            </w:r>
          </w:p>
        </w:tc>
        <w:tc>
          <w:tcPr>
            <w:tcW w:w="576" w:type="pct"/>
            <w:tcBorders>
              <w:tl2br w:val="nil"/>
              <w:tr2bl w:val="nil"/>
            </w:tcBorders>
            <w:shd w:val="clear" w:color="auto" w:fill="auto"/>
            <w:vAlign w:val="center"/>
          </w:tcPr>
          <w:p w14:paraId="602931D8">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029ABF0A">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6A54578B">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0B83374E">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389F4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4E4E597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18</w:t>
            </w:r>
          </w:p>
        </w:tc>
        <w:tc>
          <w:tcPr>
            <w:tcW w:w="1006" w:type="pct"/>
            <w:tcBorders>
              <w:tl2br w:val="nil"/>
              <w:tr2bl w:val="nil"/>
            </w:tcBorders>
            <w:shd w:val="clear" w:color="auto" w:fill="auto"/>
            <w:vAlign w:val="center"/>
          </w:tcPr>
          <w:p w14:paraId="2CF3A36E">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二氯甲烷</w:t>
            </w:r>
          </w:p>
        </w:tc>
        <w:tc>
          <w:tcPr>
            <w:tcW w:w="576" w:type="pct"/>
            <w:tcBorders>
              <w:tl2br w:val="nil"/>
              <w:tr2bl w:val="nil"/>
            </w:tcBorders>
            <w:shd w:val="clear" w:color="auto" w:fill="auto"/>
            <w:vAlign w:val="center"/>
          </w:tcPr>
          <w:p w14:paraId="1B80F1CB">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556FB21D">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b w:val="0"/>
                <w:bCs w:val="0"/>
                <w:sz w:val="21"/>
                <w:szCs w:val="21"/>
                <w:highlight w:val="none"/>
                <w:lang w:val="en-US" w:eastAsia="zh-CN"/>
              </w:rPr>
              <w:t>40.4</w:t>
            </w:r>
          </w:p>
        </w:tc>
        <w:tc>
          <w:tcPr>
            <w:tcW w:w="959" w:type="pct"/>
            <w:tcBorders>
              <w:tl2br w:val="nil"/>
              <w:tr2bl w:val="nil"/>
            </w:tcBorders>
            <w:shd w:val="clear" w:color="auto" w:fill="auto"/>
            <w:vAlign w:val="center"/>
          </w:tcPr>
          <w:p w14:paraId="664C750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7.7</w:t>
            </w:r>
          </w:p>
        </w:tc>
        <w:tc>
          <w:tcPr>
            <w:tcW w:w="974" w:type="pct"/>
            <w:tcBorders>
              <w:tl2br w:val="nil"/>
              <w:tr2bl w:val="nil"/>
            </w:tcBorders>
            <w:shd w:val="clear" w:color="auto" w:fill="auto"/>
            <w:vAlign w:val="center"/>
          </w:tcPr>
          <w:p w14:paraId="069951C7">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7.5</w:t>
            </w:r>
          </w:p>
        </w:tc>
      </w:tr>
      <w:tr w14:paraId="57DE2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3815858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19</w:t>
            </w:r>
          </w:p>
        </w:tc>
        <w:tc>
          <w:tcPr>
            <w:tcW w:w="1006" w:type="pct"/>
            <w:tcBorders>
              <w:tl2br w:val="nil"/>
              <w:tr2bl w:val="nil"/>
            </w:tcBorders>
            <w:shd w:val="clear" w:color="auto" w:fill="auto"/>
            <w:vAlign w:val="center"/>
          </w:tcPr>
          <w:p w14:paraId="2649BC5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1,2-二氯丙烷</w:t>
            </w:r>
          </w:p>
        </w:tc>
        <w:tc>
          <w:tcPr>
            <w:tcW w:w="576" w:type="pct"/>
            <w:tcBorders>
              <w:tl2br w:val="nil"/>
              <w:tr2bl w:val="nil"/>
            </w:tcBorders>
            <w:shd w:val="clear" w:color="auto" w:fill="auto"/>
            <w:vAlign w:val="center"/>
          </w:tcPr>
          <w:p w14:paraId="2FF5C8FC">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1931C8F2">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4F0329FB">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6EA9C96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6EEDAE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1F76541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20</w:t>
            </w:r>
          </w:p>
        </w:tc>
        <w:tc>
          <w:tcPr>
            <w:tcW w:w="1006" w:type="pct"/>
            <w:tcBorders>
              <w:tl2br w:val="nil"/>
              <w:tr2bl w:val="nil"/>
            </w:tcBorders>
            <w:shd w:val="clear" w:color="auto" w:fill="auto"/>
            <w:vAlign w:val="center"/>
          </w:tcPr>
          <w:p w14:paraId="6AB4FF8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1,1,1,2-四氯乙烷</w:t>
            </w:r>
          </w:p>
        </w:tc>
        <w:tc>
          <w:tcPr>
            <w:tcW w:w="576" w:type="pct"/>
            <w:tcBorders>
              <w:tl2br w:val="nil"/>
              <w:tr2bl w:val="nil"/>
            </w:tcBorders>
            <w:shd w:val="clear" w:color="auto" w:fill="auto"/>
            <w:vAlign w:val="center"/>
          </w:tcPr>
          <w:p w14:paraId="0B01FCF8">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57C1171A">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4DFF39B9">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316010CF">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36DBDC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2D548E4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21</w:t>
            </w:r>
          </w:p>
        </w:tc>
        <w:tc>
          <w:tcPr>
            <w:tcW w:w="1006" w:type="pct"/>
            <w:tcBorders>
              <w:tl2br w:val="nil"/>
              <w:tr2bl w:val="nil"/>
            </w:tcBorders>
            <w:shd w:val="clear" w:color="auto" w:fill="auto"/>
            <w:vAlign w:val="center"/>
          </w:tcPr>
          <w:p w14:paraId="31BD438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1,1,2,2-四氯乙烷</w:t>
            </w:r>
          </w:p>
        </w:tc>
        <w:tc>
          <w:tcPr>
            <w:tcW w:w="576" w:type="pct"/>
            <w:tcBorders>
              <w:tl2br w:val="nil"/>
              <w:tr2bl w:val="nil"/>
            </w:tcBorders>
            <w:shd w:val="clear" w:color="auto" w:fill="auto"/>
            <w:vAlign w:val="center"/>
          </w:tcPr>
          <w:p w14:paraId="478A5C9A">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19E4DE62">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492A219A">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2B7FA70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4BBD7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2A1A9A30">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22</w:t>
            </w:r>
          </w:p>
        </w:tc>
        <w:tc>
          <w:tcPr>
            <w:tcW w:w="1006" w:type="pct"/>
            <w:tcBorders>
              <w:tl2br w:val="nil"/>
              <w:tr2bl w:val="nil"/>
            </w:tcBorders>
            <w:shd w:val="clear" w:color="auto" w:fill="auto"/>
            <w:vAlign w:val="center"/>
          </w:tcPr>
          <w:p w14:paraId="4E1ADCD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四氯乙烯</w:t>
            </w:r>
          </w:p>
        </w:tc>
        <w:tc>
          <w:tcPr>
            <w:tcW w:w="576" w:type="pct"/>
            <w:tcBorders>
              <w:tl2br w:val="nil"/>
              <w:tr2bl w:val="nil"/>
            </w:tcBorders>
            <w:shd w:val="clear" w:color="auto" w:fill="auto"/>
            <w:vAlign w:val="center"/>
          </w:tcPr>
          <w:p w14:paraId="1A809D61">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7C2D0BC5">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3247536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7D17C44C">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0417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20331D53">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23</w:t>
            </w:r>
          </w:p>
        </w:tc>
        <w:tc>
          <w:tcPr>
            <w:tcW w:w="1006" w:type="pct"/>
            <w:tcBorders>
              <w:tl2br w:val="nil"/>
              <w:tr2bl w:val="nil"/>
            </w:tcBorders>
            <w:shd w:val="clear" w:color="auto" w:fill="auto"/>
            <w:vAlign w:val="center"/>
          </w:tcPr>
          <w:p w14:paraId="4FF0FB6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1,1,1-三氯乙烷</w:t>
            </w:r>
          </w:p>
        </w:tc>
        <w:tc>
          <w:tcPr>
            <w:tcW w:w="576" w:type="pct"/>
            <w:tcBorders>
              <w:tl2br w:val="nil"/>
              <w:tr2bl w:val="nil"/>
            </w:tcBorders>
            <w:shd w:val="clear" w:color="auto" w:fill="auto"/>
            <w:vAlign w:val="center"/>
          </w:tcPr>
          <w:p w14:paraId="7467A1E0">
            <w:pPr>
              <w:adjustRightInd w:val="0"/>
              <w:snapToGrid w:val="0"/>
              <w:jc w:val="center"/>
              <w:rPr>
                <w:rFonts w:hint="default" w:ascii="Times New Roman" w:hAnsi="Times New Roman" w:eastAsia="宋体" w:cs="Times New Roman"/>
                <w:b/>
                <w:bCs/>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21FE0F66">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0C568B8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02F6BBD4">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94790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5C64F676">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24</w:t>
            </w:r>
          </w:p>
        </w:tc>
        <w:tc>
          <w:tcPr>
            <w:tcW w:w="1006" w:type="pct"/>
            <w:tcBorders>
              <w:tl2br w:val="nil"/>
              <w:tr2bl w:val="nil"/>
            </w:tcBorders>
            <w:shd w:val="clear" w:color="auto" w:fill="auto"/>
            <w:vAlign w:val="center"/>
          </w:tcPr>
          <w:p w14:paraId="228B6AB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1,1,2-三氯乙烷</w:t>
            </w:r>
          </w:p>
        </w:tc>
        <w:tc>
          <w:tcPr>
            <w:tcW w:w="576" w:type="pct"/>
            <w:tcBorders>
              <w:tl2br w:val="nil"/>
              <w:tr2bl w:val="nil"/>
            </w:tcBorders>
            <w:shd w:val="clear" w:color="auto" w:fill="auto"/>
            <w:vAlign w:val="center"/>
          </w:tcPr>
          <w:p w14:paraId="20F7D58C">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21ADF042">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053A9D23">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037BC652">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0D8B11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57A447F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25</w:t>
            </w:r>
          </w:p>
        </w:tc>
        <w:tc>
          <w:tcPr>
            <w:tcW w:w="1006" w:type="pct"/>
            <w:tcBorders>
              <w:tl2br w:val="nil"/>
              <w:tr2bl w:val="nil"/>
            </w:tcBorders>
            <w:shd w:val="clear" w:color="auto" w:fill="auto"/>
            <w:vAlign w:val="center"/>
          </w:tcPr>
          <w:p w14:paraId="604C481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三氯乙烯</w:t>
            </w:r>
          </w:p>
        </w:tc>
        <w:tc>
          <w:tcPr>
            <w:tcW w:w="576" w:type="pct"/>
            <w:tcBorders>
              <w:tl2br w:val="nil"/>
              <w:tr2bl w:val="nil"/>
            </w:tcBorders>
            <w:shd w:val="clear" w:color="auto" w:fill="auto"/>
            <w:vAlign w:val="center"/>
          </w:tcPr>
          <w:p w14:paraId="4B3A0AE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1FC5BC23">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639CA25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1AFF09D7">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D052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4E457A5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26</w:t>
            </w:r>
          </w:p>
        </w:tc>
        <w:tc>
          <w:tcPr>
            <w:tcW w:w="1006" w:type="pct"/>
            <w:tcBorders>
              <w:tl2br w:val="nil"/>
              <w:tr2bl w:val="nil"/>
            </w:tcBorders>
            <w:shd w:val="clear" w:color="auto" w:fill="auto"/>
            <w:vAlign w:val="center"/>
          </w:tcPr>
          <w:p w14:paraId="2ED3A52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1,2,3-三氯丙烷</w:t>
            </w:r>
          </w:p>
        </w:tc>
        <w:tc>
          <w:tcPr>
            <w:tcW w:w="576" w:type="pct"/>
            <w:tcBorders>
              <w:tl2br w:val="nil"/>
              <w:tr2bl w:val="nil"/>
            </w:tcBorders>
            <w:shd w:val="clear" w:color="auto" w:fill="auto"/>
            <w:vAlign w:val="center"/>
          </w:tcPr>
          <w:p w14:paraId="7D63B6FE">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5566DDD7">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6CFFB45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0BA1A411">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7243F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0D14B34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27</w:t>
            </w:r>
          </w:p>
        </w:tc>
        <w:tc>
          <w:tcPr>
            <w:tcW w:w="1006" w:type="pct"/>
            <w:tcBorders>
              <w:tl2br w:val="nil"/>
              <w:tr2bl w:val="nil"/>
            </w:tcBorders>
            <w:shd w:val="clear" w:color="auto" w:fill="auto"/>
            <w:vAlign w:val="center"/>
          </w:tcPr>
          <w:p w14:paraId="6CE0E81E">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氯乙烯</w:t>
            </w:r>
          </w:p>
        </w:tc>
        <w:tc>
          <w:tcPr>
            <w:tcW w:w="576" w:type="pct"/>
            <w:tcBorders>
              <w:tl2br w:val="nil"/>
              <w:tr2bl w:val="nil"/>
            </w:tcBorders>
            <w:shd w:val="clear" w:color="auto" w:fill="auto"/>
            <w:vAlign w:val="center"/>
          </w:tcPr>
          <w:p w14:paraId="2417B80D">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1B73A4E7">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65B01434">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210810BE">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7637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76BD4F3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28</w:t>
            </w:r>
          </w:p>
        </w:tc>
        <w:tc>
          <w:tcPr>
            <w:tcW w:w="1006" w:type="pct"/>
            <w:tcBorders>
              <w:tl2br w:val="nil"/>
              <w:tr2bl w:val="nil"/>
            </w:tcBorders>
            <w:shd w:val="clear" w:color="auto" w:fill="auto"/>
            <w:vAlign w:val="center"/>
          </w:tcPr>
          <w:p w14:paraId="56FFD01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w:t>
            </w:r>
          </w:p>
        </w:tc>
        <w:tc>
          <w:tcPr>
            <w:tcW w:w="576" w:type="pct"/>
            <w:tcBorders>
              <w:tl2br w:val="nil"/>
              <w:tr2bl w:val="nil"/>
            </w:tcBorders>
            <w:shd w:val="clear" w:color="auto" w:fill="auto"/>
            <w:vAlign w:val="center"/>
          </w:tcPr>
          <w:p w14:paraId="5D23BEF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3CE63E9F">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3A56BE1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1A0DC9A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3CBE30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6D6292B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29</w:t>
            </w:r>
          </w:p>
        </w:tc>
        <w:tc>
          <w:tcPr>
            <w:tcW w:w="1006" w:type="pct"/>
            <w:tcBorders>
              <w:tl2br w:val="nil"/>
              <w:tr2bl w:val="nil"/>
            </w:tcBorders>
            <w:shd w:val="clear" w:color="auto" w:fill="auto"/>
            <w:vAlign w:val="center"/>
          </w:tcPr>
          <w:p w14:paraId="2FEF089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氯苯</w:t>
            </w:r>
          </w:p>
        </w:tc>
        <w:tc>
          <w:tcPr>
            <w:tcW w:w="576" w:type="pct"/>
            <w:tcBorders>
              <w:tl2br w:val="nil"/>
              <w:tr2bl w:val="nil"/>
            </w:tcBorders>
            <w:shd w:val="clear" w:color="auto" w:fill="auto"/>
            <w:vAlign w:val="center"/>
          </w:tcPr>
          <w:p w14:paraId="259131E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74DBCAEA">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56AC3E93">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1BCB629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65959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5A15D77A">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30</w:t>
            </w:r>
          </w:p>
        </w:tc>
        <w:tc>
          <w:tcPr>
            <w:tcW w:w="1006" w:type="pct"/>
            <w:tcBorders>
              <w:tl2br w:val="nil"/>
              <w:tr2bl w:val="nil"/>
            </w:tcBorders>
            <w:shd w:val="clear" w:color="auto" w:fill="auto"/>
            <w:vAlign w:val="center"/>
          </w:tcPr>
          <w:p w14:paraId="6EAFE4B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1,2-二氯苯</w:t>
            </w:r>
          </w:p>
        </w:tc>
        <w:tc>
          <w:tcPr>
            <w:tcW w:w="576" w:type="pct"/>
            <w:tcBorders>
              <w:tl2br w:val="nil"/>
              <w:tr2bl w:val="nil"/>
            </w:tcBorders>
            <w:shd w:val="clear" w:color="auto" w:fill="auto"/>
            <w:vAlign w:val="center"/>
          </w:tcPr>
          <w:p w14:paraId="355E240D">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65588635">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4768934E">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6CC2220F">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566ACD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73CFBF36">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31</w:t>
            </w:r>
          </w:p>
        </w:tc>
        <w:tc>
          <w:tcPr>
            <w:tcW w:w="1006" w:type="pct"/>
            <w:tcBorders>
              <w:tl2br w:val="nil"/>
              <w:tr2bl w:val="nil"/>
            </w:tcBorders>
            <w:shd w:val="clear" w:color="auto" w:fill="auto"/>
            <w:vAlign w:val="center"/>
          </w:tcPr>
          <w:p w14:paraId="76C23D1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1,4-二氯苯</w:t>
            </w:r>
          </w:p>
        </w:tc>
        <w:tc>
          <w:tcPr>
            <w:tcW w:w="576" w:type="pct"/>
            <w:tcBorders>
              <w:tl2br w:val="nil"/>
              <w:tr2bl w:val="nil"/>
            </w:tcBorders>
            <w:shd w:val="clear" w:color="auto" w:fill="auto"/>
            <w:vAlign w:val="center"/>
          </w:tcPr>
          <w:p w14:paraId="75FF3E8D">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65FD6452">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101FF34A">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7AD619ED">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325CF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1D85C175">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32</w:t>
            </w:r>
          </w:p>
        </w:tc>
        <w:tc>
          <w:tcPr>
            <w:tcW w:w="1006" w:type="pct"/>
            <w:tcBorders>
              <w:tl2br w:val="nil"/>
              <w:tr2bl w:val="nil"/>
            </w:tcBorders>
            <w:shd w:val="clear" w:color="auto" w:fill="auto"/>
            <w:vAlign w:val="center"/>
          </w:tcPr>
          <w:p w14:paraId="67E4499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乙苯</w:t>
            </w:r>
          </w:p>
        </w:tc>
        <w:tc>
          <w:tcPr>
            <w:tcW w:w="576" w:type="pct"/>
            <w:tcBorders>
              <w:tl2br w:val="nil"/>
              <w:tr2bl w:val="nil"/>
            </w:tcBorders>
            <w:shd w:val="clear" w:color="auto" w:fill="auto"/>
            <w:vAlign w:val="center"/>
          </w:tcPr>
          <w:p w14:paraId="0C330BB2">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50A2CCC1">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394E5DC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2C6C69F3">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1536E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18BC30AB">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33</w:t>
            </w:r>
          </w:p>
        </w:tc>
        <w:tc>
          <w:tcPr>
            <w:tcW w:w="1006" w:type="pct"/>
            <w:tcBorders>
              <w:tl2br w:val="nil"/>
              <w:tr2bl w:val="nil"/>
            </w:tcBorders>
            <w:shd w:val="clear" w:color="auto" w:fill="auto"/>
            <w:vAlign w:val="center"/>
          </w:tcPr>
          <w:p w14:paraId="43D6CFD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苯乙烯</w:t>
            </w:r>
          </w:p>
        </w:tc>
        <w:tc>
          <w:tcPr>
            <w:tcW w:w="576" w:type="pct"/>
            <w:tcBorders>
              <w:tl2br w:val="nil"/>
              <w:tr2bl w:val="nil"/>
            </w:tcBorders>
            <w:shd w:val="clear" w:color="auto" w:fill="auto"/>
            <w:vAlign w:val="center"/>
          </w:tcPr>
          <w:p w14:paraId="0E97DD47">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4451C062">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1199CBE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1F1B0019">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7F0B9E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2B11545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34</w:t>
            </w:r>
          </w:p>
        </w:tc>
        <w:tc>
          <w:tcPr>
            <w:tcW w:w="1006" w:type="pct"/>
            <w:tcBorders>
              <w:tl2br w:val="nil"/>
              <w:tr2bl w:val="nil"/>
            </w:tcBorders>
            <w:shd w:val="clear" w:color="auto" w:fill="auto"/>
            <w:vAlign w:val="center"/>
          </w:tcPr>
          <w:p w14:paraId="03F76BE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甲苯</w:t>
            </w:r>
          </w:p>
        </w:tc>
        <w:tc>
          <w:tcPr>
            <w:tcW w:w="576" w:type="pct"/>
            <w:tcBorders>
              <w:tl2br w:val="nil"/>
              <w:tr2bl w:val="nil"/>
            </w:tcBorders>
            <w:shd w:val="clear" w:color="auto" w:fill="auto"/>
            <w:vAlign w:val="center"/>
          </w:tcPr>
          <w:p w14:paraId="7E700DD9">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77741C7F">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29F6B54C">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5FDCD13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415C0E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2C779613">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35</w:t>
            </w:r>
          </w:p>
        </w:tc>
        <w:tc>
          <w:tcPr>
            <w:tcW w:w="1006" w:type="pct"/>
            <w:tcBorders>
              <w:tl2br w:val="nil"/>
              <w:tr2bl w:val="nil"/>
            </w:tcBorders>
            <w:shd w:val="clear" w:color="auto" w:fill="auto"/>
            <w:vAlign w:val="center"/>
          </w:tcPr>
          <w:p w14:paraId="6DC0D5B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间二甲苯</w:t>
            </w:r>
          </w:p>
          <w:p w14:paraId="464B05F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+对二甲苯</w:t>
            </w:r>
          </w:p>
        </w:tc>
        <w:tc>
          <w:tcPr>
            <w:tcW w:w="576" w:type="pct"/>
            <w:tcBorders>
              <w:tl2br w:val="nil"/>
              <w:tr2bl w:val="nil"/>
            </w:tcBorders>
            <w:shd w:val="clear" w:color="auto" w:fill="auto"/>
            <w:vAlign w:val="center"/>
          </w:tcPr>
          <w:p w14:paraId="24C09B5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17D34C74">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0F10FEAA">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4B77091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77C02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0A8443E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36</w:t>
            </w:r>
          </w:p>
        </w:tc>
        <w:tc>
          <w:tcPr>
            <w:tcW w:w="1006" w:type="pct"/>
            <w:tcBorders>
              <w:tl2br w:val="nil"/>
              <w:tr2bl w:val="nil"/>
            </w:tcBorders>
            <w:shd w:val="clear" w:color="auto" w:fill="auto"/>
            <w:vAlign w:val="center"/>
          </w:tcPr>
          <w:p w14:paraId="525DC06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邻二甲苯</w:t>
            </w:r>
          </w:p>
        </w:tc>
        <w:tc>
          <w:tcPr>
            <w:tcW w:w="576" w:type="pct"/>
            <w:tcBorders>
              <w:tl2br w:val="nil"/>
              <w:tr2bl w:val="nil"/>
            </w:tcBorders>
            <w:shd w:val="clear" w:color="auto" w:fill="auto"/>
            <w:vAlign w:val="center"/>
          </w:tcPr>
          <w:p w14:paraId="3F850F3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μg/kg</w:t>
            </w:r>
          </w:p>
        </w:tc>
        <w:tc>
          <w:tcPr>
            <w:tcW w:w="959" w:type="pct"/>
            <w:tcBorders>
              <w:tl2br w:val="nil"/>
              <w:tr2bl w:val="nil"/>
            </w:tcBorders>
            <w:shd w:val="clear" w:color="auto" w:fill="auto"/>
            <w:vAlign w:val="center"/>
          </w:tcPr>
          <w:p w14:paraId="1A7FCF6D">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536D530D">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52E7231B">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00D9C2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081F6E7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37</w:t>
            </w:r>
          </w:p>
        </w:tc>
        <w:tc>
          <w:tcPr>
            <w:tcW w:w="1006" w:type="pct"/>
            <w:tcBorders>
              <w:tl2br w:val="nil"/>
              <w:tr2bl w:val="nil"/>
            </w:tcBorders>
            <w:shd w:val="clear" w:color="auto" w:fill="auto"/>
            <w:vAlign w:val="center"/>
          </w:tcPr>
          <w:p w14:paraId="21B87DFD">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硝基苯</w:t>
            </w:r>
          </w:p>
        </w:tc>
        <w:tc>
          <w:tcPr>
            <w:tcW w:w="576" w:type="pct"/>
            <w:tcBorders>
              <w:tl2br w:val="nil"/>
              <w:tr2bl w:val="nil"/>
            </w:tcBorders>
            <w:shd w:val="clear" w:color="auto" w:fill="auto"/>
            <w:vAlign w:val="center"/>
          </w:tcPr>
          <w:p w14:paraId="434B0AAF">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433EF276">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1D75FA4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1128FFA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5EB13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6C3798C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38</w:t>
            </w:r>
          </w:p>
        </w:tc>
        <w:tc>
          <w:tcPr>
            <w:tcW w:w="1006" w:type="pct"/>
            <w:tcBorders>
              <w:tl2br w:val="nil"/>
              <w:tr2bl w:val="nil"/>
            </w:tcBorders>
            <w:shd w:val="clear" w:color="auto" w:fill="auto"/>
            <w:vAlign w:val="center"/>
          </w:tcPr>
          <w:p w14:paraId="3C84DD0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苯胺</w:t>
            </w:r>
          </w:p>
        </w:tc>
        <w:tc>
          <w:tcPr>
            <w:tcW w:w="576" w:type="pct"/>
            <w:tcBorders>
              <w:tl2br w:val="nil"/>
              <w:tr2bl w:val="nil"/>
            </w:tcBorders>
            <w:shd w:val="clear" w:color="auto" w:fill="auto"/>
            <w:vAlign w:val="center"/>
          </w:tcPr>
          <w:p w14:paraId="4DDBA5E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0692191A">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07B2584F">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19972D99">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4DC6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4630A4C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39</w:t>
            </w:r>
          </w:p>
        </w:tc>
        <w:tc>
          <w:tcPr>
            <w:tcW w:w="1006" w:type="pct"/>
            <w:tcBorders>
              <w:tl2br w:val="nil"/>
              <w:tr2bl w:val="nil"/>
            </w:tcBorders>
            <w:shd w:val="clear" w:color="auto" w:fill="auto"/>
            <w:vAlign w:val="center"/>
          </w:tcPr>
          <w:p w14:paraId="237C2E86">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2-氯酚</w:t>
            </w:r>
          </w:p>
        </w:tc>
        <w:tc>
          <w:tcPr>
            <w:tcW w:w="576" w:type="pct"/>
            <w:tcBorders>
              <w:tl2br w:val="nil"/>
              <w:tr2bl w:val="nil"/>
            </w:tcBorders>
            <w:shd w:val="clear" w:color="auto" w:fill="auto"/>
            <w:vAlign w:val="center"/>
          </w:tcPr>
          <w:p w14:paraId="4BF929A4">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0C29D0F7">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4396A85F">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5548256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0AEFC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349AD1EB">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40</w:t>
            </w:r>
          </w:p>
        </w:tc>
        <w:tc>
          <w:tcPr>
            <w:tcW w:w="1006" w:type="pct"/>
            <w:tcBorders>
              <w:tl2br w:val="nil"/>
              <w:tr2bl w:val="nil"/>
            </w:tcBorders>
            <w:shd w:val="clear" w:color="auto" w:fill="auto"/>
            <w:vAlign w:val="center"/>
          </w:tcPr>
          <w:p w14:paraId="467B853D">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苯并[a]蒽</w:t>
            </w:r>
          </w:p>
        </w:tc>
        <w:tc>
          <w:tcPr>
            <w:tcW w:w="576" w:type="pct"/>
            <w:tcBorders>
              <w:tl2br w:val="nil"/>
              <w:tr2bl w:val="nil"/>
            </w:tcBorders>
            <w:shd w:val="clear" w:color="auto" w:fill="auto"/>
            <w:vAlign w:val="center"/>
          </w:tcPr>
          <w:p w14:paraId="55FC173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360AC869">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0F263B6B">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54DFBCF9">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1DCD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1495DF49">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41</w:t>
            </w:r>
          </w:p>
        </w:tc>
        <w:tc>
          <w:tcPr>
            <w:tcW w:w="1006" w:type="pct"/>
            <w:tcBorders>
              <w:tl2br w:val="nil"/>
              <w:tr2bl w:val="nil"/>
            </w:tcBorders>
            <w:shd w:val="clear" w:color="auto" w:fill="auto"/>
            <w:vAlign w:val="center"/>
          </w:tcPr>
          <w:p w14:paraId="169BCF36">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苯并[a]芘</w:t>
            </w:r>
          </w:p>
        </w:tc>
        <w:tc>
          <w:tcPr>
            <w:tcW w:w="576" w:type="pct"/>
            <w:tcBorders>
              <w:tl2br w:val="nil"/>
              <w:tr2bl w:val="nil"/>
            </w:tcBorders>
            <w:shd w:val="clear" w:color="auto" w:fill="auto"/>
            <w:vAlign w:val="center"/>
          </w:tcPr>
          <w:p w14:paraId="23C683F9">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5959C2D0">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5ED3B2E8">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79FAFD06">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36CAD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420161D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42</w:t>
            </w:r>
          </w:p>
        </w:tc>
        <w:tc>
          <w:tcPr>
            <w:tcW w:w="1006" w:type="pct"/>
            <w:tcBorders>
              <w:tl2br w:val="nil"/>
              <w:tr2bl w:val="nil"/>
            </w:tcBorders>
            <w:shd w:val="clear" w:color="auto" w:fill="auto"/>
            <w:vAlign w:val="center"/>
          </w:tcPr>
          <w:p w14:paraId="2DA4605B">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苯并[b]荧蒽</w:t>
            </w:r>
          </w:p>
        </w:tc>
        <w:tc>
          <w:tcPr>
            <w:tcW w:w="576" w:type="pct"/>
            <w:tcBorders>
              <w:tl2br w:val="nil"/>
              <w:tr2bl w:val="nil"/>
            </w:tcBorders>
            <w:shd w:val="clear" w:color="auto" w:fill="auto"/>
            <w:vAlign w:val="center"/>
          </w:tcPr>
          <w:p w14:paraId="24B3C6AA">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4535AFD7">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3B618271">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6DB86D62">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70B26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591D825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43</w:t>
            </w:r>
          </w:p>
        </w:tc>
        <w:tc>
          <w:tcPr>
            <w:tcW w:w="1006" w:type="pct"/>
            <w:tcBorders>
              <w:tl2br w:val="nil"/>
              <w:tr2bl w:val="nil"/>
            </w:tcBorders>
            <w:shd w:val="clear" w:color="auto" w:fill="auto"/>
            <w:vAlign w:val="center"/>
          </w:tcPr>
          <w:p w14:paraId="78EACAEF">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苯并[k]荧蒽</w:t>
            </w:r>
          </w:p>
        </w:tc>
        <w:tc>
          <w:tcPr>
            <w:tcW w:w="576" w:type="pct"/>
            <w:tcBorders>
              <w:tl2br w:val="nil"/>
              <w:tr2bl w:val="nil"/>
            </w:tcBorders>
            <w:shd w:val="clear" w:color="auto" w:fill="auto"/>
            <w:vAlign w:val="center"/>
          </w:tcPr>
          <w:p w14:paraId="6159DFE2">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06CCC8EA">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042A0C57">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467ED02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F1510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61CC4B2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44</w:t>
            </w:r>
          </w:p>
        </w:tc>
        <w:tc>
          <w:tcPr>
            <w:tcW w:w="1006" w:type="pct"/>
            <w:tcBorders>
              <w:tl2br w:val="nil"/>
              <w:tr2bl w:val="nil"/>
            </w:tcBorders>
            <w:shd w:val="clear" w:color="auto" w:fill="auto"/>
            <w:vAlign w:val="center"/>
          </w:tcPr>
          <w:p w14:paraId="1642F279">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䓛</w:t>
            </w:r>
          </w:p>
        </w:tc>
        <w:tc>
          <w:tcPr>
            <w:tcW w:w="576" w:type="pct"/>
            <w:tcBorders>
              <w:tl2br w:val="nil"/>
              <w:tr2bl w:val="nil"/>
            </w:tcBorders>
            <w:shd w:val="clear" w:color="auto" w:fill="auto"/>
            <w:vAlign w:val="center"/>
          </w:tcPr>
          <w:p w14:paraId="0774A699">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455A7193">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42E51E85">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0EBAF2A7">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17F8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03B03CC6">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45</w:t>
            </w:r>
          </w:p>
        </w:tc>
        <w:tc>
          <w:tcPr>
            <w:tcW w:w="1006" w:type="pct"/>
            <w:tcBorders>
              <w:tl2br w:val="nil"/>
              <w:tr2bl w:val="nil"/>
            </w:tcBorders>
            <w:shd w:val="clear" w:color="auto" w:fill="auto"/>
            <w:vAlign w:val="center"/>
          </w:tcPr>
          <w:p w14:paraId="206CC51B">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二苯并[a, h]蒽</w:t>
            </w:r>
          </w:p>
        </w:tc>
        <w:tc>
          <w:tcPr>
            <w:tcW w:w="576" w:type="pct"/>
            <w:tcBorders>
              <w:tl2br w:val="nil"/>
              <w:tr2bl w:val="nil"/>
            </w:tcBorders>
            <w:shd w:val="clear" w:color="auto" w:fill="auto"/>
            <w:vAlign w:val="center"/>
          </w:tcPr>
          <w:p w14:paraId="5FEC9D10">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3CF90AEB">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7F5EB301">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78EC7B03">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1FABF1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3143E3C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46</w:t>
            </w:r>
          </w:p>
        </w:tc>
        <w:tc>
          <w:tcPr>
            <w:tcW w:w="1006" w:type="pct"/>
            <w:tcBorders>
              <w:tl2br w:val="nil"/>
              <w:tr2bl w:val="nil"/>
            </w:tcBorders>
            <w:shd w:val="clear" w:color="auto" w:fill="auto"/>
            <w:vAlign w:val="center"/>
          </w:tcPr>
          <w:p w14:paraId="4BA991B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茚并[1,2,3-cd]芘</w:t>
            </w:r>
          </w:p>
        </w:tc>
        <w:tc>
          <w:tcPr>
            <w:tcW w:w="576" w:type="pct"/>
            <w:tcBorders>
              <w:tl2br w:val="nil"/>
              <w:tr2bl w:val="nil"/>
            </w:tcBorders>
            <w:shd w:val="clear" w:color="auto" w:fill="auto"/>
            <w:vAlign w:val="center"/>
          </w:tcPr>
          <w:p w14:paraId="4377BD52">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0A24EB4E">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74F4963F">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647DE622">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r w14:paraId="2FE3EA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shd w:val="clear" w:color="auto" w:fill="auto"/>
            <w:vAlign w:val="center"/>
          </w:tcPr>
          <w:p w14:paraId="0B0576AD">
            <w:pPr>
              <w:numPr>
                <w:ilvl w:val="0"/>
                <w:numId w:val="0"/>
              </w:numPr>
              <w:adjustRightInd w:val="0"/>
              <w:snapToGrid w:val="0"/>
              <w:ind w:left="0" w:leftChars="0" w:firstLine="0"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47</w:t>
            </w:r>
          </w:p>
        </w:tc>
        <w:tc>
          <w:tcPr>
            <w:tcW w:w="1006" w:type="pct"/>
            <w:tcBorders>
              <w:tl2br w:val="nil"/>
              <w:tr2bl w:val="nil"/>
            </w:tcBorders>
            <w:shd w:val="clear" w:color="auto" w:fill="auto"/>
            <w:vAlign w:val="center"/>
          </w:tcPr>
          <w:p w14:paraId="538B041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萘</w:t>
            </w:r>
          </w:p>
        </w:tc>
        <w:tc>
          <w:tcPr>
            <w:tcW w:w="576" w:type="pct"/>
            <w:tcBorders>
              <w:tl2br w:val="nil"/>
              <w:tr2bl w:val="nil"/>
            </w:tcBorders>
            <w:shd w:val="clear" w:color="auto" w:fill="auto"/>
            <w:vAlign w:val="center"/>
          </w:tcPr>
          <w:p w14:paraId="05EEE26A">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m</w:t>
            </w:r>
            <w:r>
              <w:rPr>
                <w:rFonts w:hint="default" w:ascii="Times New Roman" w:hAnsi="Times New Roman" w:eastAsia="宋体" w:cs="Times New Roman"/>
                <w:sz w:val="21"/>
                <w:szCs w:val="21"/>
                <w:highlight w:val="none"/>
              </w:rPr>
              <w:t>g/kg</w:t>
            </w:r>
          </w:p>
        </w:tc>
        <w:tc>
          <w:tcPr>
            <w:tcW w:w="959" w:type="pct"/>
            <w:tcBorders>
              <w:tl2br w:val="nil"/>
              <w:tr2bl w:val="nil"/>
            </w:tcBorders>
            <w:shd w:val="clear" w:color="auto" w:fill="auto"/>
            <w:vAlign w:val="center"/>
          </w:tcPr>
          <w:p w14:paraId="0C993B44">
            <w:pPr>
              <w:adjustRightInd w:val="0"/>
              <w:snapToGrid w:val="0"/>
              <w:jc w:val="center"/>
              <w:rPr>
                <w:rFonts w:hint="default" w:ascii="Times New Roman" w:hAnsi="Times New Roman" w:eastAsia="宋体" w:cs="Times New Roman"/>
                <w:b w:val="0"/>
                <w:bCs w:val="0"/>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50E1296B">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c>
          <w:tcPr>
            <w:tcW w:w="974" w:type="pct"/>
            <w:tcBorders>
              <w:tl2br w:val="nil"/>
              <w:tr2bl w:val="nil"/>
            </w:tcBorders>
            <w:shd w:val="clear" w:color="auto" w:fill="auto"/>
            <w:vAlign w:val="center"/>
          </w:tcPr>
          <w:p w14:paraId="7CEA69C3">
            <w:pPr>
              <w:adjustRightInd w:val="0"/>
              <w:snapToGrid w:val="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sz w:val="21"/>
                <w:szCs w:val="21"/>
                <w:highlight w:val="none"/>
                <w:lang w:val="en-US" w:eastAsia="zh-CN"/>
              </w:rPr>
              <w:t>未检出</w:t>
            </w:r>
          </w:p>
        </w:tc>
      </w:tr>
    </w:tbl>
    <w:p w14:paraId="4A0D14FA">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续</w:t>
      </w: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20</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土壤环境质量现状监测数据统计表</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1868"/>
        <w:gridCol w:w="969"/>
        <w:gridCol w:w="1645"/>
        <w:gridCol w:w="1611"/>
        <w:gridCol w:w="1682"/>
      </w:tblGrid>
      <w:tr w14:paraId="45F02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4DFF9077">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收</w:t>
            </w:r>
            <w:r>
              <w:rPr>
                <w:rFonts w:hint="default" w:ascii="Times New Roman" w:hAnsi="Times New Roman" w:eastAsia="宋体" w:cs="Times New Roman"/>
                <w:b/>
                <w:bCs/>
                <w:sz w:val="21"/>
                <w:szCs w:val="21"/>
                <w:highlight w:val="none"/>
                <w:lang w:val="en-US" w:eastAsia="zh-CN"/>
              </w:rPr>
              <w:t>样时间：</w:t>
            </w:r>
            <w:r>
              <w:rPr>
                <w:rFonts w:hint="eastAsia" w:ascii="Times New Roman" w:hAnsi="Times New Roman" w:cs="Times New Roman"/>
                <w:b/>
                <w:bCs/>
                <w:sz w:val="21"/>
                <w:szCs w:val="21"/>
                <w:highlight w:val="none"/>
                <w:lang w:val="en-US" w:eastAsia="zh-CN"/>
              </w:rPr>
              <w:t>2025</w:t>
            </w:r>
            <w:r>
              <w:rPr>
                <w:rFonts w:hint="default" w:ascii="Times New Roman" w:hAnsi="Times New Roman" w:eastAsia="宋体" w:cs="Times New Roman"/>
                <w:b/>
                <w:bCs/>
                <w:sz w:val="21"/>
                <w:szCs w:val="21"/>
                <w:highlight w:val="none"/>
                <w:lang w:val="en-US" w:eastAsia="zh-CN"/>
              </w:rPr>
              <w:t>.0</w:t>
            </w:r>
            <w:r>
              <w:rPr>
                <w:rFonts w:hint="eastAsia" w:ascii="Times New Roman" w:hAnsi="Times New Roman" w:cs="Times New Roman"/>
                <w:b/>
                <w:bCs/>
                <w:sz w:val="21"/>
                <w:szCs w:val="21"/>
                <w:highlight w:val="none"/>
                <w:lang w:val="en-US" w:eastAsia="zh-CN"/>
              </w:rPr>
              <w:t>7.23</w:t>
            </w:r>
          </w:p>
        </w:tc>
      </w:tr>
      <w:tr w14:paraId="1FF77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34" w:type="pct"/>
            <w:tcBorders>
              <w:tl2br w:val="nil"/>
              <w:tr2bl w:val="nil"/>
            </w:tcBorders>
            <w:vAlign w:val="center"/>
          </w:tcPr>
          <w:p w14:paraId="3C2F9516">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序号</w:t>
            </w:r>
          </w:p>
        </w:tc>
        <w:tc>
          <w:tcPr>
            <w:tcW w:w="1097" w:type="pct"/>
            <w:tcBorders>
              <w:tl2br w:val="nil"/>
              <w:tr2bl w:val="nil"/>
            </w:tcBorders>
            <w:vAlign w:val="center"/>
          </w:tcPr>
          <w:p w14:paraId="5307DD23">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检测项目</w:t>
            </w:r>
          </w:p>
        </w:tc>
        <w:tc>
          <w:tcPr>
            <w:tcW w:w="569" w:type="pct"/>
            <w:tcBorders>
              <w:tl2br w:val="nil"/>
              <w:tr2bl w:val="nil"/>
            </w:tcBorders>
            <w:vAlign w:val="center"/>
          </w:tcPr>
          <w:p w14:paraId="3C5BD58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单位</w:t>
            </w:r>
          </w:p>
        </w:tc>
        <w:tc>
          <w:tcPr>
            <w:tcW w:w="966" w:type="pct"/>
            <w:tcBorders>
              <w:tl2br w:val="nil"/>
              <w:tr2bl w:val="nil"/>
            </w:tcBorders>
            <w:vAlign w:val="center"/>
          </w:tcPr>
          <w:p w14:paraId="788A3E5A">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1#表层样</w:t>
            </w:r>
          </w:p>
        </w:tc>
        <w:tc>
          <w:tcPr>
            <w:tcW w:w="946" w:type="pct"/>
            <w:tcBorders>
              <w:tl2br w:val="nil"/>
              <w:tr2bl w:val="nil"/>
            </w:tcBorders>
            <w:vAlign w:val="center"/>
          </w:tcPr>
          <w:p w14:paraId="386DD72F">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eastAsia" w:ascii="Times New Roman" w:hAnsi="Times New Roman" w:cs="Times New Roman"/>
                <w:b/>
                <w:bCs/>
                <w:sz w:val="21"/>
                <w:szCs w:val="21"/>
                <w:highlight w:val="none"/>
                <w:lang w:val="en-US" w:eastAsia="zh-CN"/>
              </w:rPr>
              <w:t>2#表层样</w:t>
            </w:r>
          </w:p>
        </w:tc>
        <w:tc>
          <w:tcPr>
            <w:tcW w:w="986" w:type="pct"/>
            <w:tcBorders>
              <w:tl2br w:val="nil"/>
              <w:tr2bl w:val="nil"/>
            </w:tcBorders>
            <w:vAlign w:val="center"/>
          </w:tcPr>
          <w:p w14:paraId="6CFD675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eastAsia" w:ascii="Times New Roman" w:hAnsi="Times New Roman" w:cs="Times New Roman"/>
                <w:b/>
                <w:bCs/>
                <w:sz w:val="21"/>
                <w:szCs w:val="21"/>
                <w:highlight w:val="none"/>
                <w:lang w:val="en-US" w:eastAsia="zh-CN"/>
              </w:rPr>
              <w:t>3#表层样</w:t>
            </w:r>
          </w:p>
        </w:tc>
      </w:tr>
      <w:tr w14:paraId="463894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pct"/>
            <w:tcBorders>
              <w:tl2br w:val="nil"/>
              <w:tr2bl w:val="nil"/>
            </w:tcBorders>
            <w:vAlign w:val="center"/>
          </w:tcPr>
          <w:p w14:paraId="33163D87">
            <w:pPr>
              <w:numPr>
                <w:ilvl w:val="0"/>
                <w:numId w:val="0"/>
              </w:numPr>
              <w:adjustRightInd w:val="0"/>
              <w:snapToGrid w:val="0"/>
              <w:ind w:left="425" w:leftChars="0" w:hanging="425"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w:t>
            </w:r>
          </w:p>
        </w:tc>
        <w:tc>
          <w:tcPr>
            <w:tcW w:w="1097" w:type="pct"/>
            <w:tcBorders>
              <w:tl2br w:val="nil"/>
              <w:tr2bl w:val="nil"/>
            </w:tcBorders>
            <w:vAlign w:val="center"/>
          </w:tcPr>
          <w:p w14:paraId="622B419D">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镉</w:t>
            </w:r>
          </w:p>
        </w:tc>
        <w:tc>
          <w:tcPr>
            <w:tcW w:w="569" w:type="pct"/>
            <w:tcBorders>
              <w:tl2br w:val="nil"/>
              <w:tr2bl w:val="nil"/>
            </w:tcBorders>
            <w:vAlign w:val="center"/>
          </w:tcPr>
          <w:p w14:paraId="257674CF">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m</w:t>
            </w:r>
            <w:r>
              <w:rPr>
                <w:rFonts w:hint="default" w:ascii="Times New Roman" w:hAnsi="Times New Roman" w:eastAsia="宋体" w:cs="Times New Roman"/>
                <w:sz w:val="21"/>
                <w:szCs w:val="21"/>
                <w:highlight w:val="none"/>
              </w:rPr>
              <w:t>g/kg</w:t>
            </w:r>
          </w:p>
        </w:tc>
        <w:tc>
          <w:tcPr>
            <w:tcW w:w="966" w:type="pct"/>
            <w:tcBorders>
              <w:tl2br w:val="nil"/>
              <w:tr2bl w:val="nil"/>
            </w:tcBorders>
            <w:vAlign w:val="center"/>
          </w:tcPr>
          <w:p w14:paraId="5C1AA1E7">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b w:val="0"/>
                <w:bCs w:val="0"/>
                <w:color w:val="000000"/>
                <w:kern w:val="0"/>
                <w:sz w:val="21"/>
                <w:szCs w:val="21"/>
                <w:highlight w:val="none"/>
                <w:lang w:val="en-US" w:eastAsia="zh-CN"/>
              </w:rPr>
              <w:t>46.8</w:t>
            </w:r>
          </w:p>
        </w:tc>
        <w:tc>
          <w:tcPr>
            <w:tcW w:w="946" w:type="pct"/>
            <w:tcBorders>
              <w:tl2br w:val="nil"/>
              <w:tr2bl w:val="nil"/>
            </w:tcBorders>
            <w:vAlign w:val="center"/>
          </w:tcPr>
          <w:p w14:paraId="7AA29CD8">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rPr>
            </w:pPr>
            <w:r>
              <w:rPr>
                <w:rFonts w:hint="eastAsia" w:ascii="Times New Roman" w:hAnsi="Times New Roman" w:cs="Times New Roman"/>
                <w:b w:val="0"/>
                <w:bCs w:val="0"/>
                <w:color w:val="000000"/>
                <w:kern w:val="0"/>
                <w:sz w:val="21"/>
                <w:szCs w:val="21"/>
                <w:highlight w:val="none"/>
                <w:lang w:val="en-US" w:eastAsia="zh-CN"/>
              </w:rPr>
              <w:t>50.4</w:t>
            </w:r>
          </w:p>
        </w:tc>
        <w:tc>
          <w:tcPr>
            <w:tcW w:w="986" w:type="pct"/>
            <w:tcBorders>
              <w:tl2br w:val="nil"/>
              <w:tr2bl w:val="nil"/>
            </w:tcBorders>
            <w:vAlign w:val="center"/>
          </w:tcPr>
          <w:p w14:paraId="49008307">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rPr>
            </w:pPr>
            <w:r>
              <w:rPr>
                <w:rFonts w:hint="eastAsia" w:ascii="Times New Roman" w:hAnsi="Times New Roman" w:cs="Times New Roman"/>
                <w:b w:val="0"/>
                <w:bCs w:val="0"/>
                <w:color w:val="000000"/>
                <w:kern w:val="0"/>
                <w:sz w:val="21"/>
                <w:szCs w:val="21"/>
                <w:highlight w:val="none"/>
                <w:lang w:val="en-US" w:eastAsia="zh-CN"/>
              </w:rPr>
              <w:t>47.7</w:t>
            </w:r>
          </w:p>
        </w:tc>
      </w:tr>
    </w:tbl>
    <w:p w14:paraId="50DA4BA9">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p>
    <w:p w14:paraId="5B71AB55">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土壤理化特性调查表</w:t>
      </w:r>
    </w:p>
    <w:tbl>
      <w:tblPr>
        <w:tblStyle w:val="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1541"/>
        <w:gridCol w:w="1846"/>
        <w:gridCol w:w="1588"/>
        <w:gridCol w:w="258"/>
        <w:gridCol w:w="1847"/>
      </w:tblGrid>
      <w:tr w14:paraId="41DDF2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82" w:type="dxa"/>
            <w:gridSpan w:val="2"/>
            <w:noWrap w:val="0"/>
            <w:vAlign w:val="center"/>
          </w:tcPr>
          <w:p w14:paraId="39AEEC6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点号</w:t>
            </w:r>
          </w:p>
        </w:tc>
        <w:tc>
          <w:tcPr>
            <w:tcW w:w="1846" w:type="dxa"/>
            <w:noWrap w:val="0"/>
            <w:vAlign w:val="center"/>
          </w:tcPr>
          <w:p w14:paraId="4C5F40A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p>
        </w:tc>
        <w:tc>
          <w:tcPr>
            <w:tcW w:w="1588" w:type="dxa"/>
            <w:noWrap w:val="0"/>
            <w:vAlign w:val="center"/>
          </w:tcPr>
          <w:p w14:paraId="2521D9D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时间</w:t>
            </w:r>
          </w:p>
        </w:tc>
        <w:tc>
          <w:tcPr>
            <w:tcW w:w="2105" w:type="dxa"/>
            <w:gridSpan w:val="2"/>
            <w:noWrap w:val="0"/>
            <w:vAlign w:val="center"/>
          </w:tcPr>
          <w:p w14:paraId="0891C11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01</w:t>
            </w:r>
          </w:p>
        </w:tc>
      </w:tr>
      <w:tr w14:paraId="48270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82" w:type="dxa"/>
            <w:gridSpan w:val="2"/>
            <w:noWrap w:val="0"/>
            <w:vAlign w:val="center"/>
          </w:tcPr>
          <w:p w14:paraId="04DCD31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1846" w:type="dxa"/>
            <w:noWrap w:val="0"/>
            <w:vAlign w:val="center"/>
          </w:tcPr>
          <w:p w14:paraId="623356B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132.175548</w:t>
            </w:r>
            <w:r>
              <w:rPr>
                <w:rFonts w:hint="eastAsia" w:ascii="Times New Roman" w:hAnsi="Times New Roman" w:cs="Times New Roman"/>
                <w:color w:val="auto"/>
                <w:sz w:val="21"/>
                <w:szCs w:val="21"/>
                <w:highlight w:val="none"/>
                <w:lang w:val="en-US" w:eastAsia="zh-CN"/>
              </w:rPr>
              <w:t>°</w:t>
            </w:r>
          </w:p>
        </w:tc>
        <w:tc>
          <w:tcPr>
            <w:tcW w:w="1588" w:type="dxa"/>
            <w:noWrap w:val="0"/>
            <w:vAlign w:val="center"/>
          </w:tcPr>
          <w:p w14:paraId="6562009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纬度</w:t>
            </w:r>
          </w:p>
        </w:tc>
        <w:tc>
          <w:tcPr>
            <w:tcW w:w="2105" w:type="dxa"/>
            <w:gridSpan w:val="2"/>
            <w:noWrap w:val="0"/>
            <w:vAlign w:val="center"/>
          </w:tcPr>
          <w:p w14:paraId="01C6887D">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z w:val="21"/>
                <w:szCs w:val="21"/>
                <w:highlight w:val="none"/>
              </w:rPr>
              <w:t>45.568811</w:t>
            </w:r>
            <w:r>
              <w:rPr>
                <w:rFonts w:hint="default" w:ascii="Times New Roman" w:hAnsi="Times New Roman" w:cs="Times New Roman"/>
                <w:color w:val="auto"/>
                <w:sz w:val="21"/>
                <w:szCs w:val="21"/>
                <w:highlight w:val="none"/>
              </w:rPr>
              <w:t>°</w:t>
            </w:r>
          </w:p>
        </w:tc>
      </w:tr>
      <w:tr w14:paraId="1736B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82" w:type="dxa"/>
            <w:gridSpan w:val="2"/>
            <w:noWrap w:val="0"/>
            <w:vAlign w:val="center"/>
          </w:tcPr>
          <w:p w14:paraId="312002DE">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层次</w:t>
            </w:r>
          </w:p>
        </w:tc>
        <w:tc>
          <w:tcPr>
            <w:tcW w:w="1846" w:type="dxa"/>
            <w:noWrap w:val="0"/>
            <w:vAlign w:val="center"/>
          </w:tcPr>
          <w:p w14:paraId="466A8A7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&lt;0.005</w:t>
            </w:r>
            <w:r>
              <w:rPr>
                <w:rFonts w:hint="eastAsia"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val="en-US" w:eastAsia="zh-CN"/>
              </w:rPr>
              <w:t>m</w:t>
            </w:r>
          </w:p>
        </w:tc>
        <w:tc>
          <w:tcPr>
            <w:tcW w:w="1846" w:type="dxa"/>
            <w:gridSpan w:val="2"/>
            <w:noWrap w:val="0"/>
            <w:vAlign w:val="center"/>
          </w:tcPr>
          <w:p w14:paraId="376E721B">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0.005-0.075m</w:t>
            </w:r>
            <w:r>
              <w:rPr>
                <w:rFonts w:hint="default" w:ascii="Times New Roman" w:hAnsi="Times New Roman" w:eastAsia="宋体" w:cs="Times New Roman"/>
                <w:color w:val="auto"/>
                <w:sz w:val="21"/>
                <w:szCs w:val="21"/>
                <w:highlight w:val="none"/>
                <w:lang w:val="en-US" w:eastAsia="zh-CN"/>
              </w:rPr>
              <w:t>m</w:t>
            </w:r>
          </w:p>
        </w:tc>
        <w:tc>
          <w:tcPr>
            <w:tcW w:w="1847" w:type="dxa"/>
            <w:noWrap w:val="0"/>
            <w:vAlign w:val="center"/>
          </w:tcPr>
          <w:p w14:paraId="3F874866">
            <w:pPr>
              <w:adjustRightInd w:val="0"/>
              <w:snapToGrid w:val="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0.075-0.25mm</w:t>
            </w:r>
          </w:p>
        </w:tc>
      </w:tr>
      <w:tr w14:paraId="41758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restart"/>
            <w:noWrap w:val="0"/>
            <w:vAlign w:val="center"/>
          </w:tcPr>
          <w:p w14:paraId="59F1537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现场记录</w:t>
            </w:r>
          </w:p>
        </w:tc>
        <w:tc>
          <w:tcPr>
            <w:tcW w:w="1541" w:type="dxa"/>
            <w:noWrap w:val="0"/>
            <w:vAlign w:val="center"/>
          </w:tcPr>
          <w:p w14:paraId="4463C2C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颜色</w:t>
            </w:r>
          </w:p>
        </w:tc>
        <w:tc>
          <w:tcPr>
            <w:tcW w:w="5539" w:type="dxa"/>
            <w:gridSpan w:val="4"/>
            <w:noWrap w:val="0"/>
            <w:vAlign w:val="center"/>
          </w:tcPr>
          <w:p w14:paraId="0FC67828">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黄</w:t>
            </w:r>
            <w:r>
              <w:rPr>
                <w:rFonts w:hint="default" w:ascii="Times New Roman" w:hAnsi="Times New Roman" w:eastAsia="宋体" w:cs="Times New Roman"/>
                <w:color w:val="auto"/>
                <w:sz w:val="21"/>
                <w:szCs w:val="21"/>
                <w:highlight w:val="none"/>
              </w:rPr>
              <w:t>棕色</w:t>
            </w:r>
          </w:p>
        </w:tc>
      </w:tr>
      <w:tr w14:paraId="039AC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319C91A4">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694F98F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结构</w:t>
            </w:r>
          </w:p>
        </w:tc>
        <w:tc>
          <w:tcPr>
            <w:tcW w:w="5539" w:type="dxa"/>
            <w:gridSpan w:val="4"/>
            <w:noWrap w:val="0"/>
            <w:vAlign w:val="center"/>
          </w:tcPr>
          <w:p w14:paraId="4EF762B9">
            <w:pPr>
              <w:adjustRightInd w:val="0"/>
              <w:snapToGrid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团粒</w:t>
            </w:r>
          </w:p>
        </w:tc>
      </w:tr>
      <w:tr w14:paraId="699A36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08815998">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2D57117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质地</w:t>
            </w:r>
          </w:p>
        </w:tc>
        <w:tc>
          <w:tcPr>
            <w:tcW w:w="5539" w:type="dxa"/>
            <w:gridSpan w:val="4"/>
            <w:noWrap w:val="0"/>
            <w:vAlign w:val="center"/>
          </w:tcPr>
          <w:p w14:paraId="12CDA1D0">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砂壤土</w:t>
            </w:r>
          </w:p>
        </w:tc>
      </w:tr>
      <w:tr w14:paraId="350E28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2CDD79CD">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6378E16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砂砾含量</w:t>
            </w:r>
          </w:p>
        </w:tc>
        <w:tc>
          <w:tcPr>
            <w:tcW w:w="1846" w:type="dxa"/>
            <w:noWrap w:val="0"/>
            <w:vAlign w:val="center"/>
          </w:tcPr>
          <w:p w14:paraId="776CCFB5">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rPr>
              <w:t>%</w:t>
            </w:r>
          </w:p>
        </w:tc>
        <w:tc>
          <w:tcPr>
            <w:tcW w:w="1846" w:type="dxa"/>
            <w:gridSpan w:val="2"/>
            <w:noWrap w:val="0"/>
            <w:vAlign w:val="center"/>
          </w:tcPr>
          <w:p w14:paraId="51B44F65">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73.4</w:t>
            </w:r>
            <w:r>
              <w:rPr>
                <w:rFonts w:hint="default" w:ascii="Times New Roman" w:hAnsi="Times New Roman" w:eastAsia="宋体" w:cs="Times New Roman"/>
                <w:color w:val="auto"/>
                <w:sz w:val="21"/>
                <w:szCs w:val="21"/>
                <w:highlight w:val="none"/>
              </w:rPr>
              <w:t>%</w:t>
            </w:r>
          </w:p>
        </w:tc>
        <w:tc>
          <w:tcPr>
            <w:tcW w:w="1847" w:type="dxa"/>
            <w:noWrap w:val="0"/>
            <w:vAlign w:val="center"/>
          </w:tcPr>
          <w:p w14:paraId="55C7C45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18.6%</w:t>
            </w:r>
          </w:p>
        </w:tc>
      </w:tr>
      <w:tr w14:paraId="4F541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68AC4F74">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79398242">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其他异物</w:t>
            </w:r>
          </w:p>
        </w:tc>
        <w:tc>
          <w:tcPr>
            <w:tcW w:w="1846" w:type="dxa"/>
            <w:noWrap w:val="0"/>
            <w:vAlign w:val="center"/>
          </w:tcPr>
          <w:p w14:paraId="4291270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1846" w:type="dxa"/>
            <w:gridSpan w:val="2"/>
            <w:noWrap w:val="0"/>
            <w:vAlign w:val="center"/>
          </w:tcPr>
          <w:p w14:paraId="3D190A5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1847" w:type="dxa"/>
            <w:noWrap w:val="0"/>
            <w:vAlign w:val="center"/>
          </w:tcPr>
          <w:p w14:paraId="1D0F1710">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w:t>
            </w:r>
          </w:p>
        </w:tc>
      </w:tr>
      <w:tr w14:paraId="3676A1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341" w:type="dxa"/>
            <w:vMerge w:val="restart"/>
            <w:noWrap w:val="0"/>
            <w:vAlign w:val="center"/>
          </w:tcPr>
          <w:p w14:paraId="66674CB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实验室测定</w:t>
            </w:r>
          </w:p>
        </w:tc>
        <w:tc>
          <w:tcPr>
            <w:tcW w:w="1541" w:type="dxa"/>
            <w:noWrap w:val="0"/>
            <w:vAlign w:val="center"/>
          </w:tcPr>
          <w:p w14:paraId="0550D2D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5539" w:type="dxa"/>
            <w:gridSpan w:val="4"/>
            <w:noWrap w:val="0"/>
            <w:vAlign w:val="center"/>
          </w:tcPr>
          <w:p w14:paraId="7896CC4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highlight w:val="none"/>
                <w:lang w:val="en-US" w:eastAsia="zh-CN"/>
              </w:rPr>
              <w:t>11.52</w:t>
            </w:r>
          </w:p>
        </w:tc>
      </w:tr>
      <w:tr w14:paraId="5E729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5F8352E6">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6F48B17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阳离子交换量</w:t>
            </w:r>
          </w:p>
        </w:tc>
        <w:tc>
          <w:tcPr>
            <w:tcW w:w="5539" w:type="dxa"/>
            <w:gridSpan w:val="4"/>
            <w:noWrap w:val="0"/>
            <w:vAlign w:val="center"/>
          </w:tcPr>
          <w:p w14:paraId="0B9617D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5.2</w:t>
            </w:r>
          </w:p>
        </w:tc>
      </w:tr>
      <w:tr w14:paraId="07A46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1853CAEF">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4C074AF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土壤容重/（g/cm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5539" w:type="dxa"/>
            <w:gridSpan w:val="4"/>
            <w:noWrap w:val="0"/>
            <w:vAlign w:val="center"/>
          </w:tcPr>
          <w:p w14:paraId="60243B2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1.15</w:t>
            </w:r>
          </w:p>
        </w:tc>
      </w:tr>
      <w:tr w14:paraId="79CAF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137471AF">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656BED4B">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氧化还原点位（mV）</w:t>
            </w:r>
          </w:p>
        </w:tc>
        <w:tc>
          <w:tcPr>
            <w:tcW w:w="5539" w:type="dxa"/>
            <w:gridSpan w:val="4"/>
            <w:noWrap w:val="0"/>
            <w:vAlign w:val="center"/>
          </w:tcPr>
          <w:p w14:paraId="24509400">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487</w:t>
            </w:r>
          </w:p>
        </w:tc>
      </w:tr>
      <w:tr w14:paraId="0A446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21" w:type="dxa"/>
            <w:gridSpan w:val="6"/>
            <w:noWrap w:val="0"/>
            <w:vAlign w:val="center"/>
          </w:tcPr>
          <w:p w14:paraId="3957308C">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1：根据 7.3.2 确定需要调查的理化特性并记录，土壤环境生态影响型建设项目还应调查植被、地下水位埋深、地下水溶解性总固体等。</w:t>
            </w:r>
          </w:p>
          <w:p w14:paraId="728F21E6">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2:点号为代表性监测点位。</w:t>
            </w:r>
          </w:p>
        </w:tc>
      </w:tr>
    </w:tbl>
    <w:p w14:paraId="45F50A82">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续</w:t>
      </w: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土壤理化特性调查表</w:t>
      </w:r>
    </w:p>
    <w:tbl>
      <w:tblPr>
        <w:tblStyle w:val="49"/>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1511"/>
        <w:gridCol w:w="816"/>
        <w:gridCol w:w="816"/>
        <w:gridCol w:w="209"/>
        <w:gridCol w:w="607"/>
        <w:gridCol w:w="816"/>
        <w:gridCol w:w="173"/>
        <w:gridCol w:w="642"/>
        <w:gridCol w:w="816"/>
        <w:gridCol w:w="675"/>
      </w:tblGrid>
      <w:tr w14:paraId="7D756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727" w:type="pct"/>
            <w:gridSpan w:val="2"/>
            <w:noWrap w:val="0"/>
            <w:vAlign w:val="center"/>
          </w:tcPr>
          <w:p w14:paraId="703BF5C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点号</w:t>
            </w:r>
          </w:p>
        </w:tc>
        <w:tc>
          <w:tcPr>
            <w:tcW w:w="1081" w:type="pct"/>
            <w:gridSpan w:val="3"/>
            <w:noWrap w:val="0"/>
            <w:vAlign w:val="center"/>
          </w:tcPr>
          <w:p w14:paraId="5B20F79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w:t>
            </w:r>
          </w:p>
        </w:tc>
        <w:tc>
          <w:tcPr>
            <w:tcW w:w="937" w:type="pct"/>
            <w:gridSpan w:val="3"/>
            <w:noWrap w:val="0"/>
            <w:vAlign w:val="center"/>
          </w:tcPr>
          <w:p w14:paraId="6EFAB7B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时间</w:t>
            </w:r>
          </w:p>
        </w:tc>
        <w:tc>
          <w:tcPr>
            <w:tcW w:w="1253" w:type="pct"/>
            <w:gridSpan w:val="3"/>
            <w:noWrap w:val="0"/>
            <w:vAlign w:val="center"/>
          </w:tcPr>
          <w:p w14:paraId="5C797F89">
            <w:pPr>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08.</w:t>
            </w:r>
            <w:r>
              <w:rPr>
                <w:rFonts w:hint="eastAsia" w:ascii="Times New Roman" w:hAnsi="Times New Roman" w:eastAsia="宋体" w:cs="Times New Roman"/>
                <w:color w:val="auto"/>
                <w:sz w:val="21"/>
                <w:szCs w:val="21"/>
                <w:highlight w:val="none"/>
                <w:lang w:val="en-US" w:eastAsia="zh-CN"/>
              </w:rPr>
              <w:t>01</w:t>
            </w:r>
          </w:p>
        </w:tc>
      </w:tr>
      <w:tr w14:paraId="4A24B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727" w:type="pct"/>
            <w:gridSpan w:val="2"/>
            <w:noWrap w:val="0"/>
            <w:vAlign w:val="center"/>
          </w:tcPr>
          <w:p w14:paraId="3B11476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1081" w:type="pct"/>
            <w:gridSpan w:val="3"/>
            <w:noWrap w:val="0"/>
            <w:vAlign w:val="center"/>
          </w:tcPr>
          <w:p w14:paraId="696BC82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132.176256</w:t>
            </w:r>
            <w:r>
              <w:rPr>
                <w:rFonts w:hint="eastAsia" w:ascii="Times New Roman" w:hAnsi="Times New Roman" w:cs="Times New Roman"/>
                <w:color w:val="auto"/>
                <w:sz w:val="21"/>
                <w:szCs w:val="21"/>
                <w:highlight w:val="none"/>
                <w:lang w:val="en-US" w:eastAsia="zh-CN"/>
              </w:rPr>
              <w:t>°</w:t>
            </w:r>
          </w:p>
        </w:tc>
        <w:tc>
          <w:tcPr>
            <w:tcW w:w="937" w:type="pct"/>
            <w:gridSpan w:val="3"/>
            <w:noWrap w:val="0"/>
            <w:vAlign w:val="center"/>
          </w:tcPr>
          <w:p w14:paraId="5C8D06E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纬度</w:t>
            </w:r>
          </w:p>
        </w:tc>
        <w:tc>
          <w:tcPr>
            <w:tcW w:w="1253" w:type="pct"/>
            <w:gridSpan w:val="3"/>
            <w:noWrap w:val="0"/>
            <w:vAlign w:val="center"/>
          </w:tcPr>
          <w:p w14:paraId="0DCBD8D2">
            <w:pPr>
              <w:adjustRightInd w:val="0"/>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sz w:val="21"/>
                <w:szCs w:val="21"/>
                <w:highlight w:val="none"/>
                <w:lang w:eastAsia="zh-CN"/>
              </w:rPr>
              <w:t>45.569108</w:t>
            </w:r>
            <w:r>
              <w:rPr>
                <w:rFonts w:hint="default" w:ascii="Times New Roman" w:hAnsi="Times New Roman" w:cs="Times New Roman"/>
                <w:color w:val="auto"/>
                <w:sz w:val="21"/>
                <w:szCs w:val="21"/>
                <w:highlight w:val="none"/>
              </w:rPr>
              <w:t>°</w:t>
            </w:r>
          </w:p>
        </w:tc>
      </w:tr>
      <w:tr w14:paraId="798C9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27" w:type="pct"/>
            <w:gridSpan w:val="2"/>
            <w:noWrap w:val="0"/>
            <w:vAlign w:val="center"/>
          </w:tcPr>
          <w:p w14:paraId="6BFE2A1E">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层次</w:t>
            </w:r>
          </w:p>
        </w:tc>
        <w:tc>
          <w:tcPr>
            <w:tcW w:w="816" w:type="dxa"/>
            <w:noWrap w:val="0"/>
            <w:vAlign w:val="center"/>
          </w:tcPr>
          <w:p w14:paraId="0FE2F03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0.005-0.075m</w:t>
            </w:r>
            <w:r>
              <w:rPr>
                <w:rFonts w:hint="default" w:ascii="Times New Roman" w:hAnsi="Times New Roman" w:eastAsia="宋体" w:cs="Times New Roman"/>
                <w:color w:val="auto"/>
                <w:sz w:val="21"/>
                <w:szCs w:val="21"/>
                <w:highlight w:val="none"/>
                <w:lang w:val="en-US" w:eastAsia="zh-CN"/>
              </w:rPr>
              <w:t>m</w:t>
            </w:r>
          </w:p>
        </w:tc>
        <w:tc>
          <w:tcPr>
            <w:tcW w:w="816" w:type="dxa"/>
            <w:noWrap w:val="0"/>
            <w:vAlign w:val="center"/>
          </w:tcPr>
          <w:p w14:paraId="3DF445B0">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0.075-0.25mm</w:t>
            </w:r>
          </w:p>
        </w:tc>
        <w:tc>
          <w:tcPr>
            <w:tcW w:w="816" w:type="dxa"/>
            <w:gridSpan w:val="2"/>
            <w:noWrap w:val="0"/>
            <w:vAlign w:val="center"/>
          </w:tcPr>
          <w:p w14:paraId="5A916A71">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0.25-0.5m</w:t>
            </w:r>
            <w:r>
              <w:rPr>
                <w:rFonts w:hint="default" w:ascii="Times New Roman" w:hAnsi="Times New Roman" w:eastAsia="宋体" w:cs="Times New Roman"/>
                <w:color w:val="auto"/>
                <w:sz w:val="21"/>
                <w:szCs w:val="21"/>
                <w:highlight w:val="none"/>
                <w:lang w:val="en-US" w:eastAsia="zh-CN"/>
              </w:rPr>
              <w:t>m</w:t>
            </w:r>
          </w:p>
        </w:tc>
        <w:tc>
          <w:tcPr>
            <w:tcW w:w="816" w:type="dxa"/>
            <w:noWrap w:val="0"/>
            <w:vAlign w:val="center"/>
          </w:tcPr>
          <w:p w14:paraId="01E92B8C">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0.5-2mm</w:t>
            </w:r>
          </w:p>
        </w:tc>
        <w:tc>
          <w:tcPr>
            <w:tcW w:w="816" w:type="dxa"/>
            <w:gridSpan w:val="2"/>
            <w:noWrap w:val="0"/>
            <w:vAlign w:val="center"/>
          </w:tcPr>
          <w:p w14:paraId="298A64F5">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2-5m</w:t>
            </w:r>
            <w:r>
              <w:rPr>
                <w:rFonts w:hint="default" w:ascii="Times New Roman" w:hAnsi="Times New Roman" w:eastAsia="宋体" w:cs="Times New Roman"/>
                <w:color w:val="auto"/>
                <w:sz w:val="21"/>
                <w:szCs w:val="21"/>
                <w:highlight w:val="none"/>
                <w:lang w:val="en-US" w:eastAsia="zh-CN"/>
              </w:rPr>
              <w:t>m</w:t>
            </w:r>
          </w:p>
        </w:tc>
        <w:tc>
          <w:tcPr>
            <w:tcW w:w="816" w:type="dxa"/>
            <w:noWrap w:val="0"/>
            <w:vAlign w:val="center"/>
          </w:tcPr>
          <w:p w14:paraId="50767257">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w:t>
            </w:r>
            <w:r>
              <w:rPr>
                <w:rFonts w:hint="eastAsia" w:ascii="Times New Roman" w:hAnsi="Times New Roman"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mm</w:t>
            </w:r>
          </w:p>
        </w:tc>
        <w:tc>
          <w:tcPr>
            <w:tcW w:w="675" w:type="dxa"/>
            <w:noWrap w:val="0"/>
            <w:vAlign w:val="center"/>
          </w:tcPr>
          <w:p w14:paraId="4E52F56A">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val="en-US" w:eastAsia="zh-CN"/>
              </w:rPr>
              <w:t>m</w:t>
            </w:r>
          </w:p>
        </w:tc>
      </w:tr>
      <w:tr w14:paraId="2B1E1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restart"/>
            <w:noWrap w:val="0"/>
            <w:vAlign w:val="center"/>
          </w:tcPr>
          <w:p w14:paraId="2B0AA51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现场记录</w:t>
            </w:r>
          </w:p>
        </w:tc>
        <w:tc>
          <w:tcPr>
            <w:tcW w:w="887" w:type="pct"/>
            <w:noWrap w:val="0"/>
            <w:vAlign w:val="center"/>
          </w:tcPr>
          <w:p w14:paraId="3256BCD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颜色</w:t>
            </w:r>
          </w:p>
        </w:tc>
        <w:tc>
          <w:tcPr>
            <w:tcW w:w="3272" w:type="pct"/>
            <w:gridSpan w:val="9"/>
            <w:noWrap w:val="0"/>
            <w:vAlign w:val="center"/>
          </w:tcPr>
          <w:p w14:paraId="437A0D24">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黄</w:t>
            </w:r>
            <w:r>
              <w:rPr>
                <w:rFonts w:hint="default" w:ascii="Times New Roman" w:hAnsi="Times New Roman" w:eastAsia="宋体" w:cs="Times New Roman"/>
                <w:color w:val="auto"/>
                <w:sz w:val="21"/>
                <w:szCs w:val="21"/>
                <w:highlight w:val="none"/>
              </w:rPr>
              <w:t>棕色</w:t>
            </w:r>
          </w:p>
        </w:tc>
      </w:tr>
      <w:tr w14:paraId="43682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396A452B">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275785B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结构</w:t>
            </w:r>
          </w:p>
        </w:tc>
        <w:tc>
          <w:tcPr>
            <w:tcW w:w="3272" w:type="pct"/>
            <w:gridSpan w:val="9"/>
            <w:noWrap w:val="0"/>
            <w:vAlign w:val="center"/>
          </w:tcPr>
          <w:p w14:paraId="574CCDB2">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团粒</w:t>
            </w:r>
          </w:p>
        </w:tc>
      </w:tr>
      <w:tr w14:paraId="7F150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3AB8642F">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6EA1DDF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质地</w:t>
            </w:r>
          </w:p>
        </w:tc>
        <w:tc>
          <w:tcPr>
            <w:tcW w:w="3272" w:type="pct"/>
            <w:gridSpan w:val="9"/>
            <w:noWrap w:val="0"/>
            <w:vAlign w:val="center"/>
          </w:tcPr>
          <w:p w14:paraId="11CF44D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砂壤土</w:t>
            </w:r>
          </w:p>
        </w:tc>
      </w:tr>
      <w:tr w14:paraId="760A7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59C1F146">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2AFF316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砂砾含量</w:t>
            </w:r>
          </w:p>
        </w:tc>
        <w:tc>
          <w:tcPr>
            <w:tcW w:w="479" w:type="pct"/>
            <w:noWrap w:val="0"/>
            <w:vAlign w:val="center"/>
          </w:tcPr>
          <w:p w14:paraId="5CF203CF">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28.1</w:t>
            </w:r>
            <w:r>
              <w:rPr>
                <w:rFonts w:hint="default" w:ascii="Times New Roman" w:hAnsi="Times New Roman" w:eastAsia="宋体" w:cs="Times New Roman"/>
                <w:color w:val="auto"/>
                <w:sz w:val="21"/>
                <w:szCs w:val="21"/>
                <w:highlight w:val="none"/>
              </w:rPr>
              <w:t>%</w:t>
            </w:r>
          </w:p>
        </w:tc>
        <w:tc>
          <w:tcPr>
            <w:tcW w:w="479" w:type="pct"/>
            <w:noWrap w:val="0"/>
            <w:vAlign w:val="center"/>
          </w:tcPr>
          <w:p w14:paraId="0EA2A228">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28.6</w:t>
            </w:r>
            <w:r>
              <w:rPr>
                <w:rFonts w:hint="default" w:ascii="Times New Roman" w:hAnsi="Times New Roman" w:eastAsia="宋体" w:cs="Times New Roman"/>
                <w:color w:val="auto"/>
                <w:sz w:val="21"/>
                <w:szCs w:val="21"/>
                <w:highlight w:val="none"/>
              </w:rPr>
              <w:t>%</w:t>
            </w:r>
          </w:p>
        </w:tc>
        <w:tc>
          <w:tcPr>
            <w:tcW w:w="479" w:type="pct"/>
            <w:gridSpan w:val="2"/>
            <w:noWrap w:val="0"/>
            <w:vAlign w:val="center"/>
          </w:tcPr>
          <w:p w14:paraId="335FCB9F">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8.2</w:t>
            </w:r>
            <w:r>
              <w:rPr>
                <w:rFonts w:hint="default" w:ascii="Times New Roman" w:hAnsi="Times New Roman" w:eastAsia="宋体" w:cs="Times New Roman"/>
                <w:color w:val="auto"/>
                <w:sz w:val="21"/>
                <w:szCs w:val="21"/>
                <w:highlight w:val="none"/>
              </w:rPr>
              <w:t>%</w:t>
            </w:r>
          </w:p>
        </w:tc>
        <w:tc>
          <w:tcPr>
            <w:tcW w:w="479" w:type="pct"/>
            <w:noWrap w:val="0"/>
            <w:vAlign w:val="center"/>
          </w:tcPr>
          <w:p w14:paraId="3221144D">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10.4</w:t>
            </w:r>
            <w:r>
              <w:rPr>
                <w:rFonts w:hint="default" w:ascii="Times New Roman" w:hAnsi="Times New Roman" w:eastAsia="宋体" w:cs="Times New Roman"/>
                <w:color w:val="auto"/>
                <w:sz w:val="21"/>
                <w:szCs w:val="21"/>
                <w:highlight w:val="none"/>
              </w:rPr>
              <w:t>%</w:t>
            </w:r>
          </w:p>
        </w:tc>
        <w:tc>
          <w:tcPr>
            <w:tcW w:w="479" w:type="pct"/>
            <w:gridSpan w:val="2"/>
            <w:noWrap w:val="0"/>
            <w:vAlign w:val="center"/>
          </w:tcPr>
          <w:p w14:paraId="71EC6AD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13.1%</w:t>
            </w:r>
          </w:p>
        </w:tc>
        <w:tc>
          <w:tcPr>
            <w:tcW w:w="479" w:type="pct"/>
            <w:noWrap w:val="0"/>
            <w:vAlign w:val="center"/>
          </w:tcPr>
          <w:p w14:paraId="3054F3FE">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4.3%</w:t>
            </w:r>
          </w:p>
        </w:tc>
        <w:tc>
          <w:tcPr>
            <w:tcW w:w="396" w:type="pct"/>
            <w:noWrap w:val="0"/>
            <w:vAlign w:val="center"/>
          </w:tcPr>
          <w:p w14:paraId="6C6715BC">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7.3%</w:t>
            </w:r>
          </w:p>
        </w:tc>
      </w:tr>
      <w:tr w14:paraId="7C404E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20541F65">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37BBCB9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其他异物</w:t>
            </w:r>
          </w:p>
        </w:tc>
        <w:tc>
          <w:tcPr>
            <w:tcW w:w="479" w:type="pct"/>
            <w:noWrap w:val="0"/>
            <w:vAlign w:val="center"/>
          </w:tcPr>
          <w:p w14:paraId="6444CAE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noWrap w:val="0"/>
            <w:vAlign w:val="center"/>
          </w:tcPr>
          <w:p w14:paraId="234900A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gridSpan w:val="2"/>
            <w:noWrap w:val="0"/>
            <w:vAlign w:val="center"/>
          </w:tcPr>
          <w:p w14:paraId="3131F05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noWrap w:val="0"/>
            <w:vAlign w:val="center"/>
          </w:tcPr>
          <w:p w14:paraId="23C72EF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gridSpan w:val="2"/>
            <w:noWrap w:val="0"/>
            <w:vAlign w:val="center"/>
          </w:tcPr>
          <w:p w14:paraId="0F60B90B">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noWrap w:val="0"/>
            <w:vAlign w:val="center"/>
          </w:tcPr>
          <w:p w14:paraId="0E68BA2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396" w:type="pct"/>
            <w:noWrap w:val="0"/>
            <w:vAlign w:val="center"/>
          </w:tcPr>
          <w:p w14:paraId="20ED0FF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r w14:paraId="30096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839" w:type="pct"/>
            <w:vMerge w:val="restart"/>
            <w:noWrap w:val="0"/>
            <w:vAlign w:val="center"/>
          </w:tcPr>
          <w:p w14:paraId="3D99D76D">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实验室测定</w:t>
            </w:r>
          </w:p>
        </w:tc>
        <w:tc>
          <w:tcPr>
            <w:tcW w:w="887" w:type="pct"/>
            <w:noWrap w:val="0"/>
            <w:vAlign w:val="center"/>
          </w:tcPr>
          <w:p w14:paraId="21A1AC0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3272" w:type="pct"/>
            <w:gridSpan w:val="9"/>
            <w:noWrap w:val="0"/>
            <w:vAlign w:val="center"/>
          </w:tcPr>
          <w:p w14:paraId="48564691">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11.66</w:t>
            </w:r>
          </w:p>
        </w:tc>
      </w:tr>
      <w:tr w14:paraId="24DD0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395B9B09">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0F79913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阳离子交换量</w:t>
            </w:r>
          </w:p>
        </w:tc>
        <w:tc>
          <w:tcPr>
            <w:tcW w:w="3272" w:type="pct"/>
            <w:gridSpan w:val="9"/>
            <w:noWrap w:val="0"/>
            <w:vAlign w:val="center"/>
          </w:tcPr>
          <w:p w14:paraId="4BF8EE12">
            <w:pPr>
              <w:adjustRightInd w:val="0"/>
              <w:snapToGrid w:val="0"/>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4.4</w:t>
            </w:r>
          </w:p>
        </w:tc>
      </w:tr>
      <w:tr w14:paraId="53AA4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73F78856">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4A0E43E6">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土壤容重/（g/cm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3272" w:type="pct"/>
            <w:gridSpan w:val="9"/>
            <w:noWrap w:val="0"/>
            <w:vAlign w:val="center"/>
          </w:tcPr>
          <w:p w14:paraId="7071826C">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1.16</w:t>
            </w:r>
          </w:p>
        </w:tc>
      </w:tr>
      <w:tr w14:paraId="06026B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727E74B0">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6C66964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氧化还原点位（mV）</w:t>
            </w:r>
          </w:p>
        </w:tc>
        <w:tc>
          <w:tcPr>
            <w:tcW w:w="3272" w:type="pct"/>
            <w:gridSpan w:val="9"/>
            <w:noWrap w:val="0"/>
            <w:vAlign w:val="center"/>
          </w:tcPr>
          <w:p w14:paraId="47FCB148">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482</w:t>
            </w:r>
          </w:p>
        </w:tc>
      </w:tr>
      <w:tr w14:paraId="34AF7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1"/>
            <w:noWrap w:val="0"/>
            <w:vAlign w:val="center"/>
          </w:tcPr>
          <w:p w14:paraId="6E251391">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1：根据 7.3.2 确定需要调查的理化特性并记录，土壤环境生态影响型建设项目还应调查植被、地下水位埋深、地下水溶解性总固体等。</w:t>
            </w:r>
          </w:p>
          <w:p w14:paraId="49DDD7D0">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2:点号为代表性监测点位。</w:t>
            </w:r>
          </w:p>
        </w:tc>
      </w:tr>
    </w:tbl>
    <w:p w14:paraId="12028312">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续</w:t>
      </w: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土壤理化特性调查表</w:t>
      </w:r>
    </w:p>
    <w:tbl>
      <w:tblPr>
        <w:tblStyle w:val="49"/>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8"/>
        <w:gridCol w:w="1395"/>
        <w:gridCol w:w="932"/>
        <w:gridCol w:w="932"/>
        <w:gridCol w:w="31"/>
        <w:gridCol w:w="901"/>
        <w:gridCol w:w="674"/>
        <w:gridCol w:w="260"/>
        <w:gridCol w:w="932"/>
        <w:gridCol w:w="934"/>
      </w:tblGrid>
      <w:tr w14:paraId="290F1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10" w:type="pct"/>
            <w:gridSpan w:val="2"/>
            <w:noWrap w:val="0"/>
            <w:vAlign w:val="center"/>
          </w:tcPr>
          <w:p w14:paraId="230B244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点号</w:t>
            </w:r>
          </w:p>
        </w:tc>
        <w:tc>
          <w:tcPr>
            <w:tcW w:w="1114" w:type="pct"/>
            <w:gridSpan w:val="3"/>
            <w:noWrap w:val="0"/>
            <w:vAlign w:val="center"/>
          </w:tcPr>
          <w:p w14:paraId="4200218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p>
        </w:tc>
        <w:tc>
          <w:tcPr>
            <w:tcW w:w="925" w:type="pct"/>
            <w:gridSpan w:val="2"/>
            <w:noWrap w:val="0"/>
            <w:vAlign w:val="center"/>
          </w:tcPr>
          <w:p w14:paraId="1CF4C54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时间</w:t>
            </w:r>
          </w:p>
        </w:tc>
        <w:tc>
          <w:tcPr>
            <w:tcW w:w="1250" w:type="pct"/>
            <w:gridSpan w:val="3"/>
            <w:noWrap w:val="0"/>
            <w:vAlign w:val="center"/>
          </w:tcPr>
          <w:p w14:paraId="3BEB0F4F">
            <w:pPr>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01</w:t>
            </w:r>
          </w:p>
        </w:tc>
      </w:tr>
      <w:tr w14:paraId="4806D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710" w:type="pct"/>
            <w:gridSpan w:val="2"/>
            <w:noWrap w:val="0"/>
            <w:vAlign w:val="center"/>
          </w:tcPr>
          <w:p w14:paraId="1129140B">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经度</w:t>
            </w:r>
          </w:p>
        </w:tc>
        <w:tc>
          <w:tcPr>
            <w:tcW w:w="1114" w:type="pct"/>
            <w:gridSpan w:val="3"/>
            <w:noWrap w:val="0"/>
            <w:vAlign w:val="center"/>
          </w:tcPr>
          <w:p w14:paraId="7B193407">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132.176632</w:t>
            </w:r>
            <w:r>
              <w:rPr>
                <w:rFonts w:hint="eastAsia" w:ascii="Times New Roman" w:hAnsi="Times New Roman" w:cs="Times New Roman"/>
                <w:color w:val="auto"/>
                <w:sz w:val="21"/>
                <w:szCs w:val="21"/>
                <w:highlight w:val="none"/>
                <w:lang w:val="en-US" w:eastAsia="zh-CN"/>
              </w:rPr>
              <w:t>°</w:t>
            </w:r>
          </w:p>
        </w:tc>
        <w:tc>
          <w:tcPr>
            <w:tcW w:w="925" w:type="pct"/>
            <w:gridSpan w:val="2"/>
            <w:noWrap w:val="0"/>
            <w:vAlign w:val="center"/>
          </w:tcPr>
          <w:p w14:paraId="71B22FA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纬度</w:t>
            </w:r>
          </w:p>
        </w:tc>
        <w:tc>
          <w:tcPr>
            <w:tcW w:w="1250" w:type="pct"/>
            <w:gridSpan w:val="3"/>
            <w:noWrap w:val="0"/>
            <w:vAlign w:val="center"/>
          </w:tcPr>
          <w:p w14:paraId="01AC8F54">
            <w:pPr>
              <w:adjustRightInd w:val="0"/>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sz w:val="21"/>
                <w:szCs w:val="21"/>
                <w:highlight w:val="none"/>
                <w:lang w:eastAsia="zh-CN"/>
              </w:rPr>
              <w:t>45.569472</w:t>
            </w:r>
            <w:r>
              <w:rPr>
                <w:rFonts w:hint="default" w:ascii="Times New Roman" w:hAnsi="Times New Roman" w:cs="Times New Roman"/>
                <w:color w:val="auto"/>
                <w:sz w:val="21"/>
                <w:szCs w:val="21"/>
                <w:highlight w:val="none"/>
              </w:rPr>
              <w:t>°</w:t>
            </w:r>
          </w:p>
        </w:tc>
      </w:tr>
      <w:tr w14:paraId="34401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10" w:type="pct"/>
            <w:gridSpan w:val="2"/>
            <w:noWrap w:val="0"/>
            <w:vAlign w:val="center"/>
          </w:tcPr>
          <w:p w14:paraId="5031A312">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层次</w:t>
            </w:r>
          </w:p>
        </w:tc>
        <w:tc>
          <w:tcPr>
            <w:tcW w:w="933" w:type="dxa"/>
            <w:noWrap w:val="0"/>
            <w:vAlign w:val="center"/>
          </w:tcPr>
          <w:p w14:paraId="7435AF1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0.005-0.075m</w:t>
            </w:r>
            <w:r>
              <w:rPr>
                <w:rFonts w:hint="default" w:ascii="Times New Roman" w:hAnsi="Times New Roman" w:eastAsia="宋体" w:cs="Times New Roman"/>
                <w:color w:val="auto"/>
                <w:sz w:val="21"/>
                <w:szCs w:val="21"/>
                <w:highlight w:val="none"/>
                <w:lang w:val="en-US" w:eastAsia="zh-CN"/>
              </w:rPr>
              <w:t>m</w:t>
            </w:r>
          </w:p>
        </w:tc>
        <w:tc>
          <w:tcPr>
            <w:tcW w:w="933" w:type="dxa"/>
            <w:noWrap w:val="0"/>
            <w:vAlign w:val="center"/>
          </w:tcPr>
          <w:p w14:paraId="7EBEA115">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0.075-0.25mm</w:t>
            </w:r>
          </w:p>
        </w:tc>
        <w:tc>
          <w:tcPr>
            <w:tcW w:w="933" w:type="dxa"/>
            <w:gridSpan w:val="2"/>
            <w:noWrap w:val="0"/>
            <w:vAlign w:val="center"/>
          </w:tcPr>
          <w:p w14:paraId="6D20EDB2">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0.25-0.5m</w:t>
            </w:r>
            <w:r>
              <w:rPr>
                <w:rFonts w:hint="default" w:ascii="Times New Roman" w:hAnsi="Times New Roman" w:eastAsia="宋体" w:cs="Times New Roman"/>
                <w:color w:val="auto"/>
                <w:sz w:val="21"/>
                <w:szCs w:val="21"/>
                <w:highlight w:val="none"/>
                <w:lang w:val="en-US" w:eastAsia="zh-CN"/>
              </w:rPr>
              <w:t>m</w:t>
            </w:r>
          </w:p>
        </w:tc>
        <w:tc>
          <w:tcPr>
            <w:tcW w:w="933" w:type="dxa"/>
            <w:gridSpan w:val="2"/>
            <w:noWrap w:val="0"/>
            <w:vAlign w:val="center"/>
          </w:tcPr>
          <w:p w14:paraId="0B596921">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0.5-2mm</w:t>
            </w:r>
          </w:p>
        </w:tc>
        <w:tc>
          <w:tcPr>
            <w:tcW w:w="933" w:type="dxa"/>
            <w:noWrap w:val="0"/>
            <w:vAlign w:val="center"/>
          </w:tcPr>
          <w:p w14:paraId="36025386">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2-5m</w:t>
            </w:r>
            <w:r>
              <w:rPr>
                <w:rFonts w:hint="default" w:ascii="Times New Roman" w:hAnsi="Times New Roman" w:eastAsia="宋体" w:cs="Times New Roman"/>
                <w:color w:val="auto"/>
                <w:sz w:val="21"/>
                <w:szCs w:val="21"/>
                <w:highlight w:val="none"/>
                <w:lang w:val="en-US" w:eastAsia="zh-CN"/>
              </w:rPr>
              <w:t>m</w:t>
            </w:r>
          </w:p>
        </w:tc>
        <w:tc>
          <w:tcPr>
            <w:tcW w:w="935" w:type="dxa"/>
            <w:noWrap w:val="0"/>
            <w:vAlign w:val="center"/>
          </w:tcPr>
          <w:p w14:paraId="3F611443">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w:t>
            </w:r>
            <w:r>
              <w:rPr>
                <w:rFonts w:hint="eastAsia" w:ascii="Times New Roman" w:hAnsi="Times New Roman"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mm</w:t>
            </w:r>
          </w:p>
        </w:tc>
      </w:tr>
      <w:tr w14:paraId="084E86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restart"/>
            <w:noWrap w:val="0"/>
            <w:vAlign w:val="center"/>
          </w:tcPr>
          <w:p w14:paraId="3359DE42">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现场记录</w:t>
            </w:r>
          </w:p>
        </w:tc>
        <w:tc>
          <w:tcPr>
            <w:tcW w:w="818" w:type="pct"/>
            <w:noWrap w:val="0"/>
            <w:vAlign w:val="center"/>
          </w:tcPr>
          <w:p w14:paraId="63E4C80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颜色</w:t>
            </w:r>
          </w:p>
        </w:tc>
        <w:tc>
          <w:tcPr>
            <w:tcW w:w="3289" w:type="pct"/>
            <w:gridSpan w:val="8"/>
            <w:noWrap w:val="0"/>
            <w:vAlign w:val="center"/>
          </w:tcPr>
          <w:p w14:paraId="1B19A2A6">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黄</w:t>
            </w:r>
            <w:r>
              <w:rPr>
                <w:rFonts w:hint="default" w:ascii="Times New Roman" w:hAnsi="Times New Roman" w:eastAsia="宋体" w:cs="Times New Roman"/>
                <w:color w:val="auto"/>
                <w:sz w:val="21"/>
                <w:szCs w:val="21"/>
                <w:highlight w:val="none"/>
              </w:rPr>
              <w:t>棕色</w:t>
            </w:r>
          </w:p>
        </w:tc>
      </w:tr>
      <w:tr w14:paraId="0F768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5A544320">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61D4047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结构</w:t>
            </w:r>
          </w:p>
        </w:tc>
        <w:tc>
          <w:tcPr>
            <w:tcW w:w="3289" w:type="pct"/>
            <w:gridSpan w:val="8"/>
            <w:noWrap w:val="0"/>
            <w:vAlign w:val="center"/>
          </w:tcPr>
          <w:p w14:paraId="336C4124">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团粒</w:t>
            </w:r>
          </w:p>
        </w:tc>
      </w:tr>
      <w:tr w14:paraId="12F9C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891" w:type="pct"/>
            <w:vMerge w:val="continue"/>
            <w:noWrap w:val="0"/>
            <w:vAlign w:val="center"/>
          </w:tcPr>
          <w:p w14:paraId="09FEC0DE">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6DE34A2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质地</w:t>
            </w:r>
          </w:p>
        </w:tc>
        <w:tc>
          <w:tcPr>
            <w:tcW w:w="3289" w:type="pct"/>
            <w:gridSpan w:val="8"/>
            <w:noWrap w:val="0"/>
            <w:vAlign w:val="center"/>
          </w:tcPr>
          <w:p w14:paraId="4F18A43A">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砂壤土</w:t>
            </w:r>
          </w:p>
        </w:tc>
      </w:tr>
      <w:tr w14:paraId="1A1DF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76014FE8">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18588BFE">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砂砾含量</w:t>
            </w:r>
          </w:p>
        </w:tc>
        <w:tc>
          <w:tcPr>
            <w:tcW w:w="548" w:type="pct"/>
            <w:noWrap w:val="0"/>
            <w:vAlign w:val="center"/>
          </w:tcPr>
          <w:p w14:paraId="58FCBB57">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22.7%</w:t>
            </w:r>
          </w:p>
        </w:tc>
        <w:tc>
          <w:tcPr>
            <w:tcW w:w="548" w:type="pct"/>
            <w:noWrap w:val="0"/>
            <w:vAlign w:val="center"/>
          </w:tcPr>
          <w:p w14:paraId="15A898E9">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23.4%</w:t>
            </w:r>
          </w:p>
        </w:tc>
        <w:tc>
          <w:tcPr>
            <w:tcW w:w="548" w:type="pct"/>
            <w:gridSpan w:val="2"/>
            <w:noWrap w:val="0"/>
            <w:vAlign w:val="center"/>
          </w:tcPr>
          <w:p w14:paraId="2C617E7A">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17.8%</w:t>
            </w:r>
          </w:p>
        </w:tc>
        <w:tc>
          <w:tcPr>
            <w:tcW w:w="548" w:type="pct"/>
            <w:gridSpan w:val="2"/>
            <w:noWrap w:val="0"/>
            <w:vAlign w:val="center"/>
          </w:tcPr>
          <w:p w14:paraId="1809605E">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16.4%</w:t>
            </w:r>
          </w:p>
        </w:tc>
        <w:tc>
          <w:tcPr>
            <w:tcW w:w="548" w:type="pct"/>
            <w:noWrap w:val="0"/>
            <w:vAlign w:val="center"/>
          </w:tcPr>
          <w:p w14:paraId="4C4AC7F7">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13.5%</w:t>
            </w:r>
          </w:p>
        </w:tc>
        <w:tc>
          <w:tcPr>
            <w:tcW w:w="549" w:type="pct"/>
            <w:noWrap w:val="0"/>
            <w:vAlign w:val="center"/>
          </w:tcPr>
          <w:p w14:paraId="2321432C">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6.2%</w:t>
            </w:r>
          </w:p>
        </w:tc>
      </w:tr>
      <w:tr w14:paraId="2BD9F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891" w:type="pct"/>
            <w:vMerge w:val="continue"/>
            <w:noWrap w:val="0"/>
            <w:vAlign w:val="center"/>
          </w:tcPr>
          <w:p w14:paraId="4FFB5D35">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62148CC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其他异物</w:t>
            </w:r>
          </w:p>
        </w:tc>
        <w:tc>
          <w:tcPr>
            <w:tcW w:w="548" w:type="pct"/>
            <w:noWrap w:val="0"/>
            <w:vAlign w:val="center"/>
          </w:tcPr>
          <w:p w14:paraId="76075ED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548" w:type="pct"/>
            <w:noWrap w:val="0"/>
            <w:vAlign w:val="center"/>
          </w:tcPr>
          <w:p w14:paraId="688B766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548" w:type="pct"/>
            <w:gridSpan w:val="2"/>
            <w:noWrap w:val="0"/>
            <w:vAlign w:val="center"/>
          </w:tcPr>
          <w:p w14:paraId="0BA06FD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548" w:type="pct"/>
            <w:gridSpan w:val="2"/>
            <w:noWrap w:val="0"/>
            <w:vAlign w:val="center"/>
          </w:tcPr>
          <w:p w14:paraId="1E334D52">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933" w:type="dxa"/>
            <w:noWrap w:val="0"/>
            <w:vAlign w:val="center"/>
          </w:tcPr>
          <w:p w14:paraId="30F0968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935" w:type="dxa"/>
            <w:noWrap w:val="0"/>
            <w:vAlign w:val="center"/>
          </w:tcPr>
          <w:p w14:paraId="6AB8CEA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r w14:paraId="09538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891" w:type="pct"/>
            <w:vMerge w:val="restart"/>
            <w:noWrap w:val="0"/>
            <w:vAlign w:val="center"/>
          </w:tcPr>
          <w:p w14:paraId="4827B60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实验室测定</w:t>
            </w:r>
          </w:p>
        </w:tc>
        <w:tc>
          <w:tcPr>
            <w:tcW w:w="818" w:type="pct"/>
            <w:noWrap w:val="0"/>
            <w:vAlign w:val="center"/>
          </w:tcPr>
          <w:p w14:paraId="7574F492">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3289" w:type="pct"/>
            <w:gridSpan w:val="8"/>
            <w:noWrap w:val="0"/>
            <w:vAlign w:val="center"/>
          </w:tcPr>
          <w:p w14:paraId="60B7717C">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11.65</w:t>
            </w:r>
          </w:p>
        </w:tc>
      </w:tr>
      <w:tr w14:paraId="3A390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26A95C8A">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19871E8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阳离子交换量</w:t>
            </w:r>
          </w:p>
        </w:tc>
        <w:tc>
          <w:tcPr>
            <w:tcW w:w="3289" w:type="pct"/>
            <w:gridSpan w:val="8"/>
            <w:noWrap w:val="0"/>
            <w:vAlign w:val="center"/>
          </w:tcPr>
          <w:p w14:paraId="4C6B9913">
            <w:pPr>
              <w:adjustRightInd w:val="0"/>
              <w:snapToGrid w:val="0"/>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1.9</w:t>
            </w:r>
          </w:p>
        </w:tc>
      </w:tr>
      <w:tr w14:paraId="489A3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6533E98A">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1267BE5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土壤容重/（g/cm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3289" w:type="pct"/>
            <w:gridSpan w:val="8"/>
            <w:noWrap w:val="0"/>
            <w:vAlign w:val="center"/>
          </w:tcPr>
          <w:p w14:paraId="06BE894F">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1.17</w:t>
            </w:r>
          </w:p>
        </w:tc>
      </w:tr>
      <w:tr w14:paraId="432FE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2866C7A1">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22256BF1">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氧化还原点位（mV）</w:t>
            </w:r>
          </w:p>
        </w:tc>
        <w:tc>
          <w:tcPr>
            <w:tcW w:w="3289" w:type="pct"/>
            <w:gridSpan w:val="8"/>
            <w:noWrap w:val="0"/>
            <w:vAlign w:val="center"/>
          </w:tcPr>
          <w:p w14:paraId="4FC1D66A">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500</w:t>
            </w:r>
          </w:p>
        </w:tc>
      </w:tr>
      <w:tr w14:paraId="2D05F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0"/>
            <w:noWrap w:val="0"/>
            <w:vAlign w:val="center"/>
          </w:tcPr>
          <w:p w14:paraId="68245299">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1：根据 7.3.2 确定需要调查的理化特性并记录，土壤环境生态影响型建设项目还应调查植被、地下水位埋深、地下水溶解性总固体等。</w:t>
            </w:r>
          </w:p>
          <w:p w14:paraId="23A987B8">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2:点号为代表性监测点位。</w:t>
            </w:r>
          </w:p>
        </w:tc>
      </w:tr>
    </w:tbl>
    <w:p w14:paraId="2D97E56F">
      <w:pPr>
        <w:pStyle w:val="8"/>
        <w:bidi w:val="0"/>
        <w:rPr>
          <w:rFonts w:hint="default"/>
          <w:highlight w:val="none"/>
          <w:lang w:val="en-US" w:eastAsia="zh-CN"/>
        </w:rPr>
      </w:pPr>
      <w:r>
        <w:rPr>
          <w:rFonts w:hint="default"/>
          <w:highlight w:val="none"/>
          <w:lang w:val="en-US" w:eastAsia="zh-CN"/>
        </w:rPr>
        <w:t>4.2.5.3评价结果</w:t>
      </w:r>
      <w:bookmarkEnd w:id="640"/>
      <w:bookmarkEnd w:id="641"/>
    </w:p>
    <w:p w14:paraId="4396F89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由上表可知：厂区内土壤中各因子含量低于</w:t>
      </w:r>
      <w:r>
        <w:rPr>
          <w:rFonts w:hint="default" w:ascii="Times New Roman" w:hAnsi="Times New Roman" w:cs="Times New Roman"/>
          <w:sz w:val="24"/>
          <w:szCs w:val="32"/>
          <w:highlight w:val="none"/>
        </w:rPr>
        <w:t>《土壤环境质量</w:t>
      </w:r>
      <w:r>
        <w:rPr>
          <w:rFonts w:hint="eastAsia" w:ascii="Times New Roman" w:hAnsi="Times New Roman" w:cs="Times New Roman"/>
          <w:sz w:val="24"/>
          <w:szCs w:val="32"/>
          <w:highlight w:val="none"/>
          <w:lang w:val="en-US" w:eastAsia="zh-CN"/>
        </w:rPr>
        <w:t xml:space="preserve"> </w:t>
      </w:r>
      <w:r>
        <w:rPr>
          <w:rFonts w:hint="default" w:ascii="Times New Roman" w:hAnsi="Times New Roman" w:cs="Times New Roman"/>
          <w:sz w:val="24"/>
          <w:szCs w:val="32"/>
          <w:highlight w:val="none"/>
        </w:rPr>
        <w:t>建设用地土壤污染风险管控标准(试行)（GB36600-2018）</w:t>
      </w:r>
      <w:r>
        <w:rPr>
          <w:rFonts w:hint="default" w:ascii="Times New Roman" w:hAnsi="Times New Roman" w:eastAsia="宋体" w:cs="Times New Roman"/>
          <w:color w:val="auto"/>
          <w:highlight w:val="none"/>
          <w:lang w:val="en-US" w:eastAsia="zh-CN"/>
        </w:rPr>
        <w:t>中筛选值标准。</w:t>
      </w:r>
    </w:p>
    <w:p w14:paraId="0B7776EE">
      <w:pPr>
        <w:pStyle w:val="8"/>
        <w:bidi w:val="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4.2.5.</w:t>
      </w:r>
      <w:r>
        <w:rPr>
          <w:rFonts w:hint="eastAsia" w:ascii="Times New Roman" w:hAnsi="Times New Roman" w:cs="Times New Roman"/>
          <w:color w:val="auto"/>
          <w:sz w:val="24"/>
          <w:szCs w:val="24"/>
          <w:highlight w:val="none"/>
          <w:lang w:val="en-US" w:eastAsia="zh-CN"/>
        </w:rPr>
        <w:t>4设施农用地监测</w:t>
      </w:r>
    </w:p>
    <w:p w14:paraId="33F0869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本次设施农用地土壤环境质量现状数据来自江苏格林勒斯检测科技有限公司9月12日对本项目的监测数据。</w:t>
      </w:r>
    </w:p>
    <w:p w14:paraId="5754995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（1）监测布点</w:t>
      </w:r>
    </w:p>
    <w:p w14:paraId="1A22C5A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根据《环境影响评价技术导则 土壤环境（试行）》（HJ964—2018）中监测布点原则，7.4.2.2调查评价范围内每种土壤类型应至少设置1个表层样监测点，应尽量设置在未受人为污染或相对未受污染的区域；7.4.2.4涉及入渗途径影响的，主要产污装置区应设置柱状样监测点；7.4.2.5涉及大气沉降影响的，应在占地范围外主导风向的上、下风向各设置1个表层样监测点，可在最大落地浓度点增设表层样监测点；7.4.2.10建设项目占地范围及其可能影响区域的土壤环境已存在污染风险的，应结合用地历史资料和现状调查情况，在可能受影响最重的区域布设监测点。</w:t>
      </w:r>
    </w:p>
    <w:p w14:paraId="3310537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本项目评价范围</w:t>
      </w:r>
      <w:r>
        <w:rPr>
          <w:rFonts w:hint="default" w:ascii="Times New Roman" w:hAnsi="Times New Roman" w:cs="Times New Roman"/>
          <w:color w:val="auto"/>
          <w:highlight w:val="none"/>
          <w:lang w:val="en-US" w:eastAsia="zh-CN"/>
        </w:rPr>
        <w:t>50</w:t>
      </w:r>
      <w:r>
        <w:rPr>
          <w:rFonts w:hint="default" w:ascii="Times New Roman" w:hAnsi="Times New Roman" w:eastAsia="宋体" w:cs="Times New Roman"/>
          <w:color w:val="auto"/>
          <w:highlight w:val="none"/>
          <w:lang w:val="en-US" w:eastAsia="zh-CN"/>
        </w:rPr>
        <w:t>m，厂址占地范围内布设</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个表层样点。具体监测点位置见表4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w:t>
      </w:r>
      <w:r>
        <w:rPr>
          <w:rFonts w:hint="eastAsia" w:ascii="Times New Roman" w:hAnsi="Times New Roman" w:cs="Times New Roman"/>
          <w:color w:val="auto"/>
          <w:highlight w:val="none"/>
          <w:lang w:val="en-US" w:eastAsia="zh-CN"/>
        </w:rPr>
        <w:t>22</w:t>
      </w:r>
      <w:r>
        <w:rPr>
          <w:rFonts w:hint="default" w:ascii="Times New Roman" w:hAnsi="Times New Roman" w:eastAsia="宋体" w:cs="Times New Roman"/>
          <w:color w:val="auto"/>
          <w:highlight w:val="none"/>
          <w:lang w:val="en-US" w:eastAsia="zh-CN"/>
        </w:rPr>
        <w:t>，监测点位见图4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lang w:val="en-US" w:eastAsia="zh-CN"/>
        </w:rPr>
        <w:t>。</w:t>
      </w:r>
    </w:p>
    <w:p w14:paraId="2E0E9425">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表4-2-</w:t>
      </w:r>
      <w:r>
        <w:rPr>
          <w:rFonts w:hint="eastAsia" w:ascii="Times New Roman" w:hAnsi="Times New Roman" w:eastAsia="黑体" w:cs="Times New Roman"/>
          <w:b w:val="0"/>
          <w:bCs/>
          <w:smallCaps w:val="0"/>
          <w:snapToGrid/>
          <w:color w:val="auto"/>
          <w:kern w:val="2"/>
          <w:sz w:val="21"/>
          <w:szCs w:val="24"/>
          <w:highlight w:val="none"/>
          <w:lang w:val="en-US" w:eastAsia="zh-CN" w:bidi="ar-SA"/>
        </w:rPr>
        <w:t>22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土壤环境质量监测点</w:t>
      </w:r>
    </w:p>
    <w:tbl>
      <w:tblPr>
        <w:tblStyle w:val="48"/>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5"/>
        <w:gridCol w:w="3559"/>
        <w:gridCol w:w="3518"/>
      </w:tblGrid>
      <w:tr w14:paraId="7298F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4744E6D9">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监测点编号</w:t>
            </w:r>
          </w:p>
        </w:tc>
        <w:tc>
          <w:tcPr>
            <w:tcW w:w="3559" w:type="dxa"/>
            <w:vAlign w:val="center"/>
          </w:tcPr>
          <w:p w14:paraId="45188FB9">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rPr>
              <w:t>经纬度</w:t>
            </w:r>
            <w:r>
              <w:rPr>
                <w:rFonts w:hint="eastAsia" w:ascii="Times New Roman" w:hAnsi="Times New Roman" w:cs="Times New Roman"/>
                <w:sz w:val="21"/>
                <w:szCs w:val="21"/>
                <w:highlight w:val="none"/>
                <w:lang w:val="en-US" w:eastAsia="zh-CN"/>
              </w:rPr>
              <w:t>/°</w:t>
            </w:r>
          </w:p>
        </w:tc>
        <w:tc>
          <w:tcPr>
            <w:tcW w:w="3518" w:type="dxa"/>
            <w:vAlign w:val="center"/>
          </w:tcPr>
          <w:p w14:paraId="3D77A146">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备注</w:t>
            </w:r>
          </w:p>
        </w:tc>
      </w:tr>
      <w:tr w14:paraId="3AADB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25334241">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w:t>
            </w:r>
          </w:p>
        </w:tc>
        <w:tc>
          <w:tcPr>
            <w:tcW w:w="3559" w:type="dxa"/>
            <w:vAlign w:val="center"/>
          </w:tcPr>
          <w:p w14:paraId="26ED7012">
            <w:pPr>
              <w:spacing w:line="32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132.175548</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45.568811</w:t>
            </w:r>
          </w:p>
        </w:tc>
        <w:tc>
          <w:tcPr>
            <w:tcW w:w="3518" w:type="dxa"/>
            <w:vAlign w:val="center"/>
          </w:tcPr>
          <w:p w14:paraId="39FA1232">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r w14:paraId="738C7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67704CBC">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w:t>
            </w:r>
          </w:p>
        </w:tc>
        <w:tc>
          <w:tcPr>
            <w:tcW w:w="3559" w:type="dxa"/>
            <w:vAlign w:val="center"/>
          </w:tcPr>
          <w:p w14:paraId="49672256">
            <w:pPr>
              <w:spacing w:line="320" w:lineRule="exact"/>
              <w:jc w:val="center"/>
              <w:rPr>
                <w:rFonts w:hint="eastAsia"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132.176256</w:t>
            </w:r>
            <w:r>
              <w:rPr>
                <w:rFonts w:hint="eastAsia" w:ascii="Times New Roman" w:hAnsi="Times New Roman" w:cs="Times New Roman"/>
                <w:sz w:val="21"/>
                <w:szCs w:val="21"/>
                <w:highlight w:val="none"/>
                <w:lang w:eastAsia="zh-CN"/>
              </w:rPr>
              <w:t>，45.569108</w:t>
            </w:r>
          </w:p>
        </w:tc>
        <w:tc>
          <w:tcPr>
            <w:tcW w:w="3518" w:type="dxa"/>
            <w:vAlign w:val="center"/>
          </w:tcPr>
          <w:p w14:paraId="2607F6E1">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r w14:paraId="527FD6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77686882">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w:t>
            </w:r>
          </w:p>
        </w:tc>
        <w:tc>
          <w:tcPr>
            <w:tcW w:w="3559" w:type="dxa"/>
            <w:vAlign w:val="center"/>
          </w:tcPr>
          <w:p w14:paraId="40A0EEE3">
            <w:pPr>
              <w:spacing w:line="320" w:lineRule="exact"/>
              <w:jc w:val="center"/>
              <w:rPr>
                <w:rFonts w:hint="eastAsia"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132.176632</w:t>
            </w:r>
            <w:r>
              <w:rPr>
                <w:rFonts w:hint="eastAsia" w:ascii="Times New Roman" w:hAnsi="Times New Roman" w:cs="Times New Roman"/>
                <w:sz w:val="21"/>
                <w:szCs w:val="21"/>
                <w:highlight w:val="none"/>
                <w:lang w:eastAsia="zh-CN"/>
              </w:rPr>
              <w:t>，45.569472</w:t>
            </w:r>
          </w:p>
        </w:tc>
        <w:tc>
          <w:tcPr>
            <w:tcW w:w="3518" w:type="dxa"/>
            <w:vAlign w:val="center"/>
          </w:tcPr>
          <w:p w14:paraId="1F4D6442">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bl>
    <w:p w14:paraId="66D6916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（2）监测因子</w:t>
      </w:r>
    </w:p>
    <w:p w14:paraId="2853C41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T1、T2、T3均监测：pH值、镉、汞、砷、铅、铬、铜、镍、锌、六六六总量、滴滴涕总量、苯并[a]芘</w:t>
      </w:r>
      <w:r>
        <w:rPr>
          <w:rFonts w:hint="eastAsia" w:ascii="Times New Roman" w:hAnsi="Times New Roman" w:cs="Times New Roman"/>
          <w:color w:val="auto"/>
          <w:highlight w:val="none"/>
          <w:lang w:val="en-US" w:eastAsia="zh-CN"/>
        </w:rPr>
        <w:t>。</w:t>
      </w:r>
    </w:p>
    <w:p w14:paraId="03DA67E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（3）监测时间及频率</w:t>
      </w:r>
    </w:p>
    <w:p w14:paraId="4F053A3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eastAsia" w:ascii="Times New Roman" w:hAnsi="Times New Roman" w:eastAsia="宋体" w:cs="Times New Roman"/>
          <w:color w:val="auto"/>
          <w:highlight w:val="none"/>
          <w:lang w:val="en-US" w:eastAsia="zh-CN"/>
        </w:rPr>
        <w:t>土壤</w:t>
      </w:r>
      <w:r>
        <w:rPr>
          <w:rFonts w:hint="eastAsia" w:ascii="Times New Roman" w:hAnsi="Times New Roman" w:eastAsia="宋体" w:cs="Times New Roman"/>
          <w:kern w:val="2"/>
          <w:sz w:val="24"/>
          <w:szCs w:val="24"/>
          <w:highlight w:val="none"/>
          <w:lang w:val="en-US" w:eastAsia="zh-CN" w:bidi="ar-SA"/>
        </w:rPr>
        <w:t>采样时间：</w:t>
      </w:r>
      <w:r>
        <w:rPr>
          <w:rFonts w:hint="eastAsia" w:ascii="Times New Roman" w:hAnsi="Times New Roman" w:cs="Times New Roman"/>
          <w:kern w:val="2"/>
          <w:sz w:val="24"/>
          <w:szCs w:val="24"/>
          <w:highlight w:val="none"/>
          <w:lang w:val="en-US" w:eastAsia="zh-CN" w:bidi="ar-SA"/>
        </w:rPr>
        <w:t>2025.08.28，</w:t>
      </w:r>
      <w:r>
        <w:rPr>
          <w:rFonts w:hint="eastAsia" w:ascii="Times New Roman" w:hAnsi="Times New Roman" w:eastAsia="宋体" w:cs="Times New Roman"/>
          <w:kern w:val="2"/>
          <w:sz w:val="24"/>
          <w:szCs w:val="24"/>
          <w:highlight w:val="none"/>
          <w:lang w:val="en-US" w:eastAsia="zh-CN" w:bidi="ar-SA"/>
        </w:rPr>
        <w:t>检测单位收样日期：</w:t>
      </w:r>
      <w:r>
        <w:rPr>
          <w:rFonts w:hint="eastAsia" w:ascii="Times New Roman" w:hAnsi="Times New Roman" w:cs="Times New Roman"/>
          <w:kern w:val="2"/>
          <w:sz w:val="24"/>
          <w:szCs w:val="24"/>
          <w:highlight w:val="none"/>
          <w:lang w:val="en-US" w:eastAsia="zh-CN" w:bidi="ar-SA"/>
        </w:rPr>
        <w:t>2025.09.12。</w:t>
      </w:r>
    </w:p>
    <w:p w14:paraId="31263BE8">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highlight w:val="none"/>
        </w:rPr>
        <w:drawing>
          <wp:inline distT="0" distB="0" distL="114300" distR="114300">
            <wp:extent cx="5268595" cy="2927985"/>
            <wp:effectExtent l="0" t="0" r="8255" b="5715"/>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74"/>
                    <a:stretch>
                      <a:fillRect/>
                    </a:stretch>
                  </pic:blipFill>
                  <pic:spPr>
                    <a:xfrm>
                      <a:off x="0" y="0"/>
                      <a:ext cx="5268595" cy="2927985"/>
                    </a:xfrm>
                    <a:prstGeom prst="rect">
                      <a:avLst/>
                    </a:prstGeom>
                    <a:noFill/>
                    <a:ln>
                      <a:noFill/>
                    </a:ln>
                  </pic:spPr>
                </pic:pic>
              </a:graphicData>
            </a:graphic>
          </wp:inline>
        </w:drawing>
      </w:r>
    </w:p>
    <w:p w14:paraId="17FF1045">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土壤现状监测布点示意图</w:t>
      </w:r>
    </w:p>
    <w:p w14:paraId="587D654A">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（4）监测方法</w:t>
      </w:r>
    </w:p>
    <w:p w14:paraId="0F82877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监测分析方法按《土壤环境监测技术规范》（HJ/T166-2004）。</w:t>
      </w:r>
    </w:p>
    <w:p w14:paraId="615D7071">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土壤监测分析方法</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6"/>
        <w:gridCol w:w="1132"/>
        <w:gridCol w:w="3518"/>
        <w:gridCol w:w="1186"/>
        <w:gridCol w:w="1995"/>
      </w:tblGrid>
      <w:tr w14:paraId="5E549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7" w:hRule="atLeast"/>
          <w:tblHeader/>
          <w:jc w:val="center"/>
        </w:trPr>
        <w:tc>
          <w:tcPr>
            <w:tcW w:w="686" w:type="dxa"/>
            <w:tcBorders>
              <w:tl2br w:val="nil"/>
              <w:tr2bl w:val="nil"/>
            </w:tcBorders>
            <w:vAlign w:val="center"/>
          </w:tcPr>
          <w:p w14:paraId="3AC619E9">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序号</w:t>
            </w:r>
          </w:p>
        </w:tc>
        <w:tc>
          <w:tcPr>
            <w:tcW w:w="1132" w:type="dxa"/>
            <w:tcBorders>
              <w:tl2br w:val="nil"/>
              <w:tr2bl w:val="nil"/>
            </w:tcBorders>
            <w:vAlign w:val="center"/>
          </w:tcPr>
          <w:p w14:paraId="7BD52344">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项目</w:t>
            </w:r>
          </w:p>
        </w:tc>
        <w:tc>
          <w:tcPr>
            <w:tcW w:w="3518" w:type="dxa"/>
            <w:tcBorders>
              <w:tl2br w:val="nil"/>
              <w:tr2bl w:val="nil"/>
            </w:tcBorders>
            <w:vAlign w:val="center"/>
          </w:tcPr>
          <w:p w14:paraId="50EF976A">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标准方法</w:t>
            </w:r>
          </w:p>
        </w:tc>
        <w:tc>
          <w:tcPr>
            <w:tcW w:w="1186" w:type="dxa"/>
            <w:tcBorders>
              <w:tl2br w:val="nil"/>
              <w:tr2bl w:val="nil"/>
            </w:tcBorders>
            <w:vAlign w:val="center"/>
          </w:tcPr>
          <w:p w14:paraId="6FB7D1D9">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仪器名称</w:t>
            </w:r>
          </w:p>
        </w:tc>
        <w:tc>
          <w:tcPr>
            <w:tcW w:w="1995" w:type="dxa"/>
            <w:tcBorders>
              <w:tl2br w:val="nil"/>
              <w:tr2bl w:val="nil"/>
            </w:tcBorders>
            <w:vAlign w:val="center"/>
          </w:tcPr>
          <w:p w14:paraId="6BBE2BA9">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型号/编号</w:t>
            </w:r>
          </w:p>
        </w:tc>
      </w:tr>
      <w:tr w14:paraId="059FFB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763E6D8F">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p>
        </w:tc>
        <w:tc>
          <w:tcPr>
            <w:tcW w:w="1132" w:type="dxa"/>
            <w:tcBorders>
              <w:tl2br w:val="nil"/>
              <w:tr2bl w:val="nil"/>
            </w:tcBorders>
            <w:vAlign w:val="center"/>
          </w:tcPr>
          <w:p w14:paraId="4383E0D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苯并[a]芘</w:t>
            </w:r>
          </w:p>
        </w:tc>
        <w:tc>
          <w:tcPr>
            <w:tcW w:w="3518" w:type="dxa"/>
            <w:tcBorders>
              <w:tl2br w:val="nil"/>
              <w:tr2bl w:val="nil"/>
            </w:tcBorders>
            <w:vAlign w:val="center"/>
          </w:tcPr>
          <w:p w14:paraId="78756111">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土壤和沉积物 半挥发性有机物的测定 气相色谱-质谱法</w:t>
            </w:r>
          </w:p>
          <w:p w14:paraId="16B9228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HJ 834-2017</w:t>
            </w:r>
          </w:p>
        </w:tc>
        <w:tc>
          <w:tcPr>
            <w:tcW w:w="1186" w:type="dxa"/>
            <w:tcBorders>
              <w:tl2br w:val="nil"/>
              <w:tr2bl w:val="nil"/>
            </w:tcBorders>
            <w:vAlign w:val="center"/>
          </w:tcPr>
          <w:p w14:paraId="5D6E9B0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气相色谱-质谱联用仪</w:t>
            </w:r>
          </w:p>
        </w:tc>
        <w:tc>
          <w:tcPr>
            <w:tcW w:w="1995" w:type="dxa"/>
            <w:tcBorders>
              <w:tl2br w:val="nil"/>
              <w:tr2bl w:val="nil"/>
            </w:tcBorders>
            <w:vAlign w:val="center"/>
          </w:tcPr>
          <w:p w14:paraId="00C5EA93">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6890N GCSys - 5973N MSD/GLLS-JC-187</w:t>
            </w:r>
          </w:p>
        </w:tc>
      </w:tr>
      <w:tr w14:paraId="54EB1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526DD5C7">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2</w:t>
            </w:r>
          </w:p>
        </w:tc>
        <w:tc>
          <w:tcPr>
            <w:tcW w:w="1132" w:type="dxa"/>
            <w:tcBorders>
              <w:tl2br w:val="nil"/>
              <w:tr2bl w:val="nil"/>
            </w:tcBorders>
            <w:vAlign w:val="center"/>
          </w:tcPr>
          <w:p w14:paraId="2E72B72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pH</w:t>
            </w:r>
          </w:p>
        </w:tc>
        <w:tc>
          <w:tcPr>
            <w:tcW w:w="3518" w:type="dxa"/>
            <w:tcBorders>
              <w:tl2br w:val="nil"/>
              <w:tr2bl w:val="nil"/>
            </w:tcBorders>
            <w:vAlign w:val="center"/>
          </w:tcPr>
          <w:p w14:paraId="0DE35498">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土壤 pH 的测定 电位法</w:t>
            </w:r>
          </w:p>
          <w:p w14:paraId="52D1B974">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 xml:space="preserve">HJ 962-2018 </w:t>
            </w:r>
          </w:p>
        </w:tc>
        <w:tc>
          <w:tcPr>
            <w:tcW w:w="1186" w:type="dxa"/>
            <w:tcBorders>
              <w:tl2br w:val="nil"/>
              <w:tr2bl w:val="nil"/>
            </w:tcBorders>
            <w:vAlign w:val="center"/>
          </w:tcPr>
          <w:p w14:paraId="413C79BB">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pH 计</w:t>
            </w:r>
          </w:p>
        </w:tc>
        <w:tc>
          <w:tcPr>
            <w:tcW w:w="1995" w:type="dxa"/>
            <w:tcBorders>
              <w:tl2br w:val="nil"/>
              <w:tr2bl w:val="nil"/>
            </w:tcBorders>
            <w:vAlign w:val="center"/>
          </w:tcPr>
          <w:p w14:paraId="0E23A7CD">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PXS-270 GLLS-JC-054</w:t>
            </w:r>
          </w:p>
        </w:tc>
      </w:tr>
      <w:tr w14:paraId="772B1A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41492509">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3</w:t>
            </w:r>
          </w:p>
        </w:tc>
        <w:tc>
          <w:tcPr>
            <w:tcW w:w="1132" w:type="dxa"/>
            <w:tcBorders>
              <w:tl2br w:val="nil"/>
              <w:tr2bl w:val="nil"/>
            </w:tcBorders>
            <w:vAlign w:val="center"/>
          </w:tcPr>
          <w:p w14:paraId="652250B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铜</w:t>
            </w:r>
          </w:p>
        </w:tc>
        <w:tc>
          <w:tcPr>
            <w:tcW w:w="3518" w:type="dxa"/>
            <w:tcBorders>
              <w:tl2br w:val="nil"/>
              <w:tr2bl w:val="nil"/>
            </w:tcBorders>
            <w:vAlign w:val="center"/>
          </w:tcPr>
          <w:p w14:paraId="3E77321E">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土壤和沉积物 铜、锌、铅、镍、铬的测定 火焰原子吸收分光光度法</w:t>
            </w:r>
          </w:p>
          <w:p w14:paraId="6168CE3F">
            <w:pPr>
              <w:pStyle w:val="66"/>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HJ 491-2019</w:t>
            </w:r>
          </w:p>
        </w:tc>
        <w:tc>
          <w:tcPr>
            <w:tcW w:w="1186" w:type="dxa"/>
            <w:tcBorders>
              <w:tl2br w:val="nil"/>
              <w:tr2bl w:val="nil"/>
            </w:tcBorders>
            <w:vAlign w:val="center"/>
          </w:tcPr>
          <w:p w14:paraId="76A112D4">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火焰原子吸收分光光度计</w:t>
            </w:r>
          </w:p>
        </w:tc>
        <w:tc>
          <w:tcPr>
            <w:tcW w:w="1995" w:type="dxa"/>
            <w:tcBorders>
              <w:tl2br w:val="nil"/>
              <w:tr2bl w:val="nil"/>
            </w:tcBorders>
            <w:vAlign w:val="center"/>
          </w:tcPr>
          <w:p w14:paraId="6D963A93">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w:t>
            </w:r>
            <w:r>
              <w:rPr>
                <w:rFonts w:hint="eastAsia" w:ascii="Times New Roman" w:hAnsi="Times New Roman" w:cs="Times New Roman"/>
                <w:kern w:val="2"/>
                <w:sz w:val="21"/>
                <w:szCs w:val="21"/>
                <w:highlight w:val="none"/>
                <w:lang w:val="en-US" w:eastAsia="zh-CN" w:bidi="ar-SA"/>
              </w:rPr>
              <w:t xml:space="preserve"> </w:t>
            </w:r>
            <w:r>
              <w:rPr>
                <w:rFonts w:hint="default" w:ascii="Times New Roman" w:hAnsi="Times New Roman" w:eastAsia="宋体" w:cs="Times New Roman"/>
                <w:kern w:val="2"/>
                <w:sz w:val="21"/>
                <w:szCs w:val="21"/>
                <w:highlight w:val="none"/>
                <w:lang w:val="en-US" w:eastAsia="zh-CN" w:bidi="ar-SA"/>
              </w:rPr>
              <w:t>280FS/GLLS-JC-455</w:t>
            </w:r>
          </w:p>
        </w:tc>
      </w:tr>
      <w:tr w14:paraId="71899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647B5A43">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4</w:t>
            </w:r>
          </w:p>
        </w:tc>
        <w:tc>
          <w:tcPr>
            <w:tcW w:w="1132" w:type="dxa"/>
            <w:tcBorders>
              <w:tl2br w:val="nil"/>
              <w:tr2bl w:val="nil"/>
            </w:tcBorders>
            <w:vAlign w:val="center"/>
          </w:tcPr>
          <w:p w14:paraId="55D321E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锌</w:t>
            </w:r>
          </w:p>
        </w:tc>
        <w:tc>
          <w:tcPr>
            <w:tcW w:w="3518" w:type="dxa"/>
            <w:tcBorders>
              <w:tl2br w:val="nil"/>
              <w:tr2bl w:val="nil"/>
            </w:tcBorders>
            <w:vAlign w:val="center"/>
          </w:tcPr>
          <w:p w14:paraId="5C7F4B2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 铜、锌、铅、镍、铬的测定 火焰原子吸收分光光度法</w:t>
            </w:r>
          </w:p>
          <w:p w14:paraId="57F4BB6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491-2019</w:t>
            </w:r>
          </w:p>
        </w:tc>
        <w:tc>
          <w:tcPr>
            <w:tcW w:w="1186" w:type="dxa"/>
            <w:tcBorders>
              <w:tl2br w:val="nil"/>
              <w:tr2bl w:val="nil"/>
            </w:tcBorders>
            <w:vAlign w:val="center"/>
          </w:tcPr>
          <w:p w14:paraId="3CA8B31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火焰原子吸收分光光度计</w:t>
            </w:r>
          </w:p>
        </w:tc>
        <w:tc>
          <w:tcPr>
            <w:tcW w:w="1995" w:type="dxa"/>
            <w:tcBorders>
              <w:tl2br w:val="nil"/>
              <w:tr2bl w:val="nil"/>
            </w:tcBorders>
            <w:vAlign w:val="center"/>
          </w:tcPr>
          <w:p w14:paraId="6A8FD58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Agilent 280FS//GLLS-JC-455</w:t>
            </w:r>
          </w:p>
        </w:tc>
      </w:tr>
      <w:tr w14:paraId="41847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4673C08E">
            <w:pPr>
              <w:numPr>
                <w:ilvl w:val="0"/>
                <w:numId w:val="0"/>
              </w:numPr>
              <w:ind w:left="425" w:leftChars="0" w:hanging="425"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w:t>
            </w:r>
          </w:p>
        </w:tc>
        <w:tc>
          <w:tcPr>
            <w:tcW w:w="1132" w:type="dxa"/>
            <w:tcBorders>
              <w:tl2br w:val="nil"/>
              <w:tr2bl w:val="nil"/>
            </w:tcBorders>
            <w:vAlign w:val="center"/>
          </w:tcPr>
          <w:p w14:paraId="78E0AF67">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镍</w:t>
            </w:r>
          </w:p>
        </w:tc>
        <w:tc>
          <w:tcPr>
            <w:tcW w:w="3518" w:type="dxa"/>
            <w:tcBorders>
              <w:tl2br w:val="nil"/>
              <w:tr2bl w:val="nil"/>
            </w:tcBorders>
            <w:vAlign w:val="center"/>
          </w:tcPr>
          <w:p w14:paraId="6326BE8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土壤和沉积物 铜、锌、铅、镍、铬的测定 火焰原子吸收分光光度法</w:t>
            </w:r>
          </w:p>
          <w:p w14:paraId="270BD69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HJ 491-2019</w:t>
            </w:r>
          </w:p>
        </w:tc>
        <w:tc>
          <w:tcPr>
            <w:tcW w:w="1186" w:type="dxa"/>
            <w:tcBorders>
              <w:tl2br w:val="nil"/>
              <w:tr2bl w:val="nil"/>
            </w:tcBorders>
            <w:vAlign w:val="center"/>
          </w:tcPr>
          <w:p w14:paraId="385F210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火焰原子吸收分光光度计</w:t>
            </w:r>
          </w:p>
        </w:tc>
        <w:tc>
          <w:tcPr>
            <w:tcW w:w="1995" w:type="dxa"/>
            <w:tcBorders>
              <w:tl2br w:val="nil"/>
              <w:tr2bl w:val="nil"/>
            </w:tcBorders>
            <w:vAlign w:val="center"/>
          </w:tcPr>
          <w:p w14:paraId="081B3BC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280FS//GLLS-JC-455</w:t>
            </w:r>
          </w:p>
        </w:tc>
      </w:tr>
      <w:tr w14:paraId="05271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6CBFFB8E">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6</w:t>
            </w:r>
          </w:p>
        </w:tc>
        <w:tc>
          <w:tcPr>
            <w:tcW w:w="1132" w:type="dxa"/>
            <w:tcBorders>
              <w:tl2br w:val="nil"/>
              <w:tr2bl w:val="nil"/>
            </w:tcBorders>
            <w:vAlign w:val="center"/>
          </w:tcPr>
          <w:p w14:paraId="4A0D266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铬</w:t>
            </w:r>
          </w:p>
        </w:tc>
        <w:tc>
          <w:tcPr>
            <w:tcW w:w="3518" w:type="dxa"/>
            <w:tcBorders>
              <w:tl2br w:val="nil"/>
              <w:tr2bl w:val="nil"/>
            </w:tcBorders>
            <w:vAlign w:val="center"/>
          </w:tcPr>
          <w:p w14:paraId="7608D19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 铜、锌、铅、镍、铬的测定 火焰原子吸收分光光度法HJ 491-2019</w:t>
            </w:r>
          </w:p>
        </w:tc>
        <w:tc>
          <w:tcPr>
            <w:tcW w:w="1186" w:type="dxa"/>
            <w:tcBorders>
              <w:tl2br w:val="nil"/>
              <w:tr2bl w:val="nil"/>
            </w:tcBorders>
            <w:vAlign w:val="center"/>
          </w:tcPr>
          <w:p w14:paraId="7D45111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火焰原子吸收分光光度计</w:t>
            </w:r>
          </w:p>
        </w:tc>
        <w:tc>
          <w:tcPr>
            <w:tcW w:w="1995" w:type="dxa"/>
            <w:tcBorders>
              <w:tl2br w:val="nil"/>
              <w:tr2bl w:val="nil"/>
            </w:tcBorders>
            <w:vAlign w:val="center"/>
          </w:tcPr>
          <w:p w14:paraId="7026A07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Agilent 280FS//GLLS-JC-455</w:t>
            </w:r>
          </w:p>
        </w:tc>
      </w:tr>
      <w:tr w14:paraId="427F72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47B2CDAF">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7</w:t>
            </w:r>
          </w:p>
        </w:tc>
        <w:tc>
          <w:tcPr>
            <w:tcW w:w="1132" w:type="dxa"/>
            <w:tcBorders>
              <w:tl2br w:val="nil"/>
              <w:tr2bl w:val="nil"/>
            </w:tcBorders>
            <w:vAlign w:val="center"/>
          </w:tcPr>
          <w:p w14:paraId="60CCF74B">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汞</w:t>
            </w:r>
          </w:p>
        </w:tc>
        <w:tc>
          <w:tcPr>
            <w:tcW w:w="3518" w:type="dxa"/>
            <w:tcBorders>
              <w:tl2br w:val="nil"/>
              <w:tr2bl w:val="nil"/>
            </w:tcBorders>
            <w:vAlign w:val="center"/>
          </w:tcPr>
          <w:p w14:paraId="1B0FFBE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总汞、总砷、总铅的测定 原子荧光法 第 1 部分: 土壤中总汞的测定</w:t>
            </w:r>
          </w:p>
          <w:p w14:paraId="093E45EF">
            <w:pPr>
              <w:pStyle w:val="66"/>
              <w:rPr>
                <w:rFonts w:hint="default"/>
                <w:highlight w:val="none"/>
                <w:lang w:val="en-US" w:eastAsia="zh-CN"/>
              </w:rPr>
            </w:pPr>
            <w:r>
              <w:rPr>
                <w:rFonts w:hint="default" w:ascii="Times New Roman" w:hAnsi="Times New Roman" w:eastAsia="宋体" w:cs="Times New Roman"/>
                <w:kern w:val="2"/>
                <w:sz w:val="21"/>
                <w:szCs w:val="21"/>
                <w:highlight w:val="none"/>
                <w:lang w:val="en-US" w:eastAsia="zh-CN" w:bidi="ar-SA"/>
              </w:rPr>
              <w:t>GB/T 22105.1-2008</w:t>
            </w:r>
          </w:p>
        </w:tc>
        <w:tc>
          <w:tcPr>
            <w:tcW w:w="1186" w:type="dxa"/>
            <w:tcBorders>
              <w:tl2br w:val="nil"/>
              <w:tr2bl w:val="nil"/>
            </w:tcBorders>
            <w:vAlign w:val="center"/>
          </w:tcPr>
          <w:p w14:paraId="773CA33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原子荧光分光光度计/北京海光仪器公司</w:t>
            </w:r>
          </w:p>
        </w:tc>
        <w:tc>
          <w:tcPr>
            <w:tcW w:w="1995" w:type="dxa"/>
            <w:tcBorders>
              <w:tl2br w:val="nil"/>
              <w:tr2bl w:val="nil"/>
            </w:tcBorders>
            <w:vAlign w:val="center"/>
          </w:tcPr>
          <w:p w14:paraId="2F0BDA1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AFS-8510/GLLS-JC-457</w:t>
            </w:r>
          </w:p>
        </w:tc>
      </w:tr>
      <w:tr w14:paraId="10D272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36F189AB">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8</w:t>
            </w:r>
          </w:p>
        </w:tc>
        <w:tc>
          <w:tcPr>
            <w:tcW w:w="1132" w:type="dxa"/>
            <w:tcBorders>
              <w:tl2br w:val="nil"/>
              <w:tr2bl w:val="nil"/>
            </w:tcBorders>
            <w:vAlign w:val="center"/>
          </w:tcPr>
          <w:p w14:paraId="3DCD4E3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镉</w:t>
            </w:r>
          </w:p>
        </w:tc>
        <w:tc>
          <w:tcPr>
            <w:tcW w:w="3518" w:type="dxa"/>
            <w:tcBorders>
              <w:tl2br w:val="nil"/>
              <w:tr2bl w:val="nil"/>
            </w:tcBorders>
            <w:vAlign w:val="center"/>
          </w:tcPr>
          <w:p w14:paraId="3301107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铅、镉的测定 石墨炉原子吸收分光光度法</w:t>
            </w:r>
          </w:p>
          <w:p w14:paraId="3E38665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17141-1997</w:t>
            </w:r>
          </w:p>
        </w:tc>
        <w:tc>
          <w:tcPr>
            <w:tcW w:w="1186" w:type="dxa"/>
            <w:tcBorders>
              <w:tl2br w:val="nil"/>
              <w:tr2bl w:val="nil"/>
            </w:tcBorders>
            <w:vAlign w:val="center"/>
          </w:tcPr>
          <w:p w14:paraId="6A7963B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石墨炉原子吸收分光光度计</w:t>
            </w:r>
          </w:p>
        </w:tc>
        <w:tc>
          <w:tcPr>
            <w:tcW w:w="1995" w:type="dxa"/>
            <w:tcBorders>
              <w:tl2br w:val="nil"/>
              <w:tr2bl w:val="nil"/>
            </w:tcBorders>
            <w:vAlign w:val="center"/>
          </w:tcPr>
          <w:p w14:paraId="52EAB30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240Z//GLLS-JC-510</w:t>
            </w:r>
          </w:p>
        </w:tc>
      </w:tr>
      <w:tr w14:paraId="557224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6F46CDD9">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9</w:t>
            </w:r>
          </w:p>
        </w:tc>
        <w:tc>
          <w:tcPr>
            <w:tcW w:w="1132" w:type="dxa"/>
            <w:tcBorders>
              <w:tl2br w:val="nil"/>
              <w:tr2bl w:val="nil"/>
            </w:tcBorders>
            <w:vAlign w:val="center"/>
          </w:tcPr>
          <w:p w14:paraId="4BF87266">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铅</w:t>
            </w:r>
          </w:p>
        </w:tc>
        <w:tc>
          <w:tcPr>
            <w:tcW w:w="3518" w:type="dxa"/>
            <w:tcBorders>
              <w:tl2br w:val="nil"/>
              <w:tr2bl w:val="nil"/>
            </w:tcBorders>
            <w:vAlign w:val="center"/>
          </w:tcPr>
          <w:p w14:paraId="57B095A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铅、镉的测定 石墨炉原子吸收分光光度法</w:t>
            </w:r>
          </w:p>
          <w:p w14:paraId="4A7C066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17141-1997</w:t>
            </w:r>
          </w:p>
        </w:tc>
        <w:tc>
          <w:tcPr>
            <w:tcW w:w="1186" w:type="dxa"/>
            <w:tcBorders>
              <w:tl2br w:val="nil"/>
              <w:tr2bl w:val="nil"/>
            </w:tcBorders>
            <w:vAlign w:val="center"/>
          </w:tcPr>
          <w:p w14:paraId="7E623B5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石墨炉原子吸收分光光度计</w:t>
            </w:r>
          </w:p>
        </w:tc>
        <w:tc>
          <w:tcPr>
            <w:tcW w:w="1995" w:type="dxa"/>
            <w:tcBorders>
              <w:tl2br w:val="nil"/>
              <w:tr2bl w:val="nil"/>
            </w:tcBorders>
            <w:vAlign w:val="center"/>
          </w:tcPr>
          <w:p w14:paraId="6EB8985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240Z//GLLS-JC-454</w:t>
            </w:r>
          </w:p>
        </w:tc>
      </w:tr>
      <w:tr w14:paraId="191B3B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01F12E0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10</w:t>
            </w:r>
          </w:p>
        </w:tc>
        <w:tc>
          <w:tcPr>
            <w:tcW w:w="1132" w:type="dxa"/>
            <w:tcBorders>
              <w:tl2br w:val="nil"/>
              <w:tr2bl w:val="nil"/>
            </w:tcBorders>
            <w:vAlign w:val="center"/>
          </w:tcPr>
          <w:p w14:paraId="472F9DE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砷</w:t>
            </w:r>
          </w:p>
        </w:tc>
        <w:tc>
          <w:tcPr>
            <w:tcW w:w="3518" w:type="dxa"/>
            <w:tcBorders>
              <w:tl2br w:val="nil"/>
              <w:tr2bl w:val="nil"/>
            </w:tcBorders>
            <w:vAlign w:val="center"/>
          </w:tcPr>
          <w:p w14:paraId="66C3470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总汞、总砷、总铅的测定原子荧光法第 2 部分：土壤中总砷的测定</w:t>
            </w:r>
          </w:p>
          <w:p w14:paraId="7BE84ED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22105.2-2008</w:t>
            </w:r>
          </w:p>
        </w:tc>
        <w:tc>
          <w:tcPr>
            <w:tcW w:w="1186" w:type="dxa"/>
            <w:tcBorders>
              <w:tl2br w:val="nil"/>
              <w:tr2bl w:val="nil"/>
            </w:tcBorders>
            <w:vAlign w:val="center"/>
          </w:tcPr>
          <w:p w14:paraId="4BB0737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原子荧光光度计/北京海光</w:t>
            </w:r>
          </w:p>
        </w:tc>
        <w:tc>
          <w:tcPr>
            <w:tcW w:w="1995" w:type="dxa"/>
            <w:tcBorders>
              <w:tl2br w:val="nil"/>
              <w:tr2bl w:val="nil"/>
            </w:tcBorders>
            <w:vAlign w:val="center"/>
          </w:tcPr>
          <w:p w14:paraId="3C1C601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AFS-8510/GLLS-JC-181</w:t>
            </w:r>
          </w:p>
        </w:tc>
      </w:tr>
      <w:tr w14:paraId="6B5A76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2EC24E48">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11</w:t>
            </w:r>
          </w:p>
        </w:tc>
        <w:tc>
          <w:tcPr>
            <w:tcW w:w="1132" w:type="dxa"/>
            <w:tcBorders>
              <w:tl2br w:val="nil"/>
              <w:tr2bl w:val="nil"/>
            </w:tcBorders>
            <w:vAlign w:val="center"/>
          </w:tcPr>
          <w:p w14:paraId="6454C57F">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六六六总量、滴滴涕总量</w:t>
            </w:r>
            <w:r>
              <w:rPr>
                <w:rFonts w:hint="eastAsia" w:ascii="Times New Roman" w:hAnsi="Times New Roman" w:cs="Times New Roman"/>
                <w:kern w:val="2"/>
                <w:sz w:val="21"/>
                <w:szCs w:val="21"/>
                <w:highlight w:val="none"/>
                <w:lang w:val="en-US" w:eastAsia="zh-CN" w:bidi="ar-SA"/>
              </w:rPr>
              <w:t>（p,p'-滴滴滴、p,p'-滴滴伊、p,p'-滴滴涕、o,p'-滴滴涕、</w:t>
            </w:r>
            <w:r>
              <w:rPr>
                <w:rFonts w:hint="default" w:ascii="Times New Roman" w:hAnsi="Times New Roman" w:cs="Times New Roman"/>
                <w:kern w:val="2"/>
                <w:sz w:val="21"/>
                <w:szCs w:val="21"/>
                <w:highlight w:val="none"/>
                <w:lang w:val="en-US" w:eastAsia="zh-CN" w:bidi="ar-SA"/>
              </w:rPr>
              <w:t>α-六六六、β-六六六、γ-六六六；林丹、δ-六六六、o,p'-滴滴</w:t>
            </w:r>
            <w:r>
              <w:rPr>
                <w:rFonts w:hint="eastAsia" w:ascii="Times New Roman" w:hAnsi="Times New Roman" w:cs="Times New Roman"/>
                <w:kern w:val="2"/>
                <w:sz w:val="21"/>
                <w:szCs w:val="21"/>
                <w:highlight w:val="none"/>
                <w:lang w:val="en-US" w:eastAsia="zh-CN" w:bidi="ar-SA"/>
              </w:rPr>
              <w:t>伊、o,p'-滴滴滴#）</w:t>
            </w:r>
          </w:p>
        </w:tc>
        <w:tc>
          <w:tcPr>
            <w:tcW w:w="3518" w:type="dxa"/>
            <w:tcBorders>
              <w:tl2br w:val="nil"/>
              <w:tr2bl w:val="nil"/>
            </w:tcBorders>
            <w:vAlign w:val="center"/>
          </w:tcPr>
          <w:p w14:paraId="7B811D0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土壤和沉积物 有机氯农药的测定 气相色谱法</w:t>
            </w:r>
          </w:p>
          <w:p w14:paraId="290162C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HJ 921-2017</w:t>
            </w:r>
          </w:p>
        </w:tc>
        <w:tc>
          <w:tcPr>
            <w:tcW w:w="1186" w:type="dxa"/>
            <w:tcBorders>
              <w:tl2br w:val="nil"/>
              <w:tr2bl w:val="nil"/>
            </w:tcBorders>
            <w:vAlign w:val="center"/>
          </w:tcPr>
          <w:p w14:paraId="66F8EC4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气相色谱仪</w:t>
            </w:r>
          </w:p>
        </w:tc>
        <w:tc>
          <w:tcPr>
            <w:tcW w:w="1995" w:type="dxa"/>
            <w:tcBorders>
              <w:tl2br w:val="nil"/>
              <w:tr2bl w:val="nil"/>
            </w:tcBorders>
            <w:vAlign w:val="center"/>
          </w:tcPr>
          <w:p w14:paraId="58A6DDE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7890B GC GLLS-JC-110</w:t>
            </w:r>
          </w:p>
        </w:tc>
      </w:tr>
    </w:tbl>
    <w:p w14:paraId="54C7B73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（5）评价标准</w:t>
      </w:r>
    </w:p>
    <w:p w14:paraId="2571072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土壤评价标准采用《土壤环境质量 农用地土壤污染风险管控标准》（试行）（GB15618-2018） 中的农用地土壤污染风险筛选值限值</w:t>
      </w:r>
      <w:r>
        <w:rPr>
          <w:rFonts w:hint="default" w:ascii="Times New Roman" w:hAnsi="Times New Roman" w:eastAsia="宋体" w:cs="Times New Roman"/>
          <w:color w:val="auto"/>
          <w:sz w:val="24"/>
          <w:highlight w:val="none"/>
        </w:rPr>
        <w:t>标准</w:t>
      </w:r>
      <w:r>
        <w:rPr>
          <w:rFonts w:hint="default" w:ascii="Times New Roman" w:hAnsi="Times New Roman" w:eastAsia="宋体" w:cs="Times New Roman"/>
          <w:color w:val="auto"/>
          <w:highlight w:val="none"/>
          <w:lang w:val="en-US" w:eastAsia="zh-CN"/>
        </w:rPr>
        <w:t>。</w:t>
      </w:r>
    </w:p>
    <w:p w14:paraId="0B8733F1">
      <w:pPr>
        <w:pStyle w:val="2"/>
        <w:keepNext w:val="0"/>
        <w:keepLines w:val="0"/>
        <w:pageBreakBefore w:val="0"/>
        <w:widowControl w:val="0"/>
        <w:numPr>
          <w:ilvl w:val="0"/>
          <w:numId w:val="0"/>
        </w:numPr>
        <w:kinsoku/>
        <w:wordWrap/>
        <w:overflowPunct/>
        <w:topLinePunct w:val="0"/>
        <w:autoSpaceDE w:val="0"/>
        <w:autoSpaceDN w:val="0"/>
        <w:bidi w:val="0"/>
        <w:adjustRightInd w:val="0"/>
        <w:snapToGrid/>
        <w:ind w:firstLine="480" w:firstLineChars="200"/>
        <w:textAlignment w:val="auto"/>
        <w:rPr>
          <w:rFonts w:hint="eastAsia" w:ascii="Times New Roman"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（6）</w:t>
      </w:r>
      <w:r>
        <w:rPr>
          <w:rFonts w:hint="eastAsia" w:ascii="Times New Roman" w:cs="Times New Roman"/>
          <w:color w:val="auto"/>
          <w:kern w:val="0"/>
          <w:sz w:val="24"/>
          <w:szCs w:val="24"/>
          <w:highlight w:val="none"/>
          <w:lang w:val="en-US" w:eastAsia="zh-CN" w:bidi="ar-SA"/>
        </w:rPr>
        <w:t>现状监测结果</w:t>
      </w:r>
    </w:p>
    <w:p w14:paraId="252C61EE">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24</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土壤环境质量现状监测数据统计表</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713"/>
        <w:gridCol w:w="981"/>
        <w:gridCol w:w="1633"/>
        <w:gridCol w:w="1633"/>
        <w:gridCol w:w="1663"/>
      </w:tblGrid>
      <w:tr w14:paraId="29D52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000" w:type="pct"/>
            <w:gridSpan w:val="6"/>
            <w:tcBorders>
              <w:tl2br w:val="nil"/>
              <w:tr2bl w:val="nil"/>
            </w:tcBorders>
            <w:vAlign w:val="center"/>
          </w:tcPr>
          <w:p w14:paraId="158830DC">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收</w:t>
            </w:r>
            <w:r>
              <w:rPr>
                <w:rFonts w:hint="default" w:ascii="Times New Roman" w:hAnsi="Times New Roman" w:eastAsia="宋体" w:cs="Times New Roman"/>
                <w:b/>
                <w:bCs/>
                <w:sz w:val="21"/>
                <w:szCs w:val="21"/>
                <w:highlight w:val="none"/>
                <w:lang w:val="en-US" w:eastAsia="zh-CN"/>
              </w:rPr>
              <w:t>样时间：</w:t>
            </w:r>
            <w:r>
              <w:rPr>
                <w:rFonts w:hint="eastAsia" w:ascii="Times New Roman" w:hAnsi="Times New Roman" w:cs="Times New Roman"/>
                <w:b/>
                <w:bCs/>
                <w:sz w:val="21"/>
                <w:szCs w:val="21"/>
                <w:highlight w:val="none"/>
                <w:lang w:val="en-US" w:eastAsia="zh-CN"/>
              </w:rPr>
              <w:t>2025</w:t>
            </w:r>
            <w:r>
              <w:rPr>
                <w:rFonts w:hint="default" w:ascii="Times New Roman" w:hAnsi="Times New Roman" w:eastAsia="宋体" w:cs="Times New Roman"/>
                <w:b/>
                <w:bCs/>
                <w:sz w:val="21"/>
                <w:szCs w:val="21"/>
                <w:highlight w:val="none"/>
                <w:lang w:val="en-US" w:eastAsia="zh-CN"/>
              </w:rPr>
              <w:t>.0</w:t>
            </w:r>
            <w:r>
              <w:rPr>
                <w:rFonts w:hint="eastAsia" w:ascii="Times New Roman" w:hAnsi="Times New Roman" w:cs="Times New Roman"/>
                <w:b/>
                <w:bCs/>
                <w:sz w:val="21"/>
                <w:szCs w:val="21"/>
                <w:highlight w:val="none"/>
                <w:lang w:val="en-US" w:eastAsia="zh-CN"/>
              </w:rPr>
              <w:t>9.12</w:t>
            </w:r>
          </w:p>
        </w:tc>
      </w:tr>
      <w:tr w14:paraId="437696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23" w:type="pct"/>
            <w:vMerge w:val="restart"/>
            <w:tcBorders>
              <w:tl2br w:val="nil"/>
              <w:tr2bl w:val="nil"/>
            </w:tcBorders>
            <w:vAlign w:val="center"/>
          </w:tcPr>
          <w:p w14:paraId="45C59B59">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序号</w:t>
            </w:r>
          </w:p>
        </w:tc>
        <w:tc>
          <w:tcPr>
            <w:tcW w:w="1006" w:type="pct"/>
            <w:vMerge w:val="restart"/>
            <w:tcBorders>
              <w:tl2br w:val="nil"/>
              <w:tr2bl w:val="nil"/>
            </w:tcBorders>
            <w:vAlign w:val="center"/>
          </w:tcPr>
          <w:p w14:paraId="01B7BFB3">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检测项目</w:t>
            </w:r>
          </w:p>
        </w:tc>
        <w:tc>
          <w:tcPr>
            <w:tcW w:w="576" w:type="pct"/>
            <w:vMerge w:val="restart"/>
            <w:tcBorders>
              <w:tl2br w:val="nil"/>
              <w:tr2bl w:val="nil"/>
            </w:tcBorders>
            <w:vAlign w:val="center"/>
          </w:tcPr>
          <w:p w14:paraId="369D92E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单位</w:t>
            </w:r>
          </w:p>
        </w:tc>
        <w:tc>
          <w:tcPr>
            <w:tcW w:w="959" w:type="pct"/>
            <w:tcBorders>
              <w:tl2br w:val="nil"/>
              <w:tr2bl w:val="nil"/>
            </w:tcBorders>
            <w:vAlign w:val="center"/>
          </w:tcPr>
          <w:p w14:paraId="4E716D6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1</w:t>
            </w:r>
            <w:r>
              <w:rPr>
                <w:rFonts w:hint="eastAsia" w:ascii="Times New Roman" w:hAnsi="Times New Roman" w:cs="Times New Roman"/>
                <w:b/>
                <w:bCs/>
                <w:sz w:val="21"/>
                <w:szCs w:val="21"/>
                <w:highlight w:val="none"/>
                <w:lang w:val="en-US" w:eastAsia="zh-CN"/>
              </w:rPr>
              <w:t>#</w:t>
            </w:r>
          </w:p>
        </w:tc>
        <w:tc>
          <w:tcPr>
            <w:tcW w:w="959" w:type="pct"/>
            <w:tcBorders>
              <w:tl2br w:val="nil"/>
              <w:tr2bl w:val="nil"/>
            </w:tcBorders>
            <w:vAlign w:val="center"/>
          </w:tcPr>
          <w:p w14:paraId="5B9163B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2</w:t>
            </w:r>
            <w:r>
              <w:rPr>
                <w:rFonts w:hint="eastAsia" w:ascii="Times New Roman" w:hAnsi="Times New Roman" w:cs="Times New Roman"/>
                <w:b/>
                <w:bCs/>
                <w:sz w:val="21"/>
                <w:szCs w:val="21"/>
                <w:highlight w:val="none"/>
                <w:lang w:val="en-US" w:eastAsia="zh-CN"/>
              </w:rPr>
              <w:t>#</w:t>
            </w:r>
          </w:p>
        </w:tc>
        <w:tc>
          <w:tcPr>
            <w:tcW w:w="976" w:type="pct"/>
            <w:tcBorders>
              <w:tl2br w:val="nil"/>
              <w:tr2bl w:val="nil"/>
            </w:tcBorders>
            <w:vAlign w:val="center"/>
          </w:tcPr>
          <w:p w14:paraId="0C1307FF">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3</w:t>
            </w:r>
            <w:r>
              <w:rPr>
                <w:rFonts w:hint="eastAsia" w:ascii="Times New Roman" w:hAnsi="Times New Roman" w:cs="Times New Roman"/>
                <w:b/>
                <w:bCs/>
                <w:sz w:val="21"/>
                <w:szCs w:val="21"/>
                <w:highlight w:val="none"/>
                <w:lang w:val="en-US" w:eastAsia="zh-CN"/>
              </w:rPr>
              <w:t>#</w:t>
            </w:r>
          </w:p>
        </w:tc>
      </w:tr>
      <w:tr w14:paraId="1446BF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23" w:type="pct"/>
            <w:vMerge w:val="continue"/>
            <w:tcBorders>
              <w:tl2br w:val="nil"/>
              <w:tr2bl w:val="nil"/>
            </w:tcBorders>
            <w:vAlign w:val="center"/>
          </w:tcPr>
          <w:p w14:paraId="4344D5F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1006" w:type="pct"/>
            <w:vMerge w:val="continue"/>
            <w:tcBorders>
              <w:tl2br w:val="nil"/>
              <w:tr2bl w:val="nil"/>
            </w:tcBorders>
            <w:vAlign w:val="center"/>
          </w:tcPr>
          <w:p w14:paraId="6DE1ED0B">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576" w:type="pct"/>
            <w:vMerge w:val="continue"/>
            <w:tcBorders>
              <w:tl2br w:val="nil"/>
              <w:tr2bl w:val="nil"/>
            </w:tcBorders>
            <w:vAlign w:val="center"/>
          </w:tcPr>
          <w:p w14:paraId="53AD5FA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959" w:type="pct"/>
            <w:tcBorders>
              <w:tl2br w:val="nil"/>
              <w:tr2bl w:val="nil"/>
            </w:tcBorders>
            <w:vAlign w:val="center"/>
          </w:tcPr>
          <w:p w14:paraId="7E413B1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T0912S169</w:t>
            </w:r>
          </w:p>
        </w:tc>
        <w:tc>
          <w:tcPr>
            <w:tcW w:w="959" w:type="pct"/>
            <w:tcBorders>
              <w:tl2br w:val="nil"/>
              <w:tr2bl w:val="nil"/>
            </w:tcBorders>
            <w:vAlign w:val="center"/>
          </w:tcPr>
          <w:p w14:paraId="0DD23D8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eastAsia" w:ascii="Times New Roman" w:hAnsi="Times New Roman" w:cs="Times New Roman"/>
                <w:b/>
                <w:bCs/>
                <w:sz w:val="21"/>
                <w:szCs w:val="21"/>
                <w:highlight w:val="none"/>
                <w:lang w:val="en-US" w:eastAsia="zh-CN"/>
              </w:rPr>
              <w:t>T0912S170</w:t>
            </w:r>
          </w:p>
        </w:tc>
        <w:tc>
          <w:tcPr>
            <w:tcW w:w="976" w:type="pct"/>
            <w:tcBorders>
              <w:tl2br w:val="nil"/>
              <w:tr2bl w:val="nil"/>
            </w:tcBorders>
            <w:vAlign w:val="center"/>
          </w:tcPr>
          <w:p w14:paraId="5E8762B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eastAsia" w:ascii="Times New Roman" w:hAnsi="Times New Roman" w:cs="Times New Roman"/>
                <w:b/>
                <w:bCs/>
                <w:sz w:val="21"/>
                <w:szCs w:val="21"/>
                <w:highlight w:val="none"/>
                <w:lang w:val="en-US" w:eastAsia="zh-CN"/>
              </w:rPr>
              <w:t>T0912S171</w:t>
            </w:r>
          </w:p>
        </w:tc>
      </w:tr>
      <w:tr w14:paraId="47100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vAlign w:val="center"/>
          </w:tcPr>
          <w:p w14:paraId="3DA83743">
            <w:pPr>
              <w:numPr>
                <w:ilvl w:val="0"/>
                <w:numId w:val="0"/>
              </w:numPr>
              <w:adjustRightInd w:val="0"/>
              <w:snapToGrid w:val="0"/>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p>
        </w:tc>
        <w:tc>
          <w:tcPr>
            <w:tcW w:w="1006" w:type="pct"/>
            <w:tcBorders>
              <w:tl2br w:val="nil"/>
              <w:tr2bl w:val="nil"/>
            </w:tcBorders>
            <w:vAlign w:val="center"/>
          </w:tcPr>
          <w:p w14:paraId="7142809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pH值</w:t>
            </w:r>
          </w:p>
        </w:tc>
        <w:tc>
          <w:tcPr>
            <w:tcW w:w="576" w:type="pct"/>
            <w:tcBorders>
              <w:tl2br w:val="nil"/>
              <w:tr2bl w:val="nil"/>
            </w:tcBorders>
            <w:vAlign w:val="center"/>
          </w:tcPr>
          <w:p w14:paraId="54716820">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无量纲</w:t>
            </w:r>
          </w:p>
        </w:tc>
        <w:tc>
          <w:tcPr>
            <w:tcW w:w="959" w:type="pct"/>
            <w:tcBorders>
              <w:tl2br w:val="nil"/>
              <w:tr2bl w:val="nil"/>
            </w:tcBorders>
            <w:vAlign w:val="center"/>
          </w:tcPr>
          <w:p w14:paraId="740BBAD5">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7.52</w:t>
            </w:r>
          </w:p>
        </w:tc>
        <w:tc>
          <w:tcPr>
            <w:tcW w:w="959" w:type="pct"/>
            <w:tcBorders>
              <w:tl2br w:val="nil"/>
              <w:tr2bl w:val="nil"/>
            </w:tcBorders>
            <w:vAlign w:val="center"/>
          </w:tcPr>
          <w:p w14:paraId="02DF3578">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7.37</w:t>
            </w:r>
          </w:p>
        </w:tc>
        <w:tc>
          <w:tcPr>
            <w:tcW w:w="976" w:type="pct"/>
            <w:tcBorders>
              <w:tl2br w:val="nil"/>
              <w:tr2bl w:val="nil"/>
            </w:tcBorders>
            <w:vAlign w:val="center"/>
          </w:tcPr>
          <w:p w14:paraId="5D0BC4E3">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7.39</w:t>
            </w:r>
          </w:p>
        </w:tc>
      </w:tr>
      <w:tr w14:paraId="1F471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2B7A58DB">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w:t>
            </w:r>
          </w:p>
        </w:tc>
        <w:tc>
          <w:tcPr>
            <w:tcW w:w="1006" w:type="pct"/>
            <w:tcBorders>
              <w:tl2br w:val="nil"/>
              <w:tr2bl w:val="nil"/>
            </w:tcBorders>
            <w:vAlign w:val="center"/>
          </w:tcPr>
          <w:p w14:paraId="4FD7175E">
            <w:pPr>
              <w:keepNext w:val="0"/>
              <w:keepLines w:val="0"/>
              <w:widowControl/>
              <w:suppressLineNumbers w:val="0"/>
              <w:adjustRightInd w:val="0"/>
              <w:snapToGrid w:val="0"/>
              <w:jc w:val="center"/>
              <w:rPr>
                <w:rFonts w:hint="eastAsia" w:ascii="宋体" w:hAnsi="宋体" w:eastAsia="宋体" w:cs="宋体"/>
                <w:sz w:val="21"/>
                <w:szCs w:val="21"/>
                <w:highlight w:val="none"/>
              </w:rPr>
            </w:pPr>
            <w:r>
              <w:rPr>
                <w:rFonts w:hint="eastAsia" w:ascii="宋体" w:hAnsi="宋体" w:eastAsia="宋体" w:cs="宋体"/>
                <w:color w:val="000000"/>
                <w:kern w:val="0"/>
                <w:sz w:val="21"/>
                <w:szCs w:val="21"/>
                <w:highlight w:val="none"/>
                <w:lang w:val="en-US" w:eastAsia="zh-CN" w:bidi="ar"/>
              </w:rPr>
              <w:t>砷</w:t>
            </w:r>
          </w:p>
        </w:tc>
        <w:tc>
          <w:tcPr>
            <w:tcW w:w="576" w:type="pct"/>
            <w:tcBorders>
              <w:tl2br w:val="nil"/>
              <w:tr2bl w:val="nil"/>
            </w:tcBorders>
            <w:vAlign w:val="center"/>
          </w:tcPr>
          <w:p w14:paraId="0C1CF6E1">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vAlign w:val="center"/>
          </w:tcPr>
          <w:p w14:paraId="31708324">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10.2</w:t>
            </w:r>
          </w:p>
        </w:tc>
        <w:tc>
          <w:tcPr>
            <w:tcW w:w="959" w:type="pct"/>
            <w:tcBorders>
              <w:tl2br w:val="nil"/>
              <w:tr2bl w:val="nil"/>
            </w:tcBorders>
            <w:vAlign w:val="center"/>
          </w:tcPr>
          <w:p w14:paraId="003F72A3">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10.2</w:t>
            </w:r>
          </w:p>
        </w:tc>
        <w:tc>
          <w:tcPr>
            <w:tcW w:w="976" w:type="pct"/>
            <w:tcBorders>
              <w:tl2br w:val="nil"/>
              <w:tr2bl w:val="nil"/>
            </w:tcBorders>
            <w:vAlign w:val="center"/>
          </w:tcPr>
          <w:p w14:paraId="0FD53D9A">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10.2</w:t>
            </w:r>
          </w:p>
        </w:tc>
      </w:tr>
      <w:tr w14:paraId="7F0E0A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1E91161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w:t>
            </w:r>
          </w:p>
        </w:tc>
        <w:tc>
          <w:tcPr>
            <w:tcW w:w="1006" w:type="pct"/>
            <w:tcBorders>
              <w:tl2br w:val="nil"/>
              <w:tr2bl w:val="nil"/>
            </w:tcBorders>
            <w:vAlign w:val="center"/>
          </w:tcPr>
          <w:p w14:paraId="738B1D7A">
            <w:pPr>
              <w:keepNext w:val="0"/>
              <w:keepLines w:val="0"/>
              <w:widowControl/>
              <w:suppressLineNumbers w:val="0"/>
              <w:adjustRightInd w:val="0"/>
              <w:snapToGrid w:val="0"/>
              <w:jc w:val="center"/>
              <w:rPr>
                <w:rFonts w:hint="eastAsia" w:ascii="宋体" w:hAnsi="宋体" w:eastAsia="宋体" w:cs="宋体"/>
                <w:sz w:val="21"/>
                <w:szCs w:val="21"/>
                <w:highlight w:val="none"/>
              </w:rPr>
            </w:pPr>
            <w:r>
              <w:rPr>
                <w:rFonts w:hint="eastAsia" w:ascii="宋体" w:hAnsi="宋体" w:eastAsia="宋体" w:cs="宋体"/>
                <w:color w:val="000000"/>
                <w:kern w:val="0"/>
                <w:sz w:val="21"/>
                <w:szCs w:val="21"/>
                <w:highlight w:val="none"/>
                <w:lang w:val="en-US" w:eastAsia="zh-CN" w:bidi="ar"/>
              </w:rPr>
              <w:t>镉</w:t>
            </w:r>
          </w:p>
        </w:tc>
        <w:tc>
          <w:tcPr>
            <w:tcW w:w="576" w:type="pct"/>
            <w:tcBorders>
              <w:tl2br w:val="nil"/>
              <w:tr2bl w:val="nil"/>
            </w:tcBorders>
            <w:vAlign w:val="center"/>
          </w:tcPr>
          <w:p w14:paraId="4C08DF06">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vAlign w:val="center"/>
          </w:tcPr>
          <w:p w14:paraId="6F0F3EA9">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0.12</w:t>
            </w:r>
          </w:p>
        </w:tc>
        <w:tc>
          <w:tcPr>
            <w:tcW w:w="959" w:type="pct"/>
            <w:tcBorders>
              <w:tl2br w:val="nil"/>
              <w:tr2bl w:val="nil"/>
            </w:tcBorders>
            <w:vAlign w:val="center"/>
          </w:tcPr>
          <w:p w14:paraId="03E1EF2B">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0.11</w:t>
            </w:r>
          </w:p>
        </w:tc>
        <w:tc>
          <w:tcPr>
            <w:tcW w:w="976" w:type="pct"/>
            <w:tcBorders>
              <w:tl2br w:val="nil"/>
              <w:tr2bl w:val="nil"/>
            </w:tcBorders>
            <w:vAlign w:val="center"/>
          </w:tcPr>
          <w:p w14:paraId="2294E6C5">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0.12</w:t>
            </w:r>
          </w:p>
        </w:tc>
      </w:tr>
      <w:tr w14:paraId="20D65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539290FB">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w:t>
            </w:r>
          </w:p>
        </w:tc>
        <w:tc>
          <w:tcPr>
            <w:tcW w:w="1006" w:type="pct"/>
            <w:tcBorders>
              <w:tl2br w:val="nil"/>
              <w:tr2bl w:val="nil"/>
            </w:tcBorders>
            <w:vAlign w:val="center"/>
          </w:tcPr>
          <w:p w14:paraId="1448DB25">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铜</w:t>
            </w:r>
          </w:p>
        </w:tc>
        <w:tc>
          <w:tcPr>
            <w:tcW w:w="576" w:type="pct"/>
            <w:tcBorders>
              <w:tl2br w:val="nil"/>
              <w:tr2bl w:val="nil"/>
            </w:tcBorders>
            <w:vAlign w:val="center"/>
          </w:tcPr>
          <w:p w14:paraId="598A6AB5">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18BC87E9">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23</w:t>
            </w:r>
          </w:p>
        </w:tc>
        <w:tc>
          <w:tcPr>
            <w:tcW w:w="959" w:type="pct"/>
            <w:tcBorders>
              <w:tl2br w:val="nil"/>
              <w:tr2bl w:val="nil"/>
            </w:tcBorders>
            <w:shd w:val="clear" w:color="auto" w:fill="auto"/>
            <w:vAlign w:val="center"/>
          </w:tcPr>
          <w:p w14:paraId="4B84465A">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20</w:t>
            </w:r>
          </w:p>
        </w:tc>
        <w:tc>
          <w:tcPr>
            <w:tcW w:w="976" w:type="pct"/>
            <w:tcBorders>
              <w:tl2br w:val="nil"/>
              <w:tr2bl w:val="nil"/>
            </w:tcBorders>
            <w:shd w:val="clear" w:color="auto" w:fill="auto"/>
            <w:vAlign w:val="center"/>
          </w:tcPr>
          <w:p w14:paraId="7B6E3EE2">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22</w:t>
            </w:r>
          </w:p>
        </w:tc>
      </w:tr>
      <w:tr w14:paraId="4B3F2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51BB5993">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5</w:t>
            </w:r>
          </w:p>
        </w:tc>
        <w:tc>
          <w:tcPr>
            <w:tcW w:w="1006" w:type="pct"/>
            <w:tcBorders>
              <w:tl2br w:val="nil"/>
              <w:tr2bl w:val="nil"/>
            </w:tcBorders>
            <w:vAlign w:val="center"/>
          </w:tcPr>
          <w:p w14:paraId="46E8A630">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铅</w:t>
            </w:r>
          </w:p>
        </w:tc>
        <w:tc>
          <w:tcPr>
            <w:tcW w:w="576" w:type="pct"/>
            <w:tcBorders>
              <w:tl2br w:val="nil"/>
              <w:tr2bl w:val="nil"/>
            </w:tcBorders>
            <w:vAlign w:val="center"/>
          </w:tcPr>
          <w:p w14:paraId="3636F68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2241EA90">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16.8</w:t>
            </w:r>
          </w:p>
        </w:tc>
        <w:tc>
          <w:tcPr>
            <w:tcW w:w="959" w:type="pct"/>
            <w:tcBorders>
              <w:tl2br w:val="nil"/>
              <w:tr2bl w:val="nil"/>
            </w:tcBorders>
            <w:shd w:val="clear" w:color="auto" w:fill="auto"/>
            <w:vAlign w:val="center"/>
          </w:tcPr>
          <w:p w14:paraId="42A168BB">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14.3</w:t>
            </w:r>
          </w:p>
        </w:tc>
        <w:tc>
          <w:tcPr>
            <w:tcW w:w="976" w:type="pct"/>
            <w:tcBorders>
              <w:tl2br w:val="nil"/>
              <w:tr2bl w:val="nil"/>
            </w:tcBorders>
            <w:shd w:val="clear" w:color="auto" w:fill="auto"/>
            <w:vAlign w:val="center"/>
          </w:tcPr>
          <w:p w14:paraId="6871CE6B">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13.9</w:t>
            </w:r>
          </w:p>
        </w:tc>
      </w:tr>
      <w:tr w14:paraId="31710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4F1A0F7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6</w:t>
            </w:r>
          </w:p>
        </w:tc>
        <w:tc>
          <w:tcPr>
            <w:tcW w:w="1006" w:type="pct"/>
            <w:tcBorders>
              <w:tl2br w:val="nil"/>
              <w:tr2bl w:val="nil"/>
            </w:tcBorders>
            <w:vAlign w:val="center"/>
          </w:tcPr>
          <w:p w14:paraId="5968A796">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汞</w:t>
            </w:r>
          </w:p>
        </w:tc>
        <w:tc>
          <w:tcPr>
            <w:tcW w:w="576" w:type="pct"/>
            <w:tcBorders>
              <w:tl2br w:val="nil"/>
              <w:tr2bl w:val="nil"/>
            </w:tcBorders>
            <w:vAlign w:val="center"/>
          </w:tcPr>
          <w:p w14:paraId="7A89B46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1C7C99E0">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0.136</w:t>
            </w:r>
          </w:p>
        </w:tc>
        <w:tc>
          <w:tcPr>
            <w:tcW w:w="959" w:type="pct"/>
            <w:tcBorders>
              <w:tl2br w:val="nil"/>
              <w:tr2bl w:val="nil"/>
            </w:tcBorders>
            <w:shd w:val="clear" w:color="auto" w:fill="auto"/>
            <w:vAlign w:val="center"/>
          </w:tcPr>
          <w:p w14:paraId="20A4F345">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0.150</w:t>
            </w:r>
          </w:p>
        </w:tc>
        <w:tc>
          <w:tcPr>
            <w:tcW w:w="976" w:type="pct"/>
            <w:tcBorders>
              <w:tl2br w:val="nil"/>
              <w:tr2bl w:val="nil"/>
            </w:tcBorders>
            <w:shd w:val="clear" w:color="auto" w:fill="auto"/>
            <w:vAlign w:val="center"/>
          </w:tcPr>
          <w:p w14:paraId="4260B2AC">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0.118</w:t>
            </w:r>
          </w:p>
        </w:tc>
      </w:tr>
      <w:tr w14:paraId="59766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2B9DE4E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7</w:t>
            </w:r>
          </w:p>
        </w:tc>
        <w:tc>
          <w:tcPr>
            <w:tcW w:w="1006" w:type="pct"/>
            <w:tcBorders>
              <w:tl2br w:val="nil"/>
              <w:tr2bl w:val="nil"/>
            </w:tcBorders>
            <w:vAlign w:val="center"/>
          </w:tcPr>
          <w:p w14:paraId="7BF6B326">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镍</w:t>
            </w:r>
          </w:p>
        </w:tc>
        <w:tc>
          <w:tcPr>
            <w:tcW w:w="576" w:type="pct"/>
            <w:tcBorders>
              <w:tl2br w:val="nil"/>
              <w:tr2bl w:val="nil"/>
            </w:tcBorders>
            <w:vAlign w:val="center"/>
          </w:tcPr>
          <w:p w14:paraId="217F8B28">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207358DD">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20</w:t>
            </w:r>
          </w:p>
        </w:tc>
        <w:tc>
          <w:tcPr>
            <w:tcW w:w="959" w:type="pct"/>
            <w:tcBorders>
              <w:tl2br w:val="nil"/>
              <w:tr2bl w:val="nil"/>
            </w:tcBorders>
            <w:shd w:val="clear" w:color="auto" w:fill="auto"/>
            <w:vAlign w:val="center"/>
          </w:tcPr>
          <w:p w14:paraId="30EED3AF">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18</w:t>
            </w:r>
          </w:p>
        </w:tc>
        <w:tc>
          <w:tcPr>
            <w:tcW w:w="976" w:type="pct"/>
            <w:tcBorders>
              <w:tl2br w:val="nil"/>
              <w:tr2bl w:val="nil"/>
            </w:tcBorders>
            <w:shd w:val="clear" w:color="auto" w:fill="auto"/>
            <w:vAlign w:val="center"/>
          </w:tcPr>
          <w:p w14:paraId="0DCF399C">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20</w:t>
            </w:r>
          </w:p>
        </w:tc>
      </w:tr>
      <w:tr w14:paraId="1F628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46FE0F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8</w:t>
            </w:r>
          </w:p>
        </w:tc>
        <w:tc>
          <w:tcPr>
            <w:tcW w:w="1006" w:type="pct"/>
            <w:tcBorders>
              <w:tl2br w:val="nil"/>
              <w:tr2bl w:val="nil"/>
            </w:tcBorders>
            <w:vAlign w:val="center"/>
          </w:tcPr>
          <w:p w14:paraId="2E7B0F40">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铬</w:t>
            </w:r>
          </w:p>
        </w:tc>
        <w:tc>
          <w:tcPr>
            <w:tcW w:w="576" w:type="pct"/>
            <w:tcBorders>
              <w:tl2br w:val="nil"/>
              <w:tr2bl w:val="nil"/>
            </w:tcBorders>
            <w:vAlign w:val="center"/>
          </w:tcPr>
          <w:p w14:paraId="1D46F3CD">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042113AE">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30</w:t>
            </w:r>
          </w:p>
        </w:tc>
        <w:tc>
          <w:tcPr>
            <w:tcW w:w="959" w:type="pct"/>
            <w:tcBorders>
              <w:tl2br w:val="nil"/>
              <w:tr2bl w:val="nil"/>
            </w:tcBorders>
            <w:shd w:val="clear" w:color="auto" w:fill="auto"/>
            <w:vAlign w:val="center"/>
          </w:tcPr>
          <w:p w14:paraId="2AF351FB">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26</w:t>
            </w:r>
          </w:p>
        </w:tc>
        <w:tc>
          <w:tcPr>
            <w:tcW w:w="976" w:type="pct"/>
            <w:tcBorders>
              <w:tl2br w:val="nil"/>
              <w:tr2bl w:val="nil"/>
            </w:tcBorders>
            <w:shd w:val="clear" w:color="auto" w:fill="auto"/>
            <w:vAlign w:val="center"/>
          </w:tcPr>
          <w:p w14:paraId="1CE41AB7">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32</w:t>
            </w:r>
          </w:p>
        </w:tc>
      </w:tr>
      <w:tr w14:paraId="053FF4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3B2B2D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9</w:t>
            </w:r>
          </w:p>
        </w:tc>
        <w:tc>
          <w:tcPr>
            <w:tcW w:w="1006" w:type="pct"/>
            <w:tcBorders>
              <w:tl2br w:val="nil"/>
              <w:tr2bl w:val="nil"/>
            </w:tcBorders>
            <w:vAlign w:val="center"/>
          </w:tcPr>
          <w:p w14:paraId="60D21AC9">
            <w:pPr>
              <w:keepNext w:val="0"/>
              <w:keepLines w:val="0"/>
              <w:widowControl/>
              <w:suppressLineNumbers w:val="0"/>
              <w:adjustRightInd w:val="0"/>
              <w:snapToGrid w:val="0"/>
              <w:jc w:val="center"/>
              <w:rPr>
                <w:rFonts w:hint="eastAsia" w:ascii="宋体" w:hAnsi="宋体" w:eastAsia="宋体" w:cs="宋体"/>
                <w:sz w:val="21"/>
                <w:szCs w:val="21"/>
                <w:highlight w:val="none"/>
                <w:lang w:val="en-US" w:eastAsia="zh-CN"/>
              </w:rPr>
            </w:pPr>
            <w:r>
              <w:rPr>
                <w:rFonts w:hint="eastAsia" w:ascii="宋体" w:hAnsi="宋体" w:eastAsia="宋体" w:cs="宋体"/>
                <w:color w:val="000000"/>
                <w:kern w:val="0"/>
                <w:sz w:val="21"/>
                <w:szCs w:val="21"/>
                <w:highlight w:val="none"/>
                <w:lang w:val="en-US" w:eastAsia="zh-CN" w:bidi="ar"/>
              </w:rPr>
              <w:t>锌</w:t>
            </w:r>
          </w:p>
        </w:tc>
        <w:tc>
          <w:tcPr>
            <w:tcW w:w="576" w:type="pct"/>
            <w:tcBorders>
              <w:tl2br w:val="nil"/>
              <w:tr2bl w:val="nil"/>
            </w:tcBorders>
            <w:vAlign w:val="center"/>
          </w:tcPr>
          <w:p w14:paraId="169C3C6E">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61E8351E">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88</w:t>
            </w:r>
          </w:p>
        </w:tc>
        <w:tc>
          <w:tcPr>
            <w:tcW w:w="959" w:type="pct"/>
            <w:tcBorders>
              <w:tl2br w:val="nil"/>
              <w:tr2bl w:val="nil"/>
            </w:tcBorders>
            <w:shd w:val="clear" w:color="auto" w:fill="auto"/>
            <w:vAlign w:val="center"/>
          </w:tcPr>
          <w:p w14:paraId="335172B4">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79</w:t>
            </w:r>
          </w:p>
        </w:tc>
        <w:tc>
          <w:tcPr>
            <w:tcW w:w="976" w:type="pct"/>
            <w:tcBorders>
              <w:tl2br w:val="nil"/>
              <w:tr2bl w:val="nil"/>
            </w:tcBorders>
            <w:shd w:val="clear" w:color="auto" w:fill="auto"/>
            <w:vAlign w:val="center"/>
          </w:tcPr>
          <w:p w14:paraId="0CFCAB97">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83</w:t>
            </w:r>
          </w:p>
        </w:tc>
      </w:tr>
      <w:tr w14:paraId="2F689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0B7F0619">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10</w:t>
            </w:r>
          </w:p>
        </w:tc>
        <w:tc>
          <w:tcPr>
            <w:tcW w:w="1006" w:type="pct"/>
            <w:tcBorders>
              <w:tl2br w:val="nil"/>
              <w:tr2bl w:val="nil"/>
            </w:tcBorders>
            <w:vAlign w:val="center"/>
          </w:tcPr>
          <w:p w14:paraId="78FCE7D2">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苯并[a]芘</w:t>
            </w:r>
          </w:p>
        </w:tc>
        <w:tc>
          <w:tcPr>
            <w:tcW w:w="576" w:type="pct"/>
            <w:tcBorders>
              <w:tl2br w:val="nil"/>
              <w:tr2bl w:val="nil"/>
            </w:tcBorders>
            <w:vAlign w:val="center"/>
          </w:tcPr>
          <w:p w14:paraId="49E6458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4618FD9D">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shd w:val="clear" w:color="auto" w:fill="auto"/>
            <w:vAlign w:val="center"/>
          </w:tcPr>
          <w:p w14:paraId="05E775B5">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shd w:val="clear" w:color="auto" w:fill="auto"/>
            <w:vAlign w:val="center"/>
          </w:tcPr>
          <w:p w14:paraId="395B20D2">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r>
      <w:tr w14:paraId="78AE0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7FB366E5">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11</w:t>
            </w:r>
          </w:p>
        </w:tc>
        <w:tc>
          <w:tcPr>
            <w:tcW w:w="1006" w:type="pct"/>
            <w:tcBorders>
              <w:tl2br w:val="nil"/>
              <w:tr2bl w:val="nil"/>
            </w:tcBorders>
            <w:vAlign w:val="center"/>
          </w:tcPr>
          <w:p w14:paraId="06C4F13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α-六六六</w:t>
            </w:r>
          </w:p>
        </w:tc>
        <w:tc>
          <w:tcPr>
            <w:tcW w:w="576" w:type="pct"/>
            <w:tcBorders>
              <w:tl2br w:val="nil"/>
              <w:tr2bl w:val="nil"/>
            </w:tcBorders>
            <w:vAlign w:val="center"/>
          </w:tcPr>
          <w:p w14:paraId="464C647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μg/kg</w:t>
            </w:r>
          </w:p>
        </w:tc>
        <w:tc>
          <w:tcPr>
            <w:tcW w:w="959" w:type="pct"/>
            <w:tcBorders>
              <w:tl2br w:val="nil"/>
              <w:tr2bl w:val="nil"/>
            </w:tcBorders>
            <w:vAlign w:val="center"/>
          </w:tcPr>
          <w:p w14:paraId="0E2E977E">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0436163F">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451407C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005627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6442AB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12</w:t>
            </w:r>
          </w:p>
        </w:tc>
        <w:tc>
          <w:tcPr>
            <w:tcW w:w="1006" w:type="pct"/>
            <w:tcBorders>
              <w:tl2br w:val="nil"/>
              <w:tr2bl w:val="nil"/>
            </w:tcBorders>
            <w:vAlign w:val="center"/>
          </w:tcPr>
          <w:p w14:paraId="448849AF">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β-六六六</w:t>
            </w:r>
          </w:p>
        </w:tc>
        <w:tc>
          <w:tcPr>
            <w:tcW w:w="576" w:type="pct"/>
            <w:tcBorders>
              <w:tl2br w:val="nil"/>
              <w:tr2bl w:val="nil"/>
            </w:tcBorders>
            <w:vAlign w:val="center"/>
          </w:tcPr>
          <w:p w14:paraId="3FF3FB89">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5F101259">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3953474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0AE96E54">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7034E2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79E8AA03">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13</w:t>
            </w:r>
          </w:p>
        </w:tc>
        <w:tc>
          <w:tcPr>
            <w:tcW w:w="1006" w:type="pct"/>
            <w:tcBorders>
              <w:tl2br w:val="nil"/>
              <w:tr2bl w:val="nil"/>
            </w:tcBorders>
            <w:vAlign w:val="center"/>
          </w:tcPr>
          <w:p w14:paraId="6A919A2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γ-六六六</w:t>
            </w:r>
            <w:r>
              <w:rPr>
                <w:rFonts w:hint="eastAsia" w:ascii="Times New Roman" w:hAnsi="Times New Roman" w:eastAsia="宋体" w:cs="Times New Roman"/>
                <w:kern w:val="2"/>
                <w:sz w:val="21"/>
                <w:szCs w:val="21"/>
                <w:highlight w:val="none"/>
                <w:lang w:val="en-US" w:eastAsia="zh-CN" w:bidi="ar-SA"/>
              </w:rPr>
              <w:t>；</w:t>
            </w:r>
            <w:r>
              <w:rPr>
                <w:rFonts w:hint="default" w:ascii="Times New Roman" w:hAnsi="Times New Roman" w:eastAsia="宋体" w:cs="Times New Roman"/>
                <w:kern w:val="2"/>
                <w:sz w:val="21"/>
                <w:szCs w:val="21"/>
                <w:highlight w:val="none"/>
                <w:lang w:val="en-US" w:eastAsia="zh-CN" w:bidi="ar-SA"/>
              </w:rPr>
              <w:t>林丹</w:t>
            </w:r>
          </w:p>
        </w:tc>
        <w:tc>
          <w:tcPr>
            <w:tcW w:w="576" w:type="pct"/>
            <w:tcBorders>
              <w:tl2br w:val="nil"/>
              <w:tr2bl w:val="nil"/>
            </w:tcBorders>
            <w:vAlign w:val="center"/>
          </w:tcPr>
          <w:p w14:paraId="362DEB68">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6B692F4C">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1F708431">
            <w:pPr>
              <w:adjustRightInd w:val="0"/>
              <w:snapToGrid w:val="0"/>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48A03817">
            <w:pPr>
              <w:adjustRightInd w:val="0"/>
              <w:snapToGrid w:val="0"/>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r>
      <w:tr w14:paraId="0F8595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23" w:type="pct"/>
            <w:tcBorders>
              <w:tl2br w:val="nil"/>
              <w:tr2bl w:val="nil"/>
            </w:tcBorders>
            <w:shd w:val="clear" w:color="auto" w:fill="auto"/>
            <w:vAlign w:val="center"/>
          </w:tcPr>
          <w:p w14:paraId="772653D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14</w:t>
            </w:r>
          </w:p>
        </w:tc>
        <w:tc>
          <w:tcPr>
            <w:tcW w:w="1006" w:type="pct"/>
            <w:tcBorders>
              <w:tl2br w:val="nil"/>
              <w:tr2bl w:val="nil"/>
            </w:tcBorders>
            <w:vAlign w:val="center"/>
          </w:tcPr>
          <w:p w14:paraId="2AFFF4F5">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δ-六六六</w:t>
            </w:r>
          </w:p>
        </w:tc>
        <w:tc>
          <w:tcPr>
            <w:tcW w:w="576" w:type="pct"/>
            <w:tcBorders>
              <w:tl2br w:val="nil"/>
              <w:tr2bl w:val="nil"/>
            </w:tcBorders>
            <w:vAlign w:val="center"/>
          </w:tcPr>
          <w:p w14:paraId="04229E1B">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4C33C7C8">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24B777D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260E73D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412CD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6546180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15</w:t>
            </w:r>
          </w:p>
        </w:tc>
        <w:tc>
          <w:tcPr>
            <w:tcW w:w="1006" w:type="pct"/>
            <w:tcBorders>
              <w:tl2br w:val="nil"/>
              <w:tr2bl w:val="nil"/>
            </w:tcBorders>
            <w:vAlign w:val="center"/>
          </w:tcPr>
          <w:p w14:paraId="0BF3A2AF">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p,p'-滴滴滴</w:t>
            </w:r>
          </w:p>
        </w:tc>
        <w:tc>
          <w:tcPr>
            <w:tcW w:w="576" w:type="pct"/>
            <w:tcBorders>
              <w:tl2br w:val="nil"/>
              <w:tr2bl w:val="nil"/>
            </w:tcBorders>
            <w:vAlign w:val="center"/>
          </w:tcPr>
          <w:p w14:paraId="11A49404">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3C4D836">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0D5C81CD">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5F95783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20DF7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A4F30D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16</w:t>
            </w:r>
          </w:p>
        </w:tc>
        <w:tc>
          <w:tcPr>
            <w:tcW w:w="1006" w:type="pct"/>
            <w:tcBorders>
              <w:tl2br w:val="nil"/>
              <w:tr2bl w:val="nil"/>
            </w:tcBorders>
            <w:vAlign w:val="center"/>
          </w:tcPr>
          <w:p w14:paraId="6D94568F">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p,p'-滴滴伊</w:t>
            </w:r>
          </w:p>
        </w:tc>
        <w:tc>
          <w:tcPr>
            <w:tcW w:w="576" w:type="pct"/>
            <w:tcBorders>
              <w:tl2br w:val="nil"/>
              <w:tr2bl w:val="nil"/>
            </w:tcBorders>
            <w:vAlign w:val="center"/>
          </w:tcPr>
          <w:p w14:paraId="780232BA">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364ED591">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7EBEA13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3F16F2B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38347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0FBF18C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17</w:t>
            </w:r>
          </w:p>
        </w:tc>
        <w:tc>
          <w:tcPr>
            <w:tcW w:w="1006" w:type="pct"/>
            <w:tcBorders>
              <w:tl2br w:val="nil"/>
              <w:tr2bl w:val="nil"/>
            </w:tcBorders>
            <w:vAlign w:val="center"/>
          </w:tcPr>
          <w:p w14:paraId="7CE328AC">
            <w:pPr>
              <w:keepNext w:val="0"/>
              <w:keepLines w:val="0"/>
              <w:widowControl/>
              <w:suppressLineNumbers w:val="0"/>
              <w:adjustRightInd w:val="0"/>
              <w:snapToGrid w:val="0"/>
              <w:jc w:val="center"/>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p,p'-滴滴涕</w:t>
            </w:r>
          </w:p>
        </w:tc>
        <w:tc>
          <w:tcPr>
            <w:tcW w:w="576" w:type="pct"/>
            <w:tcBorders>
              <w:tl2br w:val="nil"/>
              <w:tr2bl w:val="nil"/>
            </w:tcBorders>
            <w:vAlign w:val="center"/>
          </w:tcPr>
          <w:p w14:paraId="5B4235B7">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75ED695">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3A89F7F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6EB6B7B1">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128A0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1376AF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18</w:t>
            </w:r>
          </w:p>
        </w:tc>
        <w:tc>
          <w:tcPr>
            <w:tcW w:w="1006" w:type="pct"/>
            <w:tcBorders>
              <w:tl2br w:val="nil"/>
              <w:tr2bl w:val="nil"/>
            </w:tcBorders>
            <w:vAlign w:val="center"/>
          </w:tcPr>
          <w:p w14:paraId="6AABB5FE">
            <w:pPr>
              <w:keepNext w:val="0"/>
              <w:keepLines w:val="0"/>
              <w:widowControl/>
              <w:suppressLineNumbers w:val="0"/>
              <w:adjustRightInd w:val="0"/>
              <w:snapToGrid w:val="0"/>
              <w:jc w:val="center"/>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o,p'-滴滴涕</w:t>
            </w:r>
          </w:p>
        </w:tc>
        <w:tc>
          <w:tcPr>
            <w:tcW w:w="576" w:type="pct"/>
            <w:tcBorders>
              <w:tl2br w:val="nil"/>
              <w:tr2bl w:val="nil"/>
            </w:tcBorders>
            <w:vAlign w:val="center"/>
          </w:tcPr>
          <w:p w14:paraId="1B387D7B">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637DAC89">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79B49434">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4CC9AC2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76FF6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5791413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19</w:t>
            </w:r>
          </w:p>
        </w:tc>
        <w:tc>
          <w:tcPr>
            <w:tcW w:w="1006" w:type="pct"/>
            <w:tcBorders>
              <w:tl2br w:val="nil"/>
              <w:tr2bl w:val="nil"/>
            </w:tcBorders>
            <w:vAlign w:val="center"/>
          </w:tcPr>
          <w:p w14:paraId="5615AA19">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o,p'-滴滴伊</w:t>
            </w:r>
          </w:p>
        </w:tc>
        <w:tc>
          <w:tcPr>
            <w:tcW w:w="576" w:type="pct"/>
            <w:tcBorders>
              <w:tl2br w:val="nil"/>
              <w:tr2bl w:val="nil"/>
            </w:tcBorders>
            <w:vAlign w:val="center"/>
          </w:tcPr>
          <w:p w14:paraId="1AF0593F">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417D5F7C">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67D45F5F">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156AC76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r>
      <w:tr w14:paraId="40099F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4845C4FA">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20</w:t>
            </w:r>
          </w:p>
        </w:tc>
        <w:tc>
          <w:tcPr>
            <w:tcW w:w="1006" w:type="pct"/>
            <w:tcBorders>
              <w:tl2br w:val="nil"/>
              <w:tr2bl w:val="nil"/>
            </w:tcBorders>
            <w:vAlign w:val="center"/>
          </w:tcPr>
          <w:p w14:paraId="7A24878B">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o,p'-滴滴滴</w:t>
            </w:r>
          </w:p>
        </w:tc>
        <w:tc>
          <w:tcPr>
            <w:tcW w:w="576" w:type="pct"/>
            <w:tcBorders>
              <w:tl2br w:val="nil"/>
              <w:tr2bl w:val="nil"/>
            </w:tcBorders>
            <w:vAlign w:val="center"/>
          </w:tcPr>
          <w:p w14:paraId="1E5DD236">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009CC08E">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6CF074D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6634CF35">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bl>
    <w:p w14:paraId="05A6CA26">
      <w:pPr>
        <w:pStyle w:val="2"/>
        <w:keepNext w:val="0"/>
        <w:keepLines w:val="0"/>
        <w:pageBreakBefore w:val="0"/>
        <w:widowControl w:val="0"/>
        <w:numPr>
          <w:ilvl w:val="0"/>
          <w:numId w:val="0"/>
        </w:numPr>
        <w:kinsoku/>
        <w:wordWrap/>
        <w:overflowPunct/>
        <w:topLinePunct w:val="0"/>
        <w:autoSpaceDE w:val="0"/>
        <w:autoSpaceDN w:val="0"/>
        <w:bidi w:val="0"/>
        <w:adjustRightInd w:val="0"/>
        <w:snapToGrid/>
        <w:ind w:firstLine="480" w:firstLineChars="200"/>
        <w:textAlignment w:val="auto"/>
        <w:rPr>
          <w:rFonts w:hint="eastAsia" w:ascii="Times New Roman"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cs="Times New Roman"/>
          <w:color w:val="auto"/>
          <w:kern w:val="0"/>
          <w:sz w:val="24"/>
          <w:szCs w:val="24"/>
          <w:highlight w:val="none"/>
          <w:lang w:val="en-US" w:eastAsia="zh-CN" w:bidi="ar-SA"/>
        </w:rPr>
        <w:t>7</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cs="Times New Roman"/>
          <w:color w:val="auto"/>
          <w:kern w:val="0"/>
          <w:sz w:val="24"/>
          <w:szCs w:val="24"/>
          <w:highlight w:val="none"/>
          <w:lang w:val="en-US" w:eastAsia="zh-CN" w:bidi="ar-SA"/>
        </w:rPr>
        <w:t>评价结果</w:t>
      </w:r>
    </w:p>
    <w:p w14:paraId="7023E3D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color w:val="auto"/>
          <w:highlight w:val="none"/>
          <w:lang w:val="en-US" w:eastAsia="zh-CN"/>
        </w:rPr>
        <w:t>由上表可知：厂区内土壤中各因子含量低于</w:t>
      </w:r>
      <w:r>
        <w:rPr>
          <w:rFonts w:hint="eastAsia" w:ascii="Times New Roman" w:hAnsi="Times New Roman" w:cs="Times New Roman"/>
          <w:sz w:val="24"/>
          <w:szCs w:val="32"/>
          <w:highlight w:val="none"/>
          <w:lang w:eastAsia="zh-CN"/>
        </w:rPr>
        <w:t>《土壤环境质量 农用地土壤污染风险管控标准》（试行）（GB15618-2018）</w:t>
      </w:r>
      <w:r>
        <w:rPr>
          <w:rFonts w:hint="default" w:ascii="Times New Roman" w:hAnsi="Times New Roman" w:eastAsia="宋体" w:cs="Times New Roman"/>
          <w:color w:val="auto"/>
          <w:highlight w:val="none"/>
          <w:lang w:val="en-US" w:eastAsia="zh-CN"/>
        </w:rPr>
        <w:t>中筛选值标准。</w:t>
      </w:r>
    </w:p>
    <w:p w14:paraId="2C01CC31">
      <w:pPr>
        <w:pStyle w:val="7"/>
        <w:bidi w:val="0"/>
        <w:rPr>
          <w:rFonts w:hint="eastAsia"/>
          <w:highlight w:val="none"/>
          <w:lang w:eastAsia="zh-CN"/>
        </w:rPr>
      </w:pPr>
      <w:bookmarkStart w:id="642" w:name="_Toc16578"/>
      <w:bookmarkStart w:id="643" w:name="_Toc337"/>
      <w:bookmarkStart w:id="644" w:name="_Toc1222"/>
      <w:bookmarkStart w:id="645" w:name="_Toc15648"/>
      <w:bookmarkStart w:id="646" w:name="_Toc5807"/>
      <w:r>
        <w:rPr>
          <w:rFonts w:hint="default"/>
          <w:highlight w:val="none"/>
        </w:rPr>
        <w:t>4.2.</w:t>
      </w:r>
      <w:r>
        <w:rPr>
          <w:rFonts w:hint="default"/>
          <w:highlight w:val="none"/>
          <w:lang w:val="en-US" w:eastAsia="zh-CN"/>
        </w:rPr>
        <w:t>6</w:t>
      </w:r>
      <w:r>
        <w:rPr>
          <w:rFonts w:hint="default"/>
          <w:highlight w:val="none"/>
        </w:rPr>
        <w:t>生态环境现状调查</w:t>
      </w:r>
      <w:bookmarkEnd w:id="642"/>
      <w:bookmarkEnd w:id="643"/>
      <w:bookmarkEnd w:id="644"/>
      <w:bookmarkEnd w:id="645"/>
      <w:bookmarkEnd w:id="646"/>
    </w:p>
    <w:p w14:paraId="4D088434">
      <w:pPr>
        <w:pStyle w:val="8"/>
        <w:rPr>
          <w:rFonts w:hint="default" w:ascii="Times New Roman" w:hAnsi="Times New Roman" w:eastAsia="宋体" w:cs="Times New Roman"/>
          <w:snapToGrid w:val="0"/>
          <w:color w:val="auto"/>
          <w:highlight w:val="none"/>
          <w:lang w:val="en-US" w:eastAsia="zh-CN"/>
        </w:rPr>
      </w:pPr>
      <w:bookmarkStart w:id="647" w:name="_Toc8276"/>
      <w:bookmarkStart w:id="648" w:name="_Toc5798"/>
      <w:r>
        <w:rPr>
          <w:rFonts w:hint="default" w:ascii="Times New Roman" w:hAnsi="Times New Roman" w:eastAsia="宋体" w:cs="Times New Roman"/>
          <w:snapToGrid w:val="0"/>
          <w:color w:val="auto"/>
          <w:highlight w:val="none"/>
        </w:rPr>
        <w:t>4.2.</w:t>
      </w:r>
      <w:r>
        <w:rPr>
          <w:rFonts w:hint="default" w:ascii="Times New Roman" w:hAnsi="Times New Roman" w:eastAsia="宋体"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.1</w:t>
      </w:r>
      <w:r>
        <w:rPr>
          <w:rFonts w:hint="default" w:ascii="Times New Roman" w:hAnsi="Times New Roman" w:eastAsia="宋体" w:cs="Times New Roman"/>
          <w:snapToGrid w:val="0"/>
          <w:color w:val="auto"/>
          <w:highlight w:val="none"/>
          <w:lang w:val="en-US" w:eastAsia="zh-CN"/>
        </w:rPr>
        <w:t>土地利用现状</w:t>
      </w:r>
      <w:bookmarkEnd w:id="647"/>
      <w:bookmarkEnd w:id="648"/>
    </w:p>
    <w:p w14:paraId="260AAC3B">
      <w:pPr>
        <w:spacing w:line="360" w:lineRule="auto"/>
        <w:ind w:firstLine="420"/>
        <w:jc w:val="both"/>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本项目的选址位于</w:t>
      </w:r>
      <w:r>
        <w:rPr>
          <w:rFonts w:hint="eastAsia" w:ascii="Times New Roman" w:hAnsi="Times New Roman" w:cs="Times New Roman"/>
          <w:snapToGrid w:val="0"/>
          <w:color w:val="auto"/>
          <w:highlight w:val="none"/>
          <w:lang w:eastAsia="zh-CN"/>
        </w:rPr>
        <w:t>黑龙江省鸡西市密山市柳毛乡团结村4组</w:t>
      </w:r>
      <w:r>
        <w:rPr>
          <w:rFonts w:hint="default" w:ascii="Times New Roman" w:hAnsi="Times New Roman" w:eastAsia="宋体" w:cs="Times New Roman"/>
          <w:snapToGrid w:val="0"/>
          <w:color w:val="auto"/>
          <w:highlight w:val="none"/>
        </w:rPr>
        <w:t>，根据</w:t>
      </w:r>
      <w:r>
        <w:rPr>
          <w:rFonts w:hint="eastAsia" w:ascii="Times New Roman" w:hAnsi="Times New Roman" w:cs="Times New Roman"/>
          <w:snapToGrid w:val="0"/>
          <w:color w:val="auto"/>
          <w:highlight w:val="none"/>
          <w:lang w:val="en-US" w:eastAsia="zh-CN"/>
        </w:rPr>
        <w:t>密山市</w:t>
      </w:r>
      <w:r>
        <w:rPr>
          <w:rFonts w:hint="default" w:ascii="Times New Roman" w:hAnsi="Times New Roman" w:eastAsia="宋体" w:cs="Times New Roman"/>
          <w:snapToGrid w:val="0"/>
          <w:color w:val="auto"/>
          <w:highlight w:val="none"/>
          <w:lang w:val="en-US" w:eastAsia="zh-CN"/>
        </w:rPr>
        <w:t>人民政府办公室关于印发</w:t>
      </w:r>
      <w:r>
        <w:rPr>
          <w:rFonts w:hint="eastAsia" w:ascii="Times New Roman" w:hAnsi="Times New Roman" w:cs="Times New Roman"/>
          <w:snapToGrid w:val="0"/>
          <w:color w:val="auto"/>
          <w:highlight w:val="none"/>
          <w:lang w:val="en-US" w:eastAsia="zh-CN"/>
        </w:rPr>
        <w:t>密山市</w:t>
      </w:r>
      <w:r>
        <w:rPr>
          <w:rFonts w:hint="default" w:ascii="Times New Roman" w:hAnsi="Times New Roman" w:eastAsia="宋体" w:cs="Times New Roman"/>
          <w:snapToGrid w:val="0"/>
          <w:color w:val="auto"/>
          <w:highlight w:val="none"/>
          <w:lang w:val="en-US" w:eastAsia="zh-CN"/>
        </w:rPr>
        <w:t>畜禽禁养区划定方案的通知</w:t>
      </w:r>
      <w:r>
        <w:rPr>
          <w:rFonts w:hint="default" w:ascii="Times New Roman" w:hAnsi="Times New Roman" w:eastAsia="宋体" w:cs="Times New Roman"/>
          <w:snapToGrid w:val="0"/>
          <w:color w:val="auto"/>
          <w:highlight w:val="none"/>
        </w:rPr>
        <w:t>可知，本项目不在</w:t>
      </w:r>
      <w:r>
        <w:rPr>
          <w:rFonts w:hint="eastAsia" w:ascii="Times New Roman" w:hAnsi="Times New Roman" w:cs="Times New Roman"/>
          <w:snapToGrid w:val="0"/>
          <w:color w:val="auto"/>
          <w:highlight w:val="none"/>
          <w:lang w:val="en-US" w:eastAsia="zh-CN"/>
        </w:rPr>
        <w:t>密山市</w:t>
      </w:r>
      <w:r>
        <w:rPr>
          <w:rFonts w:hint="default" w:ascii="Times New Roman" w:hAnsi="Times New Roman" w:eastAsia="宋体" w:cs="Times New Roman"/>
          <w:snapToGrid w:val="0"/>
          <w:color w:val="auto"/>
          <w:highlight w:val="none"/>
        </w:rPr>
        <w:t>禁养区内。根据项目场址周边自然环境的踏查，占地类型为</w:t>
      </w:r>
      <w:r>
        <w:rPr>
          <w:rFonts w:hint="eastAsia" w:ascii="Times New Roman" w:hAnsi="Times New Roman" w:cs="Times New Roman"/>
          <w:snapToGrid w:val="0"/>
          <w:color w:val="auto"/>
          <w:highlight w:val="none"/>
          <w:lang w:eastAsia="zh-CN"/>
        </w:rPr>
        <w:t>设施农用地</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占地面积为27000m</w:t>
      </w:r>
      <w:r>
        <w:rPr>
          <w:rFonts w:hint="eastAsia" w:ascii="Times New Roman" w:hAnsi="Times New Roman" w:cs="Times New Roman"/>
          <w:snapToGrid w:val="0"/>
          <w:color w:val="auto"/>
          <w:highlight w:val="none"/>
          <w:vertAlign w:val="superscript"/>
          <w:lang w:val="en-US" w:eastAsia="zh-CN"/>
        </w:rPr>
        <w:t>2</w:t>
      </w:r>
      <w:r>
        <w:rPr>
          <w:rFonts w:hint="eastAsia" w:ascii="Times New Roman" w:hAnsi="Times New Roman" w:cs="Times New Roman"/>
          <w:snapToGrid w:val="0"/>
          <w:color w:val="auto"/>
          <w:highlight w:val="none"/>
          <w:vertAlign w:val="baseline"/>
          <w:lang w:val="en-US" w:eastAsia="zh-CN"/>
        </w:rPr>
        <w:t>，</w:t>
      </w:r>
      <w:r>
        <w:rPr>
          <w:rFonts w:hint="default" w:ascii="Times New Roman" w:hAnsi="Times New Roman" w:eastAsia="宋体" w:cs="Times New Roman"/>
          <w:color w:val="auto"/>
          <w:highlight w:val="none"/>
        </w:rPr>
        <w:t>项目东、南、西、北侧均为</w:t>
      </w:r>
      <w:r>
        <w:rPr>
          <w:rFonts w:hint="eastAsia" w:ascii="Times New Roman" w:hAnsi="Times New Roman" w:cs="Times New Roman"/>
          <w:color w:val="auto"/>
          <w:highlight w:val="none"/>
          <w:lang w:val="en-US" w:eastAsia="zh-CN"/>
        </w:rPr>
        <w:t>农田</w:t>
      </w:r>
      <w:r>
        <w:rPr>
          <w:rFonts w:hint="default" w:ascii="Times New Roman" w:hAnsi="Times New Roman" w:eastAsia="宋体" w:cs="Times New Roman"/>
          <w:snapToGrid w:val="0"/>
          <w:color w:val="auto"/>
          <w:highlight w:val="none"/>
        </w:rPr>
        <w:t>。项目区域无珍稀保护物种。</w:t>
      </w:r>
      <w:r>
        <w:rPr>
          <w:rFonts w:hint="eastAsia" w:ascii="Times New Roman" w:hAnsi="Times New Roman" w:cs="Times New Roman"/>
          <w:snapToGrid w:val="0"/>
          <w:color w:val="auto"/>
          <w:highlight w:val="none"/>
          <w:lang w:val="en-US" w:eastAsia="zh-CN"/>
        </w:rPr>
        <w:t>土地利用现状图见附图5。</w:t>
      </w:r>
    </w:p>
    <w:p w14:paraId="3998ED2E">
      <w:pPr>
        <w:pStyle w:val="8"/>
        <w:rPr>
          <w:rFonts w:hint="default" w:ascii="Times New Roman" w:hAnsi="Times New Roman" w:eastAsia="宋体" w:cs="Times New Roman"/>
          <w:snapToGrid w:val="0"/>
          <w:color w:val="auto"/>
          <w:highlight w:val="none"/>
        </w:rPr>
      </w:pPr>
      <w:bookmarkStart w:id="649" w:name="_Toc7579"/>
      <w:bookmarkStart w:id="650" w:name="_Toc13334"/>
      <w:r>
        <w:rPr>
          <w:rFonts w:hint="default" w:ascii="Times New Roman" w:hAnsi="Times New Roman" w:eastAsia="宋体" w:cs="Times New Roman"/>
          <w:snapToGrid w:val="0"/>
          <w:color w:val="auto"/>
          <w:highlight w:val="none"/>
        </w:rPr>
        <w:t>4.2.</w:t>
      </w:r>
      <w:r>
        <w:rPr>
          <w:rFonts w:hint="default" w:ascii="Times New Roman" w:hAnsi="Times New Roman" w:eastAsia="宋体"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植被现状调查与评价</w:t>
      </w:r>
      <w:bookmarkEnd w:id="649"/>
      <w:bookmarkEnd w:id="650"/>
    </w:p>
    <w:p w14:paraId="719BA35D">
      <w:pPr>
        <w:pStyle w:val="94"/>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本项目拟建于</w:t>
      </w:r>
      <w:r>
        <w:rPr>
          <w:rFonts w:hint="default" w:ascii="Times New Roman" w:hAnsi="Times New Roman" w:eastAsia="宋体"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。占地类型为</w:t>
      </w:r>
      <w:r>
        <w:rPr>
          <w:rFonts w:hint="eastAsia" w:ascii="Times New Roman" w:hAnsi="Times New Roman" w:cs="Times New Roman"/>
          <w:snapToGrid w:val="0"/>
          <w:color w:val="auto"/>
          <w:highlight w:val="none"/>
          <w:lang w:eastAsia="zh-CN"/>
        </w:rPr>
        <w:t>设施农用地</w:t>
      </w:r>
      <w:r>
        <w:rPr>
          <w:rFonts w:hint="default" w:ascii="Times New Roman" w:hAnsi="Times New Roman" w:eastAsia="宋体" w:cs="Times New Roman"/>
          <w:color w:val="auto"/>
          <w:highlight w:val="none"/>
        </w:rPr>
        <w:t>，评价区域内目前四周主要为</w:t>
      </w:r>
      <w:r>
        <w:rPr>
          <w:rFonts w:hint="default" w:ascii="Times New Roman" w:hAnsi="Times New Roman" w:eastAsia="宋体" w:cs="Times New Roman"/>
          <w:color w:val="auto"/>
          <w:highlight w:val="none"/>
          <w:lang w:val="en-US" w:eastAsia="zh-CN"/>
        </w:rPr>
        <w:t>农田</w:t>
      </w:r>
      <w:r>
        <w:rPr>
          <w:rFonts w:hint="default" w:ascii="Times New Roman" w:hAnsi="Times New Roman" w:eastAsia="宋体" w:cs="Times New Roman"/>
          <w:color w:val="auto"/>
          <w:highlight w:val="none"/>
        </w:rPr>
        <w:t>，占据项目区域的主导地位，项目所在区域地表植被主要有灌木丛及其荒草，无珍稀保护物种。由于气候极其寒冷，植物生长期很短，项目所在区域农田内种植的农作物以玉米、大豆为主。</w:t>
      </w:r>
    </w:p>
    <w:p w14:paraId="076A03E8">
      <w:pPr>
        <w:pStyle w:val="8"/>
        <w:jc w:val="both"/>
        <w:rPr>
          <w:rFonts w:hint="default" w:ascii="Times New Roman" w:hAnsi="Times New Roman" w:eastAsia="宋体" w:cs="Times New Roman"/>
          <w:color w:val="auto"/>
          <w:highlight w:val="none"/>
        </w:rPr>
      </w:pPr>
      <w:bookmarkStart w:id="651" w:name="_Toc22942"/>
      <w:bookmarkStart w:id="652" w:name="_Toc20114"/>
      <w:r>
        <w:rPr>
          <w:rFonts w:hint="default" w:ascii="Times New Roman" w:hAnsi="Times New Roman" w:eastAsia="宋体" w:cs="Times New Roman"/>
          <w:color w:val="auto"/>
          <w:highlight w:val="none"/>
        </w:rPr>
        <w:t>4.2.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野生动物现状调查与评价</w:t>
      </w:r>
      <w:bookmarkEnd w:id="651"/>
      <w:bookmarkEnd w:id="652"/>
    </w:p>
    <w:p w14:paraId="2BAE39B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不存在大型猛禽，动物以飞禽类居多，包括鸟类主要有麻雀、喜鹊等。评价区域内爬行动物数量较少，哺乳动物常见的动物多为小型食肉兽和啮齿类动物，比如普通田鼠、褐家鼠、小家鼠等。另外，评价区域还有种类众多的昆虫。评价范围内无各级野生保护动物、无野生动物栖息地和野生动物自然保护区。</w:t>
      </w:r>
    </w:p>
    <w:p w14:paraId="79603FDD">
      <w:pPr>
        <w:pStyle w:val="8"/>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4生态环境现状评价结论</w:t>
      </w:r>
    </w:p>
    <w:p w14:paraId="19C89750">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本项目拟建厂址</w:t>
      </w:r>
      <w:r>
        <w:rPr>
          <w:rFonts w:hint="default" w:ascii="Times New Roman" w:hAnsi="Times New Roman" w:eastAsia="宋体" w:cs="Times New Roman"/>
          <w:color w:val="auto"/>
          <w:highlight w:val="none"/>
          <w:lang w:val="en-US" w:eastAsia="zh-CN"/>
        </w:rPr>
        <w:t>现状为厂区</w:t>
      </w:r>
      <w:r>
        <w:rPr>
          <w:rFonts w:hint="default" w:ascii="Times New Roman" w:hAnsi="Times New Roman" w:eastAsia="宋体" w:cs="Times New Roman"/>
          <w:color w:val="auto"/>
          <w:highlight w:val="none"/>
        </w:rPr>
        <w:t>，无</w:t>
      </w:r>
      <w:r>
        <w:rPr>
          <w:rFonts w:hint="default" w:ascii="Times New Roman" w:hAnsi="Times New Roman" w:eastAsia="宋体" w:cs="Times New Roman"/>
          <w:color w:val="auto"/>
          <w:highlight w:val="none"/>
          <w:lang w:eastAsia="zh-CN"/>
        </w:rPr>
        <w:t>珍稀</w:t>
      </w:r>
      <w:r>
        <w:rPr>
          <w:rFonts w:hint="default" w:ascii="Times New Roman" w:hAnsi="Times New Roman" w:eastAsia="宋体" w:cs="Times New Roman"/>
          <w:color w:val="auto"/>
          <w:highlight w:val="none"/>
        </w:rPr>
        <w:t>保护物种。评价区范围主要为</w:t>
      </w:r>
      <w:r>
        <w:rPr>
          <w:rFonts w:hint="eastAsia" w:ascii="Times New Roman" w:hAnsi="Times New Roman" w:cs="Times New Roman"/>
          <w:color w:val="auto"/>
          <w:highlight w:val="none"/>
          <w:lang w:val="en-US" w:eastAsia="zh-CN"/>
        </w:rPr>
        <w:t>农田，</w:t>
      </w:r>
      <w:r>
        <w:rPr>
          <w:rFonts w:hint="default" w:ascii="Times New Roman" w:hAnsi="Times New Roman" w:eastAsia="宋体" w:cs="Times New Roman"/>
          <w:color w:val="auto"/>
          <w:highlight w:val="none"/>
        </w:rPr>
        <w:t>评价区域野生动物的种类较少，主要以鸟类及昆虫为主。评价范围内无各级野生保护动物、无野生动物栖息地和野生动物自然保护区。</w:t>
      </w:r>
    </w:p>
    <w:p w14:paraId="736AA6AA">
      <w:pPr>
        <w:pStyle w:val="5"/>
        <w:bidi w:val="0"/>
        <w:rPr>
          <w:rFonts w:hint="default"/>
          <w:highlight w:val="none"/>
        </w:rPr>
      </w:pPr>
      <w:bookmarkStart w:id="653" w:name="_Toc22721"/>
      <w:bookmarkStart w:id="654" w:name="_Toc7876"/>
      <w:bookmarkStart w:id="655" w:name="_Toc6908"/>
      <w:bookmarkStart w:id="656" w:name="_Toc7661"/>
      <w:bookmarkStart w:id="657" w:name="_Toc16419"/>
      <w:bookmarkStart w:id="658" w:name="_Toc1646"/>
      <w:r>
        <w:rPr>
          <w:rFonts w:hint="default"/>
          <w:highlight w:val="none"/>
        </w:rPr>
        <w:t>4.3区域污染源调查</w:t>
      </w:r>
      <w:bookmarkEnd w:id="653"/>
      <w:bookmarkEnd w:id="654"/>
      <w:bookmarkEnd w:id="655"/>
      <w:bookmarkEnd w:id="656"/>
      <w:bookmarkEnd w:id="657"/>
      <w:bookmarkEnd w:id="658"/>
    </w:p>
    <w:p w14:paraId="2EB27300">
      <w:pPr>
        <w:pStyle w:val="7"/>
        <w:bidi w:val="0"/>
        <w:rPr>
          <w:rFonts w:hint="default"/>
          <w:highlight w:val="none"/>
        </w:rPr>
      </w:pPr>
      <w:bookmarkStart w:id="659" w:name="_Toc26366"/>
      <w:bookmarkStart w:id="660" w:name="_Toc30945"/>
      <w:bookmarkStart w:id="661" w:name="_Toc19133"/>
      <w:bookmarkStart w:id="662" w:name="_Toc2041"/>
      <w:bookmarkStart w:id="663" w:name="_Toc20462"/>
      <w:r>
        <w:rPr>
          <w:rFonts w:hint="default"/>
          <w:highlight w:val="none"/>
        </w:rPr>
        <w:t>4.3.1大气污染源</w:t>
      </w:r>
      <w:bookmarkEnd w:id="659"/>
      <w:bookmarkEnd w:id="660"/>
      <w:bookmarkEnd w:id="661"/>
      <w:bookmarkEnd w:id="662"/>
      <w:bookmarkEnd w:id="663"/>
    </w:p>
    <w:p w14:paraId="62B1EAA7">
      <w:pPr>
        <w:pStyle w:val="94"/>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项目周边大气污染源主要为冬季农村自家采暖锅炉，排放污染物主要为二氧化硫、氮氧化物及颗粒物。</w:t>
      </w:r>
      <w:r>
        <w:rPr>
          <w:rFonts w:hint="default" w:ascii="Times New Roman" w:hAnsi="Times New Roman" w:eastAsia="宋体" w:cs="Times New Roman"/>
          <w:color w:val="auto"/>
          <w:highlight w:val="none"/>
          <w:lang w:val="en-US" w:eastAsia="zh-CN"/>
        </w:rPr>
        <w:t>厂址</w:t>
      </w:r>
      <w:r>
        <w:rPr>
          <w:rFonts w:hint="eastAsia" w:ascii="Times New Roman" w:hAnsi="Times New Roman" w:cs="Times New Roman"/>
          <w:color w:val="auto"/>
          <w:highlight w:val="none"/>
          <w:lang w:val="en-US" w:eastAsia="zh-CN"/>
        </w:rPr>
        <w:t>所在地周边为农田</w:t>
      </w:r>
      <w:r>
        <w:rPr>
          <w:rFonts w:hint="default" w:ascii="Times New Roman" w:hAnsi="Times New Roman" w:eastAsia="宋体" w:cs="Times New Roman"/>
          <w:color w:val="auto"/>
          <w:highlight w:val="none"/>
          <w:lang w:val="en-US" w:eastAsia="zh-CN"/>
        </w:rPr>
        <w:t>，无大气污染物产生排放。</w:t>
      </w:r>
    </w:p>
    <w:p w14:paraId="744C8DC1">
      <w:pPr>
        <w:pStyle w:val="7"/>
        <w:bidi w:val="0"/>
        <w:rPr>
          <w:rFonts w:hint="default"/>
          <w:highlight w:val="none"/>
        </w:rPr>
      </w:pPr>
      <w:bookmarkStart w:id="664" w:name="_Toc4151"/>
      <w:bookmarkStart w:id="665" w:name="_Toc26075"/>
      <w:bookmarkStart w:id="666" w:name="_Toc331"/>
      <w:bookmarkStart w:id="667" w:name="_Toc27580"/>
      <w:bookmarkStart w:id="668" w:name="_Toc9130"/>
      <w:r>
        <w:rPr>
          <w:rFonts w:hint="default"/>
          <w:highlight w:val="none"/>
        </w:rPr>
        <w:t>4.3.2地表水污染源</w:t>
      </w:r>
      <w:bookmarkEnd w:id="664"/>
      <w:bookmarkEnd w:id="665"/>
      <w:bookmarkEnd w:id="666"/>
      <w:bookmarkEnd w:id="667"/>
      <w:bookmarkEnd w:id="668"/>
    </w:p>
    <w:p w14:paraId="10ACD0F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本项目地表水污染主要为农村生产生活废水及农药化肥地表径流污染。</w:t>
      </w:r>
    </w:p>
    <w:p w14:paraId="1B7A9A19">
      <w:pPr>
        <w:pStyle w:val="7"/>
        <w:bidi w:val="0"/>
        <w:rPr>
          <w:rFonts w:hint="default"/>
          <w:highlight w:val="none"/>
        </w:rPr>
      </w:pPr>
      <w:bookmarkStart w:id="669" w:name="_Toc10005"/>
      <w:bookmarkStart w:id="670" w:name="_Toc6111"/>
      <w:bookmarkStart w:id="671" w:name="_Toc25798"/>
      <w:bookmarkStart w:id="672" w:name="_Toc10949"/>
      <w:bookmarkStart w:id="673" w:name="_Toc550"/>
      <w:r>
        <w:rPr>
          <w:rFonts w:hint="default"/>
          <w:highlight w:val="none"/>
        </w:rPr>
        <w:t>4.3.3地下水污染源</w:t>
      </w:r>
      <w:bookmarkEnd w:id="669"/>
      <w:bookmarkEnd w:id="670"/>
      <w:bookmarkEnd w:id="671"/>
      <w:bookmarkEnd w:id="672"/>
      <w:bookmarkEnd w:id="673"/>
    </w:p>
    <w:p w14:paraId="73A2381B">
      <w:pPr>
        <w:adjustRightInd w:val="0"/>
        <w:snapToGrid w:val="0"/>
        <w:spacing w:line="360" w:lineRule="auto"/>
        <w:ind w:firstLine="480" w:firstLineChars="200"/>
        <w:rPr>
          <w:rFonts w:hint="eastAsia"/>
          <w:kern w:val="0"/>
          <w:sz w:val="24"/>
          <w:highlight w:val="none"/>
        </w:rPr>
      </w:pPr>
      <w:r>
        <w:rPr>
          <w:rFonts w:hint="eastAsia"/>
          <w:kern w:val="0"/>
          <w:sz w:val="24"/>
          <w:highlight w:val="none"/>
          <w:lang w:val="en-US" w:eastAsia="zh-CN"/>
        </w:rPr>
        <w:t>评价范围内存在</w:t>
      </w:r>
      <w:r>
        <w:rPr>
          <w:rFonts w:hint="default" w:ascii="Times New Roman" w:hAnsi="Times New Roman" w:eastAsia="宋体" w:cs="Times New Roman"/>
          <w:color w:val="auto"/>
          <w:sz w:val="24"/>
          <w:highlight w:val="none"/>
        </w:rPr>
        <w:t>本项目最近的敏感点为项目</w:t>
      </w:r>
      <w:r>
        <w:rPr>
          <w:rFonts w:hint="eastAsia" w:ascii="Times New Roman" w:hAnsi="Times New Roman" w:eastAsia="宋体" w:cs="Times New Roman"/>
          <w:smallCaps w:val="0"/>
          <w:color w:val="auto"/>
          <w:sz w:val="24"/>
          <w:szCs w:val="24"/>
          <w:highlight w:val="none"/>
          <w:lang w:val="en-US" w:eastAsia="zh-CN" w:bidi="ar-SA"/>
        </w:rPr>
        <w:t>东南侧578m处的团结村四组</w:t>
      </w:r>
      <w:r>
        <w:rPr>
          <w:rFonts w:hint="default" w:ascii="Times New Roman" w:hAnsi="Times New Roman" w:eastAsia="宋体" w:cs="Times New Roman"/>
          <w:color w:val="auto"/>
          <w:sz w:val="24"/>
          <w:highlight w:val="none"/>
        </w:rPr>
        <w:t>的分散饮用水井</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smallCaps w:val="0"/>
          <w:color w:val="auto"/>
          <w:sz w:val="24"/>
          <w:szCs w:val="24"/>
          <w:highlight w:val="none"/>
          <w:lang w:val="en-US" w:eastAsia="zh-CN" w:bidi="ar-SA"/>
        </w:rPr>
        <w:t>团结村四组</w:t>
      </w:r>
      <w:r>
        <w:rPr>
          <w:rFonts w:hint="eastAsia"/>
          <w:kern w:val="0"/>
          <w:sz w:val="24"/>
          <w:highlight w:val="none"/>
          <w:lang w:val="en-US" w:eastAsia="zh-CN"/>
        </w:rPr>
        <w:t>现状为</w:t>
      </w:r>
      <w:r>
        <w:rPr>
          <w:rFonts w:hint="eastAsia" w:ascii="Times New Roman" w:hAnsi="Times New Roman" w:eastAsia="宋体" w:cs="Times New Roman"/>
          <w:smallCaps w:val="0"/>
          <w:color w:val="auto"/>
          <w:sz w:val="24"/>
          <w:szCs w:val="24"/>
          <w:highlight w:val="none"/>
          <w:lang w:val="en-US" w:eastAsia="zh-CN" w:bidi="ar-SA"/>
        </w:rPr>
        <w:t>团结村四组</w:t>
      </w:r>
      <w:r>
        <w:rPr>
          <w:rFonts w:hint="eastAsia"/>
          <w:kern w:val="0"/>
          <w:sz w:val="24"/>
          <w:highlight w:val="none"/>
          <w:lang w:val="en-US" w:eastAsia="zh-CN"/>
        </w:rPr>
        <w:t>水井进行供水，供水人数约为200人</w:t>
      </w:r>
      <w:r>
        <w:rPr>
          <w:rFonts w:hint="eastAsia"/>
          <w:kern w:val="0"/>
          <w:sz w:val="24"/>
          <w:highlight w:val="none"/>
        </w:rPr>
        <w:t>。</w:t>
      </w:r>
    </w:p>
    <w:p w14:paraId="6A6D1A0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本项目地下水污染源主要为农药化肥，经降雨和灌溉随水淋溶进入地下水，对地下水造成污染。</w:t>
      </w:r>
    </w:p>
    <w:p w14:paraId="7E015C4C">
      <w:pPr>
        <w:pStyle w:val="7"/>
        <w:bidi w:val="0"/>
        <w:rPr>
          <w:rFonts w:hint="default"/>
          <w:highlight w:val="none"/>
        </w:rPr>
      </w:pPr>
      <w:bookmarkStart w:id="674" w:name="_Toc5583"/>
      <w:bookmarkStart w:id="675" w:name="_Toc12067"/>
      <w:bookmarkStart w:id="676" w:name="_Toc19552"/>
      <w:bookmarkStart w:id="677" w:name="_Toc7539"/>
      <w:bookmarkStart w:id="678" w:name="_Toc16513"/>
      <w:r>
        <w:rPr>
          <w:rFonts w:hint="default"/>
          <w:highlight w:val="none"/>
        </w:rPr>
        <w:t>4.3.4噪声污染源</w:t>
      </w:r>
      <w:bookmarkEnd w:id="674"/>
      <w:bookmarkEnd w:id="675"/>
      <w:bookmarkEnd w:id="676"/>
      <w:bookmarkEnd w:id="677"/>
      <w:bookmarkEnd w:id="678"/>
    </w:p>
    <w:p w14:paraId="00B23944">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拟建项目属《声环境质量标准》（GB3096-2008）规定的</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类</w:t>
      </w:r>
      <w:r>
        <w:rPr>
          <w:rFonts w:hint="default" w:ascii="Times New Roman" w:hAnsi="Times New Roman" w:eastAsia="宋体" w:cs="Times New Roman"/>
          <w:color w:val="auto"/>
          <w:highlight w:val="none"/>
        </w:rPr>
        <w:t>声环境功能区，本项目周边区域噪声主要污染源为农村生活噪声</w:t>
      </w:r>
      <w:r>
        <w:rPr>
          <w:rFonts w:hint="eastAsia" w:ascii="Times New Roman" w:hAnsi="Times New Roman" w:cs="Times New Roman"/>
          <w:color w:val="auto"/>
          <w:highlight w:val="none"/>
          <w:lang w:eastAsia="zh-CN"/>
        </w:rPr>
        <w:t>。</w:t>
      </w:r>
    </w:p>
    <w:p w14:paraId="7787E6F2">
      <w:pPr>
        <w:pStyle w:val="7"/>
        <w:bidi w:val="0"/>
        <w:rPr>
          <w:rFonts w:hint="default"/>
          <w:highlight w:val="none"/>
        </w:rPr>
      </w:pPr>
      <w:r>
        <w:rPr>
          <w:rFonts w:hint="default"/>
          <w:highlight w:val="none"/>
        </w:rPr>
        <w:t>4.3.</w:t>
      </w:r>
      <w:r>
        <w:rPr>
          <w:rFonts w:hint="eastAsia"/>
          <w:highlight w:val="none"/>
          <w:lang w:val="en-US" w:eastAsia="zh-CN"/>
        </w:rPr>
        <w:t>5土壤</w:t>
      </w:r>
      <w:r>
        <w:rPr>
          <w:rFonts w:hint="default"/>
          <w:highlight w:val="none"/>
        </w:rPr>
        <w:t>污染源</w:t>
      </w:r>
    </w:p>
    <w:p w14:paraId="75AE04CF">
      <w:pPr>
        <w:pStyle w:val="94"/>
        <w:ind w:firstLine="480"/>
        <w:rPr>
          <w:rFonts w:hint="default" w:ascii="Times New Roman" w:hAnsi="Times New Roman" w:cs="Times New Roman"/>
          <w:color w:val="auto"/>
          <w:highlight w:val="none"/>
        </w:rPr>
      </w:pPr>
      <w:r>
        <w:rPr>
          <w:rFonts w:ascii="Times New Roman"/>
          <w:highlight w:val="none"/>
        </w:rPr>
        <w:t>本项目所在区域为乡村地区，项目所在区域主要为农田</w:t>
      </w:r>
      <w:r>
        <w:rPr>
          <w:rFonts w:hint="eastAsia" w:ascii="Times New Roman"/>
          <w:highlight w:val="none"/>
          <w:lang w:val="en-US" w:eastAsia="zh-CN"/>
        </w:rPr>
        <w:t>等</w:t>
      </w:r>
      <w:r>
        <w:rPr>
          <w:rFonts w:ascii="Times New Roman"/>
          <w:highlight w:val="none"/>
        </w:rPr>
        <w:t>，评价区域内无大型工业企业，主要污染源为</w:t>
      </w:r>
      <w:r>
        <w:rPr>
          <w:rFonts w:hint="eastAsia"/>
          <w:highlight w:val="none"/>
        </w:rPr>
        <w:t>化肥农药</w:t>
      </w:r>
      <w:r>
        <w:rPr>
          <w:rFonts w:hint="eastAsia"/>
          <w:highlight w:val="none"/>
          <w:lang w:val="en-US" w:eastAsia="zh-CN"/>
        </w:rPr>
        <w:t>使用及</w:t>
      </w:r>
      <w:r>
        <w:rPr>
          <w:rFonts w:hint="default" w:ascii="Times New Roman" w:hAnsi="Times New Roman" w:cs="Times New Roman"/>
          <w:color w:val="auto"/>
          <w:highlight w:val="none"/>
        </w:rPr>
        <w:t>农业面源污染</w:t>
      </w:r>
      <w:r>
        <w:rPr>
          <w:rFonts w:ascii="Times New Roman"/>
          <w:highlight w:val="none"/>
        </w:rPr>
        <w:t>。</w:t>
      </w:r>
    </w:p>
    <w:p w14:paraId="797DFFE2">
      <w:pPr>
        <w:pStyle w:val="94"/>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评价范围内无其它大型工业企业，评价范围内无噪声污染源，无废气污染源，主要废水污染源为农村分散生活源、农业面源污染。在本项目评价范围内没有与本项目排放污染物有关的其他在建项目和已批复环境影响评价文件的拟建项目。</w:t>
      </w:r>
    </w:p>
    <w:p w14:paraId="60F7947B">
      <w:pPr>
        <w:spacing w:line="360" w:lineRule="auto"/>
        <w:jc w:val="both"/>
        <w:rPr>
          <w:rFonts w:hint="default" w:ascii="Times New Roman" w:hAnsi="Times New Roman" w:cs="Times New Roman"/>
          <w:snapToGrid w:val="0"/>
          <w:color w:val="auto"/>
          <w:highlight w:val="none"/>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32" w:charSpace="0"/>
        </w:sectPr>
      </w:pPr>
    </w:p>
    <w:p w14:paraId="12B4CC98">
      <w:pPr>
        <w:pStyle w:val="4"/>
        <w:bidi w:val="0"/>
        <w:rPr>
          <w:rFonts w:hint="default"/>
          <w:highlight w:val="none"/>
        </w:rPr>
      </w:pPr>
      <w:bookmarkStart w:id="679" w:name="_Toc45678581"/>
      <w:bookmarkStart w:id="680" w:name="_Toc16554"/>
      <w:bookmarkStart w:id="681" w:name="_Toc7969"/>
      <w:bookmarkStart w:id="682" w:name="_Toc75075806"/>
      <w:bookmarkStart w:id="683" w:name="_Toc415146701"/>
      <w:bookmarkStart w:id="684" w:name="_Toc480447669"/>
      <w:bookmarkStart w:id="685" w:name="_Toc371751574"/>
      <w:bookmarkStart w:id="686" w:name="_Toc7185"/>
      <w:bookmarkStart w:id="687" w:name="_Toc75075744"/>
      <w:bookmarkStart w:id="688" w:name="_Toc28010"/>
      <w:bookmarkStart w:id="689" w:name="_Toc1876"/>
      <w:r>
        <w:rPr>
          <w:rFonts w:hint="default"/>
          <w:highlight w:val="none"/>
        </w:rPr>
        <w:t>5环境影响预测与评价</w:t>
      </w:r>
      <w:bookmarkEnd w:id="679"/>
      <w:bookmarkEnd w:id="680"/>
      <w:bookmarkEnd w:id="681"/>
      <w:bookmarkEnd w:id="682"/>
      <w:bookmarkEnd w:id="683"/>
      <w:bookmarkEnd w:id="684"/>
      <w:bookmarkEnd w:id="685"/>
      <w:bookmarkEnd w:id="686"/>
      <w:bookmarkEnd w:id="687"/>
      <w:bookmarkEnd w:id="688"/>
      <w:bookmarkEnd w:id="689"/>
    </w:p>
    <w:p w14:paraId="6AB1BD8B">
      <w:pPr>
        <w:pStyle w:val="5"/>
        <w:rPr>
          <w:rFonts w:hint="default" w:ascii="Times New Roman" w:hAnsi="Times New Roman" w:eastAsia="宋体" w:cs="Times New Roman"/>
          <w:snapToGrid w:val="0"/>
          <w:color w:val="auto"/>
          <w:highlight w:val="none"/>
        </w:rPr>
      </w:pPr>
      <w:bookmarkStart w:id="690" w:name="_Toc415146702"/>
      <w:bookmarkStart w:id="691" w:name="_Toc6470"/>
      <w:bookmarkStart w:id="692" w:name="_Toc30813"/>
      <w:bookmarkStart w:id="693" w:name="_Toc480447670"/>
      <w:bookmarkStart w:id="694" w:name="_Toc3849"/>
      <w:bookmarkStart w:id="695" w:name="_Toc13465"/>
      <w:bookmarkStart w:id="696" w:name="_Toc6495"/>
      <w:r>
        <w:rPr>
          <w:rFonts w:hint="default" w:ascii="Times New Roman" w:hAnsi="Times New Roman" w:eastAsia="宋体" w:cs="Times New Roman"/>
          <w:snapToGrid w:val="0"/>
          <w:color w:val="auto"/>
          <w:highlight w:val="none"/>
        </w:rPr>
        <w:t>5.1施工期环境影响</w:t>
      </w:r>
      <w:bookmarkEnd w:id="690"/>
      <w:r>
        <w:rPr>
          <w:rFonts w:hint="default" w:ascii="Times New Roman" w:hAnsi="Times New Roman" w:eastAsia="宋体" w:cs="Times New Roman"/>
          <w:snapToGrid w:val="0"/>
          <w:color w:val="auto"/>
          <w:highlight w:val="none"/>
        </w:rPr>
        <w:t>分析</w:t>
      </w:r>
      <w:bookmarkEnd w:id="691"/>
      <w:bookmarkEnd w:id="692"/>
      <w:bookmarkEnd w:id="693"/>
      <w:bookmarkEnd w:id="694"/>
      <w:bookmarkEnd w:id="695"/>
      <w:bookmarkEnd w:id="696"/>
    </w:p>
    <w:p w14:paraId="4BEDDF48">
      <w:pPr>
        <w:pStyle w:val="7"/>
        <w:rPr>
          <w:rFonts w:hint="default" w:ascii="Times New Roman" w:hAnsi="Times New Roman" w:eastAsia="宋体" w:cs="Times New Roman"/>
          <w:snapToGrid w:val="0"/>
          <w:color w:val="auto"/>
          <w:highlight w:val="none"/>
        </w:rPr>
      </w:pPr>
      <w:bookmarkStart w:id="697" w:name="_Toc32619"/>
      <w:bookmarkStart w:id="698" w:name="_Toc16457"/>
      <w:bookmarkStart w:id="699" w:name="_Toc3022"/>
      <w:bookmarkStart w:id="700" w:name="_Toc1453"/>
      <w:r>
        <w:rPr>
          <w:rFonts w:hint="default" w:ascii="Times New Roman" w:hAnsi="Times New Roman" w:eastAsia="宋体" w:cs="Times New Roman"/>
          <w:snapToGrid w:val="0"/>
          <w:color w:val="auto"/>
          <w:highlight w:val="none"/>
        </w:rPr>
        <w:t>5.1.1环境空气影响分析</w:t>
      </w:r>
      <w:bookmarkEnd w:id="697"/>
      <w:bookmarkEnd w:id="698"/>
      <w:bookmarkEnd w:id="699"/>
      <w:bookmarkEnd w:id="700"/>
    </w:p>
    <w:p w14:paraId="661618A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建设施工过程中，燃油动力机械和运输车辆排放的废气，挖土、运土、填土、夯实和汽车运输过程的扬尘，都会给周围环境空气带来污染。污染大气的主要因子是NO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、CO、SO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和扬尘，尤其扬尘污染最为严重。</w:t>
      </w:r>
    </w:p>
    <w:p w14:paraId="31EFA68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过程扬尘污染的危害不容忽视。在施工现场的作业人员，如长时间吸入大量微细尘埃，不但会引起各种呼吸道疾病，而且，扬尘会夹带大量的病源菌，还会传染其它各种疾病，严重威胁施工人员的身体健康。此外，扬尘飘落在各种建筑物和绿叶植被上，将会影响景观。</w:t>
      </w:r>
    </w:p>
    <w:p w14:paraId="47743E2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对整个施工期而言，施工产生的扬尘主要集中在土建施工阶段。按起尘的原因可分为风力起尘和动力起尘，其中风力起尘主要是由于露天堆放的建材（如沙土、水泥等）及裸露的施工区表层浮尘因天气干燥及大风，产生风尘扬尘；而动力起尘，主要是在建材的装卸、搅拌过程中，由于外力而产生的尘粒再悬浮而造成，其中施工及装卸车辆造成的扬尘最为严重。据有关文献资料介绍，车辆行驶产生的扬尘占总扬尘的60%上。不同车速和地面清洁程度的汽车扬尘产生情况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1-1。</w:t>
      </w:r>
    </w:p>
    <w:p w14:paraId="59FA3D25">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1-1  不同车速和地面清洁程度的汽车扬尘      单位：kg/辆·km</w:t>
      </w:r>
    </w:p>
    <w:tbl>
      <w:tblPr>
        <w:tblStyle w:val="395"/>
        <w:tblW w:w="501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1215"/>
        <w:gridCol w:w="1215"/>
        <w:gridCol w:w="1215"/>
        <w:gridCol w:w="1215"/>
        <w:gridCol w:w="1215"/>
        <w:gridCol w:w="1216"/>
      </w:tblGrid>
      <w:tr w14:paraId="0C853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732" w:type="pct"/>
            <w:vAlign w:val="center"/>
          </w:tcPr>
          <w:p w14:paraId="1CE236B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P（kg/m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w:t>
            </w:r>
          </w:p>
          <w:p w14:paraId="3CCE6A2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车速</w:t>
            </w:r>
          </w:p>
        </w:tc>
        <w:tc>
          <w:tcPr>
            <w:tcW w:w="711" w:type="pct"/>
            <w:vAlign w:val="center"/>
          </w:tcPr>
          <w:p w14:paraId="2AE1759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w:t>
            </w:r>
          </w:p>
        </w:tc>
        <w:tc>
          <w:tcPr>
            <w:tcW w:w="711" w:type="pct"/>
            <w:vAlign w:val="center"/>
          </w:tcPr>
          <w:p w14:paraId="6A0DD20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w:t>
            </w:r>
          </w:p>
        </w:tc>
        <w:tc>
          <w:tcPr>
            <w:tcW w:w="711" w:type="pct"/>
            <w:vAlign w:val="center"/>
          </w:tcPr>
          <w:p w14:paraId="37B196A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w:t>
            </w:r>
          </w:p>
        </w:tc>
        <w:tc>
          <w:tcPr>
            <w:tcW w:w="711" w:type="pct"/>
            <w:vAlign w:val="center"/>
          </w:tcPr>
          <w:p w14:paraId="35E714A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w:t>
            </w:r>
          </w:p>
        </w:tc>
        <w:tc>
          <w:tcPr>
            <w:tcW w:w="711" w:type="pct"/>
            <w:vAlign w:val="center"/>
          </w:tcPr>
          <w:p w14:paraId="7996230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w:t>
            </w:r>
          </w:p>
        </w:tc>
        <w:tc>
          <w:tcPr>
            <w:tcW w:w="711" w:type="pct"/>
            <w:vAlign w:val="center"/>
          </w:tcPr>
          <w:p w14:paraId="42CED25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r>
      <w:tr w14:paraId="6CF5B9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732" w:type="pct"/>
            <w:vAlign w:val="center"/>
          </w:tcPr>
          <w:p w14:paraId="74C0299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5（km/hr）</w:t>
            </w:r>
          </w:p>
        </w:tc>
        <w:tc>
          <w:tcPr>
            <w:tcW w:w="711" w:type="pct"/>
            <w:vAlign w:val="center"/>
          </w:tcPr>
          <w:p w14:paraId="39B4D21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0.051056</w:t>
            </w:r>
          </w:p>
        </w:tc>
        <w:tc>
          <w:tcPr>
            <w:tcW w:w="711" w:type="pct"/>
            <w:vAlign w:val="center"/>
          </w:tcPr>
          <w:p w14:paraId="5BC0CA1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0.0261665</w:t>
            </w:r>
          </w:p>
        </w:tc>
        <w:tc>
          <w:tcPr>
            <w:tcW w:w="711" w:type="pct"/>
            <w:vAlign w:val="center"/>
          </w:tcPr>
          <w:p w14:paraId="20E6DA9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0.116382</w:t>
            </w:r>
          </w:p>
        </w:tc>
        <w:tc>
          <w:tcPr>
            <w:tcW w:w="711" w:type="pct"/>
            <w:vAlign w:val="center"/>
          </w:tcPr>
          <w:p w14:paraId="7E832E2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0.144408</w:t>
            </w:r>
          </w:p>
        </w:tc>
        <w:tc>
          <w:tcPr>
            <w:tcW w:w="711" w:type="pct"/>
            <w:vAlign w:val="center"/>
          </w:tcPr>
          <w:p w14:paraId="6D8611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0.170715</w:t>
            </w:r>
          </w:p>
        </w:tc>
        <w:tc>
          <w:tcPr>
            <w:tcW w:w="711" w:type="pct"/>
            <w:vAlign w:val="center"/>
          </w:tcPr>
          <w:p w14:paraId="5E8DCE4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0.287108</w:t>
            </w:r>
          </w:p>
        </w:tc>
      </w:tr>
      <w:tr w14:paraId="6F67B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732" w:type="pct"/>
            <w:vAlign w:val="center"/>
          </w:tcPr>
          <w:p w14:paraId="14A951C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10（km/hr）</w:t>
            </w:r>
          </w:p>
        </w:tc>
        <w:tc>
          <w:tcPr>
            <w:tcW w:w="711" w:type="pct"/>
            <w:vAlign w:val="center"/>
          </w:tcPr>
          <w:p w14:paraId="58A4C64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0.102112</w:t>
            </w:r>
          </w:p>
        </w:tc>
        <w:tc>
          <w:tcPr>
            <w:tcW w:w="711" w:type="pct"/>
            <w:vAlign w:val="center"/>
          </w:tcPr>
          <w:p w14:paraId="40224F5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0.171731</w:t>
            </w:r>
          </w:p>
        </w:tc>
        <w:tc>
          <w:tcPr>
            <w:tcW w:w="711" w:type="pct"/>
            <w:vAlign w:val="center"/>
          </w:tcPr>
          <w:p w14:paraId="359F39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0.232764</w:t>
            </w:r>
          </w:p>
        </w:tc>
        <w:tc>
          <w:tcPr>
            <w:tcW w:w="711" w:type="pct"/>
            <w:vAlign w:val="center"/>
          </w:tcPr>
          <w:p w14:paraId="12DB75D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0.288815</w:t>
            </w:r>
          </w:p>
        </w:tc>
        <w:tc>
          <w:tcPr>
            <w:tcW w:w="711" w:type="pct"/>
            <w:vAlign w:val="center"/>
          </w:tcPr>
          <w:p w14:paraId="1707E6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0.341431</w:t>
            </w:r>
          </w:p>
        </w:tc>
        <w:tc>
          <w:tcPr>
            <w:tcW w:w="711" w:type="pct"/>
            <w:vAlign w:val="center"/>
          </w:tcPr>
          <w:p w14:paraId="529B697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0.574216</w:t>
            </w:r>
          </w:p>
        </w:tc>
      </w:tr>
      <w:tr w14:paraId="3A579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732" w:type="pct"/>
            <w:vAlign w:val="center"/>
          </w:tcPr>
          <w:p w14:paraId="2EB169E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15（km/hr）</w:t>
            </w:r>
          </w:p>
        </w:tc>
        <w:tc>
          <w:tcPr>
            <w:tcW w:w="711" w:type="pct"/>
            <w:vAlign w:val="center"/>
          </w:tcPr>
          <w:p w14:paraId="14DFD1B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0.153167</w:t>
            </w:r>
          </w:p>
        </w:tc>
        <w:tc>
          <w:tcPr>
            <w:tcW w:w="711" w:type="pct"/>
            <w:vAlign w:val="center"/>
          </w:tcPr>
          <w:p w14:paraId="477734A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0.257596</w:t>
            </w:r>
          </w:p>
        </w:tc>
        <w:tc>
          <w:tcPr>
            <w:tcW w:w="711" w:type="pct"/>
            <w:vAlign w:val="center"/>
          </w:tcPr>
          <w:p w14:paraId="084CAD0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0.349146</w:t>
            </w:r>
          </w:p>
        </w:tc>
        <w:tc>
          <w:tcPr>
            <w:tcW w:w="711" w:type="pct"/>
            <w:vAlign w:val="center"/>
          </w:tcPr>
          <w:p w14:paraId="3E259F6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0.433223</w:t>
            </w:r>
          </w:p>
        </w:tc>
        <w:tc>
          <w:tcPr>
            <w:tcW w:w="711" w:type="pct"/>
            <w:vAlign w:val="center"/>
          </w:tcPr>
          <w:p w14:paraId="65F1D65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0.512146</w:t>
            </w:r>
          </w:p>
        </w:tc>
        <w:tc>
          <w:tcPr>
            <w:tcW w:w="711" w:type="pct"/>
            <w:vAlign w:val="center"/>
          </w:tcPr>
          <w:p w14:paraId="33CDAA7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0.861323</w:t>
            </w:r>
          </w:p>
        </w:tc>
      </w:tr>
      <w:tr w14:paraId="45E27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732" w:type="pct"/>
            <w:vAlign w:val="center"/>
          </w:tcPr>
          <w:p w14:paraId="6968AF0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25（km/hr）</w:t>
            </w:r>
          </w:p>
        </w:tc>
        <w:tc>
          <w:tcPr>
            <w:tcW w:w="711" w:type="pct"/>
            <w:vAlign w:val="center"/>
          </w:tcPr>
          <w:p w14:paraId="47C1A0C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0.255279</w:t>
            </w:r>
          </w:p>
        </w:tc>
        <w:tc>
          <w:tcPr>
            <w:tcW w:w="711" w:type="pct"/>
            <w:vAlign w:val="center"/>
          </w:tcPr>
          <w:p w14:paraId="4181660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0.429326</w:t>
            </w:r>
          </w:p>
        </w:tc>
        <w:tc>
          <w:tcPr>
            <w:tcW w:w="711" w:type="pct"/>
            <w:vAlign w:val="center"/>
          </w:tcPr>
          <w:p w14:paraId="6E0D12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0.58191</w:t>
            </w:r>
          </w:p>
        </w:tc>
        <w:tc>
          <w:tcPr>
            <w:tcW w:w="711" w:type="pct"/>
            <w:vAlign w:val="center"/>
          </w:tcPr>
          <w:p w14:paraId="603BEE3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0.722038</w:t>
            </w:r>
          </w:p>
        </w:tc>
        <w:tc>
          <w:tcPr>
            <w:tcW w:w="711" w:type="pct"/>
            <w:vAlign w:val="center"/>
          </w:tcPr>
          <w:p w14:paraId="227059A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0.853577</w:t>
            </w:r>
          </w:p>
        </w:tc>
        <w:tc>
          <w:tcPr>
            <w:tcW w:w="711" w:type="pct"/>
            <w:vAlign w:val="center"/>
          </w:tcPr>
          <w:p w14:paraId="16E8F5D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1.435539</w:t>
            </w:r>
          </w:p>
        </w:tc>
      </w:tr>
    </w:tbl>
    <w:p w14:paraId="19573CF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扬尘的另一个主要原因是露天堆场和裸露场地的风力扬尘。由于施工的需要，一些建材需露天堆放；一些施工点表层土壤需人工开挖、堆放，在气候干燥又有风的情况下，会产生扬尘。不同粒径尘粒的沉降速度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1-2。</w:t>
      </w:r>
    </w:p>
    <w:p w14:paraId="3F849600">
      <w:pPr>
        <w:pStyle w:val="216"/>
        <w:rPr>
          <w:rFonts w:hint="default" w:ascii="Times New Roman" w:hAnsi="Times New Roman" w:eastAsia="宋体" w:cs="Times New Roman"/>
          <w:snapToGrid w:val="0"/>
          <w:color w:val="auto"/>
          <w:sz w:val="24"/>
          <w:szCs w:val="32"/>
          <w:highlight w:val="none"/>
        </w:rPr>
      </w:pPr>
    </w:p>
    <w:p w14:paraId="30FFFF80">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1-2  不同粒径尘粒的沉降速度</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73"/>
        <w:gridCol w:w="948"/>
        <w:gridCol w:w="949"/>
        <w:gridCol w:w="949"/>
        <w:gridCol w:w="949"/>
        <w:gridCol w:w="949"/>
        <w:gridCol w:w="949"/>
        <w:gridCol w:w="950"/>
      </w:tblGrid>
      <w:tr w14:paraId="54F34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754CF4C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粒径（μm）</w:t>
            </w:r>
          </w:p>
        </w:tc>
        <w:tc>
          <w:tcPr>
            <w:tcW w:w="557" w:type="pct"/>
            <w:vAlign w:val="center"/>
          </w:tcPr>
          <w:p w14:paraId="2B6050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c>
          <w:tcPr>
            <w:tcW w:w="557" w:type="pct"/>
            <w:vAlign w:val="center"/>
          </w:tcPr>
          <w:p w14:paraId="7E47C9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w:t>
            </w:r>
          </w:p>
        </w:tc>
        <w:tc>
          <w:tcPr>
            <w:tcW w:w="557" w:type="pct"/>
            <w:vAlign w:val="center"/>
          </w:tcPr>
          <w:p w14:paraId="1CA309B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c>
          <w:tcPr>
            <w:tcW w:w="557" w:type="pct"/>
            <w:vAlign w:val="center"/>
          </w:tcPr>
          <w:p w14:paraId="6C9EA12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40</w:t>
            </w:r>
          </w:p>
        </w:tc>
        <w:tc>
          <w:tcPr>
            <w:tcW w:w="557" w:type="pct"/>
            <w:vAlign w:val="center"/>
          </w:tcPr>
          <w:p w14:paraId="796D101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50</w:t>
            </w:r>
          </w:p>
        </w:tc>
        <w:tc>
          <w:tcPr>
            <w:tcW w:w="557" w:type="pct"/>
            <w:vAlign w:val="center"/>
          </w:tcPr>
          <w:p w14:paraId="5FF4DDD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c>
          <w:tcPr>
            <w:tcW w:w="558" w:type="pct"/>
            <w:vAlign w:val="center"/>
          </w:tcPr>
          <w:p w14:paraId="6638419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70</w:t>
            </w:r>
          </w:p>
        </w:tc>
      </w:tr>
      <w:tr w14:paraId="5CE60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1C7392D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沉降速度（m/s）</w:t>
            </w:r>
          </w:p>
        </w:tc>
        <w:tc>
          <w:tcPr>
            <w:tcW w:w="557" w:type="pct"/>
            <w:vAlign w:val="center"/>
          </w:tcPr>
          <w:p w14:paraId="1BB2C5B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0.003</w:t>
            </w:r>
          </w:p>
        </w:tc>
        <w:tc>
          <w:tcPr>
            <w:tcW w:w="557" w:type="pct"/>
            <w:vAlign w:val="center"/>
          </w:tcPr>
          <w:p w14:paraId="729A791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0.012</w:t>
            </w:r>
          </w:p>
        </w:tc>
        <w:tc>
          <w:tcPr>
            <w:tcW w:w="557" w:type="pct"/>
            <w:vAlign w:val="center"/>
          </w:tcPr>
          <w:p w14:paraId="593A872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0.027</w:t>
            </w:r>
          </w:p>
        </w:tc>
        <w:tc>
          <w:tcPr>
            <w:tcW w:w="557" w:type="pct"/>
            <w:vAlign w:val="center"/>
          </w:tcPr>
          <w:p w14:paraId="399AE6B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0.048</w:t>
            </w:r>
          </w:p>
        </w:tc>
        <w:tc>
          <w:tcPr>
            <w:tcW w:w="557" w:type="pct"/>
            <w:vAlign w:val="center"/>
          </w:tcPr>
          <w:p w14:paraId="2B252E5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0.075</w:t>
            </w:r>
          </w:p>
        </w:tc>
        <w:tc>
          <w:tcPr>
            <w:tcW w:w="557" w:type="pct"/>
            <w:vAlign w:val="center"/>
          </w:tcPr>
          <w:p w14:paraId="0F99ABB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0.108</w:t>
            </w:r>
          </w:p>
        </w:tc>
        <w:tc>
          <w:tcPr>
            <w:tcW w:w="558" w:type="pct"/>
            <w:vAlign w:val="center"/>
          </w:tcPr>
          <w:p w14:paraId="04FFF7A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0.147</w:t>
            </w:r>
          </w:p>
        </w:tc>
      </w:tr>
      <w:tr w14:paraId="26D37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7E2C18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粒径（μm）</w:t>
            </w:r>
          </w:p>
        </w:tc>
        <w:tc>
          <w:tcPr>
            <w:tcW w:w="557" w:type="pct"/>
            <w:vAlign w:val="center"/>
          </w:tcPr>
          <w:p w14:paraId="124058B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80</w:t>
            </w:r>
          </w:p>
        </w:tc>
        <w:tc>
          <w:tcPr>
            <w:tcW w:w="557" w:type="pct"/>
            <w:vAlign w:val="center"/>
          </w:tcPr>
          <w:p w14:paraId="341DA6F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c>
          <w:tcPr>
            <w:tcW w:w="557" w:type="pct"/>
            <w:vAlign w:val="center"/>
          </w:tcPr>
          <w:p w14:paraId="43B975C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w:t>
            </w:r>
          </w:p>
        </w:tc>
        <w:tc>
          <w:tcPr>
            <w:tcW w:w="557" w:type="pct"/>
            <w:vAlign w:val="center"/>
          </w:tcPr>
          <w:p w14:paraId="5F1A827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150</w:t>
            </w:r>
          </w:p>
        </w:tc>
        <w:tc>
          <w:tcPr>
            <w:tcW w:w="557" w:type="pct"/>
            <w:vAlign w:val="center"/>
          </w:tcPr>
          <w:p w14:paraId="38C3F0D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557" w:type="pct"/>
            <w:vAlign w:val="center"/>
          </w:tcPr>
          <w:p w14:paraId="203CA54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250</w:t>
            </w:r>
          </w:p>
        </w:tc>
        <w:tc>
          <w:tcPr>
            <w:tcW w:w="558" w:type="pct"/>
            <w:vAlign w:val="center"/>
          </w:tcPr>
          <w:p w14:paraId="2E16128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350</w:t>
            </w:r>
          </w:p>
        </w:tc>
      </w:tr>
      <w:tr w14:paraId="49D24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4724789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沉降速度（m/s）</w:t>
            </w:r>
          </w:p>
        </w:tc>
        <w:tc>
          <w:tcPr>
            <w:tcW w:w="557" w:type="pct"/>
            <w:vAlign w:val="center"/>
          </w:tcPr>
          <w:p w14:paraId="54F0C1C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0.158</w:t>
            </w:r>
          </w:p>
        </w:tc>
        <w:tc>
          <w:tcPr>
            <w:tcW w:w="557" w:type="pct"/>
            <w:vAlign w:val="center"/>
          </w:tcPr>
          <w:p w14:paraId="06F543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0.170</w:t>
            </w:r>
          </w:p>
        </w:tc>
        <w:tc>
          <w:tcPr>
            <w:tcW w:w="557" w:type="pct"/>
            <w:vAlign w:val="center"/>
          </w:tcPr>
          <w:p w14:paraId="456A7D0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0.182</w:t>
            </w:r>
          </w:p>
        </w:tc>
        <w:tc>
          <w:tcPr>
            <w:tcW w:w="557" w:type="pct"/>
            <w:vAlign w:val="center"/>
          </w:tcPr>
          <w:p w14:paraId="52F21C3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0.239</w:t>
            </w:r>
          </w:p>
        </w:tc>
        <w:tc>
          <w:tcPr>
            <w:tcW w:w="557" w:type="pct"/>
            <w:vAlign w:val="center"/>
          </w:tcPr>
          <w:p w14:paraId="24972FE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0.804</w:t>
            </w:r>
          </w:p>
        </w:tc>
        <w:tc>
          <w:tcPr>
            <w:tcW w:w="557" w:type="pct"/>
            <w:vAlign w:val="center"/>
          </w:tcPr>
          <w:p w14:paraId="6C6CB5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1.005</w:t>
            </w:r>
          </w:p>
        </w:tc>
        <w:tc>
          <w:tcPr>
            <w:tcW w:w="558" w:type="pct"/>
            <w:vAlign w:val="center"/>
          </w:tcPr>
          <w:p w14:paraId="5A011CA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1.829</w:t>
            </w:r>
          </w:p>
        </w:tc>
      </w:tr>
      <w:tr w14:paraId="06F7C7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1F32686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粒径（μm）</w:t>
            </w:r>
          </w:p>
        </w:tc>
        <w:tc>
          <w:tcPr>
            <w:tcW w:w="557" w:type="pct"/>
            <w:vAlign w:val="center"/>
          </w:tcPr>
          <w:p w14:paraId="2BAF967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450</w:t>
            </w:r>
          </w:p>
        </w:tc>
        <w:tc>
          <w:tcPr>
            <w:tcW w:w="557" w:type="pct"/>
            <w:vAlign w:val="center"/>
          </w:tcPr>
          <w:p w14:paraId="70A5FAB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550</w:t>
            </w:r>
          </w:p>
        </w:tc>
        <w:tc>
          <w:tcPr>
            <w:tcW w:w="557" w:type="pct"/>
            <w:vAlign w:val="center"/>
          </w:tcPr>
          <w:p w14:paraId="404105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650</w:t>
            </w:r>
          </w:p>
        </w:tc>
        <w:tc>
          <w:tcPr>
            <w:tcW w:w="557" w:type="pct"/>
            <w:vAlign w:val="center"/>
          </w:tcPr>
          <w:p w14:paraId="2EF78F3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750</w:t>
            </w:r>
          </w:p>
        </w:tc>
        <w:tc>
          <w:tcPr>
            <w:tcW w:w="557" w:type="pct"/>
            <w:vAlign w:val="center"/>
          </w:tcPr>
          <w:p w14:paraId="0F13229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850</w:t>
            </w:r>
          </w:p>
        </w:tc>
        <w:tc>
          <w:tcPr>
            <w:tcW w:w="557" w:type="pct"/>
            <w:vAlign w:val="center"/>
          </w:tcPr>
          <w:p w14:paraId="6A7A1F9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950</w:t>
            </w:r>
          </w:p>
        </w:tc>
        <w:tc>
          <w:tcPr>
            <w:tcW w:w="558" w:type="pct"/>
            <w:vAlign w:val="center"/>
          </w:tcPr>
          <w:p w14:paraId="2140E9B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1050</w:t>
            </w:r>
          </w:p>
        </w:tc>
      </w:tr>
      <w:tr w14:paraId="0D52F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11046D7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沉降速度（m/s）</w:t>
            </w:r>
          </w:p>
        </w:tc>
        <w:tc>
          <w:tcPr>
            <w:tcW w:w="557" w:type="pct"/>
            <w:vAlign w:val="center"/>
          </w:tcPr>
          <w:p w14:paraId="35E3A55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2.211</w:t>
            </w:r>
          </w:p>
        </w:tc>
        <w:tc>
          <w:tcPr>
            <w:tcW w:w="557" w:type="pct"/>
            <w:vAlign w:val="center"/>
          </w:tcPr>
          <w:p w14:paraId="1284ED9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2.614</w:t>
            </w:r>
          </w:p>
        </w:tc>
        <w:tc>
          <w:tcPr>
            <w:tcW w:w="557" w:type="pct"/>
            <w:vAlign w:val="center"/>
          </w:tcPr>
          <w:p w14:paraId="589FBEC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3.016</w:t>
            </w:r>
          </w:p>
        </w:tc>
        <w:tc>
          <w:tcPr>
            <w:tcW w:w="557" w:type="pct"/>
            <w:vAlign w:val="center"/>
          </w:tcPr>
          <w:p w14:paraId="6F3427A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3.418</w:t>
            </w:r>
          </w:p>
        </w:tc>
        <w:tc>
          <w:tcPr>
            <w:tcW w:w="557" w:type="pct"/>
            <w:vAlign w:val="center"/>
          </w:tcPr>
          <w:p w14:paraId="2E40A0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3.820</w:t>
            </w:r>
          </w:p>
        </w:tc>
        <w:tc>
          <w:tcPr>
            <w:tcW w:w="557" w:type="pct"/>
            <w:vAlign w:val="center"/>
          </w:tcPr>
          <w:p w14:paraId="4A37F9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4.222</w:t>
            </w:r>
          </w:p>
        </w:tc>
        <w:tc>
          <w:tcPr>
            <w:tcW w:w="558" w:type="pct"/>
            <w:vAlign w:val="center"/>
          </w:tcPr>
          <w:p w14:paraId="68D79A7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4.624</w:t>
            </w:r>
          </w:p>
        </w:tc>
      </w:tr>
    </w:tbl>
    <w:p w14:paraId="48A49862">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从表5-1-2可以看出，尘粒的沉降速度随粒径的增大而迅速增大。当粒径为250μm时，沉降速度为1.005m/s，因此可以认为当尘粒大于250μm时，主要影响范围在扬尘点下风向近距离范围内，而真正对外环境产生影响的是一些微小尘粒。在有风的情况下，施工扬尘会对该区域造成一定的影响。由起尘计算公式可知，V</w:t>
      </w:r>
      <w:r>
        <w:rPr>
          <w:rFonts w:hint="default" w:ascii="Times New Roman" w:hAnsi="Times New Roman" w:eastAsia="宋体" w:cs="Times New Roman"/>
          <w:snapToGrid w:val="0"/>
          <w:color w:val="auto"/>
          <w:highlight w:val="none"/>
          <w:vertAlign w:val="subscript"/>
        </w:rPr>
        <w:t>0</w:t>
      </w:r>
      <w:r>
        <w:rPr>
          <w:rFonts w:hint="default" w:ascii="Times New Roman" w:hAnsi="Times New Roman" w:eastAsia="宋体" w:cs="Times New Roman"/>
          <w:snapToGrid w:val="0"/>
          <w:color w:val="auto"/>
          <w:highlight w:val="none"/>
        </w:rPr>
        <w:t>与粒径和含水率有关</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因此，通过采取减少露天堆放和保证一定的含水率及减少裸露地面等措施后，风力起尘对环境的影响较小。</w:t>
      </w:r>
    </w:p>
    <w:p w14:paraId="2191F6C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（1）扬尘控制</w:t>
      </w:r>
    </w:p>
    <w:p w14:paraId="4D15B66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为使施工过程中产生的扬尘对周围环境空气的影响降低到最小程度，建议采取以下防护措施：</w:t>
      </w:r>
    </w:p>
    <w:p w14:paraId="38F87CC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①</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施工期间应加强环境管理，贯彻边施工、边防治的原则。</w:t>
      </w:r>
    </w:p>
    <w:p w14:paraId="5C66B63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②</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施工现场只存放用于回填的土方量，多余的土方要及时运走，干燥季节要适时的对现场存放的土方洒水，保持其表面潮湿，以避免扬尘。</w:t>
      </w:r>
    </w:p>
    <w:p w14:paraId="015BA09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施工现场道路要做到路面硬化，经常清扫路面，干旱季节要定时洒水，保持路面湿润。</w:t>
      </w:r>
    </w:p>
    <w:p w14:paraId="435703E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运输白灰、水泥、土方、施工垃圾等易产生扬尘的车辆要密闭处理，或采取其它措施，以避免沿途散落。</w:t>
      </w:r>
    </w:p>
    <w:p w14:paraId="13814DE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5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⑤</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出工地的车辆要对车轮进行清洗或清扫。</w:t>
      </w:r>
    </w:p>
    <w:p w14:paraId="3691613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6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⑥</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主要施工现场要围挡或部分围挡，以减少施工扬尘的扩散范围，减轻扬尘对周围环境的污染。</w:t>
      </w:r>
    </w:p>
    <w:p w14:paraId="75F0132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7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⑦</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施工结束时，应及时对施工占用场地进行恢复。</w:t>
      </w:r>
    </w:p>
    <w:p w14:paraId="0FED87A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围挡起直接阻挡扬尘飞扬的作用，洒水可降低施工扬尘的起尘量，经上述治理后，施工期产生的扬尘满足《大气污染物综合排放标准》（GB16297-1996）表2中无组织排放监控浓度限值。</w:t>
      </w:r>
    </w:p>
    <w:p w14:paraId="32864557">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（2）车辆尾气</w:t>
      </w:r>
    </w:p>
    <w:p w14:paraId="6C686312">
      <w:pPr>
        <w:spacing w:line="360" w:lineRule="auto"/>
        <w:ind w:firstLine="420"/>
        <w:jc w:val="both"/>
        <w:rPr>
          <w:rFonts w:hint="default"/>
          <w:highlight w:val="none"/>
        </w:rPr>
      </w:pPr>
      <w:r>
        <w:rPr>
          <w:rFonts w:hint="default" w:ascii="Times New Roman" w:hAnsi="Times New Roman" w:eastAsia="宋体" w:cs="Times New Roman"/>
          <w:snapToGrid w:val="0"/>
          <w:color w:val="auto"/>
          <w:highlight w:val="none"/>
        </w:rPr>
        <w:t>做好施工现场的交通组织，施工道路硬化路面，保持路面平整，同时减少运输车辆怠速产生的废气排放。项目运输车辆定期检修，汽车尾气能够达标排放。项目场区占地面积较大，远离居民区，项目汽车尾气不会对施工区大气环境产生较大影响。</w:t>
      </w:r>
    </w:p>
    <w:p w14:paraId="7853CBD9">
      <w:pPr>
        <w:spacing w:line="360" w:lineRule="auto"/>
        <w:ind w:firstLine="48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4"/>
          <w:szCs w:val="24"/>
          <w:highlight w:val="none"/>
        </w:rPr>
        <w:t>本项目施工期间产生的</w:t>
      </w:r>
      <w:r>
        <w:rPr>
          <w:rFonts w:hint="eastAsia" w:ascii="Times New Roman" w:hAnsi="Times New Roman" w:cs="Times New Roman"/>
          <w:snapToGrid w:val="0"/>
          <w:color w:val="auto"/>
          <w:sz w:val="24"/>
          <w:szCs w:val="24"/>
          <w:highlight w:val="none"/>
          <w:lang w:val="en-US" w:eastAsia="zh-CN"/>
        </w:rPr>
        <w:t>扬尘</w:t>
      </w:r>
      <w:r>
        <w:rPr>
          <w:rFonts w:hint="default" w:ascii="Times New Roman" w:hAnsi="Times New Roman" w:eastAsia="宋体" w:cs="Times New Roman"/>
          <w:snapToGrid w:val="0"/>
          <w:color w:val="auto"/>
          <w:sz w:val="24"/>
          <w:szCs w:val="24"/>
          <w:highlight w:val="none"/>
        </w:rPr>
        <w:t>不会对周围环境造成明显影响，其施工场界</w:t>
      </w:r>
      <w:r>
        <w:rPr>
          <w:rFonts w:hint="eastAsia" w:ascii="Times New Roman" w:hAnsi="Times New Roman" w:cs="Times New Roman"/>
          <w:snapToGrid w:val="0"/>
          <w:color w:val="auto"/>
          <w:sz w:val="24"/>
          <w:szCs w:val="24"/>
          <w:highlight w:val="none"/>
          <w:lang w:val="en-US" w:eastAsia="zh-CN"/>
        </w:rPr>
        <w:t>环境空气</w:t>
      </w:r>
      <w:r>
        <w:rPr>
          <w:rFonts w:hint="default" w:ascii="Times New Roman" w:hAnsi="Times New Roman" w:eastAsia="宋体" w:cs="Times New Roman"/>
          <w:snapToGrid w:val="0"/>
          <w:color w:val="auto"/>
          <w:sz w:val="24"/>
          <w:szCs w:val="24"/>
          <w:highlight w:val="none"/>
        </w:rPr>
        <w:t>可满足《大气污染物综合排放标准》（GB16297-1996）表2中无组织排放监控浓度限值要求，对区域</w:t>
      </w:r>
      <w:r>
        <w:rPr>
          <w:rFonts w:hint="eastAsia" w:ascii="Times New Roman" w:hAnsi="Times New Roman" w:cs="Times New Roman"/>
          <w:snapToGrid w:val="0"/>
          <w:color w:val="auto"/>
          <w:sz w:val="24"/>
          <w:szCs w:val="24"/>
          <w:highlight w:val="none"/>
          <w:lang w:val="en-US" w:eastAsia="zh-CN"/>
        </w:rPr>
        <w:t>环境空气</w:t>
      </w:r>
      <w:r>
        <w:rPr>
          <w:rFonts w:hint="default" w:ascii="Times New Roman" w:hAnsi="Times New Roman" w:eastAsia="宋体" w:cs="Times New Roman"/>
          <w:snapToGrid w:val="0"/>
          <w:color w:val="auto"/>
          <w:sz w:val="24"/>
          <w:szCs w:val="24"/>
          <w:highlight w:val="none"/>
        </w:rPr>
        <w:t>不会产生显著性不良影响。</w:t>
      </w:r>
      <w:r>
        <w:rPr>
          <w:rFonts w:hint="default" w:ascii="Times New Roman" w:hAnsi="Times New Roman" w:eastAsia="宋体" w:cs="Times New Roman"/>
          <w:snapToGrid w:val="0"/>
          <w:color w:val="auto"/>
          <w:highlight w:val="none"/>
        </w:rPr>
        <w:t>只要加强管理、切实落实好这些措施，施工场地扬尘对环境的影响将会大大降低，同时其对环境的影响也将随施工的结束而消失。</w:t>
      </w:r>
    </w:p>
    <w:p w14:paraId="12B2E020">
      <w:pPr>
        <w:pStyle w:val="7"/>
        <w:rPr>
          <w:rFonts w:hint="default" w:ascii="Times New Roman" w:hAnsi="Times New Roman" w:eastAsia="宋体" w:cs="Times New Roman"/>
          <w:snapToGrid w:val="0"/>
          <w:color w:val="auto"/>
          <w:highlight w:val="none"/>
        </w:rPr>
      </w:pPr>
      <w:bookmarkStart w:id="701" w:name="_Toc19301"/>
      <w:bookmarkStart w:id="702" w:name="_Toc14131"/>
      <w:bookmarkStart w:id="703" w:name="_Toc31710"/>
      <w:bookmarkStart w:id="704" w:name="_Toc10122"/>
      <w:r>
        <w:rPr>
          <w:rFonts w:hint="default" w:ascii="Times New Roman" w:hAnsi="Times New Roman" w:eastAsia="宋体" w:cs="Times New Roman"/>
          <w:snapToGrid w:val="0"/>
          <w:color w:val="auto"/>
          <w:highlight w:val="none"/>
        </w:rPr>
        <w:t>5.1.2水环境影响分析</w:t>
      </w:r>
      <w:bookmarkEnd w:id="701"/>
      <w:bookmarkEnd w:id="702"/>
      <w:bookmarkEnd w:id="703"/>
      <w:bookmarkEnd w:id="704"/>
    </w:p>
    <w:p w14:paraId="71614F6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施工期废水主要是施工人员生活污水，如果不进行收集无组织排放将对地表径流及土壤环境产生不利影响。生活污水需集中收集外运堆肥处置。</w:t>
      </w:r>
    </w:p>
    <w:p w14:paraId="7EA8445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施工现场建筑原料按比例填加用水，基本不产生弃水；本项目不在场地冲洗及维修机械。</w:t>
      </w:r>
      <w:r>
        <w:rPr>
          <w:rFonts w:hint="default" w:ascii="Times New Roman" w:hAnsi="Times New Roman" w:eastAsia="宋体" w:cs="Times New Roman"/>
          <w:color w:val="auto"/>
          <w:sz w:val="24"/>
          <w:szCs w:val="24"/>
          <w:highlight w:val="none"/>
        </w:rPr>
        <w:t>生活污水</w:t>
      </w:r>
      <w:r>
        <w:rPr>
          <w:rFonts w:hint="default" w:ascii="Times New Roman" w:hAnsi="Times New Roman" w:cs="Times New Roman"/>
          <w:snapToGrid w:val="0"/>
          <w:color w:val="auto"/>
          <w:highlight w:val="none"/>
          <w:lang w:val="en-US" w:eastAsia="zh-CN"/>
        </w:rPr>
        <w:t>排入黑膜厌氧池</w:t>
      </w:r>
      <w:r>
        <w:rPr>
          <w:rFonts w:hint="default" w:ascii="Times New Roman" w:hAnsi="Times New Roman" w:eastAsia="宋体" w:cs="Times New Roman"/>
          <w:color w:val="auto"/>
          <w:sz w:val="24"/>
          <w:szCs w:val="24"/>
          <w:highlight w:val="none"/>
        </w:rPr>
        <w:t>，不外排</w:t>
      </w:r>
      <w:r>
        <w:rPr>
          <w:rFonts w:hint="default" w:ascii="Times New Roman" w:hAnsi="Times New Roman" w:eastAsia="宋体" w:cs="Times New Roman"/>
          <w:snapToGrid w:val="0"/>
          <w:color w:val="auto"/>
          <w:highlight w:val="none"/>
        </w:rPr>
        <w:t>。本工程建设地点远离地表水体，因此施工期对地表水径流环境的基本无影响。</w:t>
      </w:r>
    </w:p>
    <w:p w14:paraId="3FD9BA69">
      <w:pPr>
        <w:pStyle w:val="7"/>
        <w:rPr>
          <w:rFonts w:hint="default" w:ascii="Times New Roman" w:hAnsi="Times New Roman" w:eastAsia="宋体" w:cs="Times New Roman"/>
          <w:snapToGrid w:val="0"/>
          <w:color w:val="auto"/>
          <w:highlight w:val="none"/>
        </w:rPr>
      </w:pPr>
      <w:bookmarkStart w:id="705" w:name="_Toc11729"/>
      <w:bookmarkStart w:id="706" w:name="_Toc30644"/>
      <w:bookmarkStart w:id="707" w:name="_Toc25899"/>
      <w:bookmarkStart w:id="708" w:name="_Toc10860"/>
      <w:r>
        <w:rPr>
          <w:rFonts w:hint="default" w:ascii="Times New Roman" w:hAnsi="Times New Roman" w:eastAsia="宋体" w:cs="Times New Roman"/>
          <w:snapToGrid w:val="0"/>
          <w:color w:val="auto"/>
          <w:highlight w:val="none"/>
        </w:rPr>
        <w:t>5.1.3噪声影响分析</w:t>
      </w:r>
      <w:bookmarkEnd w:id="705"/>
      <w:bookmarkEnd w:id="706"/>
      <w:bookmarkEnd w:id="707"/>
      <w:bookmarkEnd w:id="708"/>
    </w:p>
    <w:p w14:paraId="6CF3CA93">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项目施工期噪声主要来源于施工机械噪声和运输车辆噪声。在施工过程中，由于各种施工机械设备的运转和各类车辆的运行，不可避免地将产生噪声污染。根据调查本项目的主要噪声源如下表5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1-3。</w:t>
      </w:r>
    </w:p>
    <w:p w14:paraId="7DBF43EA">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1-3  施工机械噪声源一览表</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77"/>
        <w:gridCol w:w="2019"/>
        <w:gridCol w:w="3920"/>
      </w:tblGrid>
      <w:tr w14:paraId="165629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EE7C2F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声源</w:t>
            </w:r>
          </w:p>
        </w:tc>
        <w:tc>
          <w:tcPr>
            <w:tcW w:w="0" w:type="auto"/>
            <w:vAlign w:val="center"/>
          </w:tcPr>
          <w:p w14:paraId="57A220E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型号规格</w:t>
            </w:r>
          </w:p>
        </w:tc>
        <w:tc>
          <w:tcPr>
            <w:tcW w:w="0" w:type="auto"/>
            <w:vAlign w:val="center"/>
          </w:tcPr>
          <w:p w14:paraId="34B5519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噪声源强dB（A）</w:t>
            </w:r>
          </w:p>
        </w:tc>
      </w:tr>
      <w:tr w14:paraId="583EA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2575CE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装载机</w:t>
            </w:r>
          </w:p>
        </w:tc>
        <w:tc>
          <w:tcPr>
            <w:tcW w:w="2019" w:type="dxa"/>
            <w:vAlign w:val="center"/>
          </w:tcPr>
          <w:p w14:paraId="6CD224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3EB4A4F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18899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ED842E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挖掘机</w:t>
            </w:r>
          </w:p>
        </w:tc>
        <w:tc>
          <w:tcPr>
            <w:tcW w:w="2019" w:type="dxa"/>
            <w:vAlign w:val="center"/>
          </w:tcPr>
          <w:p w14:paraId="4B3DB9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3C8F87A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4D22D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5F5C2A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推土机</w:t>
            </w:r>
          </w:p>
        </w:tc>
        <w:tc>
          <w:tcPr>
            <w:tcW w:w="2019" w:type="dxa"/>
            <w:vAlign w:val="center"/>
          </w:tcPr>
          <w:p w14:paraId="2C1D68D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2BFBA3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4D2598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72E2D3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塔式起重机</w:t>
            </w:r>
          </w:p>
        </w:tc>
        <w:tc>
          <w:tcPr>
            <w:tcW w:w="2019" w:type="dxa"/>
            <w:vAlign w:val="center"/>
          </w:tcPr>
          <w:p w14:paraId="19C3F8F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C9D239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17AC8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52B44C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钢筋调直机</w:t>
            </w:r>
          </w:p>
        </w:tc>
        <w:tc>
          <w:tcPr>
            <w:tcW w:w="2019" w:type="dxa"/>
            <w:vAlign w:val="center"/>
          </w:tcPr>
          <w:p w14:paraId="3633D90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E6476A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34BAB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D2CF47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电渣焊机</w:t>
            </w:r>
          </w:p>
        </w:tc>
        <w:tc>
          <w:tcPr>
            <w:tcW w:w="2019" w:type="dxa"/>
            <w:vAlign w:val="center"/>
          </w:tcPr>
          <w:p w14:paraId="159F1E8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7FDA41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5F404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26104A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交流电焊机</w:t>
            </w:r>
          </w:p>
        </w:tc>
        <w:tc>
          <w:tcPr>
            <w:tcW w:w="2019" w:type="dxa"/>
            <w:vAlign w:val="center"/>
          </w:tcPr>
          <w:p w14:paraId="315A21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371B310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027B0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D2F23E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直流电焊机</w:t>
            </w:r>
          </w:p>
        </w:tc>
        <w:tc>
          <w:tcPr>
            <w:tcW w:w="2019" w:type="dxa"/>
            <w:vAlign w:val="center"/>
          </w:tcPr>
          <w:p w14:paraId="41136DC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8901A5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02C60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40303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石料切割机</w:t>
            </w:r>
          </w:p>
        </w:tc>
        <w:tc>
          <w:tcPr>
            <w:tcW w:w="2019" w:type="dxa"/>
            <w:vAlign w:val="center"/>
          </w:tcPr>
          <w:p w14:paraId="7CE4E0E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250675D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1EE95C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D94BCD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机械振捣器</w:t>
            </w:r>
          </w:p>
        </w:tc>
        <w:tc>
          <w:tcPr>
            <w:tcW w:w="2019" w:type="dxa"/>
            <w:vAlign w:val="center"/>
          </w:tcPr>
          <w:p w14:paraId="4CE57B0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D64563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75</w:t>
            </w:r>
          </w:p>
        </w:tc>
      </w:tr>
      <w:tr w14:paraId="73E8B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7FD820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电锯</w:t>
            </w:r>
          </w:p>
        </w:tc>
        <w:tc>
          <w:tcPr>
            <w:tcW w:w="2019" w:type="dxa"/>
            <w:vAlign w:val="center"/>
          </w:tcPr>
          <w:p w14:paraId="35C9B60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02AC620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33ACFC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68D9CCB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电锤</w:t>
            </w:r>
          </w:p>
        </w:tc>
        <w:tc>
          <w:tcPr>
            <w:tcW w:w="0" w:type="auto"/>
            <w:vAlign w:val="center"/>
          </w:tcPr>
          <w:p w14:paraId="55EABE5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06B6B6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7800C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0" w:type="auto"/>
            <w:vAlign w:val="center"/>
          </w:tcPr>
          <w:p w14:paraId="72B83A8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电刨</w:t>
            </w:r>
          </w:p>
        </w:tc>
        <w:tc>
          <w:tcPr>
            <w:tcW w:w="0" w:type="auto"/>
            <w:vAlign w:val="center"/>
          </w:tcPr>
          <w:p w14:paraId="4BAFF2F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55918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bl>
    <w:p w14:paraId="61DC0F91">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中使用的各种施工机械、运输车辆等都是噪声的产生源。假设所有设备均为稳态连续发声状态，在不考虑任何声屏障情况下，各设备采用最大噪声值进行预测，根据声环境导则无指向性点源几何发散衰减模式：</w:t>
      </w:r>
    </w:p>
    <w:p w14:paraId="76EA1E5F">
      <w:pPr>
        <w:spacing w:line="360" w:lineRule="auto"/>
        <w:jc w:val="center"/>
        <w:rPr>
          <w:rFonts w:hint="default" w:ascii="Times New Roman" w:hAnsi="Times New Roman" w:eastAsia="宋体" w:cs="Times New Roman"/>
          <w:snapToGrid w:val="0"/>
          <w:color w:val="auto"/>
          <w:highlight w:val="none"/>
          <w:lang w:val="fr-FR"/>
        </w:rPr>
      </w:pPr>
      <w:r>
        <w:rPr>
          <w:rFonts w:hint="default" w:ascii="Times New Roman" w:hAnsi="Times New Roman" w:eastAsia="宋体" w:cs="Times New Roman"/>
          <w:snapToGrid w:val="0"/>
          <w:color w:val="auto"/>
          <w:highlight w:val="none"/>
        </w:rPr>
        <w:drawing>
          <wp:inline distT="0" distB="0" distL="0" distR="0">
            <wp:extent cx="1838325" cy="3251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1857702" cy="328875"/>
                    </a:xfrm>
                    <a:prstGeom prst="rect">
                      <a:avLst/>
                    </a:prstGeom>
                    <a:noFill/>
                    <a:ln>
                      <a:noFill/>
                    </a:ln>
                  </pic:spPr>
                </pic:pic>
              </a:graphicData>
            </a:graphic>
          </wp:inline>
        </w:drawing>
      </w:r>
    </w:p>
    <w:p w14:paraId="090F4955">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式中：</w:t>
      </w:r>
    </w:p>
    <w:p w14:paraId="7FACFA57">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L</w:t>
      </w:r>
      <w:r>
        <w:rPr>
          <w:rFonts w:hint="default" w:ascii="Times New Roman" w:hAnsi="Times New Roman" w:eastAsia="宋体" w:cs="Times New Roman"/>
          <w:snapToGrid w:val="0"/>
          <w:color w:val="auto"/>
          <w:highlight w:val="none"/>
          <w:vertAlign w:val="subscript"/>
        </w:rPr>
        <w:t>p</w:t>
      </w:r>
      <w:r>
        <w:rPr>
          <w:rFonts w:hint="default" w:ascii="Times New Roman" w:hAnsi="Times New Roman" w:eastAsia="宋体" w:cs="Times New Roman"/>
          <w:snapToGrid w:val="0"/>
          <w:color w:val="auto"/>
          <w:highlight w:val="none"/>
        </w:rPr>
        <w:t>（r）——距声源r处的A声级，dB</w:t>
      </w:r>
    </w:p>
    <w:p w14:paraId="02EB9AD5">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L</w:t>
      </w:r>
      <w:r>
        <w:rPr>
          <w:rFonts w:hint="default" w:ascii="Times New Roman" w:hAnsi="Times New Roman" w:eastAsia="宋体" w:cs="Times New Roman"/>
          <w:snapToGrid w:val="0"/>
          <w:color w:val="auto"/>
          <w:highlight w:val="none"/>
          <w:vertAlign w:val="subscript"/>
        </w:rPr>
        <w:t>p</w:t>
      </w:r>
      <w:r>
        <w:rPr>
          <w:rFonts w:hint="default" w:ascii="Times New Roman" w:hAnsi="Times New Roman" w:eastAsia="宋体" w:cs="Times New Roman"/>
          <w:snapToGrid w:val="0"/>
          <w:color w:val="auto"/>
          <w:highlight w:val="none"/>
        </w:rPr>
        <w:t>（r</w:t>
      </w:r>
      <w:r>
        <w:rPr>
          <w:rFonts w:hint="default" w:ascii="Times New Roman" w:hAnsi="Times New Roman" w:eastAsia="宋体" w:cs="Times New Roman"/>
          <w:snapToGrid w:val="0"/>
          <w:color w:val="auto"/>
          <w:highlight w:val="none"/>
          <w:vertAlign w:val="subscript"/>
        </w:rPr>
        <w:t>0</w:t>
      </w:r>
      <w:r>
        <w:rPr>
          <w:rFonts w:hint="default" w:ascii="Times New Roman" w:hAnsi="Times New Roman" w:eastAsia="宋体" w:cs="Times New Roman"/>
          <w:snapToGrid w:val="0"/>
          <w:color w:val="auto"/>
          <w:highlight w:val="none"/>
        </w:rPr>
        <w:t>）——声源噪声功率级，dB</w:t>
      </w:r>
    </w:p>
    <w:p w14:paraId="0FCD2145">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r ——受声点与声源距离，m</w:t>
      </w:r>
    </w:p>
    <w:p w14:paraId="5575B2B5">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点声源距离衰减情况如下表所示：</w:t>
      </w:r>
    </w:p>
    <w:p w14:paraId="79726A49">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1-4  点声源距离衰减情况</w:t>
      </w:r>
    </w:p>
    <w:tbl>
      <w:tblPr>
        <w:tblStyle w:val="39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983"/>
        <w:gridCol w:w="949"/>
        <w:gridCol w:w="982"/>
        <w:gridCol w:w="1033"/>
        <w:gridCol w:w="1281"/>
        <w:gridCol w:w="1148"/>
        <w:gridCol w:w="1055"/>
      </w:tblGrid>
      <w:tr w14:paraId="7581DB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pct"/>
            <w:vAlign w:val="center"/>
          </w:tcPr>
          <w:p w14:paraId="1A0900E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源强</w:t>
            </w:r>
          </w:p>
        </w:tc>
        <w:tc>
          <w:tcPr>
            <w:tcW w:w="4362" w:type="pct"/>
            <w:gridSpan w:val="7"/>
            <w:vAlign w:val="center"/>
          </w:tcPr>
          <w:p w14:paraId="13E1F9E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100dB（A）</w:t>
            </w:r>
          </w:p>
        </w:tc>
      </w:tr>
      <w:tr w14:paraId="68FF9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pct"/>
            <w:vAlign w:val="center"/>
          </w:tcPr>
          <w:p w14:paraId="2D340E1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距离</w:t>
            </w:r>
          </w:p>
        </w:tc>
        <w:tc>
          <w:tcPr>
            <w:tcW w:w="576" w:type="pct"/>
            <w:vAlign w:val="center"/>
          </w:tcPr>
          <w:p w14:paraId="63BAFDC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c>
          <w:tcPr>
            <w:tcW w:w="556" w:type="pct"/>
            <w:vAlign w:val="center"/>
          </w:tcPr>
          <w:p w14:paraId="3FAED15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50</w:t>
            </w:r>
          </w:p>
        </w:tc>
        <w:tc>
          <w:tcPr>
            <w:tcW w:w="576" w:type="pct"/>
            <w:vAlign w:val="center"/>
          </w:tcPr>
          <w:p w14:paraId="5FB08F40">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80</w:t>
            </w:r>
          </w:p>
        </w:tc>
        <w:tc>
          <w:tcPr>
            <w:tcW w:w="606" w:type="pct"/>
            <w:vAlign w:val="center"/>
          </w:tcPr>
          <w:p w14:paraId="6F7D0C8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100</w:t>
            </w:r>
          </w:p>
        </w:tc>
        <w:tc>
          <w:tcPr>
            <w:tcW w:w="752" w:type="pct"/>
            <w:vAlign w:val="center"/>
          </w:tcPr>
          <w:p w14:paraId="3E6E0C8C">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120</w:t>
            </w:r>
          </w:p>
        </w:tc>
        <w:tc>
          <w:tcPr>
            <w:tcW w:w="674" w:type="pct"/>
            <w:vAlign w:val="center"/>
          </w:tcPr>
          <w:p w14:paraId="672CE4BD">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150</w:t>
            </w:r>
          </w:p>
        </w:tc>
        <w:tc>
          <w:tcPr>
            <w:tcW w:w="619" w:type="pct"/>
            <w:vAlign w:val="center"/>
          </w:tcPr>
          <w:p w14:paraId="5205175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200</w:t>
            </w:r>
          </w:p>
        </w:tc>
      </w:tr>
      <w:tr w14:paraId="511ECB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pct"/>
            <w:vAlign w:val="center"/>
          </w:tcPr>
          <w:p w14:paraId="7CCB731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贡献值</w:t>
            </w:r>
          </w:p>
        </w:tc>
        <w:tc>
          <w:tcPr>
            <w:tcW w:w="576" w:type="pct"/>
            <w:vAlign w:val="center"/>
          </w:tcPr>
          <w:p w14:paraId="47A709E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63.46</w:t>
            </w:r>
          </w:p>
        </w:tc>
        <w:tc>
          <w:tcPr>
            <w:tcW w:w="556" w:type="pct"/>
            <w:vAlign w:val="center"/>
          </w:tcPr>
          <w:p w14:paraId="201E4C6F">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59.02</w:t>
            </w:r>
          </w:p>
        </w:tc>
        <w:tc>
          <w:tcPr>
            <w:tcW w:w="576" w:type="pct"/>
            <w:vAlign w:val="center"/>
          </w:tcPr>
          <w:p w14:paraId="4E863D74">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54.94</w:t>
            </w:r>
          </w:p>
        </w:tc>
        <w:tc>
          <w:tcPr>
            <w:tcW w:w="606" w:type="pct"/>
            <w:vAlign w:val="center"/>
          </w:tcPr>
          <w:p w14:paraId="48FB7BB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53.00</w:t>
            </w:r>
          </w:p>
        </w:tc>
        <w:tc>
          <w:tcPr>
            <w:tcW w:w="752" w:type="pct"/>
            <w:vAlign w:val="center"/>
          </w:tcPr>
          <w:p w14:paraId="3D3199A8">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51.42</w:t>
            </w:r>
          </w:p>
        </w:tc>
        <w:tc>
          <w:tcPr>
            <w:tcW w:w="674" w:type="pct"/>
            <w:vAlign w:val="center"/>
          </w:tcPr>
          <w:p w14:paraId="4F100291">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49.48</w:t>
            </w:r>
          </w:p>
        </w:tc>
        <w:tc>
          <w:tcPr>
            <w:tcW w:w="619" w:type="pct"/>
            <w:vAlign w:val="center"/>
          </w:tcPr>
          <w:p w14:paraId="78DA388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46.98</w:t>
            </w:r>
          </w:p>
        </w:tc>
      </w:tr>
    </w:tbl>
    <w:p w14:paraId="376C460B">
      <w:pPr>
        <w:spacing w:line="360" w:lineRule="auto"/>
        <w:ind w:firstLine="48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根据《</w:t>
      </w:r>
      <w:r>
        <w:rPr>
          <w:rFonts w:hint="eastAsia" w:ascii="Times New Roman" w:hAnsi="Times New Roman" w:cs="Times New Roman"/>
          <w:snapToGrid w:val="0"/>
          <w:color w:val="auto"/>
          <w:sz w:val="24"/>
          <w:szCs w:val="24"/>
          <w:highlight w:val="none"/>
          <w:lang w:eastAsia="zh-CN"/>
        </w:rPr>
        <w:t>建筑施工噪声排放标准</w:t>
      </w:r>
      <w:r>
        <w:rPr>
          <w:rFonts w:hint="default" w:ascii="Times New Roman" w:hAnsi="Times New Roman" w:eastAsia="宋体" w:cs="Times New Roman"/>
          <w:snapToGrid w:val="0"/>
          <w:color w:val="auto"/>
          <w:sz w:val="24"/>
          <w:szCs w:val="24"/>
          <w:highlight w:val="none"/>
        </w:rPr>
        <w:t>》（</w:t>
      </w:r>
      <w:r>
        <w:rPr>
          <w:rFonts w:hint="eastAsia" w:ascii="Times New Roman" w:hAnsi="Times New Roman" w:cs="Times New Roman"/>
          <w:snapToGrid w:val="0"/>
          <w:color w:val="auto"/>
          <w:sz w:val="24"/>
          <w:szCs w:val="24"/>
          <w:highlight w:val="none"/>
          <w:lang w:eastAsia="zh-CN"/>
        </w:rPr>
        <w:t>GB12523-2025</w:t>
      </w:r>
      <w:r>
        <w:rPr>
          <w:rFonts w:hint="default" w:ascii="Times New Roman" w:hAnsi="Times New Roman" w:eastAsia="宋体" w:cs="Times New Roman"/>
          <w:snapToGrid w:val="0"/>
          <w:color w:val="auto"/>
          <w:sz w:val="24"/>
          <w:szCs w:val="24"/>
          <w:highlight w:val="none"/>
        </w:rPr>
        <w:t>）的规定，施工噪声控制在昼间70dB（A），夜间控制在55dB（A）。</w:t>
      </w:r>
    </w:p>
    <w:p w14:paraId="342C3D52">
      <w:pPr>
        <w:spacing w:line="360" w:lineRule="auto"/>
        <w:ind w:firstLine="48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4"/>
          <w:szCs w:val="24"/>
          <w:highlight w:val="none"/>
        </w:rPr>
        <w:t>项目施工机械最大声功率级按100dB（A）计算，白天衰减至70dB（A）时需要满足的衰减距离为30m，夜间衰减至55dB（A）时需要满足的衰减距离为230m。</w:t>
      </w:r>
      <w:r>
        <w:rPr>
          <w:rFonts w:hint="default" w:ascii="Times New Roman" w:hAnsi="Times New Roman" w:eastAsia="宋体" w:cs="Times New Roman"/>
          <w:snapToGrid w:val="0"/>
          <w:color w:val="auto"/>
          <w:sz w:val="24"/>
          <w:szCs w:val="24"/>
          <w:highlight w:val="none"/>
          <w:lang w:val="en-US" w:eastAsia="zh-CN"/>
        </w:rPr>
        <w:t>本项目</w:t>
      </w:r>
      <w:r>
        <w:rPr>
          <w:rFonts w:hint="default" w:ascii="Times New Roman" w:hAnsi="Times New Roman" w:eastAsia="宋体" w:cs="Times New Roman"/>
          <w:snapToGrid w:val="0"/>
          <w:color w:val="auto"/>
          <w:sz w:val="24"/>
          <w:szCs w:val="24"/>
          <w:highlight w:val="none"/>
        </w:rPr>
        <w:t>严格控制夜间不施工的前提下，采用低噪声设备、对设备进行隔声、减振处理，本项目施工期间产生的噪声不会对周围环境造成明显影响，其施工场界声环境可满足《</w:t>
      </w:r>
      <w:r>
        <w:rPr>
          <w:rFonts w:hint="eastAsia" w:ascii="Times New Roman" w:hAnsi="Times New Roman" w:cs="Times New Roman"/>
          <w:snapToGrid w:val="0"/>
          <w:color w:val="auto"/>
          <w:sz w:val="24"/>
          <w:szCs w:val="24"/>
          <w:highlight w:val="none"/>
          <w:lang w:eastAsia="zh-CN"/>
        </w:rPr>
        <w:t>建筑施工噪声排放标准</w:t>
      </w:r>
      <w:r>
        <w:rPr>
          <w:rFonts w:hint="default" w:ascii="Times New Roman" w:hAnsi="Times New Roman" w:eastAsia="宋体" w:cs="Times New Roman"/>
          <w:snapToGrid w:val="0"/>
          <w:color w:val="auto"/>
          <w:sz w:val="24"/>
          <w:szCs w:val="24"/>
          <w:highlight w:val="none"/>
        </w:rPr>
        <w:t>》（</w:t>
      </w:r>
      <w:r>
        <w:rPr>
          <w:rFonts w:hint="eastAsia" w:ascii="Times New Roman" w:hAnsi="Times New Roman" w:cs="Times New Roman"/>
          <w:snapToGrid w:val="0"/>
          <w:color w:val="auto"/>
          <w:sz w:val="24"/>
          <w:szCs w:val="24"/>
          <w:highlight w:val="none"/>
          <w:lang w:eastAsia="zh-CN"/>
        </w:rPr>
        <w:t>GB12523-2025</w:t>
      </w:r>
      <w:r>
        <w:rPr>
          <w:rFonts w:hint="default" w:ascii="Times New Roman" w:hAnsi="Times New Roman" w:eastAsia="宋体" w:cs="Times New Roman"/>
          <w:snapToGrid w:val="0"/>
          <w:color w:val="auto"/>
          <w:sz w:val="24"/>
          <w:szCs w:val="24"/>
          <w:highlight w:val="none"/>
        </w:rPr>
        <w:t>）要求，对区域声环境不会产生显著性不良影响。</w:t>
      </w:r>
    </w:p>
    <w:p w14:paraId="605F1EE8">
      <w:pPr>
        <w:pStyle w:val="7"/>
        <w:rPr>
          <w:rFonts w:hint="default" w:ascii="Times New Roman" w:hAnsi="Times New Roman" w:eastAsia="宋体" w:cs="Times New Roman"/>
          <w:snapToGrid w:val="0"/>
          <w:color w:val="auto"/>
          <w:highlight w:val="none"/>
        </w:rPr>
      </w:pPr>
      <w:bookmarkStart w:id="709" w:name="_Toc18121"/>
      <w:bookmarkStart w:id="710" w:name="_Toc29678"/>
      <w:bookmarkStart w:id="711" w:name="_Toc15572"/>
      <w:bookmarkStart w:id="712" w:name="_Toc12756"/>
      <w:r>
        <w:rPr>
          <w:rFonts w:hint="default" w:ascii="Times New Roman" w:hAnsi="Times New Roman" w:eastAsia="宋体" w:cs="Times New Roman"/>
          <w:snapToGrid w:val="0"/>
          <w:color w:val="auto"/>
          <w:highlight w:val="none"/>
        </w:rPr>
        <w:t>5.1.4固体废物影响分析</w:t>
      </w:r>
      <w:bookmarkEnd w:id="709"/>
      <w:bookmarkEnd w:id="710"/>
      <w:bookmarkEnd w:id="711"/>
      <w:bookmarkEnd w:id="712"/>
    </w:p>
    <w:p w14:paraId="7063A643">
      <w:pPr>
        <w:spacing w:line="360" w:lineRule="auto"/>
        <w:ind w:firstLine="48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施工期间产生的废弃物主要是废弃的建筑材料、生活垃圾和弃土。对剩余建筑材料应进行回收或分类收集，建筑垃圾要及时清运、加以利用；施工人员产生的生活垃圾不要和建筑垃圾混放，定时清运到当地的垃圾处理站集中处理；本项目产生的土方主要为土地平整及挖地基时产生的少许土方，回填外平整场地</w:t>
      </w:r>
      <w:r>
        <w:rPr>
          <w:rFonts w:hint="eastAsia"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无弃土产生，对周围环境影响较小。</w:t>
      </w:r>
    </w:p>
    <w:p w14:paraId="13734C7C">
      <w:pPr>
        <w:spacing w:line="360" w:lineRule="auto"/>
        <w:ind w:firstLine="48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通过以上措施，项目建设产生的固体废物得到了妥善处置，施工期间对周围环境造成的短暂影响可以接受。</w:t>
      </w:r>
    </w:p>
    <w:p w14:paraId="1362DE56">
      <w:pPr>
        <w:pStyle w:val="7"/>
        <w:rPr>
          <w:rFonts w:hint="default" w:ascii="Times New Roman" w:hAnsi="Times New Roman" w:eastAsia="宋体" w:cs="Times New Roman"/>
          <w:snapToGrid w:val="0"/>
          <w:color w:val="auto"/>
          <w:highlight w:val="none"/>
        </w:rPr>
      </w:pPr>
      <w:bookmarkStart w:id="713" w:name="_Toc30487"/>
      <w:bookmarkStart w:id="714" w:name="_Toc23999"/>
      <w:bookmarkStart w:id="715" w:name="_Toc16488"/>
      <w:bookmarkStart w:id="716" w:name="_Toc29651"/>
      <w:r>
        <w:rPr>
          <w:rFonts w:hint="default" w:ascii="Times New Roman" w:hAnsi="Times New Roman" w:eastAsia="宋体" w:cs="Times New Roman"/>
          <w:snapToGrid w:val="0"/>
          <w:color w:val="auto"/>
          <w:highlight w:val="none"/>
        </w:rPr>
        <w:t>5.1.5</w:t>
      </w:r>
      <w:bookmarkEnd w:id="713"/>
      <w:bookmarkEnd w:id="714"/>
      <w:bookmarkEnd w:id="715"/>
      <w:bookmarkEnd w:id="716"/>
      <w:r>
        <w:rPr>
          <w:rFonts w:hint="default" w:ascii="Times New Roman" w:hAnsi="Times New Roman" w:cs="Times New Roman"/>
          <w:snapToGrid w:val="0"/>
          <w:color w:val="auto"/>
          <w:highlight w:val="none"/>
        </w:rPr>
        <w:t>生态环境影响分析</w:t>
      </w:r>
    </w:p>
    <w:p w14:paraId="24AA104D">
      <w:pPr>
        <w:spacing w:line="360" w:lineRule="auto"/>
        <w:ind w:firstLine="480"/>
        <w:jc w:val="both"/>
        <w:rPr>
          <w:rFonts w:hint="default" w:ascii="Times New Roman" w:hAnsi="Times New Roman" w:cs="Times New Roman"/>
          <w:color w:val="auto"/>
          <w:highlight w:val="none"/>
        </w:rPr>
      </w:pPr>
      <w:bookmarkStart w:id="717" w:name="_Toc879"/>
      <w:bookmarkStart w:id="718" w:name="_Toc415146703"/>
      <w:bookmarkStart w:id="719" w:name="_Toc480447671"/>
      <w:bookmarkStart w:id="720" w:name="_Toc428"/>
      <w:bookmarkStart w:id="721" w:name="_Toc4811"/>
      <w:bookmarkStart w:id="722" w:name="_Toc6991"/>
      <w:r>
        <w:rPr>
          <w:rFonts w:hint="default" w:ascii="Times New Roman" w:hAnsi="Times New Roman" w:cs="Times New Roman"/>
          <w:color w:val="auto"/>
          <w:sz w:val="24"/>
          <w:highlight w:val="none"/>
        </w:rPr>
        <w:t>本项目为</w:t>
      </w:r>
      <w:r>
        <w:rPr>
          <w:rFonts w:hint="eastAsia" w:ascii="Times New Roman" w:hAnsi="Times New Roman" w:cs="Times New Roman"/>
          <w:color w:val="auto"/>
          <w:sz w:val="24"/>
          <w:highlight w:val="none"/>
          <w:lang w:val="en-US" w:eastAsia="zh-CN"/>
        </w:rPr>
        <w:t>扩</w:t>
      </w:r>
      <w:r>
        <w:rPr>
          <w:rFonts w:hint="eastAsia" w:ascii="Times New Roman" w:hAnsi="Times New Roman" w:cs="Times New Roman"/>
          <w:color w:val="auto"/>
          <w:sz w:val="24"/>
          <w:highlight w:val="none"/>
          <w:lang w:eastAsia="zh-CN"/>
        </w:rPr>
        <w:t>建项目</w:t>
      </w:r>
      <w:r>
        <w:rPr>
          <w:rFonts w:hint="default" w:ascii="Times New Roman" w:hAnsi="Times New Roman" w:cs="Times New Roman"/>
          <w:color w:val="auto"/>
          <w:sz w:val="24"/>
          <w:highlight w:val="none"/>
        </w:rPr>
        <w:t>，此次扩建位于原养殖场占地范围内，不新增用地面积。</w:t>
      </w:r>
      <w:r>
        <w:rPr>
          <w:rFonts w:hint="default" w:ascii="Times New Roman" w:hAnsi="Times New Roman" w:cs="Times New Roman"/>
          <w:color w:val="auto"/>
          <w:kern w:val="0"/>
          <w:sz w:val="24"/>
          <w:highlight w:val="none"/>
          <w:lang w:bidi="ar"/>
        </w:rPr>
        <w:t>施工前期主要任务是平整土地，清理地表植被及杂物，地表植被被破坏，破坏景观。植被破坏后，土壤无植被覆盖，土壤必将受到外界的干扰，使表层土壤瘠薄，土体构型、理化性质地发生变化。</w:t>
      </w:r>
    </w:p>
    <w:p w14:paraId="5F7C962F">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施工过程水土流失的危害主要表现在：</w:t>
      </w:r>
    </w:p>
    <w:p w14:paraId="77FC3911">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表土流失，破坏土体构型。正常的自然土壤具有A、B和C层等发生层次，土壤侵蚀致使土壤流失，土层变薄，土镶发生层次缺失，破坏了土体结构。</w:t>
      </w:r>
    </w:p>
    <w:p w14:paraId="2C8F8A44">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土壤养分流失，降低土壤肥力。土壤无论受到何种形式干扰，首先破坏肥力最高、养分最多、结构最好的表层土攘，土壤有机质、全氮、全磷含量随着土壤侵蚀强度的加剧而降低。</w:t>
      </w:r>
    </w:p>
    <w:p w14:paraId="53471D96">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建设过程中，由于地表清理，土地平整，建筑机械和运输车辆所产生的噪声、扬尘，建材处理和使用过程中产生的废弃物，使该地区生物多样性等生态因子受到影响。建设需进行挖方、填方等，施工扰动用地导致地表裸露，容易引起水土流失。</w:t>
      </w:r>
    </w:p>
    <w:p w14:paraId="2E1E153D">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在施工作业前，编制施工进度表，合理施工，采取边挖边布设，边回填恢复的方法，不得在施工现场长时间堆施物料。施工期应严格将活动范围控制在本项目用地范围内，不占用其它土地，避免破坏周边植被；尽量减少在雨季施工，防止水土流失；对于产生临时堆弃的土方，要采取临时拦挡措施，以防止造成水土流失。通过采取上述措施可将本项目施工期对土地的扰动降到最低。随着工程的竣工投产和土地固化，水土流失现象将逐渐消失。</w:t>
      </w:r>
    </w:p>
    <w:p w14:paraId="0882A176">
      <w:pPr>
        <w:spacing w:line="360" w:lineRule="auto"/>
        <w:ind w:firstLine="480"/>
        <w:jc w:val="both"/>
        <w:rPr>
          <w:rFonts w:hint="default" w:ascii="Times New Roman" w:hAnsi="Times New Roman" w:cs="Times New Roman"/>
          <w:snapToGrid w:val="0"/>
          <w:color w:val="auto"/>
          <w:highlight w:val="none"/>
        </w:rPr>
      </w:pPr>
      <w:r>
        <w:rPr>
          <w:rFonts w:hint="default" w:ascii="Times New Roman" w:hAnsi="Times New Roman" w:cs="Times New Roman"/>
          <w:color w:val="auto"/>
          <w:highlight w:val="none"/>
        </w:rPr>
        <w:t>通过严格的施工管理，对施工期间产生的水土流失进行控制，则项目施工期不会对周围生态环境产生明显影响。</w:t>
      </w:r>
    </w:p>
    <w:p w14:paraId="26EDCAA2">
      <w:pPr>
        <w:pStyle w:val="5"/>
        <w:rPr>
          <w:rFonts w:hint="default" w:ascii="Times New Roman" w:hAnsi="Times New Roman" w:eastAsia="宋体" w:cs="Times New Roman"/>
          <w:snapToGrid w:val="0"/>
          <w:color w:val="auto"/>
          <w:highlight w:val="none"/>
        </w:rPr>
      </w:pPr>
      <w:bookmarkStart w:id="723" w:name="_Toc20090"/>
      <w:r>
        <w:rPr>
          <w:rFonts w:hint="default" w:ascii="Times New Roman" w:hAnsi="Times New Roman" w:eastAsia="宋体" w:cs="Times New Roman"/>
          <w:snapToGrid w:val="0"/>
          <w:color w:val="auto"/>
          <w:highlight w:val="none"/>
        </w:rPr>
        <w:t>5.2运行期环境影响预测评价</w:t>
      </w:r>
      <w:bookmarkEnd w:id="717"/>
      <w:bookmarkEnd w:id="718"/>
      <w:bookmarkEnd w:id="719"/>
      <w:bookmarkEnd w:id="720"/>
      <w:bookmarkEnd w:id="721"/>
      <w:bookmarkEnd w:id="722"/>
      <w:bookmarkEnd w:id="723"/>
    </w:p>
    <w:p w14:paraId="0A064B08">
      <w:pPr>
        <w:pStyle w:val="7"/>
        <w:rPr>
          <w:rFonts w:hint="default" w:ascii="Times New Roman" w:hAnsi="Times New Roman" w:eastAsia="宋体" w:cs="Times New Roman"/>
          <w:snapToGrid w:val="0"/>
          <w:color w:val="auto"/>
          <w:highlight w:val="none"/>
        </w:rPr>
      </w:pPr>
      <w:bookmarkStart w:id="724" w:name="_Toc28376"/>
      <w:bookmarkStart w:id="725" w:name="_Toc27585"/>
      <w:bookmarkStart w:id="726" w:name="_Toc17250"/>
      <w:bookmarkStart w:id="727" w:name="_Toc11539"/>
      <w:r>
        <w:rPr>
          <w:rFonts w:hint="default" w:ascii="Times New Roman" w:hAnsi="Times New Roman" w:eastAsia="宋体" w:cs="Times New Roman"/>
          <w:snapToGrid w:val="0"/>
          <w:color w:val="auto"/>
          <w:highlight w:val="none"/>
        </w:rPr>
        <w:t>5.2.1大气环境影响分析</w:t>
      </w:r>
      <w:bookmarkEnd w:id="724"/>
      <w:bookmarkEnd w:id="725"/>
      <w:bookmarkEnd w:id="726"/>
      <w:bookmarkEnd w:id="727"/>
    </w:p>
    <w:p w14:paraId="2E8C16C8">
      <w:pPr>
        <w:pStyle w:val="94"/>
        <w:ind w:firstLine="480"/>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snapToGrid w:val="0"/>
          <w:color w:val="auto"/>
          <w:highlight w:val="none"/>
        </w:rPr>
        <w:t>1、正常工况</w:t>
      </w:r>
      <w:r>
        <w:rPr>
          <w:rFonts w:hint="default" w:ascii="Times New Roman" w:hAnsi="Times New Roman" w:eastAsia="宋体" w:cs="Times New Roman"/>
          <w:color w:val="auto"/>
          <w:sz w:val="24"/>
          <w:highlight w:val="none"/>
        </w:rPr>
        <w:t>污染物排放量核算</w:t>
      </w:r>
    </w:p>
    <w:p w14:paraId="72037863">
      <w:pPr>
        <w:pStyle w:val="94"/>
        <w:ind w:firstLine="480"/>
        <w:rPr>
          <w:rFonts w:hint="default" w:ascii="Times New Roman" w:hAnsi="Times New Roman" w:eastAsia="宋体" w:cs="Times New Roman"/>
          <w:snapToGrid w:val="0"/>
          <w:color w:val="auto"/>
          <w:highlight w:val="none"/>
          <w:lang w:val="zh-CN" w:eastAsia="zh-CN"/>
        </w:rPr>
      </w:pPr>
      <w:r>
        <w:rPr>
          <w:rFonts w:hint="default" w:ascii="Times New Roman" w:hAnsi="Times New Roman" w:eastAsia="宋体" w:cs="Times New Roman"/>
          <w:snapToGrid w:val="0"/>
          <w:color w:val="auto"/>
          <w:highlight w:val="none"/>
        </w:rPr>
        <w:t>根据《环境影响评价技术导则 大气环境》（HJ2.2-2018）中附录A推荐的估算模式进行计算，</w:t>
      </w:r>
      <w:r>
        <w:rPr>
          <w:rFonts w:hint="default" w:ascii="Times New Roman" w:hAnsi="Times New Roman" w:eastAsia="宋体" w:cs="Times New Roman"/>
          <w:snapToGrid w:val="0"/>
          <w:color w:val="auto"/>
          <w:highlight w:val="none"/>
          <w:lang w:val="zh-CN"/>
        </w:rPr>
        <w:t>综合以上分析，</w:t>
      </w:r>
      <w:r>
        <w:rPr>
          <w:rFonts w:hint="default" w:ascii="Times New Roman" w:hAnsi="Times New Roman" w:eastAsia="宋体" w:cs="Times New Roman"/>
          <w:snapToGrid w:val="0"/>
          <w:color w:val="auto"/>
          <w:highlight w:val="none"/>
        </w:rPr>
        <w:t>本项目Pmax最大值出现为</w:t>
      </w:r>
      <w:r>
        <w:rPr>
          <w:rFonts w:hint="eastAsia" w:ascii="Times New Roman" w:hAnsi="Times New Roman" w:cs="Times New Roman"/>
          <w:snapToGrid w:val="0"/>
          <w:color w:val="auto"/>
          <w:highlight w:val="none"/>
          <w:lang w:val="en-US" w:eastAsia="zh-CN"/>
        </w:rPr>
        <w:t>猪舍H</w:t>
      </w:r>
      <w:r>
        <w:rPr>
          <w:rFonts w:hint="eastAsia" w:ascii="Times New Roman" w:hAnsi="Times New Roman" w:cs="Times New Roman"/>
          <w:snapToGrid w:val="0"/>
          <w:color w:val="auto"/>
          <w:highlight w:val="none"/>
          <w:vertAlign w:val="subscript"/>
          <w:lang w:val="en-US" w:eastAsia="zh-CN"/>
        </w:rPr>
        <w:t>2</w:t>
      </w:r>
      <w:r>
        <w:rPr>
          <w:rFonts w:hint="eastAsia" w:ascii="Times New Roman" w:hAnsi="Times New Roman" w:cs="Times New Roman"/>
          <w:snapToGrid w:val="0"/>
          <w:color w:val="auto"/>
          <w:highlight w:val="none"/>
          <w:lang w:val="en-US" w:eastAsia="zh-CN"/>
        </w:rPr>
        <w:t>S Pmax</w:t>
      </w:r>
      <w:r>
        <w:rPr>
          <w:rFonts w:hint="default" w:ascii="Times New Roman" w:hAnsi="Times New Roman" w:eastAsia="宋体" w:cs="Times New Roman"/>
          <w:snapToGrid w:val="0"/>
          <w:color w:val="auto"/>
          <w:highlight w:val="none"/>
        </w:rPr>
        <w:t>值为</w:t>
      </w:r>
      <w:r>
        <w:rPr>
          <w:rFonts w:hint="eastAsia" w:ascii="Times New Roman" w:hAnsi="Times New Roman" w:cs="Times New Roman"/>
          <w:snapToGrid w:val="0"/>
          <w:color w:val="auto"/>
          <w:highlight w:val="none"/>
          <w:lang w:val="en-US" w:eastAsia="zh-CN"/>
        </w:rPr>
        <w:t>7.37%</w:t>
      </w:r>
      <w:r>
        <w:rPr>
          <w:rFonts w:hint="default" w:ascii="Times New Roman" w:hAnsi="Times New Roman" w:eastAsia="宋体" w:cs="Times New Roman"/>
          <w:snapToGrid w:val="0"/>
          <w:color w:val="auto"/>
          <w:highlight w:val="none"/>
        </w:rPr>
        <w:t>，Cmax为</w:t>
      </w:r>
      <w:r>
        <w:rPr>
          <w:rFonts w:hint="eastAsia" w:ascii="Times New Roman" w:hAnsi="Times New Roman" w:cs="Times New Roman"/>
          <w:snapToGrid w:val="0"/>
          <w:color w:val="auto"/>
          <w:highlight w:val="none"/>
          <w:lang w:val="en-US" w:eastAsia="zh-CN"/>
        </w:rPr>
        <w:t>0.737</w:t>
      </w:r>
      <w:r>
        <w:rPr>
          <w:rFonts w:hint="default" w:ascii="Times New Roman" w:hAnsi="Times New Roman" w:eastAsia="宋体" w:cs="Times New Roman"/>
          <w:snapToGrid w:val="0"/>
          <w:color w:val="auto"/>
          <w:highlight w:val="none"/>
        </w:rPr>
        <w:t>μg/m³。</w:t>
      </w:r>
      <w:r>
        <w:rPr>
          <w:rFonts w:hint="default" w:ascii="Times New Roman" w:hAnsi="Times New Roman" w:eastAsia="宋体" w:cs="Times New Roman"/>
          <w:snapToGrid w:val="0"/>
          <w:color w:val="auto"/>
          <w:sz w:val="24"/>
          <w:szCs w:val="24"/>
          <w:highlight w:val="none"/>
        </w:rPr>
        <w:t>因此，本项目大气环境影响评价等级为二级。</w:t>
      </w:r>
      <w:r>
        <w:rPr>
          <w:rFonts w:hint="default" w:ascii="Times New Roman" w:hAnsi="Times New Roman" w:eastAsia="宋体" w:cs="Times New Roman"/>
          <w:snapToGrid w:val="0"/>
          <w:color w:val="auto"/>
          <w:highlight w:val="none"/>
        </w:rPr>
        <w:t>根据《环境影响评价技术导则 大气环境》（HJ2.2-2018）中要求，二级评价项目不进行进一步预测与评价，只对污染物排放量进行核算。本项目大气污染物排放量核算表见表5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，大气污染物年放量核算表见表5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，污染源非正常排放量核算表见表5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p w14:paraId="18ECF8F7">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大气污染物排放量核算表</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9"/>
        <w:gridCol w:w="510"/>
        <w:gridCol w:w="805"/>
        <w:gridCol w:w="873"/>
        <w:gridCol w:w="802"/>
        <w:gridCol w:w="1826"/>
        <w:gridCol w:w="1109"/>
        <w:gridCol w:w="954"/>
        <w:gridCol w:w="1155"/>
      </w:tblGrid>
      <w:tr w14:paraId="0C57F1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 w:type="pct"/>
            <w:noWrap w:val="0"/>
            <w:vAlign w:val="center"/>
          </w:tcPr>
          <w:p w14:paraId="2B4614C3">
            <w:pPr>
              <w:widowControl w:val="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污染物</w:t>
            </w:r>
          </w:p>
        </w:tc>
        <w:tc>
          <w:tcPr>
            <w:tcW w:w="772" w:type="pct"/>
            <w:gridSpan w:val="2"/>
            <w:noWrap w:val="0"/>
            <w:vAlign w:val="center"/>
          </w:tcPr>
          <w:p w14:paraId="3A3E7E96">
            <w:pPr>
              <w:widowControl/>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污染源</w:t>
            </w:r>
          </w:p>
        </w:tc>
        <w:tc>
          <w:tcPr>
            <w:tcW w:w="512" w:type="pct"/>
            <w:noWrap w:val="0"/>
            <w:vAlign w:val="center"/>
          </w:tcPr>
          <w:p w14:paraId="31D93248">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污染物</w:t>
            </w:r>
          </w:p>
        </w:tc>
        <w:tc>
          <w:tcPr>
            <w:tcW w:w="471" w:type="pct"/>
            <w:noWrap w:val="0"/>
            <w:vAlign w:val="center"/>
          </w:tcPr>
          <w:p w14:paraId="72BF11D3">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源强</w:t>
            </w:r>
          </w:p>
          <w:p w14:paraId="598E72FA">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rPr>
              <w:t>kg/h</w:t>
            </w:r>
          </w:p>
        </w:tc>
        <w:tc>
          <w:tcPr>
            <w:tcW w:w="1072" w:type="pct"/>
            <w:noWrap w:val="0"/>
            <w:vAlign w:val="center"/>
          </w:tcPr>
          <w:p w14:paraId="7549391B">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措施</w:t>
            </w:r>
          </w:p>
        </w:tc>
        <w:tc>
          <w:tcPr>
            <w:tcW w:w="651" w:type="pct"/>
            <w:noWrap w:val="0"/>
            <w:vAlign w:val="center"/>
          </w:tcPr>
          <w:p w14:paraId="65F48337">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排放量</w:t>
            </w:r>
          </w:p>
          <w:p w14:paraId="4286C5E3">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rPr>
              <w:t>kg/h</w:t>
            </w:r>
          </w:p>
        </w:tc>
        <w:tc>
          <w:tcPr>
            <w:tcW w:w="560" w:type="pct"/>
            <w:noWrap w:val="0"/>
            <w:vAlign w:val="center"/>
          </w:tcPr>
          <w:p w14:paraId="05C51F92">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排放</w:t>
            </w:r>
          </w:p>
          <w:p w14:paraId="4DDEC213">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方式</w:t>
            </w:r>
          </w:p>
        </w:tc>
        <w:tc>
          <w:tcPr>
            <w:tcW w:w="678" w:type="pct"/>
            <w:noWrap w:val="0"/>
            <w:vAlign w:val="center"/>
          </w:tcPr>
          <w:p w14:paraId="5DDFA7DB">
            <w:pPr>
              <w:widowControl/>
              <w:jc w:val="center"/>
              <w:rPr>
                <w:rFonts w:hint="default" w:ascii="Times New Roman" w:hAnsi="Times New Roman" w:eastAsia="宋体" w:cs="Times New Roman"/>
                <w:b/>
                <w:bCs w:val="0"/>
                <w:color w:val="auto"/>
                <w:kern w:val="2"/>
                <w:sz w:val="21"/>
                <w:szCs w:val="21"/>
                <w:highlight w:val="none"/>
                <w:lang w:val="de-DE"/>
              </w:rPr>
            </w:pPr>
            <w:r>
              <w:rPr>
                <w:rFonts w:hint="default" w:ascii="Times New Roman" w:hAnsi="Times New Roman" w:eastAsia="宋体" w:cs="Times New Roman"/>
                <w:b/>
                <w:bCs w:val="0"/>
                <w:color w:val="auto"/>
                <w:kern w:val="2"/>
                <w:sz w:val="21"/>
                <w:szCs w:val="21"/>
                <w:highlight w:val="none"/>
                <w:lang w:val="de-DE"/>
              </w:rPr>
              <w:t>排放标准</w:t>
            </w:r>
          </w:p>
        </w:tc>
      </w:tr>
      <w:tr w14:paraId="6ED9CE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 w:type="pct"/>
            <w:vMerge w:val="restart"/>
            <w:noWrap w:val="0"/>
            <w:vAlign w:val="center"/>
          </w:tcPr>
          <w:p w14:paraId="0501415A">
            <w:pPr>
              <w:widowControl w:val="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恶臭</w:t>
            </w:r>
          </w:p>
        </w:tc>
        <w:tc>
          <w:tcPr>
            <w:tcW w:w="772" w:type="pct"/>
            <w:gridSpan w:val="2"/>
            <w:vMerge w:val="restart"/>
            <w:noWrap w:val="0"/>
            <w:vAlign w:val="center"/>
          </w:tcPr>
          <w:p w14:paraId="28E07328">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养殖区</w:t>
            </w:r>
          </w:p>
          <w:p w14:paraId="024C6FF5">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（猪舍）</w:t>
            </w:r>
          </w:p>
        </w:tc>
        <w:tc>
          <w:tcPr>
            <w:tcW w:w="512" w:type="pct"/>
            <w:noWrap w:val="0"/>
            <w:vAlign w:val="center"/>
          </w:tcPr>
          <w:p w14:paraId="742803CC">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氨</w:t>
            </w:r>
          </w:p>
        </w:tc>
        <w:tc>
          <w:tcPr>
            <w:tcW w:w="471" w:type="pct"/>
            <w:noWrap w:val="0"/>
            <w:vAlign w:val="center"/>
          </w:tcPr>
          <w:p w14:paraId="30D4A83A">
            <w:pPr>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0.87</w:t>
            </w:r>
          </w:p>
        </w:tc>
        <w:tc>
          <w:tcPr>
            <w:tcW w:w="1072" w:type="pct"/>
            <w:vMerge w:val="restart"/>
            <w:noWrap w:val="0"/>
            <w:vAlign w:val="center"/>
          </w:tcPr>
          <w:p w14:paraId="4450A3AF">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加强通风、采用</w:t>
            </w:r>
            <w:r>
              <w:rPr>
                <w:rFonts w:hint="default" w:ascii="Times New Roman" w:hAnsi="Times New Roman" w:eastAsia="宋体" w:cs="Times New Roman"/>
                <w:color w:val="auto"/>
                <w:kern w:val="2"/>
                <w:sz w:val="21"/>
                <w:szCs w:val="21"/>
                <w:highlight w:val="none"/>
                <w:lang w:val="en-US" w:eastAsia="zh-CN"/>
              </w:rPr>
              <w:t>尿泡粪—</w:t>
            </w:r>
            <w:r>
              <w:rPr>
                <w:rFonts w:hint="default" w:ascii="Times New Roman" w:hAnsi="Times New Roman" w:eastAsia="宋体" w:cs="Times New Roman"/>
                <w:color w:val="auto"/>
                <w:kern w:val="2"/>
                <w:sz w:val="21"/>
                <w:szCs w:val="21"/>
                <w:highlight w:val="none"/>
              </w:rPr>
              <w:t>干清粪工艺、设计日粮组成</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spacing w:val="4"/>
                <w:kern w:val="2"/>
                <w:sz w:val="21"/>
                <w:szCs w:val="21"/>
                <w:highlight w:val="none"/>
              </w:rPr>
              <w:t>在日粮中添加</w:t>
            </w:r>
            <w:r>
              <w:rPr>
                <w:rFonts w:hint="default" w:ascii="Times New Roman" w:hAnsi="Times New Roman" w:eastAsia="宋体" w:cs="Times New Roman"/>
                <w:color w:val="auto"/>
                <w:kern w:val="2"/>
                <w:sz w:val="21"/>
                <w:szCs w:val="21"/>
                <w:highlight w:val="none"/>
              </w:rPr>
              <w:t>EM</w:t>
            </w:r>
            <w:r>
              <w:rPr>
                <w:rFonts w:hint="default" w:ascii="Times New Roman" w:hAnsi="Times New Roman" w:eastAsia="宋体" w:cs="Times New Roman"/>
                <w:color w:val="auto"/>
                <w:spacing w:val="4"/>
                <w:kern w:val="2"/>
                <w:sz w:val="21"/>
                <w:szCs w:val="21"/>
                <w:highlight w:val="none"/>
              </w:rPr>
              <w:t>菌</w:t>
            </w:r>
            <w:r>
              <w:rPr>
                <w:rFonts w:hint="default" w:ascii="Times New Roman" w:hAnsi="Times New Roman" w:eastAsia="宋体" w:cs="Times New Roman"/>
                <w:color w:val="auto"/>
                <w:kern w:val="2"/>
                <w:sz w:val="21"/>
                <w:szCs w:val="21"/>
                <w:highlight w:val="none"/>
              </w:rPr>
              <w:t>、加强对猪舍的清洁卫生管理、喷洒除臭剂除臭等措施</w:t>
            </w:r>
          </w:p>
        </w:tc>
        <w:tc>
          <w:tcPr>
            <w:tcW w:w="651" w:type="pct"/>
            <w:noWrap w:val="0"/>
            <w:vAlign w:val="center"/>
          </w:tcPr>
          <w:p w14:paraId="46E33423">
            <w:pPr>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0.0177</w:t>
            </w:r>
          </w:p>
        </w:tc>
        <w:tc>
          <w:tcPr>
            <w:tcW w:w="560" w:type="pct"/>
            <w:vMerge w:val="restart"/>
            <w:noWrap w:val="0"/>
            <w:vAlign w:val="center"/>
          </w:tcPr>
          <w:p w14:paraId="115FB0ED">
            <w:pPr>
              <w:widowControl/>
              <w:jc w:val="center"/>
              <w:rPr>
                <w:rFonts w:hint="default" w:ascii="Times New Roman" w:hAnsi="Times New Roman" w:eastAsia="宋体" w:cs="Times New Roman"/>
                <w:color w:val="auto"/>
                <w:kern w:val="2"/>
                <w:sz w:val="21"/>
                <w:szCs w:val="21"/>
                <w:highlight w:val="none"/>
                <w:lang w:val="de-DE"/>
              </w:rPr>
            </w:pPr>
            <w:r>
              <w:rPr>
                <w:rFonts w:hint="default" w:ascii="Times New Roman" w:hAnsi="Times New Roman" w:eastAsia="宋体" w:cs="Times New Roman"/>
                <w:color w:val="auto"/>
                <w:kern w:val="2"/>
                <w:sz w:val="21"/>
                <w:szCs w:val="21"/>
                <w:highlight w:val="none"/>
                <w:lang w:val="de-DE"/>
              </w:rPr>
              <w:t>无组织</w:t>
            </w:r>
          </w:p>
        </w:tc>
        <w:tc>
          <w:tcPr>
            <w:tcW w:w="678" w:type="pct"/>
            <w:noWrap w:val="0"/>
            <w:vAlign w:val="center"/>
          </w:tcPr>
          <w:p w14:paraId="5B8D423D">
            <w:pPr>
              <w:widowControl/>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厂界</w:t>
            </w:r>
            <w:r>
              <w:rPr>
                <w:rFonts w:hint="default" w:ascii="Times New Roman" w:hAnsi="Times New Roman" w:eastAsia="宋体" w:cs="Times New Roman"/>
                <w:color w:val="auto"/>
                <w:kern w:val="2"/>
                <w:sz w:val="21"/>
                <w:szCs w:val="21"/>
                <w:highlight w:val="none"/>
                <w:lang w:val="en-US" w:eastAsia="zh-CN"/>
              </w:rPr>
              <w:t>1.5</w:t>
            </w:r>
            <w:r>
              <w:rPr>
                <w:rFonts w:hint="default" w:ascii="Times New Roman" w:hAnsi="Times New Roman" w:eastAsia="宋体" w:cs="Times New Roman"/>
                <w:color w:val="auto"/>
                <w:kern w:val="2"/>
                <w:sz w:val="21"/>
                <w:szCs w:val="21"/>
                <w:highlight w:val="none"/>
                <w:lang w:eastAsia="zh-CN"/>
              </w:rPr>
              <w:t>mg/m</w:t>
            </w:r>
            <w:r>
              <w:rPr>
                <w:rFonts w:hint="default" w:ascii="Times New Roman" w:hAnsi="Times New Roman" w:eastAsia="宋体" w:cs="Times New Roman"/>
                <w:color w:val="auto"/>
                <w:kern w:val="18"/>
                <w:sz w:val="21"/>
                <w:szCs w:val="21"/>
                <w:highlight w:val="none"/>
                <w:vertAlign w:val="superscript"/>
                <w:lang w:eastAsia="zh-CN"/>
              </w:rPr>
              <w:t>3</w:t>
            </w:r>
          </w:p>
        </w:tc>
      </w:tr>
      <w:tr w14:paraId="52A17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7" w:hRule="atLeast"/>
          <w:jc w:val="center"/>
        </w:trPr>
        <w:tc>
          <w:tcPr>
            <w:tcW w:w="281" w:type="pct"/>
            <w:vMerge w:val="continue"/>
            <w:noWrap w:val="0"/>
            <w:vAlign w:val="center"/>
          </w:tcPr>
          <w:p w14:paraId="1CF19F41">
            <w:pPr>
              <w:widowControl w:val="0"/>
              <w:jc w:val="center"/>
              <w:rPr>
                <w:rFonts w:hint="default" w:ascii="Times New Roman" w:hAnsi="Times New Roman" w:eastAsia="宋体" w:cs="Times New Roman"/>
                <w:bCs/>
                <w:color w:val="auto"/>
                <w:kern w:val="2"/>
                <w:sz w:val="21"/>
                <w:szCs w:val="21"/>
                <w:highlight w:val="none"/>
              </w:rPr>
            </w:pPr>
          </w:p>
        </w:tc>
        <w:tc>
          <w:tcPr>
            <w:tcW w:w="772" w:type="pct"/>
            <w:gridSpan w:val="2"/>
            <w:vMerge w:val="continue"/>
            <w:noWrap w:val="0"/>
            <w:vAlign w:val="center"/>
          </w:tcPr>
          <w:p w14:paraId="3F036516">
            <w:pPr>
              <w:widowControl/>
              <w:jc w:val="center"/>
              <w:rPr>
                <w:rFonts w:hint="default" w:ascii="Times New Roman" w:hAnsi="Times New Roman" w:eastAsia="宋体" w:cs="Times New Roman"/>
                <w:color w:val="auto"/>
                <w:kern w:val="2"/>
                <w:sz w:val="21"/>
                <w:szCs w:val="21"/>
                <w:highlight w:val="none"/>
              </w:rPr>
            </w:pPr>
          </w:p>
        </w:tc>
        <w:tc>
          <w:tcPr>
            <w:tcW w:w="512" w:type="pct"/>
            <w:noWrap w:val="0"/>
            <w:vAlign w:val="center"/>
          </w:tcPr>
          <w:p w14:paraId="1EEABC02">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硫化氢</w:t>
            </w:r>
          </w:p>
        </w:tc>
        <w:tc>
          <w:tcPr>
            <w:tcW w:w="471" w:type="pct"/>
            <w:noWrap w:val="0"/>
            <w:vAlign w:val="center"/>
          </w:tcPr>
          <w:p w14:paraId="3E0D5E26">
            <w:pPr>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0.123</w:t>
            </w:r>
          </w:p>
        </w:tc>
        <w:tc>
          <w:tcPr>
            <w:tcW w:w="1072" w:type="pct"/>
            <w:vMerge w:val="continue"/>
            <w:noWrap w:val="0"/>
            <w:vAlign w:val="center"/>
          </w:tcPr>
          <w:p w14:paraId="4E37CD02">
            <w:pPr>
              <w:widowControl/>
              <w:jc w:val="center"/>
              <w:rPr>
                <w:rFonts w:hint="default" w:ascii="Times New Roman" w:hAnsi="Times New Roman" w:eastAsia="宋体" w:cs="Times New Roman"/>
                <w:color w:val="auto"/>
                <w:kern w:val="2"/>
                <w:sz w:val="21"/>
                <w:szCs w:val="21"/>
                <w:highlight w:val="none"/>
              </w:rPr>
            </w:pPr>
          </w:p>
        </w:tc>
        <w:tc>
          <w:tcPr>
            <w:tcW w:w="651" w:type="pct"/>
            <w:noWrap w:val="0"/>
            <w:vAlign w:val="center"/>
          </w:tcPr>
          <w:p w14:paraId="414E5A3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0.0025</w:t>
            </w:r>
          </w:p>
        </w:tc>
        <w:tc>
          <w:tcPr>
            <w:tcW w:w="560" w:type="pct"/>
            <w:vMerge w:val="continue"/>
            <w:noWrap w:val="0"/>
            <w:vAlign w:val="center"/>
          </w:tcPr>
          <w:p w14:paraId="3B6ACB14">
            <w:pPr>
              <w:widowControl/>
              <w:jc w:val="center"/>
              <w:rPr>
                <w:rFonts w:hint="default" w:ascii="Times New Roman" w:hAnsi="Times New Roman" w:eastAsia="宋体" w:cs="Times New Roman"/>
                <w:color w:val="auto"/>
                <w:kern w:val="2"/>
                <w:sz w:val="21"/>
                <w:szCs w:val="21"/>
                <w:highlight w:val="none"/>
                <w:lang w:val="de-DE"/>
              </w:rPr>
            </w:pPr>
          </w:p>
        </w:tc>
        <w:tc>
          <w:tcPr>
            <w:tcW w:w="678" w:type="pct"/>
            <w:noWrap w:val="0"/>
            <w:vAlign w:val="center"/>
          </w:tcPr>
          <w:p w14:paraId="2FC2924E">
            <w:pPr>
              <w:widowControl/>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厂界0.03</w:t>
            </w:r>
            <w:r>
              <w:rPr>
                <w:rFonts w:hint="default" w:ascii="Times New Roman" w:hAnsi="Times New Roman" w:eastAsia="宋体" w:cs="Times New Roman"/>
                <w:color w:val="auto"/>
                <w:kern w:val="18"/>
                <w:sz w:val="21"/>
                <w:szCs w:val="21"/>
                <w:highlight w:val="none"/>
                <w:lang w:eastAsia="zh-CN"/>
              </w:rPr>
              <w:t>m</w:t>
            </w:r>
            <w:r>
              <w:rPr>
                <w:rFonts w:hint="default" w:ascii="Times New Roman" w:hAnsi="Times New Roman" w:eastAsia="宋体" w:cs="Times New Roman"/>
                <w:color w:val="auto"/>
                <w:kern w:val="18"/>
                <w:sz w:val="21"/>
                <w:szCs w:val="21"/>
                <w:highlight w:val="none"/>
              </w:rPr>
              <w:t>g/</w:t>
            </w:r>
            <w:r>
              <w:rPr>
                <w:rFonts w:hint="default" w:ascii="Times New Roman" w:hAnsi="Times New Roman" w:eastAsia="宋体" w:cs="Times New Roman"/>
                <w:color w:val="auto"/>
                <w:kern w:val="18"/>
                <w:sz w:val="21"/>
                <w:szCs w:val="21"/>
                <w:highlight w:val="none"/>
                <w:vertAlign w:val="baseline"/>
                <w:lang w:eastAsia="zh-CN"/>
              </w:rPr>
              <w:t>m</w:t>
            </w:r>
            <w:r>
              <w:rPr>
                <w:rFonts w:hint="default" w:ascii="Times New Roman" w:hAnsi="Times New Roman" w:eastAsia="宋体" w:cs="Times New Roman"/>
                <w:color w:val="auto"/>
                <w:kern w:val="18"/>
                <w:sz w:val="21"/>
                <w:szCs w:val="21"/>
                <w:highlight w:val="none"/>
                <w:vertAlign w:val="superscript"/>
                <w:lang w:eastAsia="zh-CN"/>
              </w:rPr>
              <w:t>3</w:t>
            </w:r>
          </w:p>
        </w:tc>
      </w:tr>
      <w:tr w14:paraId="00188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281" w:type="pct"/>
            <w:vMerge w:val="continue"/>
            <w:noWrap w:val="0"/>
            <w:vAlign w:val="center"/>
          </w:tcPr>
          <w:p w14:paraId="6EEE9251">
            <w:pPr>
              <w:widowControl w:val="0"/>
              <w:jc w:val="center"/>
              <w:rPr>
                <w:rFonts w:hint="default" w:ascii="Times New Roman" w:hAnsi="Times New Roman" w:eastAsia="宋体" w:cs="Times New Roman"/>
                <w:bCs/>
                <w:color w:val="auto"/>
                <w:kern w:val="2"/>
                <w:sz w:val="21"/>
                <w:szCs w:val="21"/>
                <w:highlight w:val="none"/>
              </w:rPr>
            </w:pPr>
          </w:p>
        </w:tc>
        <w:tc>
          <w:tcPr>
            <w:tcW w:w="772" w:type="pct"/>
            <w:gridSpan w:val="2"/>
            <w:noWrap w:val="0"/>
            <w:vAlign w:val="center"/>
          </w:tcPr>
          <w:p w14:paraId="5D2A3EDE">
            <w:pPr>
              <w:widowControl/>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集粪池</w:t>
            </w:r>
            <w:r>
              <w:rPr>
                <w:rFonts w:hint="default" w:ascii="Times New Roman" w:hAnsi="Times New Roman" w:eastAsia="宋体" w:cs="Times New Roman"/>
                <w:color w:val="auto"/>
                <w:kern w:val="0"/>
                <w:sz w:val="21"/>
                <w:szCs w:val="21"/>
                <w:highlight w:val="none"/>
              </w:rPr>
              <w:t>、黑膜</w:t>
            </w:r>
            <w:r>
              <w:rPr>
                <w:rFonts w:hint="default" w:ascii="Times New Roman" w:hAnsi="Times New Roman" w:eastAsia="宋体" w:cs="Times New Roman"/>
                <w:color w:val="auto"/>
                <w:kern w:val="0"/>
                <w:sz w:val="21"/>
                <w:szCs w:val="21"/>
                <w:highlight w:val="none"/>
                <w:lang w:val="en-US" w:eastAsia="zh-CN"/>
              </w:rPr>
              <w:t>厌氧池</w:t>
            </w:r>
            <w:r>
              <w:rPr>
                <w:rFonts w:hint="eastAsia" w:ascii="Times New Roman" w:hAnsi="Times New Roman" w:cs="Times New Roman"/>
                <w:color w:val="auto"/>
                <w:kern w:val="0"/>
                <w:sz w:val="21"/>
                <w:szCs w:val="21"/>
                <w:highlight w:val="none"/>
                <w:lang w:val="en-US" w:eastAsia="zh-CN"/>
              </w:rPr>
              <w:t>、沼液贮存池</w:t>
            </w:r>
          </w:p>
        </w:tc>
        <w:tc>
          <w:tcPr>
            <w:tcW w:w="3946" w:type="pct"/>
            <w:gridSpan w:val="6"/>
            <w:noWrap w:val="0"/>
            <w:vAlign w:val="center"/>
          </w:tcPr>
          <w:p w14:paraId="6247ABB2">
            <w:pPr>
              <w:widowControl/>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val="en-US" w:eastAsia="zh-CN"/>
              </w:rPr>
              <w:t>集粪池</w:t>
            </w:r>
            <w:r>
              <w:rPr>
                <w:rFonts w:hint="default" w:ascii="Times New Roman" w:hAnsi="Times New Roman" w:eastAsia="宋体" w:cs="Times New Roman"/>
                <w:color w:val="auto"/>
                <w:kern w:val="0"/>
                <w:sz w:val="21"/>
                <w:szCs w:val="21"/>
                <w:highlight w:val="none"/>
              </w:rPr>
              <w:t>、黑膜</w:t>
            </w:r>
            <w:r>
              <w:rPr>
                <w:rFonts w:hint="default" w:ascii="Times New Roman" w:hAnsi="Times New Roman" w:eastAsia="宋体" w:cs="Times New Roman"/>
                <w:color w:val="auto"/>
                <w:kern w:val="0"/>
                <w:sz w:val="21"/>
                <w:szCs w:val="21"/>
                <w:highlight w:val="none"/>
                <w:lang w:val="en-US" w:eastAsia="zh-CN"/>
              </w:rPr>
              <w:t>厌氧池、沼液贮存池</w:t>
            </w:r>
            <w:r>
              <w:rPr>
                <w:rFonts w:hint="default" w:ascii="Times New Roman" w:hAnsi="Times New Roman" w:eastAsia="宋体" w:cs="Times New Roman"/>
                <w:color w:val="auto"/>
                <w:kern w:val="0"/>
                <w:sz w:val="21"/>
                <w:szCs w:val="21"/>
                <w:highlight w:val="none"/>
              </w:rPr>
              <w:t>均位于地下，全封闭，产生的气体为沼气，净化后</w:t>
            </w:r>
            <w:r>
              <w:rPr>
                <w:rFonts w:hint="default" w:ascii="Times New Roman" w:hAnsi="Times New Roman" w:eastAsia="宋体" w:cs="Times New Roman"/>
                <w:color w:val="auto"/>
                <w:kern w:val="2"/>
                <w:sz w:val="21"/>
                <w:szCs w:val="21"/>
                <w:highlight w:val="none"/>
                <w:lang w:bidi="ar"/>
              </w:rPr>
              <w:t>排空燃烧</w:t>
            </w:r>
          </w:p>
        </w:tc>
      </w:tr>
      <w:tr w14:paraId="7C0DE3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281" w:type="pct"/>
            <w:vMerge w:val="continue"/>
            <w:noWrap w:val="0"/>
            <w:vAlign w:val="center"/>
          </w:tcPr>
          <w:p w14:paraId="1D261798">
            <w:pPr>
              <w:widowControl w:val="0"/>
              <w:jc w:val="center"/>
              <w:rPr>
                <w:rFonts w:hint="default" w:ascii="Times New Roman" w:hAnsi="Times New Roman" w:eastAsia="宋体" w:cs="Times New Roman"/>
                <w:bCs/>
                <w:color w:val="auto"/>
                <w:kern w:val="2"/>
                <w:sz w:val="21"/>
                <w:szCs w:val="21"/>
                <w:highlight w:val="none"/>
              </w:rPr>
            </w:pPr>
          </w:p>
        </w:tc>
        <w:tc>
          <w:tcPr>
            <w:tcW w:w="299" w:type="pct"/>
            <w:vMerge w:val="restart"/>
            <w:noWrap w:val="0"/>
            <w:vAlign w:val="center"/>
          </w:tcPr>
          <w:p w14:paraId="04AE4D5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粪污贮存区</w:t>
            </w:r>
          </w:p>
        </w:tc>
        <w:tc>
          <w:tcPr>
            <w:tcW w:w="472" w:type="pct"/>
            <w:vMerge w:val="restart"/>
            <w:noWrap w:val="0"/>
            <w:vAlign w:val="center"/>
          </w:tcPr>
          <w:p w14:paraId="1678F15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有组织</w:t>
            </w:r>
          </w:p>
        </w:tc>
        <w:tc>
          <w:tcPr>
            <w:tcW w:w="512" w:type="pct"/>
            <w:noWrap w:val="0"/>
            <w:vAlign w:val="center"/>
          </w:tcPr>
          <w:p w14:paraId="6FD73D3A">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r>
              <w:rPr>
                <w:rFonts w:hint="default" w:ascii="Times New Roman" w:hAnsi="Times New Roman" w:eastAsia="宋体" w:cs="Times New Roman"/>
                <w:snapToGrid w:val="0"/>
                <w:color w:val="auto"/>
                <w:kern w:val="0"/>
                <w:sz w:val="21"/>
                <w:szCs w:val="21"/>
                <w:highlight w:val="none"/>
                <w:lang w:val="en-US" w:eastAsia="zh-CN" w:bidi="ar-SA"/>
              </w:rPr>
              <w:t>NH</w:t>
            </w:r>
            <w:r>
              <w:rPr>
                <w:rFonts w:hint="default" w:ascii="Times New Roman" w:hAnsi="Times New Roman" w:eastAsia="宋体" w:cs="Times New Roman"/>
                <w:snapToGrid w:val="0"/>
                <w:color w:val="auto"/>
                <w:kern w:val="0"/>
                <w:sz w:val="21"/>
                <w:szCs w:val="21"/>
                <w:highlight w:val="none"/>
                <w:vertAlign w:val="subscript"/>
                <w:lang w:val="en-US" w:eastAsia="zh-CN" w:bidi="ar-SA"/>
              </w:rPr>
              <w:t>3</w:t>
            </w:r>
          </w:p>
        </w:tc>
        <w:tc>
          <w:tcPr>
            <w:tcW w:w="471" w:type="pct"/>
            <w:noWrap w:val="0"/>
            <w:vAlign w:val="center"/>
          </w:tcPr>
          <w:p w14:paraId="6B7784DA">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0.0735</w:t>
            </w:r>
          </w:p>
        </w:tc>
        <w:tc>
          <w:tcPr>
            <w:tcW w:w="1072" w:type="pct"/>
            <w:vMerge w:val="restart"/>
            <w:noWrap w:val="0"/>
            <w:vAlign w:val="center"/>
          </w:tcPr>
          <w:p w14:paraId="2CAE77FD">
            <w:pPr>
              <w:widowControl/>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适当通风、及时翻堆、全封闭等措施</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4"/>
                <w:sz w:val="21"/>
                <w:szCs w:val="21"/>
                <w:highlight w:val="none"/>
                <w:lang w:eastAsia="zh-CN"/>
              </w:rPr>
              <w:t>以及通过收集经活性炭吸附装置净化后</w:t>
            </w:r>
            <w:r>
              <w:rPr>
                <w:rFonts w:hint="eastAsia" w:ascii="Times New Roman" w:hAnsi="Times New Roman" w:cs="Times New Roman"/>
                <w:color w:val="auto"/>
                <w:kern w:val="24"/>
                <w:sz w:val="21"/>
                <w:szCs w:val="21"/>
                <w:highlight w:val="none"/>
                <w:lang w:val="en-US" w:eastAsia="zh-CN"/>
              </w:rPr>
              <w:t>15m高排气筒</w:t>
            </w:r>
            <w:r>
              <w:rPr>
                <w:rFonts w:hint="default" w:ascii="Times New Roman" w:hAnsi="Times New Roman" w:eastAsia="宋体" w:cs="Times New Roman"/>
                <w:color w:val="auto"/>
                <w:kern w:val="24"/>
                <w:sz w:val="21"/>
                <w:szCs w:val="21"/>
                <w:highlight w:val="none"/>
                <w:lang w:eastAsia="zh-CN"/>
              </w:rPr>
              <w:t>排放</w:t>
            </w:r>
          </w:p>
        </w:tc>
        <w:tc>
          <w:tcPr>
            <w:tcW w:w="651" w:type="pct"/>
            <w:noWrap w:val="0"/>
            <w:vAlign w:val="center"/>
          </w:tcPr>
          <w:p w14:paraId="13AD2625">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0.00735</w:t>
            </w:r>
          </w:p>
        </w:tc>
        <w:tc>
          <w:tcPr>
            <w:tcW w:w="560" w:type="pct"/>
            <w:vMerge w:val="restart"/>
            <w:noWrap w:val="0"/>
            <w:vAlign w:val="center"/>
          </w:tcPr>
          <w:p w14:paraId="26896D35">
            <w:pPr>
              <w:widowControl/>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有组织</w:t>
            </w:r>
          </w:p>
        </w:tc>
        <w:tc>
          <w:tcPr>
            <w:tcW w:w="678" w:type="pct"/>
            <w:noWrap w:val="0"/>
            <w:vAlign w:val="center"/>
          </w:tcPr>
          <w:p w14:paraId="50D980F7">
            <w:pPr>
              <w:widowControl/>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4.9kg/h</w:t>
            </w:r>
          </w:p>
        </w:tc>
      </w:tr>
      <w:tr w14:paraId="52DBCF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81" w:type="pct"/>
            <w:vMerge w:val="continue"/>
            <w:noWrap w:val="0"/>
            <w:vAlign w:val="center"/>
          </w:tcPr>
          <w:p w14:paraId="3D50943E">
            <w:pPr>
              <w:widowControl w:val="0"/>
              <w:jc w:val="center"/>
              <w:rPr>
                <w:rFonts w:hint="default" w:ascii="Times New Roman" w:hAnsi="Times New Roman" w:eastAsia="宋体" w:cs="Times New Roman"/>
                <w:bCs/>
                <w:color w:val="auto"/>
                <w:kern w:val="2"/>
                <w:sz w:val="21"/>
                <w:szCs w:val="21"/>
                <w:highlight w:val="none"/>
              </w:rPr>
            </w:pPr>
          </w:p>
        </w:tc>
        <w:tc>
          <w:tcPr>
            <w:tcW w:w="299" w:type="pct"/>
            <w:vMerge w:val="continue"/>
            <w:noWrap w:val="0"/>
            <w:vAlign w:val="center"/>
          </w:tcPr>
          <w:p w14:paraId="5C928871">
            <w:pPr>
              <w:widowControl/>
              <w:jc w:val="center"/>
              <w:rPr>
                <w:rFonts w:hint="default" w:ascii="Times New Roman" w:hAnsi="Times New Roman" w:eastAsia="宋体" w:cs="Times New Roman"/>
                <w:color w:val="auto"/>
                <w:kern w:val="2"/>
                <w:sz w:val="21"/>
                <w:szCs w:val="21"/>
                <w:highlight w:val="none"/>
                <w:lang w:val="de-DE"/>
              </w:rPr>
            </w:pPr>
          </w:p>
        </w:tc>
        <w:tc>
          <w:tcPr>
            <w:tcW w:w="472" w:type="pct"/>
            <w:vMerge w:val="continue"/>
            <w:noWrap w:val="0"/>
            <w:vAlign w:val="center"/>
          </w:tcPr>
          <w:p w14:paraId="36955A3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512" w:type="pct"/>
            <w:noWrap w:val="0"/>
            <w:vAlign w:val="center"/>
          </w:tcPr>
          <w:p w14:paraId="4E54CDF7">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r>
              <w:rPr>
                <w:rFonts w:hint="default" w:ascii="Times New Roman" w:hAnsi="Times New Roman" w:eastAsia="宋体" w:cs="Times New Roman"/>
                <w:snapToGrid w:val="0"/>
                <w:color w:val="auto"/>
                <w:kern w:val="0"/>
                <w:sz w:val="21"/>
                <w:szCs w:val="21"/>
                <w:highlight w:val="none"/>
                <w:lang w:val="en-US" w:eastAsia="zh-CN" w:bidi="ar-SA"/>
              </w:rPr>
              <w:t>H</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S</w:t>
            </w:r>
          </w:p>
        </w:tc>
        <w:tc>
          <w:tcPr>
            <w:tcW w:w="471" w:type="pct"/>
            <w:noWrap w:val="0"/>
            <w:vAlign w:val="center"/>
          </w:tcPr>
          <w:p w14:paraId="56D08DEB">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0.00288</w:t>
            </w:r>
          </w:p>
        </w:tc>
        <w:tc>
          <w:tcPr>
            <w:tcW w:w="1072" w:type="pct"/>
            <w:vMerge w:val="continue"/>
            <w:noWrap w:val="0"/>
            <w:vAlign w:val="center"/>
          </w:tcPr>
          <w:p w14:paraId="1733ADC9">
            <w:pPr>
              <w:widowControl/>
              <w:jc w:val="center"/>
              <w:rPr>
                <w:rFonts w:hint="default" w:ascii="Times New Roman" w:hAnsi="Times New Roman" w:eastAsia="宋体" w:cs="Times New Roman"/>
                <w:color w:val="auto"/>
                <w:kern w:val="2"/>
                <w:sz w:val="21"/>
                <w:szCs w:val="21"/>
                <w:highlight w:val="none"/>
                <w:lang w:val="de-DE"/>
              </w:rPr>
            </w:pPr>
          </w:p>
        </w:tc>
        <w:tc>
          <w:tcPr>
            <w:tcW w:w="651" w:type="pct"/>
            <w:noWrap w:val="0"/>
            <w:vAlign w:val="center"/>
          </w:tcPr>
          <w:p w14:paraId="3FAD9DDD">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0.000288</w:t>
            </w:r>
          </w:p>
        </w:tc>
        <w:tc>
          <w:tcPr>
            <w:tcW w:w="560" w:type="pct"/>
            <w:vMerge w:val="continue"/>
            <w:noWrap w:val="0"/>
            <w:vAlign w:val="center"/>
          </w:tcPr>
          <w:p w14:paraId="5283BADC">
            <w:pPr>
              <w:widowControl/>
              <w:jc w:val="center"/>
              <w:rPr>
                <w:rFonts w:hint="default" w:ascii="Times New Roman" w:hAnsi="Times New Roman" w:eastAsia="宋体" w:cs="Times New Roman"/>
                <w:color w:val="auto"/>
                <w:kern w:val="2"/>
                <w:sz w:val="21"/>
                <w:szCs w:val="21"/>
                <w:highlight w:val="none"/>
                <w:lang w:val="de-DE"/>
              </w:rPr>
            </w:pPr>
          </w:p>
        </w:tc>
        <w:tc>
          <w:tcPr>
            <w:tcW w:w="678" w:type="pct"/>
            <w:noWrap w:val="0"/>
            <w:vAlign w:val="center"/>
          </w:tcPr>
          <w:p w14:paraId="7621BAFB">
            <w:pPr>
              <w:widowControl/>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0.33kg/h</w:t>
            </w:r>
          </w:p>
        </w:tc>
      </w:tr>
      <w:tr w14:paraId="4BEE4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81" w:type="pct"/>
            <w:vMerge w:val="continue"/>
            <w:noWrap w:val="0"/>
            <w:vAlign w:val="center"/>
          </w:tcPr>
          <w:p w14:paraId="78339A24">
            <w:pPr>
              <w:widowControl w:val="0"/>
              <w:jc w:val="center"/>
              <w:rPr>
                <w:rFonts w:hint="default" w:ascii="Times New Roman" w:hAnsi="Times New Roman" w:eastAsia="宋体" w:cs="Times New Roman"/>
                <w:bCs/>
                <w:color w:val="auto"/>
                <w:kern w:val="2"/>
                <w:sz w:val="21"/>
                <w:szCs w:val="21"/>
                <w:highlight w:val="none"/>
              </w:rPr>
            </w:pPr>
          </w:p>
        </w:tc>
        <w:tc>
          <w:tcPr>
            <w:tcW w:w="299" w:type="pct"/>
            <w:vMerge w:val="continue"/>
            <w:noWrap w:val="0"/>
            <w:vAlign w:val="center"/>
          </w:tcPr>
          <w:p w14:paraId="6A40777E">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472" w:type="pct"/>
            <w:vMerge w:val="restart"/>
            <w:noWrap w:val="0"/>
            <w:vAlign w:val="center"/>
          </w:tcPr>
          <w:p w14:paraId="3BDE368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r>
              <w:rPr>
                <w:rFonts w:hint="default" w:ascii="Times New Roman" w:hAnsi="Times New Roman" w:eastAsia="宋体" w:cs="Times New Roman"/>
                <w:color w:val="auto"/>
                <w:kern w:val="0"/>
                <w:sz w:val="21"/>
                <w:szCs w:val="21"/>
                <w:highlight w:val="none"/>
                <w:lang w:val="en-US" w:eastAsia="zh-CN" w:bidi="ar-SA"/>
              </w:rPr>
              <w:t>无组织</w:t>
            </w:r>
          </w:p>
        </w:tc>
        <w:tc>
          <w:tcPr>
            <w:tcW w:w="512" w:type="pct"/>
            <w:noWrap w:val="0"/>
            <w:vAlign w:val="center"/>
          </w:tcPr>
          <w:p w14:paraId="02407433">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NH</w:t>
            </w:r>
            <w:r>
              <w:rPr>
                <w:rFonts w:hint="default" w:ascii="Times New Roman" w:hAnsi="Times New Roman" w:eastAsia="宋体" w:cs="Times New Roman"/>
                <w:snapToGrid w:val="0"/>
                <w:color w:val="auto"/>
                <w:kern w:val="0"/>
                <w:sz w:val="21"/>
                <w:szCs w:val="21"/>
                <w:highlight w:val="none"/>
                <w:vertAlign w:val="subscript"/>
                <w:lang w:val="en-US" w:eastAsia="zh-CN" w:bidi="ar-SA"/>
              </w:rPr>
              <w:t>3</w:t>
            </w:r>
          </w:p>
        </w:tc>
        <w:tc>
          <w:tcPr>
            <w:tcW w:w="471" w:type="pct"/>
            <w:noWrap w:val="0"/>
            <w:vAlign w:val="center"/>
          </w:tcPr>
          <w:p w14:paraId="440BC75E">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0.0082</w:t>
            </w:r>
          </w:p>
        </w:tc>
        <w:tc>
          <w:tcPr>
            <w:tcW w:w="1072" w:type="pct"/>
            <w:vMerge w:val="restart"/>
            <w:noWrap w:val="0"/>
            <w:vAlign w:val="center"/>
          </w:tcPr>
          <w:p w14:paraId="30AB0D16">
            <w:pPr>
              <w:widowControl/>
              <w:jc w:val="center"/>
              <w:rPr>
                <w:rFonts w:hint="default" w:ascii="Times New Roman" w:hAnsi="Times New Roman" w:eastAsia="宋体" w:cs="Times New Roman"/>
                <w:color w:val="auto"/>
                <w:kern w:val="2"/>
                <w:sz w:val="21"/>
                <w:szCs w:val="21"/>
                <w:highlight w:val="none"/>
                <w:lang w:val="de-DE"/>
              </w:rPr>
            </w:pPr>
            <w:r>
              <w:rPr>
                <w:rFonts w:hint="default" w:ascii="Times New Roman" w:hAnsi="Times New Roman" w:eastAsia="宋体" w:cs="Times New Roman"/>
                <w:color w:val="auto"/>
                <w:kern w:val="2"/>
                <w:sz w:val="21"/>
                <w:szCs w:val="21"/>
                <w:highlight w:val="none"/>
              </w:rPr>
              <w:t>喷洒生物除臭剂</w:t>
            </w:r>
          </w:p>
        </w:tc>
        <w:tc>
          <w:tcPr>
            <w:tcW w:w="651" w:type="pct"/>
            <w:noWrap w:val="0"/>
            <w:vAlign w:val="center"/>
          </w:tcPr>
          <w:p w14:paraId="5C03B44A">
            <w:pPr>
              <w:widowControl w:val="0"/>
              <w:adjustRightInd w:val="0"/>
              <w:snapToGrid w:val="0"/>
              <w:spacing w:line="240" w:lineRule="auto"/>
              <w:ind w:left="0" w:leftChars="0"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SA"/>
              </w:rPr>
              <w:t>0.00061</w:t>
            </w:r>
          </w:p>
        </w:tc>
        <w:tc>
          <w:tcPr>
            <w:tcW w:w="560" w:type="pct"/>
            <w:vMerge w:val="restart"/>
            <w:noWrap w:val="0"/>
            <w:vAlign w:val="center"/>
          </w:tcPr>
          <w:p w14:paraId="323B1085">
            <w:pPr>
              <w:widowControl/>
              <w:jc w:val="center"/>
              <w:rPr>
                <w:rFonts w:hint="default" w:ascii="Times New Roman" w:hAnsi="Times New Roman" w:eastAsia="宋体" w:cs="Times New Roman"/>
                <w:color w:val="auto"/>
                <w:kern w:val="2"/>
                <w:sz w:val="21"/>
                <w:szCs w:val="21"/>
                <w:highlight w:val="none"/>
                <w:lang w:val="de-DE" w:eastAsia="zh-CN" w:bidi="ar-SA"/>
              </w:rPr>
            </w:pPr>
            <w:r>
              <w:rPr>
                <w:rFonts w:hint="default" w:ascii="Times New Roman" w:hAnsi="Times New Roman" w:eastAsia="宋体" w:cs="Times New Roman"/>
                <w:color w:val="auto"/>
                <w:kern w:val="2"/>
                <w:sz w:val="21"/>
                <w:szCs w:val="21"/>
                <w:highlight w:val="none"/>
              </w:rPr>
              <w:t>无组织</w:t>
            </w:r>
          </w:p>
        </w:tc>
        <w:tc>
          <w:tcPr>
            <w:tcW w:w="678" w:type="pct"/>
            <w:noWrap w:val="0"/>
            <w:vAlign w:val="center"/>
          </w:tcPr>
          <w:p w14:paraId="3E4681DF">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rPr>
              <w:t>厂界1.5</w:t>
            </w:r>
            <w:r>
              <w:rPr>
                <w:rFonts w:hint="default" w:ascii="Times New Roman" w:hAnsi="Times New Roman" w:eastAsia="宋体" w:cs="Times New Roman"/>
                <w:color w:val="auto"/>
                <w:kern w:val="18"/>
                <w:sz w:val="21"/>
                <w:szCs w:val="21"/>
                <w:highlight w:val="none"/>
                <w:lang w:eastAsia="zh-CN"/>
              </w:rPr>
              <w:t>m</w:t>
            </w:r>
            <w:r>
              <w:rPr>
                <w:rFonts w:hint="default" w:ascii="Times New Roman" w:hAnsi="Times New Roman" w:eastAsia="宋体" w:cs="Times New Roman"/>
                <w:color w:val="auto"/>
                <w:kern w:val="18"/>
                <w:sz w:val="21"/>
                <w:szCs w:val="21"/>
                <w:highlight w:val="none"/>
              </w:rPr>
              <w:t>g/</w:t>
            </w:r>
            <w:r>
              <w:rPr>
                <w:rFonts w:hint="default" w:ascii="Times New Roman" w:hAnsi="Times New Roman" w:eastAsia="宋体" w:cs="Times New Roman"/>
                <w:color w:val="auto"/>
                <w:kern w:val="18"/>
                <w:sz w:val="21"/>
                <w:szCs w:val="21"/>
                <w:highlight w:val="none"/>
                <w:vertAlign w:val="baseline"/>
                <w:lang w:eastAsia="zh-CN"/>
              </w:rPr>
              <w:t>m</w:t>
            </w:r>
            <w:r>
              <w:rPr>
                <w:rFonts w:hint="default" w:ascii="Times New Roman" w:hAnsi="Times New Roman" w:eastAsia="宋体" w:cs="Times New Roman"/>
                <w:color w:val="auto"/>
                <w:kern w:val="18"/>
                <w:sz w:val="21"/>
                <w:szCs w:val="21"/>
                <w:highlight w:val="none"/>
                <w:vertAlign w:val="superscript"/>
                <w:lang w:eastAsia="zh-CN"/>
              </w:rPr>
              <w:t>3</w:t>
            </w:r>
          </w:p>
        </w:tc>
      </w:tr>
      <w:tr w14:paraId="6587D0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81" w:type="pct"/>
            <w:vMerge w:val="continue"/>
            <w:noWrap w:val="0"/>
            <w:vAlign w:val="center"/>
          </w:tcPr>
          <w:p w14:paraId="647DF2C8">
            <w:pPr>
              <w:widowControl w:val="0"/>
              <w:jc w:val="center"/>
              <w:rPr>
                <w:rFonts w:hint="default" w:ascii="Times New Roman" w:hAnsi="Times New Roman" w:eastAsia="宋体" w:cs="Times New Roman"/>
                <w:bCs/>
                <w:color w:val="auto"/>
                <w:kern w:val="2"/>
                <w:sz w:val="21"/>
                <w:szCs w:val="21"/>
                <w:highlight w:val="none"/>
              </w:rPr>
            </w:pPr>
          </w:p>
        </w:tc>
        <w:tc>
          <w:tcPr>
            <w:tcW w:w="299" w:type="pct"/>
            <w:vMerge w:val="continue"/>
            <w:noWrap w:val="0"/>
            <w:vAlign w:val="center"/>
          </w:tcPr>
          <w:p w14:paraId="6F3D3CA2">
            <w:pPr>
              <w:widowControl/>
              <w:jc w:val="center"/>
              <w:rPr>
                <w:rFonts w:hint="default" w:ascii="Times New Roman" w:hAnsi="Times New Roman" w:eastAsia="宋体" w:cs="Times New Roman"/>
                <w:color w:val="auto"/>
                <w:kern w:val="2"/>
                <w:sz w:val="21"/>
                <w:szCs w:val="21"/>
                <w:highlight w:val="none"/>
                <w:lang w:val="de-DE"/>
              </w:rPr>
            </w:pPr>
          </w:p>
        </w:tc>
        <w:tc>
          <w:tcPr>
            <w:tcW w:w="472" w:type="pct"/>
            <w:vMerge w:val="continue"/>
            <w:noWrap w:val="0"/>
            <w:vAlign w:val="center"/>
          </w:tcPr>
          <w:p w14:paraId="16D59CC3">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512" w:type="pct"/>
            <w:noWrap w:val="0"/>
            <w:vAlign w:val="center"/>
          </w:tcPr>
          <w:p w14:paraId="4491E6BC">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H</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S</w:t>
            </w:r>
          </w:p>
        </w:tc>
        <w:tc>
          <w:tcPr>
            <w:tcW w:w="471" w:type="pct"/>
            <w:noWrap w:val="0"/>
            <w:vAlign w:val="center"/>
          </w:tcPr>
          <w:p w14:paraId="7DE832CB">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0.00032</w:t>
            </w:r>
          </w:p>
        </w:tc>
        <w:tc>
          <w:tcPr>
            <w:tcW w:w="1072" w:type="pct"/>
            <w:vMerge w:val="continue"/>
            <w:noWrap w:val="0"/>
            <w:vAlign w:val="center"/>
          </w:tcPr>
          <w:p w14:paraId="56CD795A">
            <w:pPr>
              <w:widowControl/>
              <w:jc w:val="center"/>
              <w:rPr>
                <w:rFonts w:hint="default" w:ascii="Times New Roman" w:hAnsi="Times New Roman" w:eastAsia="宋体" w:cs="Times New Roman"/>
                <w:color w:val="auto"/>
                <w:kern w:val="2"/>
                <w:sz w:val="21"/>
                <w:szCs w:val="21"/>
                <w:highlight w:val="none"/>
                <w:lang w:val="de-DE"/>
              </w:rPr>
            </w:pPr>
          </w:p>
        </w:tc>
        <w:tc>
          <w:tcPr>
            <w:tcW w:w="651" w:type="pct"/>
            <w:noWrap w:val="0"/>
            <w:vAlign w:val="center"/>
          </w:tcPr>
          <w:p w14:paraId="072E2B6C">
            <w:pPr>
              <w:widowControl w:val="0"/>
              <w:adjustRightInd w:val="0"/>
              <w:snapToGrid w:val="0"/>
              <w:spacing w:line="240" w:lineRule="auto"/>
              <w:ind w:left="0" w:leftChars="0"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SA"/>
              </w:rPr>
              <w:t>0.0000352</w:t>
            </w:r>
          </w:p>
        </w:tc>
        <w:tc>
          <w:tcPr>
            <w:tcW w:w="560" w:type="pct"/>
            <w:vMerge w:val="continue"/>
            <w:noWrap w:val="0"/>
            <w:vAlign w:val="center"/>
          </w:tcPr>
          <w:p w14:paraId="2FA817C3">
            <w:pPr>
              <w:widowControl/>
              <w:jc w:val="center"/>
              <w:rPr>
                <w:rFonts w:hint="default" w:ascii="Times New Roman" w:hAnsi="Times New Roman" w:eastAsia="宋体" w:cs="Times New Roman"/>
                <w:color w:val="auto"/>
                <w:kern w:val="2"/>
                <w:sz w:val="21"/>
                <w:szCs w:val="21"/>
                <w:highlight w:val="none"/>
                <w:lang w:val="de-DE"/>
              </w:rPr>
            </w:pPr>
          </w:p>
        </w:tc>
        <w:tc>
          <w:tcPr>
            <w:tcW w:w="678" w:type="pct"/>
            <w:noWrap w:val="0"/>
            <w:vAlign w:val="center"/>
          </w:tcPr>
          <w:p w14:paraId="58E5638F">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rPr>
              <w:t>厂界0.03</w:t>
            </w:r>
            <w:r>
              <w:rPr>
                <w:rFonts w:hint="default" w:ascii="Times New Roman" w:hAnsi="Times New Roman" w:eastAsia="宋体" w:cs="Times New Roman"/>
                <w:color w:val="auto"/>
                <w:kern w:val="18"/>
                <w:sz w:val="21"/>
                <w:szCs w:val="21"/>
                <w:highlight w:val="none"/>
                <w:lang w:eastAsia="zh-CN"/>
              </w:rPr>
              <w:t>m</w:t>
            </w:r>
            <w:r>
              <w:rPr>
                <w:rFonts w:hint="default" w:ascii="Times New Roman" w:hAnsi="Times New Roman" w:eastAsia="宋体" w:cs="Times New Roman"/>
                <w:color w:val="auto"/>
                <w:kern w:val="18"/>
                <w:sz w:val="21"/>
                <w:szCs w:val="21"/>
                <w:highlight w:val="none"/>
              </w:rPr>
              <w:t>g/</w:t>
            </w:r>
            <w:r>
              <w:rPr>
                <w:rFonts w:hint="default" w:ascii="Times New Roman" w:hAnsi="Times New Roman" w:eastAsia="宋体" w:cs="Times New Roman"/>
                <w:color w:val="auto"/>
                <w:kern w:val="18"/>
                <w:sz w:val="21"/>
                <w:szCs w:val="21"/>
                <w:highlight w:val="none"/>
                <w:vertAlign w:val="baseline"/>
                <w:lang w:eastAsia="zh-CN"/>
              </w:rPr>
              <w:t>m</w:t>
            </w:r>
            <w:r>
              <w:rPr>
                <w:rFonts w:hint="default" w:ascii="Times New Roman" w:hAnsi="Times New Roman" w:eastAsia="宋体" w:cs="Times New Roman"/>
                <w:color w:val="auto"/>
                <w:kern w:val="18"/>
                <w:sz w:val="21"/>
                <w:szCs w:val="21"/>
                <w:highlight w:val="none"/>
                <w:vertAlign w:val="superscript"/>
                <w:lang w:eastAsia="zh-CN"/>
              </w:rPr>
              <w:t>3</w:t>
            </w:r>
          </w:p>
        </w:tc>
      </w:tr>
      <w:tr w14:paraId="6CBB6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81" w:type="pct"/>
            <w:vMerge w:val="restart"/>
            <w:noWrap w:val="0"/>
            <w:vAlign w:val="center"/>
          </w:tcPr>
          <w:p w14:paraId="24D86E97">
            <w:pPr>
              <w:widowControl w:val="0"/>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color w:val="auto"/>
                <w:sz w:val="21"/>
                <w:szCs w:val="21"/>
                <w:highlight w:val="none"/>
              </w:rPr>
              <w:t>沼气燃烧</w:t>
            </w:r>
          </w:p>
        </w:tc>
        <w:tc>
          <w:tcPr>
            <w:tcW w:w="299" w:type="pct"/>
            <w:vMerge w:val="restart"/>
            <w:noWrap w:val="0"/>
            <w:vAlign w:val="center"/>
          </w:tcPr>
          <w:p w14:paraId="66E972E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sz w:val="21"/>
                <w:szCs w:val="21"/>
                <w:highlight w:val="none"/>
                <w:lang w:val="en-US" w:eastAsia="zh-CN"/>
              </w:rPr>
              <w:t>火炬燃烧</w:t>
            </w:r>
          </w:p>
        </w:tc>
        <w:tc>
          <w:tcPr>
            <w:tcW w:w="472" w:type="pct"/>
            <w:vMerge w:val="restart"/>
            <w:noWrap w:val="0"/>
            <w:vAlign w:val="center"/>
          </w:tcPr>
          <w:p w14:paraId="28141C0C">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有组织</w:t>
            </w:r>
          </w:p>
        </w:tc>
        <w:tc>
          <w:tcPr>
            <w:tcW w:w="512" w:type="pct"/>
            <w:shd w:val="clear" w:color="auto" w:fill="auto"/>
            <w:noWrap w:val="0"/>
            <w:vAlign w:val="center"/>
          </w:tcPr>
          <w:p w14:paraId="0E594D25">
            <w:pPr>
              <w:widowControl w:val="0"/>
              <w:adjustRightInd w:val="0"/>
              <w:snapToGrid/>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zh-CN" w:eastAsia="zh-CN"/>
              </w:rPr>
              <w:t>颗粒物</w:t>
            </w:r>
          </w:p>
        </w:tc>
        <w:tc>
          <w:tcPr>
            <w:tcW w:w="471" w:type="pct"/>
            <w:noWrap w:val="0"/>
            <w:vAlign w:val="center"/>
          </w:tcPr>
          <w:p w14:paraId="5A9939B4">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0.00037</w:t>
            </w:r>
          </w:p>
        </w:tc>
        <w:tc>
          <w:tcPr>
            <w:tcW w:w="1072" w:type="pct"/>
            <w:vMerge w:val="restart"/>
            <w:noWrap w:val="0"/>
            <w:vAlign w:val="center"/>
          </w:tcPr>
          <w:p w14:paraId="7EA2A016">
            <w:pPr>
              <w:widowControl/>
              <w:jc w:val="center"/>
              <w:rPr>
                <w:rFonts w:hint="default" w:ascii="Times New Roman" w:hAnsi="Times New Roman" w:eastAsia="宋体" w:cs="Times New Roman"/>
                <w:color w:val="auto"/>
                <w:kern w:val="2"/>
                <w:sz w:val="21"/>
                <w:szCs w:val="21"/>
                <w:highlight w:val="none"/>
                <w:lang w:val="de-DE"/>
              </w:rPr>
            </w:pPr>
            <w:r>
              <w:rPr>
                <w:rFonts w:hint="default" w:ascii="Times New Roman" w:hAnsi="Times New Roman" w:eastAsia="宋体" w:cs="Times New Roman"/>
                <w:color w:val="auto"/>
                <w:kern w:val="2"/>
                <w:sz w:val="21"/>
                <w:szCs w:val="21"/>
                <w:highlight w:val="none"/>
                <w:lang w:val="de-DE"/>
              </w:rPr>
              <w:t>经过净化后</w:t>
            </w:r>
            <w:r>
              <w:rPr>
                <w:rFonts w:hint="default" w:ascii="Times New Roman" w:hAnsi="Times New Roman" w:eastAsia="宋体" w:cs="Times New Roman"/>
                <w:color w:val="auto"/>
                <w:kern w:val="2"/>
                <w:sz w:val="21"/>
                <w:szCs w:val="21"/>
                <w:highlight w:val="none"/>
                <w:lang w:val="en-US" w:eastAsia="zh-CN"/>
              </w:rPr>
              <w:t>10m</w:t>
            </w:r>
            <w:r>
              <w:rPr>
                <w:rFonts w:hint="default" w:ascii="Times New Roman" w:hAnsi="Times New Roman" w:eastAsia="宋体" w:cs="Times New Roman"/>
                <w:color w:val="auto"/>
                <w:kern w:val="2"/>
                <w:sz w:val="21"/>
                <w:szCs w:val="21"/>
                <w:highlight w:val="none"/>
                <w:lang w:val="de-DE"/>
              </w:rPr>
              <w:t>排空燃烧</w:t>
            </w:r>
          </w:p>
        </w:tc>
        <w:tc>
          <w:tcPr>
            <w:tcW w:w="651" w:type="pct"/>
            <w:shd w:val="clear" w:color="auto" w:fill="auto"/>
            <w:noWrap w:val="0"/>
            <w:vAlign w:val="center"/>
          </w:tcPr>
          <w:p w14:paraId="2CE813BE">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0.00037</w:t>
            </w:r>
          </w:p>
        </w:tc>
        <w:tc>
          <w:tcPr>
            <w:tcW w:w="560" w:type="pct"/>
            <w:vMerge w:val="restart"/>
            <w:noWrap w:val="0"/>
            <w:vAlign w:val="center"/>
          </w:tcPr>
          <w:p w14:paraId="7FFC95B2">
            <w:pPr>
              <w:widowControl/>
              <w:jc w:val="center"/>
              <w:rPr>
                <w:rFonts w:hint="default" w:ascii="Times New Roman" w:hAnsi="Times New Roman" w:eastAsia="宋体" w:cs="Times New Roman"/>
                <w:color w:val="auto"/>
                <w:kern w:val="2"/>
                <w:sz w:val="21"/>
                <w:szCs w:val="21"/>
                <w:highlight w:val="none"/>
                <w:lang w:val="de-DE"/>
              </w:rPr>
            </w:pPr>
            <w:r>
              <w:rPr>
                <w:rFonts w:hint="default" w:ascii="Times New Roman" w:hAnsi="Times New Roman" w:eastAsia="宋体" w:cs="Times New Roman"/>
                <w:color w:val="auto"/>
                <w:kern w:val="2"/>
                <w:sz w:val="21"/>
                <w:szCs w:val="21"/>
                <w:highlight w:val="none"/>
                <w:lang w:val="de-DE" w:eastAsia="zh-CN"/>
              </w:rPr>
              <w:t>有组织</w:t>
            </w:r>
          </w:p>
        </w:tc>
        <w:tc>
          <w:tcPr>
            <w:tcW w:w="678" w:type="pct"/>
            <w:noWrap w:val="0"/>
            <w:vAlign w:val="center"/>
          </w:tcPr>
          <w:p w14:paraId="394DE51B">
            <w:pPr>
              <w:widowControl/>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0.785</w:t>
            </w:r>
            <w:r>
              <w:rPr>
                <w:rFonts w:hint="default" w:ascii="Times New Roman" w:hAnsi="Times New Roman" w:eastAsia="宋体" w:cs="Times New Roman"/>
                <w:color w:val="auto"/>
                <w:kern w:val="2"/>
                <w:sz w:val="21"/>
                <w:szCs w:val="21"/>
                <w:highlight w:val="none"/>
                <w:lang w:val="en-US" w:eastAsia="zh-CN"/>
              </w:rPr>
              <w:t>kg/h</w:t>
            </w:r>
          </w:p>
        </w:tc>
      </w:tr>
      <w:tr w14:paraId="3D15E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81" w:type="pct"/>
            <w:vMerge w:val="continue"/>
            <w:noWrap w:val="0"/>
            <w:vAlign w:val="center"/>
          </w:tcPr>
          <w:p w14:paraId="5514C8A4">
            <w:pPr>
              <w:widowControl w:val="0"/>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highlight w:val="none"/>
              </w:rPr>
            </w:pPr>
          </w:p>
        </w:tc>
        <w:tc>
          <w:tcPr>
            <w:tcW w:w="299" w:type="pct"/>
            <w:vMerge w:val="continue"/>
            <w:noWrap w:val="0"/>
            <w:vAlign w:val="center"/>
          </w:tcPr>
          <w:p w14:paraId="5833202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de-DE"/>
              </w:rPr>
            </w:pPr>
          </w:p>
        </w:tc>
        <w:tc>
          <w:tcPr>
            <w:tcW w:w="472" w:type="pct"/>
            <w:vMerge w:val="continue"/>
            <w:noWrap w:val="0"/>
            <w:vAlign w:val="center"/>
          </w:tcPr>
          <w:p w14:paraId="68CBAFD3">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512" w:type="pct"/>
            <w:shd w:val="clear" w:color="auto" w:fill="auto"/>
            <w:noWrap w:val="0"/>
            <w:vAlign w:val="center"/>
          </w:tcPr>
          <w:p w14:paraId="5E616B37">
            <w:pPr>
              <w:widowControl w:val="0"/>
              <w:adjustRightInd w:val="0"/>
              <w:snapToGrid/>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zh-CN" w:eastAsia="zh-CN"/>
              </w:rPr>
              <w:t>SO</w:t>
            </w:r>
            <w:r>
              <w:rPr>
                <w:rFonts w:hint="default" w:ascii="Times New Roman" w:hAnsi="Times New Roman" w:eastAsia="宋体" w:cs="Times New Roman"/>
                <w:color w:val="auto"/>
                <w:sz w:val="21"/>
                <w:szCs w:val="21"/>
                <w:highlight w:val="none"/>
                <w:vertAlign w:val="subscript"/>
                <w:lang w:val="zh-CN" w:eastAsia="zh-CN"/>
              </w:rPr>
              <w:t>2</w:t>
            </w:r>
          </w:p>
        </w:tc>
        <w:tc>
          <w:tcPr>
            <w:tcW w:w="471" w:type="pct"/>
            <w:noWrap w:val="0"/>
            <w:vAlign w:val="center"/>
          </w:tcPr>
          <w:p w14:paraId="432A6B80">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0.000087</w:t>
            </w:r>
          </w:p>
        </w:tc>
        <w:tc>
          <w:tcPr>
            <w:tcW w:w="1072" w:type="pct"/>
            <w:vMerge w:val="continue"/>
            <w:noWrap w:val="0"/>
            <w:vAlign w:val="center"/>
          </w:tcPr>
          <w:p w14:paraId="3AF1ECF6">
            <w:pPr>
              <w:widowControl/>
              <w:jc w:val="center"/>
              <w:rPr>
                <w:rFonts w:hint="default" w:ascii="Times New Roman" w:hAnsi="Times New Roman" w:eastAsia="宋体" w:cs="Times New Roman"/>
                <w:color w:val="auto"/>
                <w:kern w:val="2"/>
                <w:sz w:val="21"/>
                <w:szCs w:val="21"/>
                <w:highlight w:val="none"/>
                <w:lang w:val="de-DE"/>
              </w:rPr>
            </w:pPr>
          </w:p>
        </w:tc>
        <w:tc>
          <w:tcPr>
            <w:tcW w:w="651" w:type="pct"/>
            <w:shd w:val="clear" w:color="auto" w:fill="auto"/>
            <w:noWrap w:val="0"/>
            <w:vAlign w:val="center"/>
          </w:tcPr>
          <w:p w14:paraId="7368E32C">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0.000087</w:t>
            </w:r>
          </w:p>
        </w:tc>
        <w:tc>
          <w:tcPr>
            <w:tcW w:w="560" w:type="pct"/>
            <w:vMerge w:val="continue"/>
            <w:noWrap w:val="0"/>
            <w:vAlign w:val="center"/>
          </w:tcPr>
          <w:p w14:paraId="1209AB69">
            <w:pPr>
              <w:widowControl/>
              <w:jc w:val="center"/>
              <w:rPr>
                <w:rFonts w:hint="default" w:ascii="Times New Roman" w:hAnsi="Times New Roman" w:eastAsia="宋体" w:cs="Times New Roman"/>
                <w:color w:val="auto"/>
                <w:kern w:val="2"/>
                <w:sz w:val="21"/>
                <w:szCs w:val="21"/>
                <w:highlight w:val="none"/>
                <w:lang w:val="de-DE"/>
              </w:rPr>
            </w:pPr>
          </w:p>
        </w:tc>
        <w:tc>
          <w:tcPr>
            <w:tcW w:w="678" w:type="pct"/>
            <w:noWrap w:val="0"/>
            <w:vAlign w:val="center"/>
          </w:tcPr>
          <w:p w14:paraId="5D2A15D6">
            <w:pPr>
              <w:widowControl/>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0.87</w:t>
            </w:r>
            <w:r>
              <w:rPr>
                <w:rFonts w:hint="default" w:ascii="Times New Roman" w:hAnsi="Times New Roman" w:eastAsia="宋体" w:cs="Times New Roman"/>
                <w:color w:val="auto"/>
                <w:kern w:val="2"/>
                <w:sz w:val="21"/>
                <w:szCs w:val="21"/>
                <w:highlight w:val="none"/>
                <w:lang w:val="en-US" w:eastAsia="zh-CN"/>
              </w:rPr>
              <w:t>kg/h</w:t>
            </w:r>
          </w:p>
        </w:tc>
      </w:tr>
      <w:tr w14:paraId="154281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281" w:type="pct"/>
            <w:vMerge w:val="continue"/>
            <w:noWrap w:val="0"/>
            <w:vAlign w:val="center"/>
          </w:tcPr>
          <w:p w14:paraId="56800F46">
            <w:pPr>
              <w:widowControl w:val="0"/>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highlight w:val="none"/>
              </w:rPr>
            </w:pPr>
          </w:p>
        </w:tc>
        <w:tc>
          <w:tcPr>
            <w:tcW w:w="299" w:type="pct"/>
            <w:vMerge w:val="continue"/>
            <w:noWrap w:val="0"/>
            <w:vAlign w:val="center"/>
          </w:tcPr>
          <w:p w14:paraId="1EBFAC7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de-DE"/>
              </w:rPr>
            </w:pPr>
          </w:p>
        </w:tc>
        <w:tc>
          <w:tcPr>
            <w:tcW w:w="472" w:type="pct"/>
            <w:vMerge w:val="continue"/>
            <w:noWrap w:val="0"/>
            <w:vAlign w:val="center"/>
          </w:tcPr>
          <w:p w14:paraId="5B55060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de-DE" w:eastAsia="zh-CN" w:bidi="ar-SA"/>
              </w:rPr>
            </w:pPr>
          </w:p>
        </w:tc>
        <w:tc>
          <w:tcPr>
            <w:tcW w:w="512" w:type="pct"/>
            <w:shd w:val="clear" w:color="auto" w:fill="auto"/>
            <w:noWrap w:val="0"/>
            <w:vAlign w:val="center"/>
          </w:tcPr>
          <w:p w14:paraId="203C177A">
            <w:pPr>
              <w:widowControl w:val="0"/>
              <w:adjustRightInd w:val="0"/>
              <w:snapToGrid/>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zh-CN" w:eastAsia="zh-CN"/>
              </w:rPr>
              <w:t>NO</w:t>
            </w:r>
            <w:r>
              <w:rPr>
                <w:rFonts w:hint="default" w:ascii="Times New Roman" w:hAnsi="Times New Roman" w:eastAsia="宋体" w:cs="Times New Roman"/>
                <w:color w:val="auto"/>
                <w:sz w:val="21"/>
                <w:szCs w:val="21"/>
                <w:highlight w:val="none"/>
                <w:vertAlign w:val="subscript"/>
                <w:lang w:val="zh-CN" w:eastAsia="zh-CN"/>
              </w:rPr>
              <w:t>X</w:t>
            </w:r>
          </w:p>
        </w:tc>
        <w:tc>
          <w:tcPr>
            <w:tcW w:w="471" w:type="pct"/>
            <w:noWrap w:val="0"/>
            <w:vAlign w:val="center"/>
          </w:tcPr>
          <w:p w14:paraId="6EDD860D">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0.0036</w:t>
            </w:r>
          </w:p>
        </w:tc>
        <w:tc>
          <w:tcPr>
            <w:tcW w:w="1072" w:type="pct"/>
            <w:vMerge w:val="continue"/>
            <w:noWrap w:val="0"/>
            <w:vAlign w:val="center"/>
          </w:tcPr>
          <w:p w14:paraId="34814B60">
            <w:pPr>
              <w:widowControl/>
              <w:jc w:val="center"/>
              <w:rPr>
                <w:rFonts w:hint="default" w:ascii="Times New Roman" w:hAnsi="Times New Roman" w:eastAsia="宋体" w:cs="Times New Roman"/>
                <w:color w:val="auto"/>
                <w:kern w:val="2"/>
                <w:sz w:val="21"/>
                <w:szCs w:val="21"/>
                <w:highlight w:val="none"/>
                <w:lang w:val="de-DE"/>
              </w:rPr>
            </w:pPr>
          </w:p>
        </w:tc>
        <w:tc>
          <w:tcPr>
            <w:tcW w:w="651" w:type="pct"/>
            <w:shd w:val="clear" w:color="auto" w:fill="auto"/>
            <w:noWrap w:val="0"/>
            <w:vAlign w:val="center"/>
          </w:tcPr>
          <w:p w14:paraId="4ADF44D7">
            <w:pPr>
              <w:widowControl w:val="0"/>
              <w:adjustRightInd w:val="0"/>
              <w:snapToGrid/>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0.0036</w:t>
            </w:r>
          </w:p>
        </w:tc>
        <w:tc>
          <w:tcPr>
            <w:tcW w:w="560" w:type="pct"/>
            <w:vMerge w:val="continue"/>
            <w:noWrap w:val="0"/>
            <w:vAlign w:val="center"/>
          </w:tcPr>
          <w:p w14:paraId="35F15214">
            <w:pPr>
              <w:widowControl/>
              <w:jc w:val="center"/>
              <w:rPr>
                <w:rFonts w:hint="default" w:ascii="Times New Roman" w:hAnsi="Times New Roman" w:eastAsia="宋体" w:cs="Times New Roman"/>
                <w:color w:val="auto"/>
                <w:kern w:val="2"/>
                <w:sz w:val="21"/>
                <w:szCs w:val="21"/>
                <w:highlight w:val="none"/>
                <w:lang w:val="de-DE"/>
              </w:rPr>
            </w:pPr>
          </w:p>
        </w:tc>
        <w:tc>
          <w:tcPr>
            <w:tcW w:w="678" w:type="pct"/>
            <w:noWrap w:val="0"/>
            <w:vAlign w:val="center"/>
          </w:tcPr>
          <w:p w14:paraId="02B34AB0">
            <w:pPr>
              <w:widowControl/>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0.26</w:t>
            </w:r>
            <w:r>
              <w:rPr>
                <w:rFonts w:hint="default" w:ascii="Times New Roman" w:hAnsi="Times New Roman" w:eastAsia="宋体" w:cs="Times New Roman"/>
                <w:color w:val="auto"/>
                <w:kern w:val="2"/>
                <w:sz w:val="21"/>
                <w:szCs w:val="21"/>
                <w:highlight w:val="none"/>
                <w:lang w:val="en-US" w:eastAsia="zh-CN"/>
              </w:rPr>
              <w:t>kg/h</w:t>
            </w:r>
          </w:p>
        </w:tc>
      </w:tr>
    </w:tbl>
    <w:p w14:paraId="3C4C12C5">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bookmarkStart w:id="728" w:name="_Hlk483940658"/>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大气污染物年放量核算表</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3174"/>
        <w:gridCol w:w="3601"/>
      </w:tblGrid>
      <w:tr w14:paraId="3DD7C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25D446B4">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序号</w:t>
            </w:r>
          </w:p>
        </w:tc>
        <w:tc>
          <w:tcPr>
            <w:tcW w:w="1863" w:type="pct"/>
            <w:noWrap w:val="0"/>
            <w:vAlign w:val="center"/>
          </w:tcPr>
          <w:p w14:paraId="1B8C51FD">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污染物</w:t>
            </w:r>
          </w:p>
        </w:tc>
        <w:tc>
          <w:tcPr>
            <w:tcW w:w="2114" w:type="pct"/>
            <w:noWrap w:val="0"/>
            <w:vAlign w:val="center"/>
          </w:tcPr>
          <w:p w14:paraId="6C3155FD">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年排放量（t/a）</w:t>
            </w:r>
          </w:p>
        </w:tc>
      </w:tr>
      <w:tr w14:paraId="113EB4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0CFE5ED4">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1</w:t>
            </w:r>
          </w:p>
        </w:tc>
        <w:tc>
          <w:tcPr>
            <w:tcW w:w="1863" w:type="pct"/>
            <w:noWrap w:val="0"/>
            <w:vAlign w:val="center"/>
          </w:tcPr>
          <w:p w14:paraId="73F04EDA">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szCs w:val="21"/>
                <w:highlight w:val="none"/>
              </w:rPr>
              <w:t>NH</w:t>
            </w:r>
            <w:r>
              <w:rPr>
                <w:rFonts w:hint="default" w:ascii="Times New Roman" w:hAnsi="Times New Roman" w:cs="Times New Roman"/>
                <w:snapToGrid w:val="0"/>
                <w:color w:val="auto"/>
                <w:szCs w:val="21"/>
                <w:highlight w:val="none"/>
                <w:vertAlign w:val="subscript"/>
              </w:rPr>
              <w:t>3</w:t>
            </w:r>
          </w:p>
        </w:tc>
        <w:tc>
          <w:tcPr>
            <w:tcW w:w="2114" w:type="pct"/>
            <w:shd w:val="clear" w:color="auto" w:fill="auto"/>
            <w:noWrap w:val="0"/>
            <w:vAlign w:val="center"/>
          </w:tcPr>
          <w:p w14:paraId="2EFFAEFF">
            <w:pPr>
              <w:widowControl w:val="0"/>
              <w:adjustRightInd w:val="0"/>
              <w:snapToGrid/>
              <w:spacing w:line="240" w:lineRule="auto"/>
              <w:ind w:firstLine="0" w:firstLineChars="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0.22465</w:t>
            </w:r>
          </w:p>
        </w:tc>
      </w:tr>
      <w:tr w14:paraId="7A2B7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2A70C015">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2</w:t>
            </w:r>
          </w:p>
        </w:tc>
        <w:tc>
          <w:tcPr>
            <w:tcW w:w="1863" w:type="pct"/>
            <w:noWrap w:val="0"/>
            <w:vAlign w:val="center"/>
          </w:tcPr>
          <w:p w14:paraId="555E63C5">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szCs w:val="21"/>
                <w:highlight w:val="none"/>
              </w:rPr>
              <w:t>H</w:t>
            </w:r>
            <w:r>
              <w:rPr>
                <w:rFonts w:hint="default" w:ascii="Times New Roman" w:hAnsi="Times New Roman" w:cs="Times New Roman"/>
                <w:snapToGrid w:val="0"/>
                <w:color w:val="auto"/>
                <w:szCs w:val="21"/>
                <w:highlight w:val="none"/>
                <w:vertAlign w:val="subscript"/>
              </w:rPr>
              <w:t>2</w:t>
            </w:r>
            <w:r>
              <w:rPr>
                <w:rFonts w:hint="default" w:ascii="Times New Roman" w:hAnsi="Times New Roman" w:cs="Times New Roman"/>
                <w:snapToGrid w:val="0"/>
                <w:color w:val="auto"/>
                <w:szCs w:val="21"/>
                <w:highlight w:val="none"/>
              </w:rPr>
              <w:t>S</w:t>
            </w:r>
          </w:p>
        </w:tc>
        <w:tc>
          <w:tcPr>
            <w:tcW w:w="2114" w:type="pct"/>
            <w:shd w:val="clear" w:color="auto" w:fill="auto"/>
            <w:noWrap w:val="0"/>
            <w:vAlign w:val="center"/>
          </w:tcPr>
          <w:p w14:paraId="4D84E3D0">
            <w:pPr>
              <w:widowControl w:val="0"/>
              <w:adjustRightInd w:val="0"/>
              <w:snapToGrid/>
              <w:spacing w:line="240" w:lineRule="auto"/>
              <w:ind w:firstLine="0" w:firstLineChars="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0.02473</w:t>
            </w:r>
          </w:p>
        </w:tc>
      </w:tr>
      <w:tr w14:paraId="3488FA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3B2D01C1">
            <w:pPr>
              <w:pStyle w:val="152"/>
              <w:adjustRightInd w:val="0"/>
              <w:snapToGrid w:val="0"/>
              <w:rPr>
                <w:rFonts w:hint="eastAsia"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3</w:t>
            </w:r>
          </w:p>
        </w:tc>
        <w:tc>
          <w:tcPr>
            <w:tcW w:w="1863" w:type="pct"/>
            <w:noWrap w:val="0"/>
            <w:vAlign w:val="center"/>
          </w:tcPr>
          <w:p w14:paraId="24BE4B9E">
            <w:pPr>
              <w:widowControl w:val="0"/>
              <w:adjustRightInd w:val="0"/>
              <w:snapToGrid/>
              <w:spacing w:line="240" w:lineRule="auto"/>
              <w:ind w:firstLine="0" w:firstLineChars="0"/>
              <w:jc w:val="center"/>
              <w:rPr>
                <w:rFonts w:hint="default" w:ascii="Times New Roman" w:hAnsi="Times New Roman" w:cs="Times New Roman"/>
                <w:snapToGrid w:val="0"/>
                <w:color w:val="auto"/>
                <w:szCs w:val="21"/>
                <w:highlight w:val="none"/>
              </w:rPr>
            </w:pPr>
            <w:r>
              <w:rPr>
                <w:rFonts w:hint="default" w:ascii="Times New Roman" w:hAnsi="Times New Roman" w:eastAsia="宋体" w:cs="Times New Roman"/>
                <w:snapToGrid w:val="0"/>
                <w:color w:val="auto"/>
                <w:sz w:val="21"/>
                <w:szCs w:val="21"/>
                <w:highlight w:val="none"/>
                <w:lang w:val="zh-CN" w:eastAsia="zh-CN"/>
              </w:rPr>
              <w:t>颗粒物</w:t>
            </w:r>
          </w:p>
        </w:tc>
        <w:tc>
          <w:tcPr>
            <w:tcW w:w="2114" w:type="pct"/>
            <w:noWrap w:val="0"/>
            <w:vAlign w:val="center"/>
          </w:tcPr>
          <w:p w14:paraId="653A5AF8">
            <w:pPr>
              <w:widowControl w:val="0"/>
              <w:adjustRightInd w:val="0"/>
              <w:snapToGrid/>
              <w:spacing w:line="240" w:lineRule="auto"/>
              <w:ind w:firstLine="0" w:firstLineChars="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0.00160</w:t>
            </w:r>
          </w:p>
        </w:tc>
      </w:tr>
      <w:tr w14:paraId="177B6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5393BF69">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4</w:t>
            </w:r>
          </w:p>
        </w:tc>
        <w:tc>
          <w:tcPr>
            <w:tcW w:w="1863" w:type="pct"/>
            <w:noWrap w:val="0"/>
            <w:vAlign w:val="center"/>
          </w:tcPr>
          <w:p w14:paraId="3F3AD77B">
            <w:pPr>
              <w:widowControl w:val="0"/>
              <w:adjustRightInd w:val="0"/>
              <w:snapToGrid/>
              <w:spacing w:line="240" w:lineRule="auto"/>
              <w:ind w:firstLine="0" w:firstLineChars="0"/>
              <w:jc w:val="center"/>
              <w:rPr>
                <w:rFonts w:hint="default" w:ascii="Times New Roman" w:hAnsi="Times New Roman" w:cs="Times New Roman"/>
                <w:snapToGrid w:val="0"/>
                <w:color w:val="auto"/>
                <w:highlight w:val="none"/>
              </w:rPr>
            </w:pPr>
            <w:r>
              <w:rPr>
                <w:rFonts w:hint="default" w:ascii="Times New Roman" w:hAnsi="Times New Roman" w:eastAsia="宋体" w:cs="Times New Roman"/>
                <w:snapToGrid w:val="0"/>
                <w:color w:val="auto"/>
                <w:sz w:val="21"/>
                <w:szCs w:val="21"/>
                <w:highlight w:val="none"/>
                <w:lang w:val="zh-CN" w:eastAsia="zh-CN"/>
              </w:rPr>
              <w:t>SO</w:t>
            </w:r>
            <w:r>
              <w:rPr>
                <w:rFonts w:hint="default" w:ascii="Times New Roman" w:hAnsi="Times New Roman" w:eastAsia="宋体" w:cs="Times New Roman"/>
                <w:snapToGrid w:val="0"/>
                <w:color w:val="auto"/>
                <w:sz w:val="21"/>
                <w:szCs w:val="21"/>
                <w:highlight w:val="none"/>
                <w:vertAlign w:val="subscript"/>
                <w:lang w:val="zh-CN" w:eastAsia="zh-CN"/>
              </w:rPr>
              <w:t>2</w:t>
            </w:r>
          </w:p>
        </w:tc>
        <w:tc>
          <w:tcPr>
            <w:tcW w:w="2114" w:type="pct"/>
            <w:noWrap w:val="0"/>
            <w:vAlign w:val="center"/>
          </w:tcPr>
          <w:p w14:paraId="64FE973C">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0.00038</w:t>
            </w:r>
          </w:p>
        </w:tc>
      </w:tr>
      <w:tr w14:paraId="2733F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0B815F52">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5</w:t>
            </w:r>
          </w:p>
        </w:tc>
        <w:tc>
          <w:tcPr>
            <w:tcW w:w="1863" w:type="pct"/>
            <w:noWrap w:val="0"/>
            <w:vAlign w:val="center"/>
          </w:tcPr>
          <w:p w14:paraId="342C0D36">
            <w:pPr>
              <w:widowControl w:val="0"/>
              <w:adjustRightInd w:val="0"/>
              <w:snapToGrid/>
              <w:spacing w:line="240" w:lineRule="auto"/>
              <w:ind w:firstLine="0" w:firstLineChars="0"/>
              <w:jc w:val="center"/>
              <w:rPr>
                <w:rFonts w:hint="default" w:ascii="Times New Roman" w:hAnsi="Times New Roman" w:cs="Times New Roman"/>
                <w:snapToGrid w:val="0"/>
                <w:color w:val="auto"/>
                <w:highlight w:val="none"/>
              </w:rPr>
            </w:pPr>
            <w:r>
              <w:rPr>
                <w:rFonts w:hint="default" w:ascii="Times New Roman" w:hAnsi="Times New Roman" w:eastAsia="宋体" w:cs="Times New Roman"/>
                <w:snapToGrid w:val="0"/>
                <w:color w:val="auto"/>
                <w:sz w:val="21"/>
                <w:szCs w:val="21"/>
                <w:highlight w:val="none"/>
                <w:lang w:val="zh-CN" w:eastAsia="zh-CN"/>
              </w:rPr>
              <w:t>NO</w:t>
            </w:r>
            <w:r>
              <w:rPr>
                <w:rFonts w:hint="default" w:ascii="Times New Roman" w:hAnsi="Times New Roman" w:eastAsia="宋体" w:cs="Times New Roman"/>
                <w:snapToGrid w:val="0"/>
                <w:color w:val="auto"/>
                <w:sz w:val="21"/>
                <w:szCs w:val="21"/>
                <w:highlight w:val="none"/>
                <w:vertAlign w:val="subscript"/>
                <w:lang w:val="zh-CN" w:eastAsia="zh-CN"/>
              </w:rPr>
              <w:t>X</w:t>
            </w:r>
          </w:p>
        </w:tc>
        <w:tc>
          <w:tcPr>
            <w:tcW w:w="2114" w:type="pct"/>
            <w:noWrap w:val="0"/>
            <w:vAlign w:val="center"/>
          </w:tcPr>
          <w:p w14:paraId="3E42638B">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0.0158</w:t>
            </w:r>
          </w:p>
        </w:tc>
      </w:tr>
    </w:tbl>
    <w:p w14:paraId="0E06A450">
      <w:pPr>
        <w:widowControl w:val="0"/>
        <w:adjustRightInd w:val="0"/>
        <w:snapToGrid w:val="0"/>
        <w:spacing w:line="480" w:lineRule="exact"/>
        <w:ind w:firstLine="480" w:firstLineChars="200"/>
        <w:jc w:val="left"/>
        <w:rPr>
          <w:rFonts w:hint="default" w:ascii="Times New Roman" w:hAnsi="Times New Roman" w:eastAsia="宋体" w:cs="Times New Roman"/>
          <w:snapToGrid w:val="0"/>
          <w:color w:val="auto"/>
          <w:kern w:val="0"/>
          <w:sz w:val="24"/>
          <w:szCs w:val="20"/>
          <w:highlight w:val="none"/>
          <w:lang w:val="en-US" w:eastAsia="zh-CN" w:bidi="ar-SA"/>
        </w:rPr>
      </w:pPr>
      <w:r>
        <w:rPr>
          <w:rFonts w:hint="default" w:ascii="Times New Roman" w:hAnsi="Times New Roman" w:eastAsia="宋体" w:cs="Times New Roman"/>
          <w:snapToGrid w:val="0"/>
          <w:color w:val="auto"/>
          <w:kern w:val="0"/>
          <w:sz w:val="24"/>
          <w:szCs w:val="20"/>
          <w:highlight w:val="none"/>
          <w:lang w:val="en-US" w:eastAsia="zh-CN" w:bidi="ar-SA"/>
        </w:rPr>
        <w:t>生产过程中设备检修、工艺设备运转异常等非正常工况下的污染物排放，以及污染物排放控制措施达不到应有效率等情况下，会导致污染物超标排放，此时，应停止生产，立刻检修设备及环保设施，无法修补时及时更换，保证污染物达标排放。</w:t>
      </w:r>
    </w:p>
    <w:p w14:paraId="5C91C45E">
      <w:pPr>
        <w:widowControl w:val="0"/>
        <w:adjustRightInd w:val="0"/>
        <w:snapToGrid w:val="0"/>
        <w:spacing w:line="480" w:lineRule="exact"/>
        <w:ind w:firstLine="480" w:firstLineChars="200"/>
        <w:jc w:val="left"/>
        <w:rPr>
          <w:rFonts w:hint="default" w:ascii="Times New Roman" w:hAnsi="Times New Roman" w:eastAsia="宋体" w:cs="Times New Roman"/>
          <w:snapToGrid w:val="0"/>
          <w:color w:val="auto"/>
          <w:kern w:val="0"/>
          <w:sz w:val="24"/>
          <w:szCs w:val="20"/>
          <w:highlight w:val="none"/>
          <w:lang w:val="en-US" w:eastAsia="zh-CN" w:bidi="ar-SA"/>
        </w:rPr>
      </w:pPr>
      <w:r>
        <w:rPr>
          <w:rFonts w:hint="default" w:ascii="Times New Roman" w:hAnsi="Times New Roman" w:eastAsia="宋体" w:cs="Times New Roman"/>
          <w:snapToGrid w:val="0"/>
          <w:color w:val="auto"/>
          <w:kern w:val="0"/>
          <w:sz w:val="24"/>
          <w:szCs w:val="20"/>
          <w:highlight w:val="none"/>
          <w:lang w:val="en-US" w:eastAsia="zh-CN" w:bidi="ar-SA"/>
        </w:rPr>
        <w:t>如果活性炭装置发生故障或遇到突发事故，将会导致废气无法正常处理直接排放至大气环境中的情况，</w:t>
      </w:r>
      <w:bookmarkStart w:id="729" w:name="_Hlk10626057"/>
      <w:r>
        <w:rPr>
          <w:rFonts w:hint="default" w:ascii="Times New Roman" w:hAnsi="Times New Roman" w:eastAsia="宋体" w:cs="Times New Roman"/>
          <w:snapToGrid w:val="0"/>
          <w:color w:val="auto"/>
          <w:kern w:val="0"/>
          <w:sz w:val="24"/>
          <w:szCs w:val="20"/>
          <w:highlight w:val="none"/>
          <w:lang w:val="en-US" w:eastAsia="zh-CN" w:bidi="ar-SA"/>
        </w:rPr>
        <w:t>活性炭处理装置发生故障时，处理效率按0%计</w:t>
      </w:r>
      <w:bookmarkEnd w:id="729"/>
      <w:r>
        <w:rPr>
          <w:rFonts w:hint="default" w:ascii="Times New Roman" w:hAnsi="Times New Roman" w:eastAsia="宋体" w:cs="Times New Roman"/>
          <w:snapToGrid w:val="0"/>
          <w:color w:val="auto"/>
          <w:kern w:val="0"/>
          <w:sz w:val="24"/>
          <w:szCs w:val="20"/>
          <w:highlight w:val="none"/>
          <w:lang w:val="en-US" w:eastAsia="zh-CN" w:bidi="ar-SA"/>
        </w:rPr>
        <w:t>，则非正常工况下，废气源强见下表。</w:t>
      </w:r>
    </w:p>
    <w:p w14:paraId="59E77F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w:t>
      </w:r>
      <w:r>
        <w:rPr>
          <w:rFonts w:hint="eastAsia" w:ascii="Times New Roman" w:hAnsi="Times New Roman" w:eastAsia="黑体" w:cs="Times New Roman"/>
          <w:b w:val="0"/>
          <w:bCs/>
          <w:smallCaps w:val="0"/>
          <w:snapToGrid/>
          <w:color w:val="auto"/>
          <w:kern w:val="2"/>
          <w:sz w:val="21"/>
          <w:szCs w:val="24"/>
          <w:highlight w:val="none"/>
          <w:lang w:val="en-US" w:eastAsia="zh-CN" w:bidi="ar-SA"/>
        </w:rPr>
        <w:t>5.2</w:t>
      </w:r>
      <w:r>
        <w:rPr>
          <w:rFonts w:hint="default" w:ascii="Times New Roman" w:hAnsi="Times New Roman" w:eastAsia="黑体" w:cs="Times New Roman"/>
          <w:b w:val="0"/>
          <w:bCs/>
          <w:smallCaps w:val="0"/>
          <w:snapToGrid/>
          <w:color w:val="auto"/>
          <w:kern w:val="2"/>
          <w:sz w:val="21"/>
          <w:szCs w:val="24"/>
          <w:highlight w:val="none"/>
          <w:lang w:val="en-US" w:eastAsia="zh-CN" w:bidi="ar-SA"/>
        </w:rPr>
        <w:t>-</w:t>
      </w:r>
      <w:r>
        <w:rPr>
          <w:rFonts w:hint="eastAsia" w:ascii="Times New Roman" w:hAnsi="Times New Roman" w:eastAsia="黑体" w:cs="Times New Roman"/>
          <w:b w:val="0"/>
          <w:bCs/>
          <w:smallCaps w:val="0"/>
          <w:snapToGrid/>
          <w:color w:val="auto"/>
          <w:kern w:val="2"/>
          <w:sz w:val="21"/>
          <w:szCs w:val="24"/>
          <w:highlight w:val="none"/>
          <w:lang w:val="en-US" w:eastAsia="zh-CN" w:bidi="ar-SA"/>
        </w:rPr>
        <w:t>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非正常工况下污染物参数</w:t>
      </w:r>
    </w:p>
    <w:tbl>
      <w:tblPr>
        <w:tblStyle w:val="4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1234"/>
        <w:gridCol w:w="996"/>
        <w:gridCol w:w="996"/>
        <w:gridCol w:w="1342"/>
        <w:gridCol w:w="1045"/>
        <w:gridCol w:w="860"/>
        <w:gridCol w:w="865"/>
      </w:tblGrid>
      <w:tr w14:paraId="3E032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90" w:type="pct"/>
            <w:noWrap w:val="0"/>
            <w:vAlign w:val="center"/>
          </w:tcPr>
          <w:p w14:paraId="69497819">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非正常排放源</w:t>
            </w:r>
          </w:p>
        </w:tc>
        <w:tc>
          <w:tcPr>
            <w:tcW w:w="725" w:type="pct"/>
            <w:noWrap w:val="0"/>
            <w:vAlign w:val="center"/>
          </w:tcPr>
          <w:p w14:paraId="63D60EAE">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非正常排放原因</w:t>
            </w:r>
          </w:p>
        </w:tc>
        <w:tc>
          <w:tcPr>
            <w:tcW w:w="585" w:type="pct"/>
            <w:noWrap w:val="0"/>
            <w:vAlign w:val="center"/>
          </w:tcPr>
          <w:p w14:paraId="2BDDEA5D">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处理效率</w:t>
            </w:r>
          </w:p>
        </w:tc>
        <w:tc>
          <w:tcPr>
            <w:tcW w:w="585" w:type="pct"/>
            <w:noWrap w:val="0"/>
            <w:vAlign w:val="center"/>
          </w:tcPr>
          <w:p w14:paraId="0A17DBFB">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污染物</w:t>
            </w:r>
          </w:p>
        </w:tc>
        <w:tc>
          <w:tcPr>
            <w:tcW w:w="788" w:type="pct"/>
            <w:noWrap w:val="0"/>
            <w:vAlign w:val="center"/>
          </w:tcPr>
          <w:p w14:paraId="47DD4F00">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非正常排放速率/(kg/h)</w:t>
            </w:r>
          </w:p>
        </w:tc>
        <w:tc>
          <w:tcPr>
            <w:tcW w:w="614" w:type="pct"/>
            <w:noWrap w:val="0"/>
            <w:vAlign w:val="center"/>
          </w:tcPr>
          <w:p w14:paraId="679593EB">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单次持续时间/h</w:t>
            </w:r>
          </w:p>
        </w:tc>
        <w:tc>
          <w:tcPr>
            <w:tcW w:w="505" w:type="pct"/>
            <w:noWrap w:val="0"/>
            <w:vAlign w:val="center"/>
          </w:tcPr>
          <w:p w14:paraId="40B70C17">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年发生频次/次</w:t>
            </w:r>
          </w:p>
        </w:tc>
        <w:tc>
          <w:tcPr>
            <w:tcW w:w="862" w:type="dxa"/>
            <w:noWrap w:val="0"/>
            <w:vAlign w:val="center"/>
          </w:tcPr>
          <w:p w14:paraId="07F6AE5C">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zh-CN"/>
              </w:rPr>
              <w:t>应对措施</w:t>
            </w:r>
          </w:p>
        </w:tc>
      </w:tr>
      <w:tr w14:paraId="2EB2F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90" w:type="pct"/>
            <w:vMerge w:val="restart"/>
            <w:noWrap w:val="0"/>
            <w:vAlign w:val="center"/>
          </w:tcPr>
          <w:p w14:paraId="2267DF1D">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DA001</w:t>
            </w:r>
          </w:p>
        </w:tc>
        <w:tc>
          <w:tcPr>
            <w:tcW w:w="725" w:type="pct"/>
            <w:vMerge w:val="restart"/>
            <w:noWrap w:val="0"/>
            <w:vAlign w:val="center"/>
          </w:tcPr>
          <w:p w14:paraId="62FA2154">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活性炭处理装置故障</w:t>
            </w:r>
          </w:p>
        </w:tc>
        <w:tc>
          <w:tcPr>
            <w:tcW w:w="585" w:type="pct"/>
            <w:vMerge w:val="restart"/>
            <w:noWrap w:val="0"/>
            <w:vAlign w:val="center"/>
          </w:tcPr>
          <w:p w14:paraId="00416441">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w:t>
            </w:r>
          </w:p>
        </w:tc>
        <w:tc>
          <w:tcPr>
            <w:tcW w:w="585" w:type="pct"/>
            <w:noWrap w:val="0"/>
            <w:vAlign w:val="center"/>
          </w:tcPr>
          <w:p w14:paraId="3C139F65">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NH</w:t>
            </w:r>
            <w:r>
              <w:rPr>
                <w:rFonts w:hint="default" w:ascii="Times New Roman" w:hAnsi="Times New Roman" w:eastAsia="宋体" w:cs="Times New Roman"/>
                <w:snapToGrid w:val="0"/>
                <w:color w:val="auto"/>
                <w:kern w:val="0"/>
                <w:sz w:val="21"/>
                <w:szCs w:val="21"/>
                <w:highlight w:val="none"/>
                <w:vertAlign w:val="subscript"/>
                <w:lang w:val="en-US" w:eastAsia="zh-CN" w:bidi="ar-SA"/>
              </w:rPr>
              <w:t>3</w:t>
            </w:r>
          </w:p>
        </w:tc>
        <w:tc>
          <w:tcPr>
            <w:tcW w:w="788" w:type="pct"/>
            <w:noWrap w:val="0"/>
            <w:vAlign w:val="center"/>
          </w:tcPr>
          <w:p w14:paraId="022F3E48">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0.0735</w:t>
            </w:r>
          </w:p>
        </w:tc>
        <w:tc>
          <w:tcPr>
            <w:tcW w:w="614" w:type="pct"/>
            <w:vMerge w:val="restart"/>
            <w:noWrap w:val="0"/>
            <w:vAlign w:val="center"/>
          </w:tcPr>
          <w:p w14:paraId="4409CF62">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0.5</w:t>
            </w:r>
          </w:p>
        </w:tc>
        <w:tc>
          <w:tcPr>
            <w:tcW w:w="505" w:type="pct"/>
            <w:vMerge w:val="restart"/>
            <w:noWrap w:val="0"/>
            <w:vAlign w:val="center"/>
          </w:tcPr>
          <w:p w14:paraId="7A663C45">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w:t>
            </w:r>
          </w:p>
        </w:tc>
        <w:tc>
          <w:tcPr>
            <w:tcW w:w="862" w:type="dxa"/>
            <w:noWrap w:val="0"/>
            <w:vAlign w:val="center"/>
          </w:tcPr>
          <w:p w14:paraId="7A5D7C07">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zh-CN"/>
              </w:rPr>
              <w:t>定期检修</w:t>
            </w:r>
          </w:p>
        </w:tc>
      </w:tr>
      <w:tr w14:paraId="0CCD93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90" w:type="pct"/>
            <w:vMerge w:val="continue"/>
            <w:noWrap w:val="0"/>
            <w:vAlign w:val="center"/>
          </w:tcPr>
          <w:p w14:paraId="4DD7D77F">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725" w:type="pct"/>
            <w:vMerge w:val="continue"/>
            <w:noWrap w:val="0"/>
            <w:vAlign w:val="center"/>
          </w:tcPr>
          <w:p w14:paraId="748AAF3F">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585" w:type="pct"/>
            <w:vMerge w:val="continue"/>
            <w:noWrap w:val="0"/>
            <w:vAlign w:val="center"/>
          </w:tcPr>
          <w:p w14:paraId="7BC2F779">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585" w:type="pct"/>
            <w:noWrap w:val="0"/>
            <w:vAlign w:val="center"/>
          </w:tcPr>
          <w:p w14:paraId="4E89A6B1">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H</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S</w:t>
            </w:r>
          </w:p>
        </w:tc>
        <w:tc>
          <w:tcPr>
            <w:tcW w:w="788" w:type="pct"/>
            <w:noWrap w:val="0"/>
            <w:vAlign w:val="center"/>
          </w:tcPr>
          <w:p w14:paraId="410E6F9C">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0.00288</w:t>
            </w:r>
          </w:p>
        </w:tc>
        <w:tc>
          <w:tcPr>
            <w:tcW w:w="614" w:type="pct"/>
            <w:vMerge w:val="continue"/>
            <w:noWrap w:val="0"/>
            <w:vAlign w:val="center"/>
          </w:tcPr>
          <w:p w14:paraId="034D69B8">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505" w:type="pct"/>
            <w:vMerge w:val="continue"/>
            <w:noWrap w:val="0"/>
            <w:vAlign w:val="center"/>
          </w:tcPr>
          <w:p w14:paraId="171518BB">
            <w:pPr>
              <w:widowControl w:val="0"/>
              <w:spacing w:line="240" w:lineRule="auto"/>
              <w:ind w:left="0"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862" w:type="dxa"/>
            <w:noWrap w:val="0"/>
            <w:vAlign w:val="center"/>
          </w:tcPr>
          <w:p w14:paraId="018B0194">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zh-CN"/>
              </w:rPr>
              <w:t>定期检修</w:t>
            </w:r>
          </w:p>
        </w:tc>
      </w:tr>
    </w:tbl>
    <w:p w14:paraId="4D43996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cs="Times New Roman"/>
          <w:color w:val="auto"/>
          <w:kern w:val="0"/>
          <w:sz w:val="24"/>
          <w:szCs w:val="24"/>
          <w:highlight w:val="none"/>
          <w:lang w:val="en-US" w:eastAsia="zh-CN" w:bidi="ar-SA"/>
        </w:rPr>
        <w:t>①</w:t>
      </w:r>
      <w:r>
        <w:rPr>
          <w:rFonts w:hint="default" w:ascii="Times New Roman" w:hAnsi="Times New Roman" w:eastAsia="宋体" w:cs="Times New Roman"/>
          <w:color w:val="auto"/>
          <w:kern w:val="0"/>
          <w:sz w:val="24"/>
          <w:szCs w:val="24"/>
          <w:highlight w:val="none"/>
          <w:lang w:val="en-US" w:eastAsia="zh-CN" w:bidi="ar-SA"/>
        </w:rPr>
        <w:t>猪舍、</w:t>
      </w:r>
      <w:r>
        <w:rPr>
          <w:rFonts w:hint="eastAsia" w:ascii="Times New Roman" w:hAnsi="Times New Roman"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、沼液贮存池</w:t>
      </w:r>
      <w:r>
        <w:rPr>
          <w:rFonts w:hint="eastAsia"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固液分离间及</w:t>
      </w:r>
      <w:r>
        <w:rPr>
          <w:rFonts w:hint="eastAsia" w:ascii="Times New Roman" w:hAnsi="Times New Roman" w:cs="Times New Roman"/>
          <w:color w:val="auto"/>
          <w:kern w:val="0"/>
          <w:sz w:val="24"/>
          <w:szCs w:val="24"/>
          <w:highlight w:val="none"/>
          <w:lang w:val="en-US" w:eastAsia="zh-CN" w:bidi="ar-SA"/>
        </w:rPr>
        <w:t>干粪堆积场</w:t>
      </w:r>
      <w:r>
        <w:rPr>
          <w:rFonts w:hint="default" w:ascii="Times New Roman" w:hAnsi="Times New Roman" w:eastAsia="宋体" w:cs="Times New Roman"/>
          <w:color w:val="auto"/>
          <w:kern w:val="0"/>
          <w:sz w:val="24"/>
          <w:szCs w:val="24"/>
          <w:highlight w:val="none"/>
          <w:lang w:val="en-US" w:eastAsia="zh-CN" w:bidi="ar-SA"/>
        </w:rPr>
        <w:t>等恶臭污染防治措施</w:t>
      </w:r>
    </w:p>
    <w:p w14:paraId="55417D7E">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本项目总体布局，将本项目恶臭气体污染源分为二个区域，分别为养殖区及粪污治理区。养殖区包括猪舍（配种舍、分娩舍、保育舍、后备舍）以及其他相应配套设施。粪污治理区包括干粪堆积场、黑膜厌氧池</w:t>
      </w:r>
      <w:r>
        <w:rPr>
          <w:rFonts w:hint="eastAsia" w:ascii="Times New Roman" w:hAnsi="Times New Roman" w:cs="Times New Roman"/>
          <w:color w:val="auto"/>
          <w:kern w:val="0"/>
          <w:sz w:val="24"/>
          <w:szCs w:val="24"/>
          <w:highlight w:val="none"/>
          <w:lang w:val="en-US" w:eastAsia="zh-CN" w:bidi="ar-SA"/>
        </w:rPr>
        <w:t>、沼液贮存池</w:t>
      </w:r>
      <w:r>
        <w:rPr>
          <w:rFonts w:hint="default" w:ascii="Times New Roman" w:hAnsi="Times New Roman" w:eastAsia="宋体" w:cs="Times New Roman"/>
          <w:color w:val="auto"/>
          <w:kern w:val="0"/>
          <w:sz w:val="24"/>
          <w:szCs w:val="24"/>
          <w:highlight w:val="none"/>
          <w:lang w:val="en-US" w:eastAsia="zh-CN" w:bidi="ar-SA"/>
        </w:rPr>
        <w:t>。</w:t>
      </w:r>
    </w:p>
    <w:p w14:paraId="2DE760EB">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针对养殖区</w:t>
      </w:r>
      <w:r>
        <w:rPr>
          <w:rFonts w:hint="eastAsia" w:ascii="Times New Roman" w:hAnsi="Times New Roman" w:cs="Times New Roman"/>
          <w:color w:val="auto"/>
          <w:kern w:val="0"/>
          <w:sz w:val="24"/>
          <w:szCs w:val="24"/>
          <w:highlight w:val="none"/>
          <w:lang w:val="en-US" w:eastAsia="zh-CN" w:bidi="ar-SA"/>
        </w:rPr>
        <w:t>、粪污治理区</w:t>
      </w:r>
      <w:r>
        <w:rPr>
          <w:rFonts w:hint="default" w:ascii="Times New Roman" w:hAnsi="Times New Roman" w:eastAsia="宋体" w:cs="Times New Roman"/>
          <w:color w:val="auto"/>
          <w:kern w:val="0"/>
          <w:sz w:val="24"/>
          <w:szCs w:val="24"/>
          <w:highlight w:val="none"/>
          <w:lang w:val="en-US" w:eastAsia="zh-CN" w:bidi="ar-SA"/>
        </w:rPr>
        <w:t>产生的恶臭气体建议采取的恶臭处理措施如下：</w:t>
      </w:r>
    </w:p>
    <w:p w14:paraId="104DC7C5">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1、及时清理</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舍中的粪便</w:t>
      </w:r>
    </w:p>
    <w:p w14:paraId="27455695">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（1）有资料表明，温度高时恶臭气体浓度高，</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粪在1～2周后发酵较快，粪便暴露面积大的发酵率高。因此</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舍应全部进行地面硬化，并在</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舍内加强通风，可减少</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粪污染。</w:t>
      </w:r>
    </w:p>
    <w:p w14:paraId="64391127">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（2）为防止蚊蝇孳生，应根据蚊蝇生活习性，采用人工、机械配合喷药的方法预防蚊蝇孳生。</w:t>
      </w:r>
    </w:p>
    <w:p w14:paraId="5A49D8BE">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（3）加强</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舍与饲料堆放地的灭鼠工作，预防疾病的传播。</w:t>
      </w:r>
    </w:p>
    <w:p w14:paraId="5033031F">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2、在</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后对</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舍的地面要进行及时清洗。</w:t>
      </w:r>
    </w:p>
    <w:p w14:paraId="7BD9BD50">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舍地面应具有一定坡度（一般为1.5%-3%），并设排水设施，确保清洗地面废水可以及时排出，不滞留产生恶臭。</w:t>
      </w:r>
    </w:p>
    <w:p w14:paraId="632C87A3">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3、强化</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舍消毒措施</w:t>
      </w:r>
    </w:p>
    <w:p w14:paraId="3D2AE831">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（1）全部</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舍必须配备地面消毒设备，定期喷洒除臭剂。</w:t>
      </w:r>
    </w:p>
    <w:p w14:paraId="64783608">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（2）场区内应设有车辆清洗消毒设施。</w:t>
      </w:r>
    </w:p>
    <w:p w14:paraId="19F7A773">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4、科学的设计日粮（日粮中添加EM菌）、提高饲料利用率</w:t>
      </w:r>
    </w:p>
    <w:p w14:paraId="44239167">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采食饲料后，饲料在消化道内消化过程中（尤其是后段肠道），因微生物腐败分解而产生臭气；同时没有消化吸收部分在体外被微生物降解，因此提高日粮的消化率、减少干物质（特别是蛋白质）排出量，既减少肠道臭气的产生，又可减少粪便排出后的臭气的产生，这是减少恶臭来源的有效措施。</w:t>
      </w:r>
    </w:p>
    <w:p w14:paraId="6F7FF9EF">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5、黑膜厌氧池全封闭</w:t>
      </w:r>
    </w:p>
    <w:p w14:paraId="0BDDDA08">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本项目黑膜厌氧池顶部采取HDPE膜材料将整个黑膜厌氧池进行全封闭，减少恶臭污染物无组织逸散</w:t>
      </w:r>
      <w:r>
        <w:rPr>
          <w:rFonts w:hint="default" w:ascii="Times New Roman" w:hAnsi="Times New Roman" w:cs="Times New Roman"/>
          <w:color w:val="auto"/>
          <w:sz w:val="24"/>
          <w:highlight w:val="none"/>
          <w:lang w:eastAsia="zh-CN"/>
        </w:rPr>
        <w:t>。</w:t>
      </w:r>
    </w:p>
    <w:p w14:paraId="42E555CD">
      <w:pPr>
        <w:adjustRightInd w:val="0"/>
        <w:snapToGrid w:val="0"/>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6、各工艺单元恶臭气体防治措施</w:t>
      </w:r>
    </w:p>
    <w:p w14:paraId="2732F25D">
      <w:pPr>
        <w:adjustRightInd w:val="0"/>
        <w:snapToGrid w:val="0"/>
        <w:spacing w:line="360" w:lineRule="auto"/>
        <w:ind w:firstLine="480" w:firstLineChars="2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①恶臭气体防治措施</w:t>
      </w:r>
    </w:p>
    <w:p w14:paraId="656802B3">
      <w:pPr>
        <w:pStyle w:val="94"/>
        <w:ind w:firstLine="48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猪舍采用</w:t>
      </w:r>
      <w:r>
        <w:rPr>
          <w:rFonts w:hint="eastAsia" w:ascii="Times New Roman" w:hAnsi="Times New Roman" w:cs="Times New Roman"/>
          <w:color w:val="auto"/>
          <w:sz w:val="24"/>
          <w:szCs w:val="24"/>
          <w:highlight w:val="none"/>
          <w:lang w:val="en-US" w:eastAsia="zh-CN"/>
        </w:rPr>
        <w:t>尿泡粪—干清粪</w:t>
      </w:r>
      <w:r>
        <w:rPr>
          <w:rFonts w:hint="default" w:ascii="Times New Roman" w:hAnsi="Times New Roman" w:cs="Times New Roman"/>
          <w:color w:val="auto"/>
          <w:sz w:val="24"/>
          <w:szCs w:val="24"/>
          <w:highlight w:val="none"/>
          <w:lang w:val="en-US" w:eastAsia="zh-CN"/>
        </w:rPr>
        <w:t>的清粪方式，及时清运粪污；在日粮中添加EM菌；定期喷洒生物除臭剂。臭气浓度满足《畜禽养殖业污染物排放标准》（GB18596-2001）中表7标准，硫化氢、氨在厂界浓度满足《恶臭污染物排放标准》（GB14554-93）表1中二级新改扩建标准。</w:t>
      </w:r>
    </w:p>
    <w:p w14:paraId="7D6CEC5F">
      <w:pPr>
        <w:pStyle w:val="94"/>
        <w:ind w:firstLine="480"/>
        <w:rPr>
          <w:rFonts w:hint="default" w:ascii="Times New Roman" w:hAnsi="Times New Roman" w:cs="Times New Roman"/>
          <w:snapToGrid w:val="0"/>
          <w:color w:val="auto"/>
          <w:sz w:val="24"/>
          <w:szCs w:val="24"/>
          <w:highlight w:val="none"/>
          <w:lang w:val="en-US" w:eastAsia="zh-CN" w:bidi="ar"/>
        </w:rPr>
      </w:pP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bCs/>
          <w:snapToGrid w:val="0"/>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及时清运固体粪污；采用好氧堆肥方式；恶臭采用负压收集后（收集效率90%）进入活性炭吸附装置净化处理后（处理效率90%）经15米高排气筒排放，废气量为</w:t>
      </w:r>
      <w:r>
        <w:rPr>
          <w:rFonts w:hint="eastAsia" w:ascii="Times New Roman" w:hAnsi="Times New Roman" w:cs="Times New Roman"/>
          <w:color w:val="auto"/>
          <w:sz w:val="24"/>
          <w:szCs w:val="24"/>
          <w:highlight w:val="none"/>
          <w:lang w:val="en-US" w:eastAsia="zh-CN"/>
        </w:rPr>
        <w:t>5000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/h，减少恶臭气体对周围环境的影响</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H</w:t>
      </w:r>
      <w:r>
        <w:rPr>
          <w:rFonts w:hint="eastAsia" w:ascii="Times New Roman" w:hAnsi="Times New Roman" w:cs="Times New Roman"/>
          <w:b w:val="0"/>
          <w:bCs w:val="0"/>
          <w:smallCap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S、NH</w:t>
      </w:r>
      <w:r>
        <w:rPr>
          <w:rFonts w:hint="eastAsia" w:ascii="Times New Roman" w:hAnsi="Times New Roman" w:cs="Times New Roman"/>
          <w:b w:val="0"/>
          <w:bCs w:val="0"/>
          <w:smallCaps/>
          <w:snapToGrid w:val="0"/>
          <w:color w:val="auto"/>
          <w:kern w:val="0"/>
          <w:sz w:val="24"/>
          <w:szCs w:val="24"/>
          <w:highlight w:val="none"/>
          <w:vertAlign w:val="subscript"/>
          <w:lang w:val="en-US" w:eastAsia="zh-CN" w:bidi="ar-SA"/>
        </w:rPr>
        <w:t>3</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有</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组织排放浓度执行《恶臭污染物排放标准》（GB14554-93）表</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中</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恶臭污染物排放标准限值</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；运营期恶臭污染物H</w:t>
      </w:r>
      <w:r>
        <w:rPr>
          <w:rFonts w:hint="default" w:ascii="Times New Roman" w:hAnsi="Times New Roman" w:eastAsia="宋体" w:cs="Times New Roman"/>
          <w:b w:val="0"/>
          <w:bCs w:val="0"/>
          <w:smallCap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S、NH</w:t>
      </w:r>
      <w:r>
        <w:rPr>
          <w:rFonts w:hint="default" w:ascii="Times New Roman" w:hAnsi="Times New Roman" w:eastAsia="宋体" w:cs="Times New Roman"/>
          <w:b w:val="0"/>
          <w:bCs w:val="0"/>
          <w:smallCaps/>
          <w:snapToGrid w:val="0"/>
          <w:color w:val="auto"/>
          <w:kern w:val="0"/>
          <w:sz w:val="24"/>
          <w:szCs w:val="24"/>
          <w:highlight w:val="none"/>
          <w:vertAlign w:val="subscript"/>
          <w:lang w:val="en-US" w:eastAsia="zh-CN" w:bidi="ar-SA"/>
        </w:rPr>
        <w:t>3</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无组织排放浓度执行《恶臭污染物排放标准》（GB14554-93）表1中二级新扩改建标准限值</w:t>
      </w:r>
      <w:r>
        <w:rPr>
          <w:rFonts w:hint="default" w:ascii="Times New Roman" w:hAnsi="Times New Roman" w:cs="Times New Roman"/>
          <w:snapToGrid w:val="0"/>
          <w:color w:val="auto"/>
          <w:sz w:val="24"/>
          <w:szCs w:val="24"/>
          <w:highlight w:val="none"/>
          <w:lang w:val="en-US" w:eastAsia="zh-CN" w:bidi="ar"/>
        </w:rPr>
        <w:t>。</w:t>
      </w:r>
    </w:p>
    <w:p w14:paraId="5EC10A4F">
      <w:pPr>
        <w:pStyle w:val="94"/>
        <w:ind w:firstLine="480"/>
        <w:jc w:val="both"/>
        <w:rPr>
          <w:rFonts w:hint="default" w:ascii="Times New Roman" w:hAnsi="Times New Roman" w:cs="Times New Roman"/>
          <w:snapToGrid w:val="0"/>
          <w:color w:val="auto"/>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eastAsia="zh-CN" w:bidi="ar"/>
        </w:rPr>
        <w:t>固液分离间对处理设施进行封闭，定期</w:t>
      </w:r>
      <w:r>
        <w:rPr>
          <w:rFonts w:hint="default" w:ascii="Times New Roman" w:hAnsi="Times New Roman" w:eastAsia="宋体" w:cs="Times New Roman"/>
          <w:bCs/>
          <w:snapToGrid w:val="0"/>
          <w:color w:val="auto"/>
          <w:sz w:val="24"/>
          <w:szCs w:val="24"/>
          <w:highlight w:val="none"/>
        </w:rPr>
        <w:t>喷洒除臭剂</w:t>
      </w:r>
      <w:r>
        <w:rPr>
          <w:rFonts w:hint="eastAsia" w:ascii="Times New Roman" w:hAnsi="Times New Roman" w:cs="Times New Roman"/>
          <w:bCs/>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lang w:val="en-US" w:eastAsia="zh-CN" w:bidi="ar"/>
        </w:rPr>
        <w:t>黑膜厌氧池</w:t>
      </w:r>
      <w:r>
        <w:rPr>
          <w:rFonts w:hint="default" w:ascii="Times New Roman" w:hAnsi="Times New Roman" w:eastAsia="宋体" w:cs="Times New Roman"/>
          <w:snapToGrid w:val="0"/>
          <w:color w:val="auto"/>
          <w:kern w:val="0"/>
          <w:sz w:val="24"/>
          <w:szCs w:val="24"/>
          <w:highlight w:val="none"/>
          <w:lang w:val="en-US" w:eastAsia="zh-CN" w:bidi="ar"/>
        </w:rPr>
        <w:t>定期喷洒除臭剂</w:t>
      </w:r>
      <w:r>
        <w:rPr>
          <w:rFonts w:hint="default" w:ascii="Times New Roman" w:hAnsi="Times New Roman"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kern w:val="0"/>
          <w:sz w:val="24"/>
          <w:szCs w:val="24"/>
          <w:highlight w:val="none"/>
          <w:lang w:val="en-US" w:eastAsia="zh-CN" w:bidi="ar"/>
        </w:rPr>
        <w:t>黑膜厌氧池</w:t>
      </w:r>
      <w:r>
        <w:rPr>
          <w:rFonts w:hint="default" w:ascii="Times New Roman" w:hAnsi="Times New Roman" w:cs="Times New Roman"/>
          <w:snapToGrid w:val="0"/>
          <w:color w:val="auto"/>
          <w:kern w:val="0"/>
          <w:sz w:val="24"/>
          <w:szCs w:val="24"/>
          <w:highlight w:val="none"/>
          <w:lang w:val="en-US" w:eastAsia="zh-CN" w:bidi="ar"/>
        </w:rPr>
        <w:t>全封闭</w:t>
      </w:r>
      <w:r>
        <w:rPr>
          <w:rFonts w:hint="default" w:ascii="Times New Roman" w:hAnsi="Times New Roman" w:eastAsia="宋体"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731648FB">
      <w:pPr>
        <w:pStyle w:val="94"/>
        <w:ind w:firstLine="480"/>
        <w:jc w:val="both"/>
        <w:rPr>
          <w:rFonts w:hint="default" w:ascii="Times New Roman" w:hAnsi="Times New Roman" w:eastAsia="宋体" w:cs="Times New Roman"/>
          <w:snapToGrid w:val="0"/>
          <w:color w:val="auto"/>
          <w:sz w:val="24"/>
          <w:szCs w:val="24"/>
          <w:highlight w:val="none"/>
          <w:lang w:val="en-US" w:eastAsia="zh-CN" w:bidi="ar"/>
        </w:rPr>
      </w:pPr>
      <w:r>
        <w:rPr>
          <w:rFonts w:hint="default" w:ascii="Times New Roman" w:hAnsi="Times New Roman" w:cs="Times New Roman"/>
          <w:snapToGrid w:val="0"/>
          <w:color w:val="auto"/>
          <w:sz w:val="24"/>
          <w:szCs w:val="24"/>
          <w:highlight w:val="none"/>
          <w:lang w:val="en-US" w:eastAsia="zh-CN" w:bidi="ar"/>
        </w:rPr>
        <w:t>全场</w:t>
      </w:r>
      <w:r>
        <w:rPr>
          <w:rFonts w:hint="default" w:ascii="Times New Roman" w:hAnsi="Times New Roman" w:eastAsia="宋体" w:cs="Times New Roman"/>
          <w:snapToGrid w:val="0"/>
          <w:color w:val="auto"/>
          <w:kern w:val="0"/>
          <w:sz w:val="24"/>
          <w:szCs w:val="24"/>
          <w:highlight w:val="none"/>
          <w:lang w:val="en-US" w:eastAsia="zh-CN" w:bidi="ar"/>
        </w:rPr>
        <w:t>固体粪污规范还田利用；场区运输道路全硬化、及时清扫、无积灰扬尘、定期洒水抑尘。</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21449AEB">
      <w:pPr>
        <w:spacing w:line="360" w:lineRule="auto"/>
        <w:ind w:firstLine="42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cs="Times New Roman"/>
          <w:snapToGrid w:val="0"/>
          <w:color w:val="auto"/>
          <w:sz w:val="24"/>
          <w:szCs w:val="24"/>
          <w:highlight w:val="none"/>
          <w:lang w:val="en-US" w:eastAsia="zh-CN"/>
        </w:rPr>
        <w:t>②</w:t>
      </w:r>
      <w:r>
        <w:rPr>
          <w:rFonts w:hint="default" w:ascii="Times New Roman" w:hAnsi="Times New Roman" w:eastAsia="宋体" w:cs="Times New Roman"/>
          <w:snapToGrid w:val="0"/>
          <w:color w:val="auto"/>
          <w:sz w:val="24"/>
          <w:szCs w:val="24"/>
          <w:highlight w:val="none"/>
        </w:rPr>
        <w:t>除臭原理</w:t>
      </w:r>
    </w:p>
    <w:p w14:paraId="6C8ED9DA">
      <w:pPr>
        <w:adjustRightInd w:val="0"/>
        <w:snapToGrid w:val="0"/>
        <w:spacing w:line="360" w:lineRule="auto"/>
        <w:ind w:firstLine="480" w:firstLineChars="200"/>
        <w:jc w:val="both"/>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根据《自然科学》现代化农业，2011年第6期（总第383期）“微生物除臭剂研究进展”（赵晓峰，隋文志）的资料，经国家环境分析测试中心和陕西环境监测中心测试万洁芬对NH</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和H</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S的去除效率分别为92.6%和89%，对无组织排放的恶臭气体具有明显的治理效果。因此，本项目拟在猪舍、</w:t>
      </w:r>
      <w:r>
        <w:rPr>
          <w:rFonts w:hint="eastAsia" w:ascii="Times New Roman" w:hAnsi="Times New Roman" w:cs="Times New Roman"/>
          <w:color w:val="auto"/>
          <w:sz w:val="24"/>
          <w:highlight w:val="none"/>
          <w:lang w:val="en-US" w:eastAsia="zh-CN"/>
        </w:rPr>
        <w:t>干粪堆积场</w:t>
      </w:r>
      <w:r>
        <w:rPr>
          <w:rFonts w:hint="default" w:ascii="Times New Roman" w:hAnsi="Times New Roman" w:cs="Times New Roman"/>
          <w:color w:val="auto"/>
          <w:sz w:val="24"/>
          <w:highlight w:val="none"/>
          <w:lang w:val="en-US" w:eastAsia="zh-CN"/>
        </w:rPr>
        <w:t>中定期喷洒微生物除臭剂，可起到降低恶臭气体浓度的作用，但采用的除臭剂必须是无毒、无害，在环境中不会蓄积的</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以降低恶臭污染的影响。</w:t>
      </w:r>
    </w:p>
    <w:p w14:paraId="6DAEE620">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根据《排污许可证申请与核发技术规范 畜禽养殖行业》（HJ1029-2019）</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rPr>
        <w:t>畜禽养殖行业</w:t>
      </w:r>
      <w:r>
        <w:rPr>
          <w:rFonts w:hint="default" w:ascii="Times New Roman" w:hAnsi="Times New Roman" w:cs="Times New Roman"/>
          <w:color w:val="auto"/>
          <w:highlight w:val="none"/>
          <w:lang w:val="en-US" w:eastAsia="zh-CN"/>
        </w:rPr>
        <w:t>排污单位恶臭无组织排放控制要求见下表。</w:t>
      </w:r>
    </w:p>
    <w:p w14:paraId="4119432B">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2-1  </w:t>
      </w:r>
      <w:r>
        <w:rPr>
          <w:rFonts w:hint="default" w:ascii="Times New Roman" w:hAnsi="Times New Roman" w:eastAsia="黑体" w:cs="Times New Roman"/>
          <w:b w:val="0"/>
          <w:bCs/>
          <w:smallCaps w:val="0"/>
          <w:snapToGrid/>
          <w:color w:val="auto"/>
          <w:kern w:val="2"/>
          <w:sz w:val="21"/>
          <w:szCs w:val="24"/>
          <w:highlight w:val="none"/>
          <w:lang w:val="zh-CN" w:eastAsia="zh-CN" w:bidi="ar-SA"/>
        </w:rPr>
        <w:t>畜禽养殖行业</w:t>
      </w:r>
      <w:r>
        <w:rPr>
          <w:rFonts w:hint="default" w:ascii="Times New Roman" w:hAnsi="Times New Roman" w:eastAsia="黑体" w:cs="Times New Roman"/>
          <w:b w:val="0"/>
          <w:bCs/>
          <w:smallCaps w:val="0"/>
          <w:snapToGrid/>
          <w:color w:val="auto"/>
          <w:kern w:val="2"/>
          <w:sz w:val="21"/>
          <w:szCs w:val="24"/>
          <w:highlight w:val="none"/>
          <w:lang w:val="en-US" w:eastAsia="zh-CN" w:bidi="ar-SA"/>
        </w:rPr>
        <w:t>排污单位恶臭无组织排放控制要求</w:t>
      </w:r>
    </w:p>
    <w:tbl>
      <w:tblPr>
        <w:tblStyle w:val="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5"/>
        <w:gridCol w:w="4602"/>
        <w:gridCol w:w="2979"/>
      </w:tblGrid>
      <w:tr w14:paraId="6E6BF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04AA567F">
            <w:pPr>
              <w:pStyle w:val="2"/>
              <w:snapToGrid w:val="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主要生产设施</w:t>
            </w:r>
          </w:p>
        </w:tc>
        <w:tc>
          <w:tcPr>
            <w:tcW w:w="4608" w:type="dxa"/>
            <w:tcBorders>
              <w:tl2br w:val="nil"/>
              <w:tr2bl w:val="nil"/>
            </w:tcBorders>
            <w:vAlign w:val="center"/>
          </w:tcPr>
          <w:p w14:paraId="4E3AB24C">
            <w:pPr>
              <w:pStyle w:val="2"/>
              <w:snapToGrid w:val="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无组织排放控制要求</w:t>
            </w:r>
          </w:p>
        </w:tc>
        <w:tc>
          <w:tcPr>
            <w:tcW w:w="2982" w:type="dxa"/>
            <w:tcBorders>
              <w:tl2br w:val="nil"/>
              <w:tr2bl w:val="nil"/>
            </w:tcBorders>
            <w:vAlign w:val="center"/>
          </w:tcPr>
          <w:p w14:paraId="30C50F4E">
            <w:pPr>
              <w:pStyle w:val="2"/>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本项目采取的措施</w:t>
            </w:r>
          </w:p>
        </w:tc>
      </w:tr>
      <w:tr w14:paraId="263050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21B8D5D8">
            <w:pPr>
              <w:pStyle w:val="2"/>
              <w:snapToGrid w:val="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养殖栏舍</w:t>
            </w:r>
          </w:p>
        </w:tc>
        <w:tc>
          <w:tcPr>
            <w:tcW w:w="4608" w:type="dxa"/>
            <w:tcBorders>
              <w:tl2br w:val="nil"/>
              <w:tr2bl w:val="nil"/>
            </w:tcBorders>
            <w:vAlign w:val="center"/>
          </w:tcPr>
          <w:p w14:paraId="0F80C8F5">
            <w:pPr>
              <w:pStyle w:val="2"/>
              <w:numPr>
                <w:ilvl w:val="0"/>
                <w:numId w:val="0"/>
              </w:numPr>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（1）选用益生菌配方颗粒；</w:t>
            </w:r>
          </w:p>
          <w:p w14:paraId="6EFC2944">
            <w:pPr>
              <w:numPr>
                <w:ilvl w:val="0"/>
                <w:numId w:val="0"/>
              </w:numPr>
              <w:adjustRightInd w:val="0"/>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（2）及时清运粪污；</w:t>
            </w:r>
          </w:p>
          <w:p w14:paraId="665E4CAB">
            <w:pPr>
              <w:pStyle w:val="2"/>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（3）向粪便或舍内投（铺）放吸附剂减少臭气的散发；</w:t>
            </w:r>
          </w:p>
          <w:p w14:paraId="2DF762A4">
            <w:pPr>
              <w:adjustRightInd w:val="0"/>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（4）投加或喷洒除臭剂；</w:t>
            </w:r>
          </w:p>
          <w:p w14:paraId="4E64477F">
            <w:pPr>
              <w:pStyle w:val="2"/>
              <w:snapToGrid w:val="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（5）集中通风排气经处理（</w:t>
            </w:r>
            <w:r>
              <w:rPr>
                <w:rFonts w:hint="default" w:ascii="Times New Roman" w:hAnsi="Times New Roman" w:cs="Times New Roman"/>
                <w:color w:val="auto"/>
                <w:sz w:val="21"/>
                <w:szCs w:val="21"/>
                <w:highlight w:val="none"/>
              </w:rPr>
              <w:t>喷淋法、生物洗涤法、吸收法等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后排放</w:t>
            </w:r>
            <w:r>
              <w:rPr>
                <w:rFonts w:hint="default" w:ascii="Times New Roman" w:hAnsi="Times New Roman" w:cs="Times New Roman"/>
                <w:color w:val="auto"/>
                <w:sz w:val="21"/>
                <w:szCs w:val="21"/>
                <w:highlight w:val="none"/>
                <w:lang w:eastAsia="zh-CN"/>
              </w:rPr>
              <w:t>；</w:t>
            </w:r>
          </w:p>
          <w:p w14:paraId="262D4AEA">
            <w:pPr>
              <w:adjustRightInd w:val="0"/>
              <w:snapToGrid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（6）集中收集气体经处理（生物过滤法、</w:t>
            </w:r>
            <w:r>
              <w:rPr>
                <w:rFonts w:hint="default" w:ascii="Times New Roman" w:hAnsi="Times New Roman" w:cs="Times New Roman"/>
                <w:color w:val="auto"/>
                <w:sz w:val="21"/>
                <w:szCs w:val="21"/>
                <w:highlight w:val="none"/>
              </w:rPr>
              <w:t>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由排气筒</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p>
        </w:tc>
        <w:tc>
          <w:tcPr>
            <w:tcW w:w="2982" w:type="dxa"/>
            <w:tcBorders>
              <w:tl2br w:val="nil"/>
              <w:tr2bl w:val="nil"/>
            </w:tcBorders>
            <w:vAlign w:val="center"/>
          </w:tcPr>
          <w:p w14:paraId="0387CBA1">
            <w:pPr>
              <w:pStyle w:val="2"/>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（1）选用益生菌配方饲料</w:t>
            </w:r>
          </w:p>
          <w:p w14:paraId="5B5732D3">
            <w:pPr>
              <w:pStyle w:val="2"/>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（2）及时清运粪污</w:t>
            </w:r>
          </w:p>
          <w:p w14:paraId="087D10A2">
            <w:pPr>
              <w:pStyle w:val="2"/>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（3）投加或喷洒除臭剂</w:t>
            </w:r>
          </w:p>
        </w:tc>
      </w:tr>
      <w:tr w14:paraId="6D7F7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6FC46F48">
            <w:pPr>
              <w:pStyle w:val="2"/>
              <w:snapToGrid w:val="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固体粪污处理工程</w:t>
            </w:r>
          </w:p>
        </w:tc>
        <w:tc>
          <w:tcPr>
            <w:tcW w:w="4608" w:type="dxa"/>
            <w:tcBorders>
              <w:tl2br w:val="nil"/>
              <w:tr2bl w:val="nil"/>
            </w:tcBorders>
            <w:vAlign w:val="center"/>
          </w:tcPr>
          <w:p w14:paraId="2969350B">
            <w:pPr>
              <w:pStyle w:val="2"/>
              <w:numPr>
                <w:ilvl w:val="0"/>
                <w:numId w:val="0"/>
              </w:numPr>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（1）定期喷洒除臭剂；</w:t>
            </w:r>
          </w:p>
          <w:p w14:paraId="2D241F64">
            <w:pPr>
              <w:numPr>
                <w:ilvl w:val="0"/>
                <w:numId w:val="0"/>
              </w:numPr>
              <w:adjustRightInd w:val="0"/>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（2）及时清运固体粪污；</w:t>
            </w:r>
          </w:p>
          <w:p w14:paraId="23313810">
            <w:pPr>
              <w:pStyle w:val="2"/>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（3）采用厌氧或好氧堆肥方式；</w:t>
            </w:r>
          </w:p>
          <w:p w14:paraId="2AC5E201">
            <w:pPr>
              <w:adjustRightInd w:val="0"/>
              <w:snapToGrid w:val="0"/>
              <w:jc w:val="both"/>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（4）集中收集气体经处理（生物过滤法、</w:t>
            </w:r>
            <w:r>
              <w:rPr>
                <w:rFonts w:hint="default" w:ascii="Times New Roman" w:hAnsi="Times New Roman" w:cs="Times New Roman"/>
                <w:color w:val="auto"/>
                <w:sz w:val="21"/>
                <w:szCs w:val="21"/>
                <w:highlight w:val="none"/>
              </w:rPr>
              <w:t>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由排气筒</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p>
        </w:tc>
        <w:tc>
          <w:tcPr>
            <w:tcW w:w="2982" w:type="dxa"/>
            <w:tcBorders>
              <w:tl2br w:val="nil"/>
              <w:tr2bl w:val="nil"/>
            </w:tcBorders>
            <w:vAlign w:val="center"/>
          </w:tcPr>
          <w:p w14:paraId="3E8CFAAD">
            <w:pPr>
              <w:pStyle w:val="2"/>
              <w:numPr>
                <w:ilvl w:val="0"/>
                <w:numId w:val="0"/>
              </w:numPr>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（1）定期喷洒除臭剂；</w:t>
            </w:r>
          </w:p>
          <w:p w14:paraId="4DDC6FA0">
            <w:pPr>
              <w:numPr>
                <w:ilvl w:val="0"/>
                <w:numId w:val="0"/>
              </w:numPr>
              <w:adjustRightInd w:val="0"/>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（2）及时清运固体粪污；</w:t>
            </w:r>
          </w:p>
          <w:p w14:paraId="0096D4C4">
            <w:pPr>
              <w:pStyle w:val="2"/>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（3）干粪堆积场定期喷洒除臭剂；及时清运固体粪污；采用好氧堆肥方式；恶臭采用负压收集后（收集效率90%）进入活性炭吸附装置净化处理后（处理效率90%）经15米高排气筒排放，废气量为</w:t>
            </w:r>
            <w:r>
              <w:rPr>
                <w:rFonts w:hint="eastAsia" w:ascii="Times New Roman" w:cs="Times New Roman"/>
                <w:color w:val="auto"/>
                <w:sz w:val="21"/>
                <w:szCs w:val="21"/>
                <w:highlight w:val="none"/>
                <w:lang w:val="en-US" w:eastAsia="zh-CN"/>
              </w:rPr>
              <w:t>5000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/h</w:t>
            </w:r>
            <w:r>
              <w:rPr>
                <w:rFonts w:hint="eastAsia" w:ascii="Times New Roman" w:cs="Times New Roman"/>
                <w:color w:val="auto"/>
                <w:sz w:val="21"/>
                <w:szCs w:val="21"/>
                <w:highlight w:val="none"/>
                <w:lang w:val="en-US" w:eastAsia="zh-CN"/>
              </w:rPr>
              <w:t>。</w:t>
            </w:r>
          </w:p>
        </w:tc>
      </w:tr>
      <w:tr w14:paraId="74433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7C267330">
            <w:pPr>
              <w:pStyle w:val="2"/>
              <w:snapToGrid w:val="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废水处理工程</w:t>
            </w:r>
          </w:p>
        </w:tc>
        <w:tc>
          <w:tcPr>
            <w:tcW w:w="4608" w:type="dxa"/>
            <w:tcBorders>
              <w:tl2br w:val="nil"/>
              <w:tr2bl w:val="nil"/>
            </w:tcBorders>
            <w:vAlign w:val="center"/>
          </w:tcPr>
          <w:p w14:paraId="73D1DD3F">
            <w:pPr>
              <w:pStyle w:val="2"/>
              <w:numPr>
                <w:ilvl w:val="0"/>
                <w:numId w:val="6"/>
              </w:numPr>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定期喷洒除臭剂；</w:t>
            </w:r>
          </w:p>
          <w:p w14:paraId="5BCB24B3">
            <w:pPr>
              <w:pStyle w:val="2"/>
              <w:numPr>
                <w:ilvl w:val="0"/>
                <w:numId w:val="6"/>
              </w:numPr>
              <w:snapToGrid w:val="0"/>
              <w:jc w:val="both"/>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废水处理设施加盖或加罩；</w:t>
            </w:r>
          </w:p>
          <w:p w14:paraId="73891AE8">
            <w:pPr>
              <w:pStyle w:val="2"/>
              <w:numPr>
                <w:ilvl w:val="0"/>
                <w:numId w:val="6"/>
              </w:numPr>
              <w:snapToGrid w:val="0"/>
              <w:jc w:val="both"/>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集中收集气体经处理（生物过滤法、</w:t>
            </w:r>
            <w:r>
              <w:rPr>
                <w:rFonts w:hint="default" w:ascii="Times New Roman" w:hAnsi="Times New Roman" w:cs="Times New Roman"/>
                <w:color w:val="auto"/>
                <w:sz w:val="21"/>
                <w:szCs w:val="21"/>
                <w:highlight w:val="none"/>
              </w:rPr>
              <w:t>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由排气筒</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p>
        </w:tc>
        <w:tc>
          <w:tcPr>
            <w:tcW w:w="2982" w:type="dxa"/>
            <w:tcBorders>
              <w:tl2br w:val="nil"/>
              <w:tr2bl w:val="nil"/>
            </w:tcBorders>
            <w:vAlign w:val="center"/>
          </w:tcPr>
          <w:p w14:paraId="2CCED215">
            <w:pPr>
              <w:pStyle w:val="2"/>
              <w:numPr>
                <w:ilvl w:val="0"/>
                <w:numId w:val="0"/>
              </w:numPr>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（1）定期喷洒除臭剂；</w:t>
            </w:r>
          </w:p>
          <w:p w14:paraId="3D7A63DC">
            <w:pPr>
              <w:pStyle w:val="2"/>
              <w:numPr>
                <w:ilvl w:val="0"/>
                <w:numId w:val="0"/>
              </w:numPr>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（2）黑膜厌氧池</w:t>
            </w:r>
            <w:r>
              <w:rPr>
                <w:rFonts w:hint="default" w:ascii="Times New Roman" w:hAnsi="Times New Roman" w:cs="Times New Roman"/>
                <w:color w:val="auto"/>
                <w:sz w:val="21"/>
                <w:szCs w:val="21"/>
                <w:highlight w:val="none"/>
                <w:vertAlign w:val="baseline"/>
                <w:lang w:val="en-US" w:eastAsia="zh-CN"/>
              </w:rPr>
              <w:t>加盖或加罩；</w:t>
            </w:r>
          </w:p>
        </w:tc>
      </w:tr>
      <w:tr w14:paraId="4A989C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78AE2989">
            <w:pPr>
              <w:pStyle w:val="2"/>
              <w:snapToGrid w:val="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全场</w:t>
            </w:r>
          </w:p>
        </w:tc>
        <w:tc>
          <w:tcPr>
            <w:tcW w:w="4608" w:type="dxa"/>
            <w:tcBorders>
              <w:tl2br w:val="nil"/>
              <w:tr2bl w:val="nil"/>
            </w:tcBorders>
            <w:vAlign w:val="center"/>
          </w:tcPr>
          <w:p w14:paraId="76C0D176">
            <w:pPr>
              <w:pStyle w:val="2"/>
              <w:numPr>
                <w:ilvl w:val="0"/>
                <w:numId w:val="7"/>
              </w:numPr>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固体粪污规范还田利用；</w:t>
            </w:r>
          </w:p>
          <w:p w14:paraId="31559A95">
            <w:pPr>
              <w:numPr>
                <w:ilvl w:val="0"/>
                <w:numId w:val="7"/>
              </w:numPr>
              <w:adjustRightInd w:val="0"/>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场区运输道路全硬化、及时清扫、无积灰扬尘、定期洒水抑尘；</w:t>
            </w:r>
          </w:p>
          <w:p w14:paraId="1ED59A2A">
            <w:pPr>
              <w:pStyle w:val="2"/>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（3）加强场区绿化。</w:t>
            </w:r>
          </w:p>
        </w:tc>
        <w:tc>
          <w:tcPr>
            <w:tcW w:w="2982" w:type="dxa"/>
            <w:tcBorders>
              <w:tl2br w:val="nil"/>
              <w:tr2bl w:val="nil"/>
            </w:tcBorders>
            <w:vAlign w:val="center"/>
          </w:tcPr>
          <w:p w14:paraId="27D979CD">
            <w:pPr>
              <w:pStyle w:val="2"/>
              <w:numPr>
                <w:ilvl w:val="0"/>
                <w:numId w:val="0"/>
              </w:numPr>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（1）固体粪污规范还田利用；</w:t>
            </w:r>
          </w:p>
          <w:p w14:paraId="776441A2">
            <w:pPr>
              <w:pStyle w:val="2"/>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（2）场区运输道路硬化、及时清扫、无积灰扬尘、定期洒水抑尘。</w:t>
            </w:r>
          </w:p>
        </w:tc>
      </w:tr>
    </w:tbl>
    <w:p w14:paraId="16B047FA">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经采取上表中废气处理措施后，本项目采取的措施符合</w:t>
      </w:r>
      <w:r>
        <w:rPr>
          <w:rFonts w:hint="default" w:ascii="Times New Roman" w:hAnsi="Times New Roman" w:cs="Times New Roman"/>
          <w:color w:val="auto"/>
          <w:highlight w:val="none"/>
        </w:rPr>
        <w:t>《排污许可证申请与核发技术规范 畜禽养殖行业》（HJ1029-2019）</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rPr>
        <w:t>畜禽养殖行业</w:t>
      </w:r>
      <w:r>
        <w:rPr>
          <w:rFonts w:hint="default" w:ascii="Times New Roman" w:hAnsi="Times New Roman" w:cs="Times New Roman"/>
          <w:color w:val="auto"/>
          <w:highlight w:val="none"/>
          <w:lang w:val="en-US" w:eastAsia="zh-CN"/>
        </w:rPr>
        <w:t>排污单位恶臭无组织排放控制要求，</w:t>
      </w:r>
      <w:r>
        <w:rPr>
          <w:rFonts w:hint="default" w:ascii="Times New Roman" w:hAnsi="Times New Roman" w:cs="Times New Roman"/>
          <w:color w:val="auto"/>
          <w:highlight w:val="none"/>
        </w:rPr>
        <w:t>本项目采取以上措施均属于可行性技术。</w:t>
      </w:r>
    </w:p>
    <w:p w14:paraId="35D50D45">
      <w:pPr>
        <w:pStyle w:val="94"/>
        <w:keepNext w:val="0"/>
        <w:keepLines w:val="0"/>
        <w:pageBreakBefore w:val="0"/>
        <w:widowControl/>
        <w:kinsoku/>
        <w:wordWrap/>
        <w:overflowPunct/>
        <w:topLinePunct w:val="0"/>
        <w:autoSpaceDE/>
        <w:autoSpaceDN/>
        <w:bidi w:val="0"/>
        <w:ind w:firstLine="480"/>
        <w:jc w:val="both"/>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采取以上措施后，NH</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、H</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S的有组织排放浓度执行《恶臭污染物排放标准》（GB14554-93）表2中恶臭污染物排放标准限值</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NH</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、H</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S的无组织排放</w:t>
      </w:r>
      <w:r>
        <w:rPr>
          <w:rFonts w:hint="default" w:ascii="Times New Roman" w:hAnsi="Times New Roman" w:eastAsia="宋体" w:cs="Times New Roman"/>
          <w:snapToGrid w:val="0"/>
          <w:color w:val="auto"/>
          <w:sz w:val="24"/>
          <w:szCs w:val="24"/>
          <w:highlight w:val="none"/>
          <w:lang w:val="en-US" w:eastAsia="zh-CN" w:bidi="ar"/>
        </w:rPr>
        <w:t>在厂界满足《恶臭污染物排放标准》（GB14554-93）表1中二级新改扩建标准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r>
        <w:rPr>
          <w:rFonts w:hint="default" w:ascii="Times New Roman" w:hAnsi="Times New Roman" w:cs="Times New Roman"/>
          <w:color w:val="auto"/>
          <w:sz w:val="24"/>
          <w:highlight w:val="none"/>
          <w:lang w:val="en-US" w:eastAsia="zh-CN"/>
        </w:rPr>
        <w:t>臭气浓度厂界无组织排放浓度满足《畜禽养殖业污染物排放标准》（GB18596-2001）中表7标准，＜70（无量纲）。</w:t>
      </w:r>
    </w:p>
    <w:p w14:paraId="2C0305C9">
      <w:pPr>
        <w:pStyle w:val="94"/>
        <w:keepNext w:val="0"/>
        <w:keepLines w:val="0"/>
        <w:pageBreakBefore w:val="0"/>
        <w:widowControl/>
        <w:kinsoku/>
        <w:wordWrap/>
        <w:overflowPunct/>
        <w:topLinePunct w:val="0"/>
        <w:autoSpaceDE/>
        <w:autoSpaceDN/>
        <w:bidi w:val="0"/>
        <w:ind w:firstLine="480"/>
        <w:jc w:val="both"/>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③沼气污染防治措施</w:t>
      </w:r>
    </w:p>
    <w:p w14:paraId="7642D3DF">
      <w:pPr>
        <w:pStyle w:val="94"/>
        <w:keepNext w:val="0"/>
        <w:keepLines w:val="0"/>
        <w:pageBreakBefore w:val="0"/>
        <w:widowControl/>
        <w:kinsoku/>
        <w:wordWrap/>
        <w:overflowPunct/>
        <w:topLinePunct w:val="0"/>
        <w:autoSpaceDE/>
        <w:autoSpaceDN/>
        <w:bidi w:val="0"/>
        <w:ind w:firstLine="48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本项目污水进行厌氧处理时会产生沼气，沼气主要成分为甲烷，为清洁能源，沼气燃烧产生污染物排放量较少。本项目黑膜厌氧池产生的沼气燃烧排放的废气经干法脱硫后火炬10m高排放，颗粒物、NOx、SO</w:t>
      </w:r>
      <w:r>
        <w:rPr>
          <w:rFonts w:hint="eastAsia" w:ascii="Times New Roman" w:hAnsi="Times New Roman" w:cs="Times New Roman"/>
          <w:color w:val="auto"/>
          <w:sz w:val="24"/>
          <w:highlight w:val="none"/>
          <w:vertAlign w:val="subscript"/>
          <w:lang w:val="en-US" w:eastAsia="zh-CN"/>
        </w:rPr>
        <w:t>2</w:t>
      </w:r>
      <w:r>
        <w:rPr>
          <w:rFonts w:hint="eastAsia" w:ascii="Times New Roman" w:hAnsi="Times New Roman" w:cs="Times New Roman"/>
          <w:color w:val="auto"/>
          <w:sz w:val="24"/>
          <w:highlight w:val="none"/>
          <w:lang w:val="en-US" w:eastAsia="zh-CN"/>
        </w:rPr>
        <w:t>排放量均较小，颗粒物排放浓度为0.18mg/m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，NOx排放浓度为1.8mg/m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，SO2排放浓度为0.04mg/m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，达到《大气污染物综合排放标准》(GB16297-1996)表2二级排放标准，对环境影响很小，可以被环境接受。</w:t>
      </w:r>
    </w:p>
    <w:p w14:paraId="778307FA">
      <w:pPr>
        <w:pStyle w:val="94"/>
        <w:keepNext w:val="0"/>
        <w:keepLines w:val="0"/>
        <w:pageBreakBefore w:val="0"/>
        <w:widowControl/>
        <w:kinsoku/>
        <w:wordWrap/>
        <w:overflowPunct/>
        <w:topLinePunct w:val="0"/>
        <w:autoSpaceDE/>
        <w:autoSpaceDN/>
        <w:bidi w:val="0"/>
        <w:ind w:firstLine="48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根据《大气污染物综合排放标准》（GB16297-1996）中要求“7.3若某排气筒的高度处于本标准列出的两个值之间，其执行的最高允许排放速率以内插法计算，内插法的计算式见本标准附录B；当某排气筒的高度大于或小于本标准列出的最大或最小值时，以外推法计算其最高允许排放速率，外推法计算式见本标准附录B。7.4新污染源的排气筒其他一般不低于15m。若某新污染源的排气筒必须低于15m时，其排放速率标准值按7.3的外推结果再严格50%执行”，本项目黑膜厌氧池产生的沼气燃烧排放的废气经干法脱硫后火炬10m高排放，颗粒物、NOx、SO2排放量均较小，颗粒物排放速率为0.00037kg/h，NOx排放速率为0.0036kg/h，SO2排放速率为0.000087kg/h（颗粒物排放速率为0.785kg/h，NOx排放速率为0.26kg/h，SO2排放速率为0.87kg/h），低于7.4新污染源的排气筒其他一般不低于15m。若某新污染源的排气筒必须低于15m时，其排放速率标准值按7.3的外推结果再严格50%执行。本项目黑膜厌氧池产生的沼气燃烧排放的废气经干法脱硫后火炬10m高排放，符合《大气污染物综合排放标准》（GB16297-1996）要求，因此本项目沼气火炬沼气燃烧排气筒设置合理。</w:t>
      </w:r>
    </w:p>
    <w:p w14:paraId="3C7DC12F">
      <w:pPr>
        <w:pStyle w:val="94"/>
        <w:keepNext w:val="0"/>
        <w:keepLines w:val="0"/>
        <w:pageBreakBefore w:val="0"/>
        <w:widowControl/>
        <w:kinsoku/>
        <w:wordWrap/>
        <w:overflowPunct/>
        <w:topLinePunct w:val="0"/>
        <w:autoSpaceDE/>
        <w:autoSpaceDN/>
        <w:bidi w:val="0"/>
        <w:ind w:firstLine="480"/>
        <w:jc w:val="both"/>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④饲料塔</w:t>
      </w:r>
    </w:p>
    <w:p w14:paraId="63BF5C04">
      <w:pPr>
        <w:pStyle w:val="94"/>
        <w:keepNext w:val="0"/>
        <w:keepLines w:val="0"/>
        <w:pageBreakBefore w:val="0"/>
        <w:widowControl/>
        <w:kinsoku/>
        <w:wordWrap/>
        <w:overflowPunct/>
        <w:topLinePunct w:val="0"/>
        <w:autoSpaceDE/>
        <w:autoSpaceDN/>
        <w:bidi w:val="0"/>
        <w:ind w:firstLine="48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外购全价饲料，外购饲料直接管道密闭输送至饲料塔，饲料投料采用密闭管道投加，无粉尘排放。厂区内设置饲料塔7座，饲料储量为130t，满负荷运行情况能够满足15天饲料用量，厂区内不设饲料储存区及饲料加工区。</w:t>
      </w:r>
    </w:p>
    <w:p w14:paraId="231F64C8">
      <w:pPr>
        <w:pStyle w:val="94"/>
        <w:keepNext w:val="0"/>
        <w:keepLines w:val="0"/>
        <w:pageBreakBefore w:val="0"/>
        <w:widowControl/>
        <w:kinsoku/>
        <w:wordWrap/>
        <w:overflowPunct/>
        <w:topLinePunct w:val="0"/>
        <w:autoSpaceDE/>
        <w:autoSpaceDN/>
        <w:bidi w:val="0"/>
        <w:ind w:firstLine="480"/>
        <w:jc w:val="both"/>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通过采取上述措施，可有效降低项目生产过程中产生的废气对周边环境空气的影响，采取的措施可行。</w:t>
      </w:r>
    </w:p>
    <w:p w14:paraId="1E916AA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2、臭气浓度分析</w:t>
      </w:r>
    </w:p>
    <w:p w14:paraId="0E6426C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了解养殖场恶臭对环境空气的影响程度，上海市有关部门对市郊某养殖场专门进行了现场闻味测试，组织10名30岁以下无烟酒嗜好的男女青年进行现场的臭味嗅闻，调查人员分别在畜舍构筑物下风向5m、30m、50m、70m、100m、200m、300m等距离处嗅闻，并以上风向作为对照嗅闻。由嗅闻统计可知，在畜舍设施下风向5m范围内，感觉到较强的臭气味（强度约3～4级），在30m～100m范围内很容易感觉到气味的存在（强度约3～2级），在200m处气味就很弱（强度约1～2级），在300m左右，则基本已嗅闻不到气味。随着距离的增加，臭气浓度会迅速下降，依据《畜禽养殖业污染物排放标准》（GB18596-2001）中的规定，集约化畜禽养殖业恶臭污染物臭气浓度（无量纲）排放限值为70。恶臭产生的浓度、散发量与存栏数量、清粪工艺频率、</w:t>
      </w:r>
      <w:r>
        <w:rPr>
          <w:rFonts w:hint="default" w:ascii="Times New Roman" w:hAnsi="Times New Roman" w:eastAsia="宋体" w:cs="Times New Roman"/>
          <w:snapToGrid w:val="0"/>
          <w:color w:val="auto"/>
          <w:highlight w:val="none"/>
          <w:lang w:eastAsia="zh-CN"/>
        </w:rPr>
        <w:t>猪</w:t>
      </w:r>
      <w:r>
        <w:rPr>
          <w:rFonts w:hint="default" w:ascii="Times New Roman" w:hAnsi="Times New Roman" w:eastAsia="宋体" w:cs="Times New Roman"/>
          <w:snapToGrid w:val="0"/>
          <w:color w:val="auto"/>
          <w:highlight w:val="none"/>
        </w:rPr>
        <w:t>舍通风型式、粪便处理工艺、污水停留时间长短、气象条件及其稳定程度等均密切相关，且恶臭的排放方式是面源无组织形式的，其源强相对来说具有不确定性。恶臭扩散一般有两种形式的衰减：一种是空间扩散物理；另一种为恶臭物质在日照、紫外线等因素作用下经一定时间的化学衰减。由于其机理复杂，源强和衰减量均难以准确量化，因此本次评价采用类比调查的方式说明养殖场恶臭污染源排放强度。在畜禽养殖过程中，圈舍和粪便处理设施附近臭气浓度一般较大，其值约在80～180之间，根据一些已建成的畜禽养殖场运行情况看，在场界处，以及下风向200m处，臭气浓度一般均小于2.0</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建设单位通过采取加强管理、及时清理</w:t>
      </w: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舍粪便、物理化学生物除臭、加速空气交换，臭气经吸收及衰减，可大大减少恶臭对环境的影响，场界臭气浓度能满足《畜禽养殖业污染物排放标准》（GB18596-2001）中表7的限值要求。</w:t>
      </w:r>
    </w:p>
    <w:p w14:paraId="4B954AD2">
      <w:pPr>
        <w:pStyle w:val="94"/>
        <w:ind w:firstLine="480"/>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cs="Times New Roman"/>
          <w:snapToGrid w:val="0"/>
          <w:color w:val="auto"/>
          <w:highlight w:val="none"/>
          <w:lang w:val="en-US" w:eastAsia="zh-CN"/>
        </w:rPr>
        <w:t>根据本项目委托黑龙江克巽检测技术有限公司于2025年7月19日~2025年7月25日为期7天监测有效数据。</w:t>
      </w:r>
      <w:r>
        <w:rPr>
          <w:rFonts w:hint="default" w:ascii="Times New Roman" w:hAnsi="Times New Roman" w:eastAsia="宋体" w:cs="Times New Roman"/>
          <w:color w:val="auto"/>
          <w:kern w:val="0"/>
          <w:sz w:val="24"/>
          <w:szCs w:val="24"/>
          <w:highlight w:val="none"/>
          <w:lang w:val="en-US" w:eastAsia="zh-CN" w:bidi="ar-SA"/>
        </w:rPr>
        <w:t>根据</w:t>
      </w:r>
      <w:r>
        <w:rPr>
          <w:rFonts w:hint="eastAsia" w:ascii="Times New Roman" w:hAnsi="Times New Roman" w:eastAsia="宋体" w:cs="Times New Roman"/>
          <w:color w:val="auto"/>
          <w:kern w:val="0"/>
          <w:sz w:val="24"/>
          <w:szCs w:val="24"/>
          <w:highlight w:val="none"/>
          <w:lang w:val="en-US" w:eastAsia="zh-CN" w:bidi="ar-SA"/>
        </w:rPr>
        <w:t>实际监测结果可知</w:t>
      </w:r>
      <w:r>
        <w:rPr>
          <w:rFonts w:hint="default" w:ascii="Times New Roman" w:hAnsi="Times New Roman" w:eastAsia="宋体" w:cs="Times New Roman"/>
          <w:color w:val="auto"/>
          <w:kern w:val="0"/>
          <w:sz w:val="24"/>
          <w:szCs w:val="24"/>
          <w:highlight w:val="none"/>
          <w:lang w:val="en-US" w:eastAsia="zh-CN" w:bidi="ar-SA"/>
        </w:rPr>
        <w:t>，1#厂区内监测点</w:t>
      </w:r>
      <w:r>
        <w:rPr>
          <w:rFonts w:hint="eastAsia" w:ascii="Times New Roman" w:hAnsi="Times New Roman" w:eastAsia="宋体" w:cs="Times New Roman"/>
          <w:color w:val="auto"/>
          <w:kern w:val="0"/>
          <w:sz w:val="24"/>
          <w:szCs w:val="24"/>
          <w:highlight w:val="none"/>
          <w:lang w:val="en-US" w:eastAsia="zh-CN" w:bidi="ar-SA"/>
        </w:rPr>
        <w:t>颗粒物的排放浓度为0.189~0.226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，氨的排放浓度为0.02~0.06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，硫化氢的排放浓度为0.002~0.007</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，臭气浓度排放值为</w:t>
      </w:r>
      <w:r>
        <w:rPr>
          <w:rFonts w:hint="eastAsia" w:ascii="Times New Roman" w:cs="Times New Roman"/>
          <w:color w:val="auto"/>
          <w:sz w:val="24"/>
          <w:szCs w:val="24"/>
          <w:highlight w:val="none"/>
          <w:vertAlign w:val="baseline"/>
          <w:lang w:val="en-US" w:eastAsia="zh-CN"/>
        </w:rPr>
        <w:t>11-15</w:t>
      </w:r>
      <w:r>
        <w:rPr>
          <w:rFonts w:hint="eastAsia" w:ascii="Times New Roman" w:hAnsi="Times New Roman" w:eastAsia="宋体" w:cs="Times New Roman"/>
          <w:color w:val="auto"/>
          <w:sz w:val="24"/>
          <w:szCs w:val="24"/>
          <w:highlight w:val="none"/>
          <w:vertAlign w:val="baseline"/>
          <w:lang w:val="en-US" w:eastAsia="zh-CN"/>
        </w:rPr>
        <w:t>（无量纲）。1#厂区内监测点颗粒物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2DB738E7">
      <w:pPr>
        <w:spacing w:line="360" w:lineRule="auto"/>
        <w:ind w:firstLine="480" w:firstLineChars="200"/>
        <w:jc w:val="both"/>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color w:val="auto"/>
          <w:kern w:val="0"/>
          <w:sz w:val="24"/>
          <w:szCs w:val="24"/>
          <w:highlight w:val="none"/>
          <w:lang w:val="en-US" w:eastAsia="zh-CN" w:bidi="ar-SA"/>
        </w:rPr>
        <w:t>根据实际监测结果可知，2#厂区下风向监测点</w:t>
      </w:r>
      <w:r>
        <w:rPr>
          <w:rFonts w:hint="eastAsia" w:ascii="Times New Roman" w:hAnsi="Times New Roman" w:eastAsia="宋体" w:cs="Times New Roman"/>
          <w:color w:val="auto"/>
          <w:kern w:val="0"/>
          <w:sz w:val="24"/>
          <w:szCs w:val="24"/>
          <w:highlight w:val="none"/>
          <w:lang w:val="en-US" w:eastAsia="zh-CN" w:bidi="ar-SA"/>
        </w:rPr>
        <w:t>颗粒物的排放浓度为0.198~0.24</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，氨、硫化氢的排放浓度未检出，均在检出限线以下。臭气浓度排放值为&lt;10（无量纲）。2#厂区下风向监测点颗粒物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44B63392">
      <w:pPr>
        <w:pStyle w:val="7"/>
        <w:rPr>
          <w:rFonts w:hint="default" w:ascii="Times New Roman" w:hAnsi="Times New Roman" w:eastAsia="宋体" w:cs="Times New Roman"/>
          <w:snapToGrid w:val="0"/>
          <w:color w:val="auto"/>
          <w:highlight w:val="none"/>
        </w:rPr>
      </w:pPr>
      <w:bookmarkStart w:id="730" w:name="_Toc15606"/>
      <w:bookmarkStart w:id="731" w:name="_Toc9753"/>
      <w:bookmarkStart w:id="732" w:name="_Toc4284"/>
      <w:bookmarkStart w:id="733" w:name="_Toc14878"/>
      <w:r>
        <w:rPr>
          <w:rFonts w:hint="default" w:ascii="Times New Roman" w:hAnsi="Times New Roman" w:eastAsia="宋体" w:cs="Times New Roman"/>
          <w:snapToGrid w:val="0"/>
          <w:color w:val="auto"/>
          <w:highlight w:val="none"/>
        </w:rPr>
        <w:t>5.2.2地表水环境影响分析</w:t>
      </w:r>
      <w:bookmarkEnd w:id="730"/>
      <w:bookmarkEnd w:id="731"/>
      <w:bookmarkEnd w:id="732"/>
      <w:bookmarkEnd w:id="733"/>
    </w:p>
    <w:p w14:paraId="4602E1CE">
      <w:pPr>
        <w:pStyle w:val="2"/>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SA"/>
        </w:rPr>
        <w:t>根据《环境影响评价技术导则地表水环境》（HJ2.3-2018）中7.1.2要求，水污染型三级B评价可不进行水环境影响预测。本项目地表水环境影响分析主要内容为水污染控制和水环境影响减缓措施有效性评价</w:t>
      </w:r>
      <w:r>
        <w:rPr>
          <w:rFonts w:hint="default" w:ascii="Times New Roman" w:hAnsi="Times New Roman" w:eastAsia="宋体" w:cs="Times New Roman"/>
          <w:color w:val="auto"/>
          <w:highlight w:val="none"/>
        </w:rPr>
        <w:t>。</w:t>
      </w:r>
    </w:p>
    <w:p w14:paraId="145755B6">
      <w:pPr>
        <w:pStyle w:val="94"/>
        <w:ind w:firstLine="48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（1）废水处理措施</w:t>
      </w:r>
    </w:p>
    <w:p w14:paraId="3F82992B">
      <w:pPr>
        <w:adjustRightInd w:val="0"/>
        <w:snapToGrid w:val="0"/>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养殖场废水主要包括</w:t>
      </w:r>
      <w:r>
        <w:rPr>
          <w:rFonts w:hint="eastAsia" w:ascii="Times New Roman" w:hAnsi="Times New Roman" w:cs="Times New Roman"/>
          <w:snapToGrid w:val="0"/>
          <w:color w:val="auto"/>
          <w:highlight w:val="none"/>
          <w:lang w:eastAsia="zh-CN"/>
        </w:rPr>
        <w:t>猪尿、猪舍冲洗废水、固液分离间废水、洗消车间废水</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职工生活污水。</w:t>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cs="Times New Roman"/>
          <w:snapToGrid w:val="0"/>
          <w:color w:val="auto"/>
          <w:highlight w:val="none"/>
          <w:lang w:val="zh-CN" w:eastAsia="zh-CN"/>
        </w:rPr>
        <w:t>沼液贮存池</w:t>
      </w:r>
      <w:r>
        <w:rPr>
          <w:rFonts w:hint="default" w:ascii="Times New Roman" w:hAnsi="Times New Roman" w:cs="Times New Roman"/>
          <w:snapToGrid w:val="0"/>
          <w:color w:val="auto"/>
          <w:highlight w:val="none"/>
          <w:lang w:val="zh-CN"/>
        </w:rPr>
        <w:t>。</w:t>
      </w:r>
    </w:p>
    <w:p w14:paraId="47373758">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参照《畜禽养殖业污染治理工程技术规范》（HJ497-2009）中粪污处理基本工艺模式，应根据养殖场的养殖种类、养殖规模、粪污收集方式、当地的自然地理环境条件以及排水去向等因素确定工艺路线及处理目标，扩建项目周边有足够的土地能够消纳全部的沼液。</w:t>
      </w:r>
    </w:p>
    <w:p w14:paraId="25BA5CD6">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本项目采用“预处理+沼气工程+沼液、沼渣综合利用”的处理工艺。沼气池为</w:t>
      </w:r>
      <w:r>
        <w:rPr>
          <w:rFonts w:hint="eastAsia" w:ascii="Times New Roman" w:hAnsi="Times New Roman" w:cs="Times New Roman"/>
          <w:color w:val="auto"/>
          <w:sz w:val="24"/>
          <w:highlight w:val="none"/>
          <w:lang w:eastAsia="zh-CN"/>
        </w:rPr>
        <w:t>黑膜厌氧池</w:t>
      </w:r>
      <w:r>
        <w:rPr>
          <w:rFonts w:hint="default" w:ascii="Times New Roman" w:hAnsi="Times New Roman" w:eastAsia="宋体" w:cs="Times New Roman"/>
          <w:color w:val="auto"/>
          <w:sz w:val="24"/>
          <w:highlight w:val="none"/>
          <w:lang w:eastAsia="zh-CN"/>
        </w:rPr>
        <w:t>，完全混合式反应池，反应温度为常温，厌氧发酵是指在厌氧条件下，通过厌氧微生物的作用，对有机物进行化制，产生甲烷和二氧化碳等的生物化学过程，尽量保留废水中的有机质、氨氮等农业所需养分，以保证后续农肥利用的持续、高效。发酵周期为</w:t>
      </w:r>
      <w:r>
        <w:rPr>
          <w:rFonts w:hint="eastAsia" w:ascii="Times New Roman" w:hAnsi="Times New Roman" w:cs="Times New Roman"/>
          <w:color w:val="auto"/>
          <w:sz w:val="24"/>
          <w:highlight w:val="none"/>
          <w:lang w:eastAsia="zh-CN"/>
        </w:rPr>
        <w:t>30天</w:t>
      </w:r>
      <w:r>
        <w:rPr>
          <w:rFonts w:hint="default" w:ascii="Times New Roman" w:hAnsi="Times New Roman" w:eastAsia="宋体" w:cs="Times New Roman"/>
          <w:color w:val="auto"/>
          <w:sz w:val="24"/>
          <w:highlight w:val="none"/>
          <w:lang w:eastAsia="zh-CN"/>
        </w:rPr>
        <w:t>，产生的沼液作为肥料还田。</w:t>
      </w:r>
    </w:p>
    <w:p w14:paraId="5FC48DC9">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集发酵、贮气于一体，采用防渗膜材料将整个厌氧塘进行全封闭，具有施工简单方便、快速、造价低，工艺流程简单、运行维护方便，污水滞留时间长、消化充分、密封性能好、日产沼气量多，防渗膜材料抗拉强度高、抗老化及耐腐蚀性能强、防渗效果好，利用黑膜吸收阳光、增温保温效果好，池底设自动排沼渣装置、池内沼渣量少等优点。同时，还能很好地解决混凝土沼气工程因温度变化而产生收缩、胀裂引起的渗水、漏水、漏气问题以及地面式钢板沼气工程的钢板易腐蚀、管道易堵塞、设备易损坏、运行费用高等问题。</w:t>
      </w:r>
    </w:p>
    <w:p w14:paraId="37899506">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该处理工艺实现了</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场自身产粪的全部消化和资源综合利用，使粪便和废水变废为宝，取得了良好的经济效益与生态效益。</w:t>
      </w:r>
    </w:p>
    <w:p w14:paraId="6FDACB98">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本工程污染治理工艺说明描述如下：</w:t>
      </w:r>
    </w:p>
    <w:p w14:paraId="7E7F95D2">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集粪</w:t>
      </w:r>
      <w:r>
        <w:rPr>
          <w:rFonts w:hint="default" w:ascii="Times New Roman" w:hAnsi="Times New Roman" w:eastAsia="宋体" w:cs="Times New Roman"/>
          <w:color w:val="auto"/>
          <w:kern w:val="0"/>
          <w:sz w:val="24"/>
          <w:szCs w:val="24"/>
          <w:highlight w:val="none"/>
          <w:lang w:val="en-US" w:eastAsia="zh-CN" w:bidi="ar-SA"/>
        </w:rPr>
        <w:t>池、固液分离机：主要目的是为减轻后续工艺负荷，减少投资，通过物理方法去除杂质，实现减量化，均衡水质、水量。</w:t>
      </w:r>
    </w:p>
    <w:p w14:paraId="7CE6C0BD">
      <w:pPr>
        <w:keepNext w:val="0"/>
        <w:keepLines w:val="0"/>
        <w:pageBreakBefore w:val="0"/>
        <w:widowControl w:val="0"/>
        <w:kinsoku/>
        <w:wordWrap/>
        <w:overflowPunct/>
        <w:topLinePunct w:val="0"/>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黑膜厌氧池：本项目废水经固液分离、调节后经进入黑膜厌氧池，经</w:t>
      </w:r>
      <w:r>
        <w:rPr>
          <w:rFonts w:hint="eastAsia" w:ascii="Times New Roman" w:hAnsi="Times New Roman" w:eastAsia="宋体" w:cs="Times New Roman"/>
          <w:color w:val="auto"/>
          <w:kern w:val="0"/>
          <w:sz w:val="24"/>
          <w:szCs w:val="24"/>
          <w:highlight w:val="none"/>
          <w:lang w:val="en-US" w:eastAsia="zh-CN" w:bidi="ar-SA"/>
        </w:rPr>
        <w:t>30天</w:t>
      </w:r>
      <w:r>
        <w:rPr>
          <w:rFonts w:hint="default" w:ascii="Times New Roman" w:hAnsi="Times New Roman" w:eastAsia="宋体" w:cs="Times New Roman"/>
          <w:color w:val="auto"/>
          <w:kern w:val="0"/>
          <w:sz w:val="24"/>
          <w:szCs w:val="24"/>
          <w:highlight w:val="none"/>
          <w:lang w:val="en-US" w:eastAsia="zh-CN" w:bidi="ar-SA"/>
        </w:rPr>
        <w:t>厌氧发酵去除大部分有机物，沼液排入沼液贮存池暂存，沼渣经底部设置排沼渣管道排出。</w:t>
      </w:r>
    </w:p>
    <w:p w14:paraId="5AB26588">
      <w:pPr>
        <w:pStyle w:val="2"/>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本项目周围均是耕地，故可以消纳本项目产生的液肥，本项目黑膜厌氧池能力以及沼液贮存池暂存能力都可以满足要求。该处理工艺实现了</w:t>
      </w:r>
      <w:r>
        <w:rPr>
          <w:rFonts w:hint="eastAsia" w:ascii="Times New Roman" w:hAnsi="Times New Roman" w:eastAsia="宋体" w:cs="Times New Roman"/>
          <w:color w:val="auto"/>
          <w:kern w:val="0"/>
          <w:sz w:val="24"/>
          <w:szCs w:val="24"/>
          <w:highlight w:val="none"/>
          <w:lang w:val="en-US" w:eastAsia="zh-CN" w:bidi="ar-SA"/>
        </w:rPr>
        <w:t>养殖场</w:t>
      </w:r>
      <w:r>
        <w:rPr>
          <w:rFonts w:hint="default" w:ascii="Times New Roman" w:hAnsi="Times New Roman" w:eastAsia="宋体" w:cs="Times New Roman"/>
          <w:color w:val="auto"/>
          <w:kern w:val="0"/>
          <w:sz w:val="24"/>
          <w:szCs w:val="24"/>
          <w:highlight w:val="none"/>
          <w:lang w:val="en-US" w:eastAsia="zh-CN" w:bidi="ar-SA"/>
        </w:rPr>
        <w:t>沼液的全部消化和资源综合利用，使废水变废为宝，取得了良好的经济效益与生态效益。</w:t>
      </w:r>
    </w:p>
    <w:p w14:paraId="24993868">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地表水影响分析</w:t>
      </w:r>
    </w:p>
    <w:p w14:paraId="33FF3DF2">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本项目废水类别、污染物及污染治理设施信息如下表所示。</w:t>
      </w:r>
    </w:p>
    <w:p w14:paraId="5B918A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4</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废水类别、污染物及污染治理设施信息表</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83"/>
        <w:gridCol w:w="1106"/>
        <w:gridCol w:w="870"/>
        <w:gridCol w:w="1239"/>
        <w:gridCol w:w="858"/>
        <w:gridCol w:w="798"/>
        <w:gridCol w:w="805"/>
        <w:gridCol w:w="642"/>
        <w:gridCol w:w="916"/>
        <w:gridCol w:w="794"/>
      </w:tblGrid>
      <w:tr w14:paraId="71B7E4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87" w:type="pct"/>
            <w:vMerge w:val="restart"/>
            <w:noWrap w:val="0"/>
            <w:vAlign w:val="center"/>
          </w:tcPr>
          <w:p w14:paraId="1062CB9D">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序号</w:t>
            </w:r>
          </w:p>
        </w:tc>
        <w:tc>
          <w:tcPr>
            <w:tcW w:w="653" w:type="pct"/>
            <w:vMerge w:val="restart"/>
            <w:noWrap w:val="0"/>
            <w:vAlign w:val="center"/>
          </w:tcPr>
          <w:p w14:paraId="708E89E6">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废水类别</w:t>
            </w:r>
          </w:p>
        </w:tc>
        <w:tc>
          <w:tcPr>
            <w:tcW w:w="511" w:type="pct"/>
            <w:vMerge w:val="restart"/>
            <w:noWrap w:val="0"/>
            <w:vAlign w:val="center"/>
          </w:tcPr>
          <w:p w14:paraId="14177F97">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污染物种类</w:t>
            </w:r>
          </w:p>
        </w:tc>
        <w:tc>
          <w:tcPr>
            <w:tcW w:w="731" w:type="pct"/>
            <w:vMerge w:val="restart"/>
            <w:noWrap w:val="0"/>
            <w:vAlign w:val="center"/>
          </w:tcPr>
          <w:p w14:paraId="6D972174">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w:t>
            </w:r>
          </w:p>
          <w:p w14:paraId="5C469688">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规律</w:t>
            </w:r>
          </w:p>
        </w:tc>
        <w:tc>
          <w:tcPr>
            <w:tcW w:w="1425" w:type="pct"/>
            <w:gridSpan w:val="3"/>
            <w:noWrap w:val="0"/>
            <w:vAlign w:val="center"/>
          </w:tcPr>
          <w:p w14:paraId="5E4E8A1F">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污染治理设施</w:t>
            </w:r>
          </w:p>
        </w:tc>
        <w:tc>
          <w:tcPr>
            <w:tcW w:w="380" w:type="pct"/>
            <w:vMerge w:val="restart"/>
            <w:noWrap w:val="0"/>
            <w:vAlign w:val="center"/>
          </w:tcPr>
          <w:p w14:paraId="1736F86E">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排放口编号</w:t>
            </w:r>
          </w:p>
        </w:tc>
        <w:tc>
          <w:tcPr>
            <w:tcW w:w="541" w:type="pct"/>
            <w:vMerge w:val="restart"/>
            <w:noWrap w:val="0"/>
            <w:vAlign w:val="center"/>
          </w:tcPr>
          <w:p w14:paraId="736E65E3">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排放口设施是否符合要求</w:t>
            </w:r>
          </w:p>
        </w:tc>
        <w:tc>
          <w:tcPr>
            <w:tcW w:w="469" w:type="pct"/>
            <w:vMerge w:val="restart"/>
            <w:noWrap w:val="0"/>
            <w:vAlign w:val="center"/>
          </w:tcPr>
          <w:p w14:paraId="5B24DAE0">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排放口类型</w:t>
            </w:r>
          </w:p>
        </w:tc>
      </w:tr>
      <w:tr w14:paraId="631B2D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87" w:type="pct"/>
            <w:vMerge w:val="continue"/>
            <w:noWrap w:val="0"/>
            <w:vAlign w:val="center"/>
          </w:tcPr>
          <w:p w14:paraId="5F0F67F3">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53" w:type="pct"/>
            <w:vMerge w:val="continue"/>
            <w:noWrap w:val="0"/>
            <w:vAlign w:val="center"/>
          </w:tcPr>
          <w:p w14:paraId="1BEEAD6B">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511" w:type="pct"/>
            <w:vMerge w:val="continue"/>
            <w:noWrap w:val="0"/>
            <w:vAlign w:val="center"/>
          </w:tcPr>
          <w:p w14:paraId="6C8B7AC4">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731" w:type="pct"/>
            <w:vMerge w:val="continue"/>
            <w:noWrap w:val="0"/>
            <w:vAlign w:val="center"/>
          </w:tcPr>
          <w:p w14:paraId="5B26EB42">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77" w:type="pct"/>
            <w:noWrap w:val="0"/>
            <w:vAlign w:val="center"/>
          </w:tcPr>
          <w:p w14:paraId="022370B2">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污染治理设施编号</w:t>
            </w:r>
          </w:p>
        </w:tc>
        <w:tc>
          <w:tcPr>
            <w:tcW w:w="472" w:type="pct"/>
            <w:noWrap w:val="0"/>
            <w:vAlign w:val="center"/>
          </w:tcPr>
          <w:p w14:paraId="33EF747C">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污染治理设施名称</w:t>
            </w:r>
          </w:p>
        </w:tc>
        <w:tc>
          <w:tcPr>
            <w:tcW w:w="476" w:type="pct"/>
            <w:noWrap w:val="0"/>
            <w:vAlign w:val="center"/>
          </w:tcPr>
          <w:p w14:paraId="77920F6C">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污染治理设施工艺</w:t>
            </w:r>
          </w:p>
        </w:tc>
        <w:tc>
          <w:tcPr>
            <w:tcW w:w="380" w:type="pct"/>
            <w:vMerge w:val="continue"/>
            <w:noWrap w:val="0"/>
            <w:vAlign w:val="center"/>
          </w:tcPr>
          <w:p w14:paraId="0FCF5064">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541" w:type="pct"/>
            <w:vMerge w:val="continue"/>
            <w:noWrap w:val="0"/>
            <w:vAlign w:val="center"/>
          </w:tcPr>
          <w:p w14:paraId="4B675C76">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69" w:type="pct"/>
            <w:vMerge w:val="continue"/>
            <w:noWrap w:val="0"/>
            <w:vAlign w:val="center"/>
          </w:tcPr>
          <w:p w14:paraId="58C4310D">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r>
      <w:tr w14:paraId="2F24D2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0" w:hRule="atLeast"/>
          <w:jc w:val="center"/>
        </w:trPr>
        <w:tc>
          <w:tcPr>
            <w:tcW w:w="287" w:type="pct"/>
            <w:noWrap w:val="0"/>
            <w:vAlign w:val="center"/>
          </w:tcPr>
          <w:p w14:paraId="52C95DC8">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p>
        </w:tc>
        <w:tc>
          <w:tcPr>
            <w:tcW w:w="653" w:type="pct"/>
            <w:noWrap w:val="0"/>
            <w:vAlign w:val="center"/>
          </w:tcPr>
          <w:p w14:paraId="2743E3F9">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养殖废水（</w:t>
            </w:r>
            <w:r>
              <w:rPr>
                <w:rFonts w:hint="eastAsia" w:ascii="Times New Roman" w:hAnsi="Times New Roman" w:cs="Times New Roman"/>
                <w:snapToGrid w:val="0"/>
                <w:color w:val="auto"/>
                <w:kern w:val="0"/>
                <w:sz w:val="21"/>
                <w:szCs w:val="21"/>
                <w:highlight w:val="none"/>
                <w:lang w:val="en-US" w:eastAsia="zh-CN" w:bidi="ar-SA"/>
              </w:rPr>
              <w:t>猪尿、猪舍冲洗废水、固液分离间废水、洗消车间废水</w:t>
            </w:r>
            <w:r>
              <w:rPr>
                <w:rFonts w:hint="default" w:ascii="Times New Roman" w:hAnsi="Times New Roman" w:eastAsia="宋体" w:cs="Times New Roman"/>
                <w:color w:val="auto"/>
                <w:kern w:val="0"/>
                <w:sz w:val="21"/>
                <w:szCs w:val="21"/>
                <w:highlight w:val="none"/>
                <w:lang w:val="en-US" w:eastAsia="zh-CN" w:bidi="ar-SA"/>
              </w:rPr>
              <w:t>）</w:t>
            </w:r>
          </w:p>
        </w:tc>
        <w:tc>
          <w:tcPr>
            <w:tcW w:w="511" w:type="pct"/>
            <w:noWrap w:val="0"/>
            <w:vAlign w:val="center"/>
          </w:tcPr>
          <w:p w14:paraId="6D05CC80">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COD、氨氮、TN、TP</w:t>
            </w:r>
          </w:p>
        </w:tc>
        <w:tc>
          <w:tcPr>
            <w:tcW w:w="731" w:type="pct"/>
            <w:vMerge w:val="restart"/>
            <w:noWrap w:val="0"/>
            <w:vAlign w:val="center"/>
          </w:tcPr>
          <w:p w14:paraId="2D2775D8">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不外排</w:t>
            </w:r>
          </w:p>
        </w:tc>
        <w:tc>
          <w:tcPr>
            <w:tcW w:w="477" w:type="pct"/>
            <w:vMerge w:val="restart"/>
            <w:noWrap w:val="0"/>
            <w:vAlign w:val="center"/>
          </w:tcPr>
          <w:p w14:paraId="29B01C8B">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TW001</w:t>
            </w:r>
          </w:p>
        </w:tc>
        <w:tc>
          <w:tcPr>
            <w:tcW w:w="472" w:type="pct"/>
            <w:vMerge w:val="restart"/>
            <w:noWrap w:val="0"/>
            <w:vAlign w:val="center"/>
          </w:tcPr>
          <w:p w14:paraId="6E6ED357">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黑膜厌氧池</w:t>
            </w:r>
          </w:p>
        </w:tc>
        <w:tc>
          <w:tcPr>
            <w:tcW w:w="476" w:type="pct"/>
            <w:vMerge w:val="restart"/>
            <w:noWrap w:val="0"/>
            <w:vAlign w:val="center"/>
          </w:tcPr>
          <w:p w14:paraId="1C2389EC">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380" w:type="pct"/>
            <w:vMerge w:val="restart"/>
            <w:noWrap w:val="0"/>
            <w:vAlign w:val="center"/>
          </w:tcPr>
          <w:p w14:paraId="0BE7A048">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41" w:type="pct"/>
            <w:vMerge w:val="restart"/>
            <w:noWrap w:val="0"/>
            <w:vAlign w:val="center"/>
          </w:tcPr>
          <w:p w14:paraId="12DAAB7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469" w:type="pct"/>
            <w:vMerge w:val="restart"/>
            <w:noWrap w:val="0"/>
            <w:vAlign w:val="center"/>
          </w:tcPr>
          <w:p w14:paraId="17103356">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533E98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0" w:hRule="atLeast"/>
          <w:jc w:val="center"/>
        </w:trPr>
        <w:tc>
          <w:tcPr>
            <w:tcW w:w="287" w:type="pct"/>
            <w:noWrap w:val="0"/>
            <w:vAlign w:val="center"/>
          </w:tcPr>
          <w:p w14:paraId="26CA066B">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w:t>
            </w:r>
          </w:p>
        </w:tc>
        <w:tc>
          <w:tcPr>
            <w:tcW w:w="653" w:type="pct"/>
            <w:noWrap w:val="0"/>
            <w:vAlign w:val="center"/>
          </w:tcPr>
          <w:p w14:paraId="6B5D7EE7">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职工生活污水</w:t>
            </w:r>
          </w:p>
        </w:tc>
        <w:tc>
          <w:tcPr>
            <w:tcW w:w="511" w:type="pct"/>
            <w:noWrap w:val="0"/>
            <w:vAlign w:val="center"/>
          </w:tcPr>
          <w:p w14:paraId="263CCDC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COD、氨氮</w:t>
            </w:r>
          </w:p>
        </w:tc>
        <w:tc>
          <w:tcPr>
            <w:tcW w:w="731" w:type="pct"/>
            <w:vMerge w:val="continue"/>
            <w:noWrap w:val="0"/>
            <w:vAlign w:val="center"/>
          </w:tcPr>
          <w:p w14:paraId="7FF17EC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77" w:type="pct"/>
            <w:vMerge w:val="continue"/>
            <w:noWrap w:val="0"/>
            <w:vAlign w:val="center"/>
          </w:tcPr>
          <w:p w14:paraId="44C744F7">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72" w:type="pct"/>
            <w:vMerge w:val="continue"/>
            <w:noWrap w:val="0"/>
            <w:vAlign w:val="center"/>
          </w:tcPr>
          <w:p w14:paraId="135DEE4E">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76" w:type="pct"/>
            <w:vMerge w:val="continue"/>
            <w:noWrap w:val="0"/>
            <w:vAlign w:val="center"/>
          </w:tcPr>
          <w:p w14:paraId="1A350369">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380" w:type="pct"/>
            <w:vMerge w:val="continue"/>
            <w:noWrap w:val="0"/>
            <w:vAlign w:val="center"/>
          </w:tcPr>
          <w:p w14:paraId="65CBAF8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541" w:type="pct"/>
            <w:vMerge w:val="continue"/>
            <w:noWrap w:val="0"/>
            <w:vAlign w:val="center"/>
          </w:tcPr>
          <w:p w14:paraId="44BFD30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69" w:type="pct"/>
            <w:vMerge w:val="continue"/>
            <w:noWrap w:val="0"/>
            <w:vAlign w:val="center"/>
          </w:tcPr>
          <w:p w14:paraId="4C7C7921">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r>
    </w:tbl>
    <w:p w14:paraId="7C277DF2">
      <w:pPr>
        <w:pStyle w:val="2"/>
        <w:spacing w:line="360" w:lineRule="auto"/>
        <w:ind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本项目厂内</w:t>
      </w:r>
      <w:r>
        <w:rPr>
          <w:rFonts w:hint="eastAsia" w:ascii="Times New Roman" w:cs="Times New Roman"/>
          <w:color w:val="auto"/>
          <w:sz w:val="24"/>
          <w:szCs w:val="24"/>
          <w:highlight w:val="none"/>
          <w:lang w:val="en-US" w:eastAsia="zh-CN"/>
        </w:rPr>
        <w:t>建设</w:t>
      </w:r>
      <w:r>
        <w:rPr>
          <w:rFonts w:hint="default" w:ascii="Times New Roman" w:hAnsi="Times New Roman" w:eastAsia="宋体" w:cs="Times New Roman"/>
          <w:color w:val="auto"/>
          <w:sz w:val="24"/>
          <w:szCs w:val="24"/>
          <w:highlight w:val="none"/>
          <w:lang w:val="en-US" w:eastAsia="zh-CN"/>
        </w:rPr>
        <w:t>黑</w:t>
      </w:r>
      <w:r>
        <w:rPr>
          <w:rFonts w:hint="default" w:ascii="Times New Roman" w:hAnsi="Times New Roman" w:eastAsia="宋体" w:cs="Times New Roman"/>
          <w:color w:val="auto"/>
          <w:sz w:val="24"/>
          <w:szCs w:val="24"/>
          <w:highlight w:val="none"/>
        </w:rPr>
        <w:t>膜厌氧池，尺寸为</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0m×</w:t>
      </w:r>
      <w:r>
        <w:rPr>
          <w:rFonts w:hint="default" w:ascii="Times New Roman" w:hAnsi="Times New Roman" w:eastAsia="宋体" w:cs="Times New Roman"/>
          <w:color w:val="auto"/>
          <w:sz w:val="24"/>
          <w:szCs w:val="24"/>
          <w:highlight w:val="none"/>
          <w:lang w:val="en-US" w:eastAsia="zh-CN"/>
        </w:rPr>
        <w:t>3</w:t>
      </w:r>
      <w:r>
        <w:rPr>
          <w:rFonts w:hint="eastAsia" w:asci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m×</w:t>
      </w:r>
      <w:r>
        <w:rPr>
          <w:rFonts w:hint="eastAsia" w:ascii="Times New Roman" w:cs="Times New Roman"/>
          <w:color w:val="auto"/>
          <w:sz w:val="24"/>
          <w:szCs w:val="24"/>
          <w:highlight w:val="none"/>
          <w:lang w:val="en-US" w:eastAsia="zh-CN"/>
        </w:rPr>
        <w:t>7.4</w:t>
      </w:r>
      <w:r>
        <w:rPr>
          <w:rFonts w:hint="default" w:ascii="Times New Roman" w:hAnsi="Times New Roman" w:eastAsia="宋体" w:cs="Times New Roman"/>
          <w:color w:val="auto"/>
          <w:sz w:val="24"/>
          <w:szCs w:val="24"/>
          <w:highlight w:val="none"/>
        </w:rPr>
        <w:t>m，最大容积为</w:t>
      </w:r>
      <w:r>
        <w:rPr>
          <w:rFonts w:hint="eastAsia" w:ascii="Times New Roman" w:cs="Times New Roman"/>
          <w:color w:val="auto"/>
          <w:sz w:val="24"/>
          <w:szCs w:val="24"/>
          <w:highlight w:val="none"/>
          <w:lang w:val="en-US" w:eastAsia="zh-CN"/>
        </w:rPr>
        <w:t>13000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黑膜厌氧池</w:t>
      </w:r>
      <w:r>
        <w:rPr>
          <w:rFonts w:hint="default" w:ascii="Times New Roman" w:hAnsi="Times New Roman" w:eastAsia="宋体" w:cs="Times New Roman"/>
          <w:color w:val="auto"/>
          <w:sz w:val="24"/>
          <w:szCs w:val="24"/>
          <w:highlight w:val="none"/>
        </w:rPr>
        <w:t>反应温度为常温，厌氧发酵是指在厌氧条件下，通过厌氧微生物的作用，对有机物进行化制，产生甲烷和二氧化碳等的生物化学过程，尽量保留废水中的有机质、氨氮等农业所需养分，以保证后续农肥利用的持续、高效。发酵周期为30天，产生的沼液作为肥料还田。项目废水排放量为</w:t>
      </w:r>
      <w:r>
        <w:rPr>
          <w:rFonts w:hint="eastAsia" w:ascii="Times New Roman" w:cs="Times New Roman"/>
          <w:color w:val="auto"/>
          <w:sz w:val="24"/>
          <w:szCs w:val="24"/>
          <w:highlight w:val="none"/>
          <w:lang w:eastAsia="zh-CN"/>
        </w:rPr>
        <w:t>9539.567</w:t>
      </w:r>
      <w:r>
        <w:rPr>
          <w:rFonts w:hint="default" w:ascii="Times New Roman" w:hAnsi="Times New Roman" w:eastAsia="宋体" w:cs="Times New Roman"/>
          <w:color w:val="auto"/>
          <w:sz w:val="24"/>
          <w:szCs w:val="24"/>
          <w:highlight w:val="none"/>
        </w:rPr>
        <w:t>t/a（</w:t>
      </w:r>
      <w:r>
        <w:rPr>
          <w:rFonts w:hint="eastAsia" w:ascii="Times New Roman" w:cs="Times New Roman"/>
          <w:color w:val="auto"/>
          <w:sz w:val="24"/>
          <w:szCs w:val="24"/>
          <w:highlight w:val="none"/>
          <w:lang w:val="en-US" w:eastAsia="zh-CN"/>
        </w:rPr>
        <w:t>夏季26.1358</w:t>
      </w:r>
      <w:r>
        <w:rPr>
          <w:rFonts w:hint="default" w:ascii="Times New Roman" w:hAnsi="Times New Roman" w:eastAsia="宋体" w:cs="Times New Roman"/>
          <w:color w:val="auto"/>
          <w:sz w:val="24"/>
          <w:szCs w:val="24"/>
          <w:highlight w:val="none"/>
        </w:rPr>
        <w:t>t/d</w:t>
      </w:r>
      <w:r>
        <w:rPr>
          <w:rFonts w:hint="eastAsia" w:ascii="Times New Roman" w:cs="Times New Roman"/>
          <w:color w:val="auto"/>
          <w:sz w:val="24"/>
          <w:szCs w:val="24"/>
          <w:highlight w:val="none"/>
          <w:lang w:eastAsia="zh-CN"/>
        </w:rPr>
        <w:t>，</w:t>
      </w:r>
      <w:r>
        <w:rPr>
          <w:rFonts w:hint="eastAsia" w:ascii="Times New Roman" w:cs="Times New Roman"/>
          <w:color w:val="auto"/>
          <w:sz w:val="24"/>
          <w:szCs w:val="24"/>
          <w:highlight w:val="none"/>
          <w:lang w:val="en-US" w:eastAsia="zh-CN"/>
        </w:rPr>
        <w:t>冬季26.1358</w:t>
      </w:r>
      <w:r>
        <w:rPr>
          <w:rFonts w:hint="default" w:ascii="Times New Roman" w:hAnsi="Times New Roman" w:eastAsia="宋体" w:cs="Times New Roman"/>
          <w:color w:val="auto"/>
          <w:sz w:val="24"/>
          <w:szCs w:val="24"/>
          <w:highlight w:val="none"/>
        </w:rPr>
        <w:t>t/d），</w:t>
      </w:r>
      <w:r>
        <w:rPr>
          <w:rFonts w:hint="default" w:ascii="Times New Roman" w:hAnsi="Times New Roman" w:eastAsia="宋体" w:cs="Times New Roman"/>
          <w:color w:val="auto"/>
          <w:sz w:val="24"/>
          <w:szCs w:val="24"/>
          <w:highlight w:val="none"/>
          <w:lang w:val="en-US" w:eastAsia="zh-CN"/>
        </w:rPr>
        <w:t>可满足</w:t>
      </w: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val="en-US" w:eastAsia="zh-CN"/>
        </w:rPr>
        <w:t>发酵</w:t>
      </w:r>
      <w:r>
        <w:rPr>
          <w:rFonts w:hint="default" w:ascii="Times New Roman" w:hAnsi="Times New Roman" w:eastAsia="宋体" w:cs="Times New Roman"/>
          <w:color w:val="auto"/>
          <w:sz w:val="24"/>
          <w:szCs w:val="24"/>
          <w:highlight w:val="none"/>
        </w:rPr>
        <w:t>的需求，因此</w:t>
      </w:r>
      <w:r>
        <w:rPr>
          <w:rFonts w:hint="default" w:ascii="Times New Roman" w:hAnsi="Times New Roman" w:cs="Times New Roman"/>
          <w:color w:val="auto"/>
          <w:sz w:val="24"/>
          <w:szCs w:val="24"/>
          <w:highlight w:val="none"/>
          <w:lang w:eastAsia="zh-CN"/>
        </w:rPr>
        <w:t>黑膜</w:t>
      </w:r>
      <w:r>
        <w:rPr>
          <w:rFonts w:hint="default" w:ascii="Times New Roman" w:hAnsi="Times New Roman" w:eastAsia="宋体" w:cs="Times New Roman"/>
          <w:color w:val="auto"/>
          <w:sz w:val="24"/>
          <w:szCs w:val="24"/>
          <w:highlight w:val="none"/>
        </w:rPr>
        <w:t>厌氧池</w:t>
      </w:r>
      <w:r>
        <w:rPr>
          <w:rFonts w:hint="eastAsia" w:ascii="Times New Roman" w:cs="Times New Roman"/>
          <w:color w:val="auto"/>
          <w:sz w:val="24"/>
          <w:szCs w:val="24"/>
          <w:highlight w:val="none"/>
          <w:lang w:val="en-US" w:eastAsia="zh-CN"/>
        </w:rPr>
        <w:t>规模</w:t>
      </w:r>
      <w:r>
        <w:rPr>
          <w:rFonts w:hint="default" w:ascii="Times New Roman" w:hAnsi="Times New Roman" w:eastAsia="宋体" w:cs="Times New Roman"/>
          <w:color w:val="auto"/>
          <w:sz w:val="24"/>
          <w:szCs w:val="24"/>
          <w:highlight w:val="none"/>
        </w:rPr>
        <w:t>可行。</w:t>
      </w:r>
    </w:p>
    <w:p w14:paraId="10FE0E8D">
      <w:pPr>
        <w:adjustRightInd w:val="0"/>
        <w:snapToGrid w:val="0"/>
        <w:spacing w:line="360" w:lineRule="auto"/>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4"/>
          <w:highlight w:val="none"/>
        </w:rPr>
        <w:t>废水经黑膜厌氧池发酵处理后在施肥季节用于农田施肥，冬季暂存于</w:t>
      </w:r>
      <w:r>
        <w:rPr>
          <w:rFonts w:hint="default" w:ascii="Times New Roman" w:hAnsi="Times New Roman" w:eastAsia="宋体" w:cs="Times New Roman"/>
          <w:color w:val="auto"/>
          <w:kern w:val="0"/>
          <w:sz w:val="24"/>
          <w:szCs w:val="24"/>
          <w:highlight w:val="none"/>
          <w:lang w:val="en-US" w:eastAsia="zh-CN" w:bidi="ar-SA"/>
        </w:rPr>
        <w:t>沼液贮存池</w:t>
      </w:r>
      <w:r>
        <w:rPr>
          <w:rFonts w:hint="default" w:ascii="Times New Roman" w:hAnsi="Times New Roman" w:cs="Times New Roman"/>
          <w:color w:val="auto"/>
          <w:kern w:val="24"/>
          <w:highlight w:val="none"/>
        </w:rPr>
        <w:t>，</w:t>
      </w:r>
      <w:r>
        <w:rPr>
          <w:rFonts w:hint="default" w:ascii="Times New Roman" w:hAnsi="Times New Roman" w:cs="Times New Roman"/>
          <w:color w:val="auto"/>
          <w:kern w:val="24"/>
          <w:highlight w:val="none"/>
          <w:lang w:val="en-US" w:eastAsia="zh-CN"/>
        </w:rPr>
        <w:t>本项目与村民签订</w:t>
      </w:r>
      <w:r>
        <w:rPr>
          <w:rFonts w:hint="eastAsia" w:ascii="Times New Roman" w:cs="Times New Roman"/>
          <w:color w:val="auto"/>
          <w:kern w:val="24"/>
          <w:highlight w:val="none"/>
          <w:lang w:val="en-US" w:eastAsia="zh-CN"/>
        </w:rPr>
        <w:t>15130亩</w:t>
      </w:r>
      <w:r>
        <w:rPr>
          <w:rFonts w:hint="default" w:ascii="Times New Roman" w:hAnsi="Times New Roman" w:cs="Times New Roman"/>
          <w:color w:val="auto"/>
          <w:kern w:val="24"/>
          <w:highlight w:val="none"/>
          <w:lang w:val="en-US" w:eastAsia="zh-CN"/>
        </w:rPr>
        <w:t>农田用于消纳</w:t>
      </w:r>
      <w:r>
        <w:rPr>
          <w:rFonts w:hint="eastAsia" w:ascii="Times New Roman" w:cs="Times New Roman"/>
          <w:color w:val="auto"/>
          <w:kern w:val="24"/>
          <w:highlight w:val="none"/>
          <w:lang w:val="en-US" w:eastAsia="zh-CN"/>
        </w:rPr>
        <w:t>粪污</w:t>
      </w:r>
      <w:r>
        <w:rPr>
          <w:rFonts w:hint="default" w:ascii="Times New Roman" w:hAnsi="Times New Roman" w:cs="Times New Roman"/>
          <w:color w:val="auto"/>
          <w:kern w:val="24"/>
          <w:highlight w:val="none"/>
          <w:lang w:val="en-US" w:eastAsia="zh-CN"/>
        </w:rPr>
        <w:t>，</w:t>
      </w:r>
      <w:r>
        <w:rPr>
          <w:rFonts w:hint="default" w:ascii="Times New Roman" w:hAnsi="Times New Roman" w:cs="Times New Roman"/>
          <w:color w:val="auto"/>
          <w:kern w:val="24"/>
          <w:highlight w:val="none"/>
        </w:rPr>
        <w:t>施肥季节（每年春种前和秋收后）</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cs="Times New Roman"/>
          <w:color w:val="auto"/>
          <w:kern w:val="24"/>
          <w:highlight w:val="none"/>
        </w:rPr>
        <w:t>项目所在区域利用沼液主要为春季和秋季各一次，春季</w:t>
      </w:r>
      <w:r>
        <w:rPr>
          <w:rFonts w:hint="default" w:ascii="Times New Roman" w:hAnsi="Times New Roman" w:cs="Times New Roman"/>
          <w:color w:val="auto"/>
          <w:kern w:val="24"/>
          <w:highlight w:val="none"/>
          <w:lang w:eastAsia="zh-CN"/>
        </w:rPr>
        <w:t>大约在4月份</w:t>
      </w:r>
      <w:r>
        <w:rPr>
          <w:rFonts w:hint="default" w:ascii="Times New Roman" w:hAnsi="Times New Roman" w:cs="Times New Roman"/>
          <w:color w:val="auto"/>
          <w:kern w:val="24"/>
          <w:highlight w:val="none"/>
        </w:rPr>
        <w:t>，秋季大约在9—</w:t>
      </w:r>
      <w:r>
        <w:rPr>
          <w:rFonts w:hint="default" w:ascii="Times New Roman" w:hAnsi="Times New Roman" w:cs="Times New Roman"/>
          <w:color w:val="auto"/>
          <w:kern w:val="24"/>
          <w:highlight w:val="none"/>
          <w:lang w:eastAsia="zh-CN"/>
        </w:rPr>
        <w:t>10</w:t>
      </w:r>
      <w:r>
        <w:rPr>
          <w:rFonts w:hint="default" w:ascii="Times New Roman" w:hAnsi="Times New Roman" w:cs="Times New Roman"/>
          <w:color w:val="auto"/>
          <w:kern w:val="24"/>
          <w:highlight w:val="none"/>
        </w:rPr>
        <w:t>月份（秋收结束后）。沼液施用于玉米地，</w:t>
      </w:r>
      <w:r>
        <w:rPr>
          <w:rFonts w:hint="default" w:ascii="Times New Roman" w:hAnsi="Times New Roman" w:eastAsia="宋体" w:cs="Times New Roman"/>
          <w:snapToGrid w:val="0"/>
          <w:color w:val="auto"/>
          <w:kern w:val="0"/>
          <w:sz w:val="24"/>
          <w:szCs w:val="24"/>
          <w:highlight w:val="none"/>
          <w:lang w:val="en-US" w:eastAsia="zh-CN" w:bidi="ar-SA"/>
        </w:rPr>
        <w:t>本项目</w:t>
      </w:r>
      <w:r>
        <w:rPr>
          <w:rFonts w:hint="eastAsia" w:ascii="Times New Roman" w:hAnsi="Times New Roman" w:eastAsia="宋体" w:cs="Times New Roman"/>
          <w:snapToGrid w:val="0"/>
          <w:color w:val="auto"/>
          <w:kern w:val="0"/>
          <w:sz w:val="24"/>
          <w:szCs w:val="24"/>
          <w:highlight w:val="none"/>
          <w:lang w:val="en-US" w:eastAsia="zh-CN" w:bidi="ar-SA"/>
        </w:rPr>
        <w:t>粪污与农户签订粪污消纳协议，</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结合当地施肥规律，建议粪污施用规律为用作基肥和底肥。</w:t>
      </w:r>
      <w:r>
        <w:rPr>
          <w:rFonts w:hint="eastAsia" w:ascii="Times New Roman" w:hAnsi="Times New Roman" w:eastAsia="宋体" w:cs="Times New Roman"/>
          <w:snapToGrid w:val="0"/>
          <w:color w:val="auto"/>
          <w:kern w:val="0"/>
          <w:sz w:val="24"/>
          <w:szCs w:val="24"/>
          <w:highlight w:val="none"/>
          <w:lang w:val="en-US" w:eastAsia="zh-CN" w:bidi="ar-SA"/>
        </w:rPr>
        <w:t>施肥期平均每天每户拉运</w:t>
      </w:r>
      <w:r>
        <w:rPr>
          <w:rFonts w:hint="eastAsia" w:ascii="Times New Roman" w:hAnsi="Times New Roman" w:cs="Times New Roman"/>
          <w:snapToGrid w:val="0"/>
          <w:color w:val="auto"/>
          <w:kern w:val="0"/>
          <w:sz w:val="24"/>
          <w:szCs w:val="24"/>
          <w:highlight w:val="none"/>
          <w:lang w:val="en-US" w:eastAsia="zh-CN" w:bidi="ar-SA"/>
        </w:rPr>
        <w:t>8</w:t>
      </w:r>
      <w:r>
        <w:rPr>
          <w:rFonts w:hint="eastAsia" w:ascii="Times New Roman" w:hAnsi="Times New Roman" w:eastAsia="宋体" w:cs="Times New Roman"/>
          <w:snapToGrid w:val="0"/>
          <w:color w:val="auto"/>
          <w:kern w:val="0"/>
          <w:sz w:val="24"/>
          <w:szCs w:val="24"/>
          <w:highlight w:val="none"/>
          <w:lang w:val="en-US" w:eastAsia="zh-CN" w:bidi="ar-SA"/>
        </w:rPr>
        <w:t>次</w:t>
      </w:r>
      <w:r>
        <w:rPr>
          <w:rFonts w:hint="default" w:ascii="Times New Roman" w:hAnsi="Times New Roman" w:eastAsia="宋体" w:cs="Times New Roman"/>
          <w:snapToGrid w:val="0"/>
          <w:color w:val="auto"/>
          <w:kern w:val="0"/>
          <w:sz w:val="24"/>
          <w:szCs w:val="24"/>
          <w:highlight w:val="none"/>
          <w:lang w:val="en-US" w:eastAsia="zh-CN" w:bidi="ar-SA"/>
        </w:rPr>
        <w:t>，抛洒施肥，约2</w:t>
      </w:r>
      <w:r>
        <w:rPr>
          <w:rFonts w:hint="eastAsia" w:ascii="Times New Roman" w:hAnsi="Times New Roman" w:cs="Times New Roman"/>
          <w:snapToGrid w:val="0"/>
          <w:color w:val="auto"/>
          <w:kern w:val="0"/>
          <w:sz w:val="24"/>
          <w:szCs w:val="24"/>
          <w:highlight w:val="none"/>
          <w:lang w:val="en-US" w:eastAsia="zh-CN" w:bidi="ar-SA"/>
        </w:rPr>
        <w:t>5</w:t>
      </w:r>
      <w:r>
        <w:rPr>
          <w:rFonts w:hint="default" w:ascii="Times New Roman" w:hAnsi="Times New Roman" w:eastAsia="宋体" w:cs="Times New Roman"/>
          <w:snapToGrid w:val="0"/>
          <w:color w:val="auto"/>
          <w:kern w:val="0"/>
          <w:sz w:val="24"/>
          <w:szCs w:val="24"/>
          <w:highlight w:val="none"/>
          <w:lang w:val="en-US" w:eastAsia="zh-CN" w:bidi="ar-SA"/>
        </w:rPr>
        <w:t>天内施用完毕</w:t>
      </w:r>
      <w:r>
        <w:rPr>
          <w:rFonts w:hint="default" w:ascii="Times New Roman" w:hAnsi="Times New Roman" w:cs="Times New Roman"/>
          <w:color w:val="auto"/>
          <w:kern w:val="24"/>
          <w:highlight w:val="none"/>
          <w:lang w:val="en-US" w:eastAsia="zh-CN"/>
        </w:rPr>
        <w:t>。</w:t>
      </w:r>
      <w:r>
        <w:rPr>
          <w:rFonts w:hint="default" w:ascii="Times New Roman" w:hAnsi="Times New Roman" w:cs="Times New Roman"/>
          <w:color w:val="auto"/>
          <w:kern w:val="24"/>
          <w:highlight w:val="none"/>
        </w:rPr>
        <w:t>厂内</w:t>
      </w:r>
      <w:r>
        <w:rPr>
          <w:rFonts w:hint="eastAsia" w:ascii="Times New Roman" w:cs="Times New Roman"/>
          <w:color w:val="auto"/>
          <w:kern w:val="24"/>
          <w:highlight w:val="none"/>
          <w:lang w:val="en-US" w:eastAsia="zh-CN"/>
        </w:rPr>
        <w:t>设</w:t>
      </w:r>
      <w:r>
        <w:rPr>
          <w:rFonts w:hint="default" w:ascii="Times New Roman" w:hAnsi="Times New Roman" w:cs="Times New Roman"/>
          <w:color w:val="auto"/>
          <w:kern w:val="24"/>
          <w:highlight w:val="none"/>
          <w:lang w:val="en-US" w:eastAsia="zh-CN"/>
        </w:rPr>
        <w:t>1</w:t>
      </w:r>
      <w:r>
        <w:rPr>
          <w:rFonts w:hint="default" w:ascii="Times New Roman" w:hAnsi="Times New Roman" w:cs="Times New Roman"/>
          <w:color w:val="auto"/>
          <w:kern w:val="24"/>
          <w:highlight w:val="none"/>
        </w:rPr>
        <w:t>座</w:t>
      </w:r>
      <w:r>
        <w:rPr>
          <w:rFonts w:hint="eastAsia" w:ascii="Times New Roman" w:hAnsi="Times New Roman" w:cs="Times New Roman"/>
          <w:color w:val="auto"/>
          <w:sz w:val="24"/>
          <w:szCs w:val="24"/>
          <w:highlight w:val="none"/>
          <w:lang w:val="en-US" w:eastAsia="zh-CN"/>
        </w:rPr>
        <w:t>沼液贮存池</w:t>
      </w:r>
      <w:r>
        <w:rPr>
          <w:rFonts w:hint="default" w:ascii="Times New Roman" w:hAnsi="Times New Roman" w:cs="Times New Roman"/>
          <w:color w:val="auto"/>
          <w:kern w:val="24"/>
          <w:highlight w:val="none"/>
        </w:rPr>
        <w:t>，容积</w:t>
      </w:r>
      <w:r>
        <w:rPr>
          <w:rFonts w:hint="eastAsia" w:ascii="Times New Roman" w:cs="Times New Roman"/>
          <w:color w:val="auto"/>
          <w:sz w:val="24"/>
          <w:szCs w:val="24"/>
          <w:highlight w:val="none"/>
          <w:lang w:val="en-US" w:eastAsia="zh-CN"/>
        </w:rPr>
        <w:t>5040</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rPr>
        <w:t>3</w:t>
      </w:r>
      <w:r>
        <w:rPr>
          <w:rFonts w:hint="default" w:ascii="Times New Roman" w:hAnsi="Times New Roman" w:cs="Times New Roman"/>
          <w:color w:val="auto"/>
          <w:kern w:val="24"/>
          <w:highlight w:val="none"/>
        </w:rPr>
        <w:t>，</w:t>
      </w:r>
      <w:r>
        <w:rPr>
          <w:rFonts w:hint="default" w:ascii="Times New Roman" w:hAnsi="Times New Roman" w:eastAsia="宋体" w:cs="Times New Roman"/>
          <w:color w:val="auto"/>
          <w:highlight w:val="none"/>
        </w:rPr>
        <w:t>则本项目</w:t>
      </w:r>
      <w:r>
        <w:rPr>
          <w:rFonts w:hint="default" w:ascii="Times New Roman" w:hAnsi="Times New Roman" w:eastAsia="宋体" w:cs="Times New Roman"/>
          <w:color w:val="auto"/>
          <w:highlight w:val="none"/>
          <w:lang w:val="en-US" w:eastAsia="zh-CN"/>
        </w:rPr>
        <w:t>沼液贮存池</w:t>
      </w:r>
      <w:r>
        <w:rPr>
          <w:rFonts w:hint="default" w:ascii="Times New Roman" w:hAnsi="Times New Roman" w:eastAsia="宋体" w:cs="Times New Roman"/>
          <w:color w:val="auto"/>
          <w:highlight w:val="none"/>
        </w:rPr>
        <w:t>容量至少应储存</w:t>
      </w:r>
      <w:r>
        <w:rPr>
          <w:rFonts w:hint="eastAsia" w:ascii="Times New Roman" w:cs="Times New Roman"/>
          <w:color w:val="auto"/>
          <w:highlight w:val="none"/>
          <w:lang w:val="en-US" w:eastAsia="zh-CN"/>
        </w:rPr>
        <w:t>180天</w:t>
      </w:r>
      <w:r>
        <w:rPr>
          <w:rFonts w:hint="default" w:ascii="Times New Roman" w:hAnsi="Times New Roman" w:eastAsia="宋体" w:cs="Times New Roman"/>
          <w:color w:val="auto"/>
          <w:highlight w:val="none"/>
        </w:rPr>
        <w:t>沼液，本项目沼液产生量为</w:t>
      </w:r>
      <w:r>
        <w:rPr>
          <w:rFonts w:hint="eastAsia" w:ascii="Times New Roman" w:cs="Times New Roman"/>
          <w:color w:val="auto"/>
          <w:highlight w:val="none"/>
          <w:lang w:eastAsia="zh-CN"/>
        </w:rPr>
        <w:t>9539.567</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sz w:val="24"/>
          <w:szCs w:val="24"/>
          <w:highlight w:val="none"/>
        </w:rPr>
        <w:t>（</w:t>
      </w:r>
      <w:r>
        <w:rPr>
          <w:rFonts w:hint="eastAsia" w:ascii="Times New Roman" w:cs="Times New Roman"/>
          <w:color w:val="auto"/>
          <w:sz w:val="24"/>
          <w:szCs w:val="24"/>
          <w:highlight w:val="none"/>
          <w:lang w:val="en-US" w:eastAsia="zh-CN"/>
        </w:rPr>
        <w:t>夏季26.1358</w:t>
      </w:r>
      <w:r>
        <w:rPr>
          <w:rFonts w:hint="default" w:ascii="Times New Roman" w:hAnsi="Times New Roman" w:eastAsia="宋体" w:cs="Times New Roman"/>
          <w:color w:val="auto"/>
          <w:sz w:val="24"/>
          <w:szCs w:val="24"/>
          <w:highlight w:val="none"/>
        </w:rPr>
        <w:t>t/d</w:t>
      </w:r>
      <w:r>
        <w:rPr>
          <w:rFonts w:hint="eastAsia" w:ascii="Times New Roman" w:cs="Times New Roman"/>
          <w:color w:val="auto"/>
          <w:sz w:val="24"/>
          <w:szCs w:val="24"/>
          <w:highlight w:val="none"/>
          <w:lang w:eastAsia="zh-CN"/>
        </w:rPr>
        <w:t>，</w:t>
      </w:r>
      <w:r>
        <w:rPr>
          <w:rFonts w:hint="eastAsia" w:ascii="Times New Roman" w:cs="Times New Roman"/>
          <w:color w:val="auto"/>
          <w:sz w:val="24"/>
          <w:szCs w:val="24"/>
          <w:highlight w:val="none"/>
          <w:lang w:val="en-US" w:eastAsia="zh-CN"/>
        </w:rPr>
        <w:t>冬季26.1358</w:t>
      </w:r>
      <w:r>
        <w:rPr>
          <w:rFonts w:hint="default" w:ascii="Times New Roman" w:hAnsi="Times New Roman" w:eastAsia="宋体" w:cs="Times New Roman"/>
          <w:color w:val="auto"/>
          <w:sz w:val="24"/>
          <w:szCs w:val="24"/>
          <w:highlight w:val="none"/>
        </w:rPr>
        <w:t>t/d）</w:t>
      </w:r>
      <w:r>
        <w:rPr>
          <w:rFonts w:hint="default" w:ascii="Times New Roman" w:hAnsi="Times New Roman" w:eastAsia="宋体" w:cs="Times New Roman"/>
          <w:color w:val="auto"/>
          <w:highlight w:val="none"/>
        </w:rPr>
        <w:t>，则储存期间废水量为</w:t>
      </w:r>
      <w:r>
        <w:rPr>
          <w:rFonts w:hint="eastAsia" w:ascii="Times New Roman" w:cs="Times New Roman"/>
          <w:color w:val="auto"/>
          <w:highlight w:val="none"/>
          <w:lang w:val="en-US" w:eastAsia="zh-CN"/>
        </w:rPr>
        <w:t>4704.44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本项目需要满足</w:t>
      </w:r>
      <w:r>
        <w:rPr>
          <w:rFonts w:hint="eastAsia" w:ascii="Times New Roman" w:cs="Times New Roman"/>
          <w:color w:val="auto"/>
          <w:highlight w:val="none"/>
          <w:lang w:val="en-US" w:eastAsia="zh-CN"/>
        </w:rPr>
        <w:t>4704.44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US" w:eastAsia="zh-CN"/>
        </w:rPr>
        <w:t>的废水储存量，</w:t>
      </w:r>
      <w:r>
        <w:rPr>
          <w:rFonts w:hint="eastAsia" w:ascii="Times New Roman" w:hAnsi="Times New Roman" w:cs="Times New Roman"/>
          <w:color w:val="auto"/>
          <w:sz w:val="24"/>
          <w:szCs w:val="24"/>
          <w:highlight w:val="none"/>
          <w:lang w:val="en-US" w:eastAsia="zh-CN"/>
        </w:rPr>
        <w:t>沼液贮存池</w:t>
      </w:r>
      <w:r>
        <w:rPr>
          <w:rFonts w:hint="default" w:ascii="Times New Roman" w:hAnsi="Times New Roman" w:eastAsia="宋体" w:cs="Times New Roman"/>
          <w:color w:val="auto"/>
          <w:sz w:val="24"/>
          <w:szCs w:val="24"/>
          <w:highlight w:val="none"/>
        </w:rPr>
        <w:t>容积为</w:t>
      </w:r>
      <w:r>
        <w:rPr>
          <w:rFonts w:hint="eastAsia" w:ascii="Times New Roman" w:cs="Times New Roman"/>
          <w:color w:val="auto"/>
          <w:sz w:val="24"/>
          <w:szCs w:val="24"/>
          <w:highlight w:val="none"/>
          <w:lang w:val="en-US" w:eastAsia="zh-CN"/>
        </w:rPr>
        <w:t>5040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highlight w:val="none"/>
          <w:lang w:val="en-US" w:eastAsia="zh-CN"/>
        </w:rPr>
        <w:t>，可满足冬季</w:t>
      </w:r>
      <w:r>
        <w:rPr>
          <w:rFonts w:hint="default" w:ascii="Times New Roman" w:hAnsi="Times New Roman" w:eastAsia="宋体" w:cs="Times New Roman"/>
          <w:color w:val="auto"/>
          <w:highlight w:val="none"/>
        </w:rPr>
        <w:t>沼液</w:t>
      </w:r>
      <w:r>
        <w:rPr>
          <w:rFonts w:hint="default" w:ascii="Times New Roman" w:hAnsi="Times New Roman" w:eastAsia="宋体" w:cs="Times New Roman"/>
          <w:color w:val="auto"/>
          <w:highlight w:val="none"/>
          <w:lang w:val="en-US" w:eastAsia="zh-CN"/>
        </w:rPr>
        <w:t>储存需求。</w:t>
      </w:r>
    </w:p>
    <w:p w14:paraId="1249B852">
      <w:pPr>
        <w:pStyle w:val="453"/>
        <w:spacing w:line="360" w:lineRule="auto"/>
        <w:ind w:firstLine="480"/>
        <w:rPr>
          <w:rFonts w:hint="default" w:ascii="Times New Roman" w:hAnsi="Times New Roman" w:eastAsia="宋体" w:cs="Times New Roman"/>
          <w:color w:val="auto"/>
          <w:szCs w:val="24"/>
          <w:highlight w:val="none"/>
        </w:rPr>
      </w:pPr>
      <w:r>
        <w:rPr>
          <w:rFonts w:hint="eastAsia" w:ascii="Times New Roman" w:hAnsi="Times New Roman" w:cs="Times New Roman"/>
          <w:color w:val="auto"/>
          <w:szCs w:val="24"/>
          <w:highlight w:val="none"/>
          <w:lang w:val="en-US" w:eastAsia="zh-CN"/>
        </w:rPr>
        <w:t>1、</w:t>
      </w:r>
      <w:r>
        <w:rPr>
          <w:rFonts w:hint="default" w:ascii="Times New Roman" w:hAnsi="Times New Roman" w:eastAsia="宋体" w:cs="Times New Roman"/>
          <w:b/>
          <w:bCs/>
          <w:color w:val="auto"/>
          <w:kern w:val="0"/>
          <w:sz w:val="24"/>
          <w:szCs w:val="24"/>
          <w:highlight w:val="none"/>
          <w:lang w:val="en-US" w:eastAsia="zh-CN" w:bidi="ar-SA"/>
        </w:rPr>
        <w:t>沼液还田可行性分析</w:t>
      </w:r>
    </w:p>
    <w:p w14:paraId="0B20093A">
      <w:pPr>
        <w:pStyle w:val="453"/>
        <w:ind w:firstLine="48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szCs w:val="24"/>
          <w:highlight w:val="none"/>
        </w:rPr>
        <w:t>根据国内外大量实验研究及实际运用表明，沼液尤其是养殖废水处理后的沼液，不仅含有作物所</w:t>
      </w:r>
      <w:r>
        <w:rPr>
          <w:rFonts w:hint="default" w:ascii="Times New Roman" w:hAnsi="Times New Roman" w:eastAsia="宋体" w:cs="Times New Roman"/>
          <w:color w:val="auto"/>
          <w:szCs w:val="24"/>
          <w:highlight w:val="none"/>
          <w:lang w:eastAsia="zh-CN"/>
        </w:rPr>
        <w:t>需</w:t>
      </w:r>
      <w:r>
        <w:rPr>
          <w:rFonts w:hint="default" w:ascii="Times New Roman" w:hAnsi="Times New Roman" w:eastAsia="宋体" w:cs="Times New Roman"/>
          <w:color w:val="auto"/>
          <w:szCs w:val="24"/>
          <w:highlight w:val="none"/>
        </w:rPr>
        <w:t>丰富的N、P、K等大量元素外，还含有硼、铜、铁、锰、钙、锌等中微量元素，以及大量的有机质、多种氨基酸和维生素等。施用沼液，不仅能显著改良土壤、增加作物产量、确保农作物生长所需要的良好微生态系统，还有利于增强其抗冻、抗旱、抗虫能力。因此沼液是一种非常理想的液态肥料。对沼液进行农田利用总体是可行的。本项目产生的沼液施用于配套消纳地，粪便外运。</w:t>
      </w:r>
    </w:p>
    <w:p w14:paraId="47C0B26E">
      <w:pPr>
        <w:keepNext w:val="0"/>
        <w:keepLines w:val="0"/>
        <w:pageBreakBefore w:val="0"/>
        <w:widowControl/>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highlight w:val="none"/>
        </w:rPr>
      </w:pPr>
      <w:r>
        <w:rPr>
          <w:rFonts w:hint="eastAsia" w:ascii="Times New Roman" w:hAnsi="Times New Roman"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土地消纳方案</w:t>
      </w:r>
    </w:p>
    <w:p w14:paraId="2DD2DF8B">
      <w:pPr>
        <w:pStyle w:val="94"/>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畜禽养殖业污染防治技术规范》（HJ/T81-2001）提出了原则性规定：畜禽养殖场的建设应坚持“农牧结合、种养平衡”的原则，根据本项目区域土地（包括与其他土地经营者签约承诺消纳本厂区产生粪便污水的土地）对畜禽粪便的消纳能力，确定新建畜禽养殖厂的养殖规模。对于无相应消纳土地的养殖场，必须配套建立具有相应加工（处理）能力的粪便污水处理设施或处理（处置）机制。</w:t>
      </w:r>
    </w:p>
    <w:p w14:paraId="63D7CD15">
      <w:pPr>
        <w:pStyle w:val="94"/>
        <w:ind w:firstLine="480"/>
        <w:rPr>
          <w:rFonts w:hint="default" w:ascii="Times New Roman" w:hAnsi="Times New Roman" w:cs="Times New Roman"/>
          <w:color w:val="auto"/>
          <w:kern w:val="24"/>
          <w:highlight w:val="none"/>
        </w:rPr>
      </w:pPr>
      <w:r>
        <w:rPr>
          <w:rFonts w:hint="eastAsia" w:ascii="Times New Roman" w:hAnsi="Times New Roman" w:cs="Times New Roman"/>
          <w:snapToGrid w:val="0"/>
          <w:color w:val="auto"/>
          <w:highlight w:val="none"/>
          <w:lang w:val="en-US" w:eastAsia="zh-CN"/>
        </w:rPr>
        <w:t>本</w:t>
      </w:r>
      <w:r>
        <w:rPr>
          <w:rFonts w:hint="default" w:ascii="Times New Roman" w:hAnsi="Times New Roman" w:cs="Times New Roman"/>
          <w:snapToGrid w:val="0"/>
          <w:color w:val="auto"/>
          <w:highlight w:val="none"/>
        </w:rPr>
        <w:t>项目产生的猪粪</w:t>
      </w:r>
      <w:r>
        <w:rPr>
          <w:rFonts w:hint="default" w:ascii="Times New Roman" w:hAnsi="Times New Roman" w:cs="Times New Roman"/>
          <w:snapToGrid w:val="0"/>
          <w:color w:val="auto"/>
          <w:highlight w:val="none"/>
          <w:lang w:eastAsia="zh-CN"/>
        </w:rPr>
        <w:t>采取</w:t>
      </w:r>
      <w:r>
        <w:rPr>
          <w:rFonts w:hint="eastAsia" w:ascii="Times New Roman" w:hAnsi="Times New Roman" w:cs="Times New Roman"/>
          <w:snapToGrid w:val="0"/>
          <w:color w:val="auto"/>
          <w:highlight w:val="none"/>
          <w:lang w:eastAsia="zh-CN"/>
        </w:rPr>
        <w:t>尿泡粪—干清粪</w:t>
      </w:r>
      <w:r>
        <w:rPr>
          <w:rFonts w:hint="default" w:ascii="Times New Roman" w:hAnsi="Times New Roman" w:cs="Times New Roman"/>
          <w:snapToGrid w:val="0"/>
          <w:color w:val="auto"/>
          <w:highlight w:val="none"/>
          <w:lang w:eastAsia="zh-CN"/>
        </w:rPr>
        <w:t>方式进行清粪，</w:t>
      </w:r>
      <w:r>
        <w:rPr>
          <w:rFonts w:hint="eastAsia" w:ascii="Times New Roman" w:hAnsi="Times New Roman" w:cs="Times New Roman"/>
          <w:snapToGrid w:val="0"/>
          <w:color w:val="auto"/>
          <w:highlight w:val="none"/>
          <w:lang w:eastAsia="zh-CN"/>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w:t>
      </w:r>
      <w:r>
        <w:rPr>
          <w:rFonts w:hint="eastAsia" w:ascii="Times New Roman" w:hAnsi="Times New Roman" w:cs="Times New Roman"/>
          <w:snapToGrid w:val="0"/>
          <w:color w:val="auto"/>
          <w:highlight w:val="none"/>
          <w:lang w:val="en-US" w:eastAsia="zh-CN"/>
        </w:rPr>
        <w:t>养殖废水（</w:t>
      </w:r>
      <w:r>
        <w:rPr>
          <w:rFonts w:hint="eastAsia" w:ascii="Times New Roman" w:hAnsi="Times New Roman" w:cs="Times New Roman"/>
          <w:snapToGrid w:val="0"/>
          <w:color w:val="auto"/>
          <w:highlight w:val="none"/>
          <w:lang w:eastAsia="zh-CN"/>
        </w:rPr>
        <w:t>猪尿、猪舍冲洗废水</w:t>
      </w:r>
      <w:r>
        <w:rPr>
          <w:rFonts w:hint="eastAsia" w:ascii="Times New Roman" w:hAnsi="Times New Roman" w:cs="Times New Roman"/>
          <w:snapToGrid w:val="0"/>
          <w:color w:val="auto"/>
          <w:highlight w:val="none"/>
          <w:lang w:val="en-US" w:eastAsia="zh-CN"/>
        </w:rPr>
        <w:t>）和</w:t>
      </w:r>
      <w:r>
        <w:rPr>
          <w:rFonts w:hint="eastAsia" w:ascii="Times New Roman" w:hAnsi="Times New Roman" w:cs="Times New Roman"/>
          <w:snapToGrid w:val="0"/>
          <w:color w:val="auto"/>
          <w:highlight w:val="none"/>
          <w:lang w:eastAsia="zh-CN"/>
        </w:rPr>
        <w:t>职工生活污水。</w:t>
      </w:r>
      <w:r>
        <w:rPr>
          <w:rFonts w:hint="eastAsia" w:ascii="Times New Roman" w:hAnsi="Times New Roman" w:cs="Times New Roman"/>
          <w:snapToGrid w:val="0"/>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沼液贮存池</w:t>
      </w:r>
      <w:r>
        <w:rPr>
          <w:rFonts w:hint="default" w:ascii="Times New Roman" w:hAnsi="Times New Roman" w:cs="Times New Roman"/>
          <w:color w:val="auto"/>
          <w:kern w:val="24"/>
          <w:highlight w:val="none"/>
        </w:rPr>
        <w:t>。因此，本项目属于《畜禽粪污土地承载力测算技术指南》中“</w:t>
      </w:r>
      <w:r>
        <w:rPr>
          <w:rFonts w:hint="eastAsia" w:ascii="Times New Roman" w:hAnsi="Times New Roman" w:cs="Times New Roman"/>
          <w:color w:val="auto"/>
          <w:kern w:val="24"/>
          <w:highlight w:val="none"/>
          <w:lang w:eastAsia="zh-CN"/>
        </w:rPr>
        <w:t>粪污</w:t>
      </w:r>
      <w:r>
        <w:rPr>
          <w:rFonts w:hint="default" w:ascii="Times New Roman" w:hAnsi="Times New Roman" w:cs="Times New Roman"/>
          <w:color w:val="auto"/>
          <w:kern w:val="24"/>
          <w:highlight w:val="none"/>
        </w:rPr>
        <w:t>全部就地利用”模式。</w:t>
      </w:r>
    </w:p>
    <w:p w14:paraId="759DB9E6">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2018年1月15日农业部办公厅关于印发《畜禽粪污土地承载力测算技术指南》的通知，本指南适用于区域畜禽粪污土地承载力和畜禽规模养殖场粪污消纳配套土地面积的测算。规模养殖场配套土地面积等于规模养殖场</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养分供给量除以单位土地</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养分需求量。根据项目区土地的种植规律，每年种植一季玉米。本项目猪</w:t>
      </w:r>
      <w:r>
        <w:rPr>
          <w:rFonts w:hint="default" w:ascii="Times New Roman" w:hAnsi="Times New Roman" w:eastAsia="宋体" w:cs="Times New Roman"/>
          <w:color w:val="auto"/>
          <w:sz w:val="24"/>
          <w:szCs w:val="24"/>
          <w:highlight w:val="none"/>
          <w:lang w:val="en-US" w:eastAsia="zh-CN"/>
        </w:rPr>
        <w:t>存栏</w:t>
      </w:r>
      <w:r>
        <w:rPr>
          <w:rFonts w:hint="default" w:ascii="Times New Roman" w:hAnsi="Times New Roman" w:eastAsia="宋体" w:cs="Times New Roman"/>
          <w:color w:val="auto"/>
          <w:sz w:val="24"/>
          <w:szCs w:val="24"/>
          <w:highlight w:val="none"/>
        </w:rPr>
        <w:t>共</w:t>
      </w:r>
      <w:r>
        <w:rPr>
          <w:rFonts w:hint="eastAsia" w:ascii="Times New Roman" w:hAnsi="Times New Roman" w:cs="Times New Roman"/>
          <w:color w:val="auto"/>
          <w:sz w:val="24"/>
          <w:szCs w:val="24"/>
          <w:highlight w:val="none"/>
          <w:lang w:val="en-US" w:eastAsia="zh-CN"/>
        </w:rPr>
        <w:t>8000</w:t>
      </w:r>
      <w:r>
        <w:rPr>
          <w:rFonts w:hint="default" w:ascii="Times New Roman" w:hAnsi="Times New Roman" w:eastAsia="宋体" w:cs="Times New Roman"/>
          <w:color w:val="auto"/>
          <w:sz w:val="24"/>
          <w:szCs w:val="24"/>
          <w:highlight w:val="none"/>
        </w:rPr>
        <w:t>头。</w:t>
      </w:r>
    </w:p>
    <w:p w14:paraId="63B7B4AC">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1、以氮为基础</w:t>
      </w:r>
    </w:p>
    <w:p w14:paraId="6D7064FA">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在以氮为基础时，根据《畜禽粪污土地承载力测算技术指南》附表3-1“不同植物土地承载力推荐值”，对于“</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全部就地利用”模式下，水稻作物土地承载力为1.1头猪/亩/当季，玉米作物土地承载力为1.2头猪/亩/当季，本次评价按两者平均土地承载力为1.15头猪/亩/当季计算。所配套农田每年水稻、玉米种植一季。</w:t>
      </w:r>
    </w:p>
    <w:p w14:paraId="132D0609">
      <w:pPr>
        <w:pStyle w:val="25"/>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则本项目所需配套土地面积为：</w:t>
      </w:r>
    </w:p>
    <w:p w14:paraId="6A1D7464">
      <w:pPr>
        <w:pStyle w:val="25"/>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26"/>
          <w:highlight w:val="none"/>
        </w:rPr>
        <w:object>
          <v:shape id="_x0000_i1027" o:spt="75" type="#_x0000_t75" style="height:33pt;width:160pt;" o:ole="t" filled="f" o:preferrelative="t" stroked="f" coordsize="21600,21600">
            <v:path/>
            <v:fill on="f" focussize="0,0"/>
            <v:stroke on="f"/>
            <v:imagedata r:id="rId77" o:title=""/>
            <o:lock v:ext="edit" aspectratio="t"/>
            <w10:wrap type="none"/>
            <w10:anchorlock/>
          </v:shape>
          <o:OLEObject Type="Embed" ProgID="Equation.KSEE3" ShapeID="_x0000_i1027" DrawAspect="Content" ObjectID="_1468075727" r:id="rId76">
            <o:LockedField>false</o:LockedField>
          </o:OLEObject>
        </w:object>
      </w:r>
    </w:p>
    <w:p w14:paraId="40B36A97">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算得本项目所需配套土地面积为</w:t>
      </w:r>
      <w:r>
        <w:rPr>
          <w:rFonts w:hint="eastAsia" w:ascii="Times New Roman" w:hAnsi="Times New Roman" w:cs="Times New Roman"/>
          <w:color w:val="auto"/>
          <w:sz w:val="24"/>
          <w:szCs w:val="24"/>
          <w:highlight w:val="none"/>
          <w:lang w:val="en-US" w:eastAsia="zh-CN"/>
        </w:rPr>
        <w:t>6957</w:t>
      </w:r>
      <w:r>
        <w:rPr>
          <w:rFonts w:hint="default" w:ascii="Times New Roman" w:hAnsi="Times New Roman" w:eastAsia="宋体" w:cs="Times New Roman"/>
          <w:color w:val="auto"/>
          <w:sz w:val="24"/>
          <w:szCs w:val="24"/>
          <w:highlight w:val="none"/>
        </w:rPr>
        <w:t>亩。</w:t>
      </w:r>
    </w:p>
    <w:p w14:paraId="53E67235">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2、以磷为基础</w:t>
      </w:r>
    </w:p>
    <w:p w14:paraId="5D14EF84">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在以磷为基础时，根据《畜禽粪污土地承载力测算技术指南》附表3-2“不同植物土地承载力推荐值”，对于“</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全部就地利用”模式下，水稻作物土地承载力为2.0头猪/亩/当季，玉米作物土地承载力为0.8头猪/亩/当季，本次评价按两者平均土地承载力为1.4头猪/亩/当季计算。所配套农田每年水稻、玉米种植一季。</w:t>
      </w:r>
    </w:p>
    <w:p w14:paraId="462F76FB">
      <w:pPr>
        <w:pStyle w:val="25"/>
        <w:ind w:firstLine="48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则本项目所需配套土地面积为：</w:t>
      </w:r>
    </w:p>
    <w:p w14:paraId="30CCE8B8">
      <w:pPr>
        <w:pStyle w:val="25"/>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26"/>
          <w:highlight w:val="none"/>
        </w:rPr>
        <w:object>
          <v:shape id="_x0000_i1028" o:spt="75" type="#_x0000_t75" style="height:33pt;width:160pt;" o:ole="t" filled="f" o:preferrelative="t" stroked="f" coordsize="21600,21600">
            <v:path/>
            <v:fill on="f" focussize="0,0"/>
            <v:stroke on="f"/>
            <v:imagedata r:id="rId79" o:title=""/>
            <o:lock v:ext="edit" aspectratio="t"/>
            <w10:wrap type="none"/>
            <w10:anchorlock/>
          </v:shape>
          <o:OLEObject Type="Embed" ProgID="Equation.KSEE3" ShapeID="_x0000_i1028" DrawAspect="Content" ObjectID="_1468075728" r:id="rId78">
            <o:LockedField>false</o:LockedField>
          </o:OLEObject>
        </w:object>
      </w:r>
    </w:p>
    <w:p w14:paraId="4B207AA4">
      <w:pPr>
        <w:pStyle w:val="25"/>
        <w:spacing w:line="360" w:lineRule="auto"/>
        <w:ind w:firstLine="48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算得本项目所需配套土地面积为</w:t>
      </w:r>
      <w:r>
        <w:rPr>
          <w:rFonts w:hint="eastAsia" w:ascii="Times New Roman" w:hAnsi="Times New Roman" w:eastAsia="宋体" w:cs="Times New Roman"/>
          <w:color w:val="auto"/>
          <w:kern w:val="0"/>
          <w:sz w:val="24"/>
          <w:szCs w:val="24"/>
          <w:highlight w:val="none"/>
          <w:lang w:val="en-US" w:eastAsia="zh-CN" w:bidi="ar-SA"/>
        </w:rPr>
        <w:t>5715</w:t>
      </w:r>
      <w:r>
        <w:rPr>
          <w:rFonts w:hint="default" w:ascii="Times New Roman" w:hAnsi="Times New Roman" w:eastAsia="宋体" w:cs="Times New Roman"/>
          <w:color w:val="auto"/>
          <w:kern w:val="0"/>
          <w:sz w:val="24"/>
          <w:szCs w:val="24"/>
          <w:highlight w:val="none"/>
          <w:lang w:val="en-US" w:eastAsia="zh-CN" w:bidi="ar-SA"/>
        </w:rPr>
        <w:t>亩。</w:t>
      </w:r>
    </w:p>
    <w:p w14:paraId="601A216D">
      <w:pPr>
        <w:pStyle w:val="25"/>
        <w:spacing w:line="360" w:lineRule="auto"/>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rPr>
        <w:t>综上，本次评价按以氮为基础和以磷为基础两种测算模式下所需配套土地面积最大值为本项目所需配套土地面积，根据《畜禽养殖业污染治理工程技术规范》（HJ 497－2009）：“经无害化处理后进行还田综合利用的，</w:t>
      </w:r>
      <w:r>
        <w:rPr>
          <w:rFonts w:hint="eastAsia" w:ascii="Times New Roman" w:hAnsi="Times New Roman" w:eastAsia="宋体"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用量不能超过作物当年生长所需的养分量。在确定</w:t>
      </w:r>
      <w:r>
        <w:rPr>
          <w:rFonts w:hint="eastAsia" w:ascii="Times New Roman" w:hAnsi="Times New Roman" w:eastAsia="宋体"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的最佳施用量时，应对土壤肥力和</w:t>
      </w:r>
      <w:r>
        <w:rPr>
          <w:rFonts w:hint="eastAsia" w:ascii="Times New Roman" w:hAnsi="Times New Roman" w:eastAsia="宋体"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肥效进行测试评价，并符合当地环境容量的要求。同时应有一倍以上的土地用于轮作施肥，不得长期施肥于同一土地。”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因此</w:t>
      </w:r>
      <w:r>
        <w:rPr>
          <w:rFonts w:hint="default" w:ascii="Times New Roman" w:hAnsi="Times New Roman" w:eastAsia="宋体" w:cs="Times New Roman"/>
          <w:color w:val="auto"/>
          <w:sz w:val="24"/>
          <w:szCs w:val="24"/>
          <w:highlight w:val="none"/>
        </w:rPr>
        <w:t>本项目所需配套土地面积为</w:t>
      </w:r>
      <w:r>
        <w:rPr>
          <w:rFonts w:hint="eastAsia" w:ascii="Times New Roman" w:hAnsi="Times New Roman" w:eastAsia="宋体" w:cs="Times New Roman"/>
          <w:color w:val="auto"/>
          <w:kern w:val="0"/>
          <w:sz w:val="24"/>
          <w:szCs w:val="24"/>
          <w:highlight w:val="none"/>
          <w:lang w:val="en-US" w:eastAsia="zh-CN" w:bidi="ar-SA"/>
        </w:rPr>
        <w:t>6957</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13914</w:t>
      </w:r>
      <w:r>
        <w:rPr>
          <w:rFonts w:hint="default" w:ascii="Times New Roman" w:hAnsi="Times New Roman" w:eastAsia="宋体" w:cs="Times New Roman"/>
          <w:color w:val="auto"/>
          <w:sz w:val="24"/>
          <w:szCs w:val="24"/>
          <w:highlight w:val="none"/>
        </w:rPr>
        <w:t>亩。</w:t>
      </w:r>
      <w:r>
        <w:rPr>
          <w:rFonts w:hint="default" w:ascii="Times New Roman" w:hAnsi="Times New Roman" w:eastAsia="宋体" w:cs="Times New Roman"/>
          <w:color w:val="auto"/>
          <w:sz w:val="24"/>
          <w:highlight w:val="none"/>
        </w:rPr>
        <w:t>项目与</w:t>
      </w:r>
      <w:r>
        <w:rPr>
          <w:rFonts w:hint="eastAsia" w:ascii="Times New Roman" w:hAnsi="Times New Roman" w:eastAsia="宋体" w:cs="Times New Roman"/>
          <w:color w:val="auto"/>
          <w:sz w:val="24"/>
          <w:highlight w:val="none"/>
          <w:lang w:val="en-US" w:eastAsia="zh-CN"/>
        </w:rPr>
        <w:t>村委会</w:t>
      </w:r>
      <w:r>
        <w:rPr>
          <w:rFonts w:hint="default" w:ascii="Times New Roman" w:hAnsi="Times New Roman" w:eastAsia="宋体" w:cs="Times New Roman"/>
          <w:color w:val="auto"/>
          <w:sz w:val="24"/>
          <w:highlight w:val="none"/>
        </w:rPr>
        <w:t>签订</w:t>
      </w:r>
      <w:r>
        <w:rPr>
          <w:rFonts w:hint="default" w:ascii="Times New Roman" w:hAnsi="Times New Roman" w:eastAsia="宋体" w:cs="Times New Roman"/>
          <w:color w:val="auto"/>
          <w:sz w:val="24"/>
          <w:highlight w:val="none"/>
          <w:lang w:val="en-US" w:eastAsia="zh-CN"/>
        </w:rPr>
        <w:t>的</w:t>
      </w:r>
      <w:r>
        <w:rPr>
          <w:rFonts w:hint="eastAsia" w:ascii="Times New Roman" w:hAnsi="Times New Roman" w:eastAsia="宋体" w:cs="Times New Roman"/>
          <w:color w:val="auto"/>
          <w:sz w:val="24"/>
          <w:highlight w:val="none"/>
          <w:lang w:eastAsia="zh-CN"/>
        </w:rPr>
        <w:t>15130亩</w:t>
      </w:r>
      <w:r>
        <w:rPr>
          <w:rFonts w:hint="default" w:ascii="Times New Roman" w:hAnsi="Times New Roman" w:eastAsia="宋体" w:cs="Times New Roman"/>
          <w:color w:val="auto"/>
          <w:sz w:val="24"/>
          <w:highlight w:val="none"/>
        </w:rPr>
        <w:t>农田</w:t>
      </w:r>
      <w:r>
        <w:rPr>
          <w:rFonts w:hint="default" w:ascii="Times New Roman" w:hAnsi="Times New Roman" w:eastAsia="宋体" w:cs="Times New Roman"/>
          <w:color w:val="auto"/>
          <w:sz w:val="24"/>
          <w:highlight w:val="none"/>
          <w:lang w:val="en-US" w:eastAsia="zh-CN"/>
        </w:rPr>
        <w:t>完全具备本项目产生的</w:t>
      </w:r>
      <w:r>
        <w:rPr>
          <w:rFonts w:hint="default" w:ascii="Times New Roman" w:hAnsi="Times New Roman" w:eastAsia="宋体" w:cs="Times New Roman"/>
          <w:color w:val="auto"/>
          <w:sz w:val="24"/>
          <w:highlight w:val="none"/>
        </w:rPr>
        <w:t>畜禽粪污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沼液和</w:t>
      </w:r>
      <w:r>
        <w:rPr>
          <w:rFonts w:hint="eastAsia" w:ascii="Times New Roman" w:hAnsi="Times New Roman" w:eastAsia="宋体"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rPr>
        <w:t>承载力</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见附件</w:t>
      </w:r>
      <w:r>
        <w:rPr>
          <w:rFonts w:hint="eastAsia"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lang w:eastAsia="zh-CN"/>
        </w:rPr>
        <w:t>。</w:t>
      </w:r>
    </w:p>
    <w:p w14:paraId="2DCD2EA5">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综上所述</w:t>
      </w:r>
      <w:r>
        <w:rPr>
          <w:rFonts w:hint="default" w:ascii="Times New Roman" w:hAnsi="Times New Roman" w:eastAsia="宋体" w:cs="Times New Roman"/>
          <w:color w:val="auto"/>
          <w:sz w:val="24"/>
          <w:highlight w:val="none"/>
        </w:rPr>
        <w:t>，本项目配套施肥农田消纳能力满足本项目</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需求，不会超出土壤的承载能力。本项目施肥季节</w:t>
      </w:r>
      <w:r>
        <w:rPr>
          <w:rFonts w:hint="default" w:ascii="Times New Roman" w:hAnsi="Times New Roman" w:eastAsia="宋体" w:cs="Times New Roman"/>
          <w:color w:val="auto"/>
          <w:sz w:val="24"/>
          <w:highlight w:val="none"/>
          <w:lang w:val="en-US" w:eastAsia="zh-CN"/>
        </w:rPr>
        <w:t>沼液和固体粪污由</w:t>
      </w:r>
      <w:r>
        <w:rPr>
          <w:rFonts w:hint="eastAsia" w:ascii="Times New Roman" w:hAnsi="Times New Roman" w:cs="Times New Roman"/>
          <w:color w:val="auto"/>
          <w:sz w:val="24"/>
          <w:highlight w:val="none"/>
          <w:lang w:val="en-US" w:eastAsia="zh-CN"/>
        </w:rPr>
        <w:t>企业定期安排</w:t>
      </w:r>
      <w:r>
        <w:rPr>
          <w:rFonts w:hint="default" w:ascii="Times New Roman" w:hAnsi="Times New Roman" w:eastAsia="宋体" w:cs="Times New Roman"/>
          <w:color w:val="auto"/>
          <w:sz w:val="24"/>
          <w:highlight w:val="none"/>
        </w:rPr>
        <w:t>罐车</w:t>
      </w:r>
      <w:r>
        <w:rPr>
          <w:rFonts w:hint="default" w:ascii="Times New Roman" w:hAnsi="Times New Roman" w:eastAsia="宋体" w:cs="Times New Roman"/>
          <w:color w:val="auto"/>
          <w:sz w:val="24"/>
          <w:highlight w:val="none"/>
          <w:lang w:val="en-US" w:eastAsia="zh-CN"/>
        </w:rPr>
        <w:t>及固体抛洒车进行拉运，施肥期罐车</w:t>
      </w:r>
      <w:r>
        <w:rPr>
          <w:rFonts w:hint="default" w:ascii="Times New Roman" w:hAnsi="Times New Roman" w:eastAsia="宋体" w:cs="Times New Roman"/>
          <w:color w:val="auto"/>
          <w:sz w:val="24"/>
          <w:highlight w:val="none"/>
        </w:rPr>
        <w:t>将沼液运至农田，用临时管线施肥，施肥完毕后将临时管线收回。</w:t>
      </w:r>
      <w:r>
        <w:rPr>
          <w:rFonts w:hint="default" w:ascii="Times New Roman" w:hAnsi="Times New Roman" w:eastAsia="宋体" w:cs="Times New Roman"/>
          <w:color w:val="auto"/>
          <w:sz w:val="24"/>
          <w:highlight w:val="none"/>
          <w:lang w:val="en-US" w:eastAsia="zh-CN"/>
        </w:rPr>
        <w:t>固态粪污采用固体抛洒车施肥</w:t>
      </w:r>
      <w:r>
        <w:rPr>
          <w:rFonts w:hint="default" w:ascii="Times New Roman" w:hAnsi="Times New Roman" w:eastAsia="宋体" w:cs="Times New Roman"/>
          <w:color w:val="auto"/>
          <w:sz w:val="24"/>
          <w:highlight w:val="none"/>
        </w:rPr>
        <w:t>。</w:t>
      </w:r>
    </w:p>
    <w:p w14:paraId="09C6AB30">
      <w:pPr>
        <w:widowControl/>
        <w:adjustRightInd w:val="0"/>
        <w:snapToGrid w:val="0"/>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4"/>
          <w:highlight w:val="none"/>
        </w:rPr>
        <w:t>本项目运营可实现废水</w:t>
      </w:r>
      <w:r>
        <w:rPr>
          <w:rFonts w:hint="eastAsia" w:ascii="Times New Roman" w:hAnsi="Times New Roman" w:cs="Times New Roman"/>
          <w:color w:val="auto"/>
          <w:sz w:val="24"/>
          <w:highlight w:val="none"/>
          <w:lang w:eastAsia="zh-CN"/>
        </w:rPr>
        <w:t>不外排</w:t>
      </w:r>
      <w:r>
        <w:rPr>
          <w:rFonts w:hint="default" w:ascii="Times New Roman" w:hAnsi="Times New Roman" w:eastAsia="宋体" w:cs="Times New Roman"/>
          <w:color w:val="auto"/>
          <w:sz w:val="24"/>
          <w:highlight w:val="none"/>
        </w:rPr>
        <w:t>。因此，项目产生的废水均得到合理处理与利用而无外排，对区域地表水环境不会产生显著性不良影响，因此从地表水环境角度而言，本项目建设是可行的。</w:t>
      </w:r>
    </w:p>
    <w:bookmarkEnd w:id="728"/>
    <w:p w14:paraId="0F82F45C">
      <w:pPr>
        <w:pStyle w:val="7"/>
        <w:rPr>
          <w:rFonts w:hint="default" w:ascii="Times New Roman" w:hAnsi="Times New Roman" w:eastAsia="宋体" w:cs="Times New Roman"/>
          <w:snapToGrid w:val="0"/>
          <w:color w:val="auto"/>
          <w:highlight w:val="none"/>
        </w:rPr>
      </w:pPr>
      <w:bookmarkStart w:id="734" w:name="_Toc29176"/>
      <w:bookmarkStart w:id="735" w:name="_Toc10978"/>
      <w:bookmarkStart w:id="736" w:name="_Toc20659"/>
      <w:bookmarkStart w:id="737" w:name="_Toc15714"/>
      <w:r>
        <w:rPr>
          <w:rFonts w:hint="default" w:ascii="Times New Roman" w:hAnsi="Times New Roman" w:eastAsia="宋体" w:cs="Times New Roman"/>
          <w:snapToGrid w:val="0"/>
          <w:color w:val="auto"/>
          <w:highlight w:val="none"/>
        </w:rPr>
        <w:t>5.2.3地下水环境影响预测分析</w:t>
      </w:r>
      <w:bookmarkEnd w:id="734"/>
      <w:bookmarkEnd w:id="735"/>
      <w:bookmarkEnd w:id="736"/>
      <w:bookmarkEnd w:id="737"/>
    </w:p>
    <w:p w14:paraId="3265AD21">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一、预测原则</w:t>
      </w:r>
    </w:p>
    <w:p w14:paraId="26D629D3">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遵循保护优先、预防为主的原则，结合地下水污染防控措施的基础上，对本项目所在地可能引起的地下水环境影响进行预测。</w:t>
      </w:r>
    </w:p>
    <w:p w14:paraId="156AF6F2">
      <w:pPr>
        <w:adjustRightInd w:val="0"/>
        <w:snapToGrid w:val="0"/>
        <w:spacing w:line="360" w:lineRule="auto"/>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二、预测范围</w:t>
      </w:r>
    </w:p>
    <w:p w14:paraId="4A222E24">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highlight w:val="none"/>
        </w:rPr>
        <w:t>根据《环境影响评价技术导则 地下水环境》（HJ610-2016）的要求，本项目地下水评价等级为三级，</w:t>
      </w:r>
      <w:r>
        <w:rPr>
          <w:rFonts w:hint="default" w:ascii="Times New Roman" w:hAnsi="Times New Roman" w:cs="Times New Roman"/>
          <w:snapToGrid w:val="0"/>
          <w:color w:val="auto"/>
          <w:highlight w:val="none"/>
          <w:lang w:val="en-US" w:eastAsia="zh-CN"/>
        </w:rPr>
        <w:t>根据查表法，确定本项目评价范围不小于6km</w:t>
      </w:r>
      <w:r>
        <w:rPr>
          <w:rFonts w:hint="default" w:ascii="Times New Roman" w:hAnsi="Times New Roman"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highlight w:val="none"/>
        </w:rPr>
        <w:t>预测层位为地下水的潜水</w:t>
      </w:r>
      <w:r>
        <w:rPr>
          <w:rFonts w:hint="default" w:ascii="Times New Roman" w:hAnsi="Times New Roman" w:eastAsia="宋体" w:cs="Times New Roman"/>
          <w:snapToGrid w:val="0"/>
          <w:color w:val="auto"/>
          <w:highlight w:val="none"/>
          <w:lang w:val="en-US" w:eastAsia="zh-CN"/>
        </w:rPr>
        <w:t>含水</w:t>
      </w:r>
      <w:r>
        <w:rPr>
          <w:rFonts w:hint="default" w:ascii="Times New Roman" w:hAnsi="Times New Roman" w:eastAsia="宋体" w:cs="Times New Roman"/>
          <w:snapToGrid w:val="0"/>
          <w:color w:val="auto"/>
          <w:highlight w:val="none"/>
        </w:rPr>
        <w:t>层。</w:t>
      </w:r>
    </w:p>
    <w:p w14:paraId="0D104BED">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三、预测时段</w:t>
      </w:r>
    </w:p>
    <w:p w14:paraId="756C17B4">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地下水》（HJ610-2016），地下水环境影响预测时段应选取可能产生地下水污染的关键时段，至少包括污染发生后100d、1000d，服务年限或能反映特征因子迁移规律的其他重要的时间节点。结合地下水跟踪监测的频率</w:t>
      </w:r>
      <w:r>
        <w:rPr>
          <w:rFonts w:hint="default" w:ascii="Times New Roman" w:hAnsi="Times New Roman" w:cs="Times New Roman"/>
          <w:snapToGrid w:val="0"/>
          <w:color w:val="auto"/>
          <w:highlight w:val="none"/>
        </w:rPr>
        <w:t>（1次/</w:t>
      </w:r>
      <w:r>
        <w:rPr>
          <w:rFonts w:hint="default" w:ascii="Times New Roman" w:hAnsi="Times New Roman" w:cs="Times New Roman"/>
          <w:snapToGrid w:val="0"/>
          <w:color w:val="auto"/>
          <w:highlight w:val="none"/>
          <w:lang w:val="en-US" w:eastAsia="zh-CN"/>
        </w:rPr>
        <w:t>季度</w:t>
      </w:r>
      <w:r>
        <w:rPr>
          <w:rFonts w:hint="default" w:ascii="Times New Roman" w:hAnsi="Times New Roman" w:cs="Times New Roman"/>
          <w:snapToGrid w:val="0"/>
          <w:color w:val="auto"/>
          <w:highlight w:val="none"/>
        </w:rPr>
        <w:t>）</w:t>
      </w:r>
      <w:r>
        <w:rPr>
          <w:rFonts w:hint="default" w:ascii="Times New Roman" w:hAnsi="Times New Roman" w:eastAsia="宋体" w:cs="Times New Roman"/>
          <w:color w:val="auto"/>
          <w:sz w:val="24"/>
          <w:highlight w:val="none"/>
        </w:rPr>
        <w:t>，本次预测时段设定为</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发生渗漏后的100d、1000d。</w:t>
      </w:r>
    </w:p>
    <w:p w14:paraId="306C677C">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四、预测情景</w:t>
      </w:r>
    </w:p>
    <w:p w14:paraId="61D76203">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多数情况下，污染物都是自上而下经过包气带进入含水层的。污水经过粘土层后，由于机械过滤、颗粒吸附、离子交换及生物化学等作用将会降低污染物质量浓度。包气带对废液污染组分的净化能力是防止地下水污染的关键。分布均匀的粘土具有良好的风险防范作用，是阻隔</w:t>
      </w:r>
      <w:r>
        <w:rPr>
          <w:rFonts w:hint="eastAsia" w:ascii="Times New Roman" w:hAnsi="Times New Roman" w:cs="Times New Roman"/>
          <w:color w:val="auto"/>
          <w:sz w:val="24"/>
          <w:highlight w:val="none"/>
          <w:lang w:val="en-US" w:eastAsia="zh-CN"/>
        </w:rPr>
        <w:t>废水</w:t>
      </w:r>
      <w:r>
        <w:rPr>
          <w:rFonts w:hint="default" w:ascii="Times New Roman" w:hAnsi="Times New Roman" w:eastAsia="宋体" w:cs="Times New Roman"/>
          <w:color w:val="auto"/>
          <w:sz w:val="24"/>
          <w:highlight w:val="none"/>
        </w:rPr>
        <w:t>的天然屏障。</w:t>
      </w:r>
    </w:p>
    <w:p w14:paraId="1D879FBA">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预测情景主要为非正常工况情景。</w:t>
      </w:r>
    </w:p>
    <w:p w14:paraId="4B60EFAA">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1、非正常状况</w:t>
      </w:r>
    </w:p>
    <w:p w14:paraId="7E9DEDF4">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（1）污染源分析</w:t>
      </w:r>
    </w:p>
    <w:p w14:paraId="74C71100">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非正常工况是指违反操作规程和有关规定或由于设备和管道的损坏，使正常生产秩序被破坏，造成环境污染的状态。污染来源于埋在地下不可视部分的破损、管线泄漏等。</w:t>
      </w:r>
    </w:p>
    <w:p w14:paraId="7899860F">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根据设计方案，</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等非可视部位发生渗漏时，可能有少量污水通过泄漏点，渗入土壤通过包气带进入地下水。</w:t>
      </w:r>
    </w:p>
    <w:p w14:paraId="67EB578E">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综合考虑本项目废水的特性、</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的布局情况，以及所在区域的水文地质条件，本次评价中假设项目在非正常工况下的泄漏点是</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的池底发生泄漏，该点也比较隐蔽，对地下水影响较大，不易被发现。</w:t>
      </w:r>
    </w:p>
    <w:p w14:paraId="0783DC6B">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（2）预测因子</w:t>
      </w:r>
    </w:p>
    <w:p w14:paraId="4305FC4E">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根据导则要求，根据特征污染因子，按照重金属、持久性有机污染物和其他类别进行分类，取标准指数最大因子进行预测，预测因子还应包括国家或地方要求控制的污染物。因此本次预测因子选取COD、氨氮。</w:t>
      </w:r>
    </w:p>
    <w:p w14:paraId="394DF446">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（3）源强设定</w:t>
      </w:r>
    </w:p>
    <w:p w14:paraId="648E6AD7">
      <w:pPr>
        <w:widowControl/>
        <w:adjustRightInd w:val="0"/>
        <w:snapToGrid w:val="0"/>
        <w:spacing w:line="360" w:lineRule="auto"/>
        <w:ind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本次地下水预测因子源强为COD：</w:t>
      </w:r>
      <w:r>
        <w:rPr>
          <w:rFonts w:hint="eastAsia" w:ascii="Times New Roman" w:hAnsi="Times New Roman" w:cs="Times New Roman"/>
          <w:color w:val="auto"/>
          <w:sz w:val="24"/>
          <w:szCs w:val="24"/>
          <w:highlight w:val="none"/>
          <w:lang w:eastAsia="zh-CN"/>
        </w:rPr>
        <w:t>2640</w:t>
      </w:r>
      <w:r>
        <w:rPr>
          <w:rFonts w:hint="default" w:ascii="Times New Roman" w:hAnsi="Times New Roman" w:eastAsia="宋体" w:cs="Times New Roman"/>
          <w:color w:val="auto"/>
          <w:sz w:val="24"/>
          <w:szCs w:val="24"/>
          <w:highlight w:val="none"/>
        </w:rPr>
        <w:t>mg/L、氨氮：</w:t>
      </w:r>
      <w:r>
        <w:rPr>
          <w:rFonts w:hint="eastAsia" w:ascii="Times New Roman" w:hAnsi="Times New Roman" w:cs="Times New Roman"/>
          <w:color w:val="auto"/>
          <w:sz w:val="24"/>
          <w:szCs w:val="24"/>
          <w:highlight w:val="none"/>
          <w:lang w:eastAsia="zh-CN"/>
        </w:rPr>
        <w:t>261</w:t>
      </w:r>
      <w:r>
        <w:rPr>
          <w:rFonts w:hint="default" w:ascii="Times New Roman" w:hAnsi="Times New Roman" w:eastAsia="宋体" w:cs="Times New Roman"/>
          <w:color w:val="auto"/>
          <w:sz w:val="24"/>
          <w:szCs w:val="24"/>
          <w:highlight w:val="none"/>
        </w:rPr>
        <w:t>mg/L。污染物氨氮在《地下水质量标准》（GB/T14848-2017）中Ⅲ类标准值为0.5mg/L；污染物COD在《地下水质量标准》（GB/T14848-2017）中无标准，根据《环境影响评价技术导则地下水环境》（HJ610-2016）要求，《地下水质量标准》（GB/T14848-2017）中Ⅲ类水体“以人体健康基准值为依据。主要适用于集中式生活饮用水水源及工、农业用水”，对应《地表水环境质量标准》（GB3838-2002）中Ⅲ类水体，故本项目COD评价标准参考《地表水环境质量标准》（GB3838-2002）中Ⅲ类水体标准限值20mg/L。</w:t>
      </w:r>
    </w:p>
    <w:p w14:paraId="5B1EA5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预测因子源强、标准限值及最低检出限</w:t>
      </w:r>
    </w:p>
    <w:tbl>
      <w:tblPr>
        <w:tblStyle w:val="4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1"/>
        <w:gridCol w:w="868"/>
        <w:gridCol w:w="1227"/>
        <w:gridCol w:w="929"/>
        <w:gridCol w:w="706"/>
        <w:gridCol w:w="1041"/>
        <w:gridCol w:w="1010"/>
        <w:gridCol w:w="1089"/>
        <w:gridCol w:w="1089"/>
      </w:tblGrid>
      <w:tr w14:paraId="0F7EC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24" w:type="pct"/>
            <w:noWrap w:val="0"/>
            <w:vAlign w:val="center"/>
          </w:tcPr>
          <w:p w14:paraId="3D3E7B98">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工况</w:t>
            </w:r>
          </w:p>
        </w:tc>
        <w:tc>
          <w:tcPr>
            <w:tcW w:w="509" w:type="pct"/>
            <w:noWrap w:val="0"/>
            <w:vAlign w:val="center"/>
          </w:tcPr>
          <w:p w14:paraId="7520DAEA">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渗漏面积（m</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w:t>
            </w:r>
          </w:p>
        </w:tc>
        <w:tc>
          <w:tcPr>
            <w:tcW w:w="720" w:type="pct"/>
            <w:noWrap w:val="0"/>
            <w:vAlign w:val="center"/>
          </w:tcPr>
          <w:p w14:paraId="4BC8AA49">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渗漏强度（L/m</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·d）</w:t>
            </w:r>
          </w:p>
        </w:tc>
        <w:tc>
          <w:tcPr>
            <w:tcW w:w="544" w:type="pct"/>
            <w:noWrap w:val="0"/>
            <w:vAlign w:val="center"/>
          </w:tcPr>
          <w:p w14:paraId="6914A1D1">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渗漏量（L/d）</w:t>
            </w:r>
          </w:p>
        </w:tc>
        <w:tc>
          <w:tcPr>
            <w:tcW w:w="416" w:type="pct"/>
            <w:noWrap w:val="0"/>
            <w:vAlign w:val="center"/>
          </w:tcPr>
          <w:p w14:paraId="144AD535">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污染物</w:t>
            </w:r>
          </w:p>
        </w:tc>
        <w:tc>
          <w:tcPr>
            <w:tcW w:w="611" w:type="pct"/>
            <w:noWrap w:val="0"/>
            <w:vAlign w:val="center"/>
          </w:tcPr>
          <w:p w14:paraId="6F3E462E">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浓度（mg/L）</w:t>
            </w:r>
          </w:p>
        </w:tc>
        <w:tc>
          <w:tcPr>
            <w:tcW w:w="592" w:type="pct"/>
            <w:noWrap w:val="0"/>
            <w:vAlign w:val="center"/>
          </w:tcPr>
          <w:p w14:paraId="78246F47">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污染物质量（kg/d）</w:t>
            </w:r>
          </w:p>
        </w:tc>
        <w:tc>
          <w:tcPr>
            <w:tcW w:w="639" w:type="pct"/>
            <w:noWrap w:val="0"/>
            <w:vAlign w:val="center"/>
          </w:tcPr>
          <w:p w14:paraId="1BEF4A5C">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标准限值（mg/L）</w:t>
            </w:r>
          </w:p>
        </w:tc>
        <w:tc>
          <w:tcPr>
            <w:tcW w:w="639" w:type="pct"/>
            <w:noWrap w:val="0"/>
            <w:vAlign w:val="center"/>
          </w:tcPr>
          <w:p w14:paraId="2422994F">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检出限（mg/L）</w:t>
            </w:r>
          </w:p>
        </w:tc>
      </w:tr>
      <w:tr w14:paraId="2AC58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324" w:type="pct"/>
            <w:vMerge w:val="restart"/>
            <w:noWrap w:val="0"/>
            <w:vAlign w:val="center"/>
          </w:tcPr>
          <w:p w14:paraId="70843195">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非正常工况</w:t>
            </w:r>
          </w:p>
        </w:tc>
        <w:tc>
          <w:tcPr>
            <w:tcW w:w="867" w:type="dxa"/>
            <w:vMerge w:val="restart"/>
            <w:noWrap w:val="0"/>
            <w:vAlign w:val="center"/>
          </w:tcPr>
          <w:p w14:paraId="26080B9D">
            <w:pPr>
              <w:widowControl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0"/>
                <w:szCs w:val="20"/>
                <w:highlight w:val="none"/>
                <w:lang w:val="en-US" w:eastAsia="zh-CN" w:bidi="ar-SA"/>
              </w:rPr>
              <w:t>3008</w:t>
            </w:r>
          </w:p>
        </w:tc>
        <w:tc>
          <w:tcPr>
            <w:tcW w:w="1227" w:type="dxa"/>
            <w:vMerge w:val="restart"/>
            <w:noWrap w:val="0"/>
            <w:vAlign w:val="center"/>
          </w:tcPr>
          <w:p w14:paraId="6B02CBBC">
            <w:pPr>
              <w:widowControl w:val="0"/>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snapToGrid w:val="0"/>
                <w:color w:val="auto"/>
                <w:kern w:val="2"/>
                <w:sz w:val="21"/>
                <w:szCs w:val="21"/>
                <w:highlight w:val="none"/>
                <w:lang w:val="zh-CN"/>
              </w:rPr>
              <w:t>20</w:t>
            </w:r>
          </w:p>
        </w:tc>
        <w:tc>
          <w:tcPr>
            <w:tcW w:w="928" w:type="dxa"/>
            <w:vMerge w:val="restart"/>
            <w:noWrap w:val="0"/>
            <w:vAlign w:val="center"/>
          </w:tcPr>
          <w:p w14:paraId="78AD5054">
            <w:pPr>
              <w:widowControl w:val="0"/>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2"/>
                <w:sz w:val="21"/>
                <w:szCs w:val="21"/>
                <w:highlight w:val="none"/>
                <w:lang w:val="en-US" w:eastAsia="zh-CN"/>
              </w:rPr>
              <w:t>60160</w:t>
            </w:r>
          </w:p>
        </w:tc>
        <w:tc>
          <w:tcPr>
            <w:tcW w:w="416" w:type="pct"/>
            <w:noWrap w:val="0"/>
            <w:vAlign w:val="center"/>
          </w:tcPr>
          <w:p w14:paraId="6EFA5E92">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COD</w:t>
            </w:r>
          </w:p>
        </w:tc>
        <w:tc>
          <w:tcPr>
            <w:tcW w:w="1041" w:type="dxa"/>
            <w:noWrap w:val="0"/>
            <w:vAlign w:val="center"/>
          </w:tcPr>
          <w:p w14:paraId="757D7CAB">
            <w:pPr>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kern w:val="0"/>
                <w:sz w:val="21"/>
                <w:szCs w:val="20"/>
                <w:highlight w:val="none"/>
                <w:lang w:val="en-US" w:eastAsia="zh-CN" w:bidi="ar-SA"/>
              </w:rPr>
              <w:t>2640</w:t>
            </w:r>
          </w:p>
        </w:tc>
        <w:tc>
          <w:tcPr>
            <w:tcW w:w="1011" w:type="dxa"/>
            <w:noWrap w:val="0"/>
            <w:vAlign w:val="center"/>
          </w:tcPr>
          <w:p w14:paraId="50B77A1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snapToGrid w:val="0"/>
                <w:color w:val="auto"/>
                <w:kern w:val="2"/>
                <w:sz w:val="21"/>
                <w:szCs w:val="21"/>
                <w:highlight w:val="none"/>
                <w:lang w:val="en-US" w:eastAsia="zh-CN"/>
              </w:rPr>
              <w:t>158.8</w:t>
            </w:r>
          </w:p>
        </w:tc>
        <w:tc>
          <w:tcPr>
            <w:tcW w:w="639" w:type="pct"/>
            <w:noWrap w:val="0"/>
            <w:vAlign w:val="center"/>
          </w:tcPr>
          <w:p w14:paraId="2A470858">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20</w:t>
            </w:r>
          </w:p>
        </w:tc>
        <w:tc>
          <w:tcPr>
            <w:tcW w:w="639" w:type="pct"/>
            <w:noWrap w:val="0"/>
            <w:vAlign w:val="center"/>
          </w:tcPr>
          <w:p w14:paraId="50E8A2E3">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0.05</w:t>
            </w:r>
          </w:p>
        </w:tc>
      </w:tr>
      <w:tr w14:paraId="57FAD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Merge w:val="continue"/>
            <w:noWrap w:val="0"/>
            <w:vAlign w:val="center"/>
          </w:tcPr>
          <w:p w14:paraId="2F9E8AD1">
            <w:pPr>
              <w:widowControl/>
              <w:spacing w:line="240" w:lineRule="auto"/>
              <w:jc w:val="center"/>
              <w:rPr>
                <w:rFonts w:hint="default" w:ascii="Times New Roman" w:hAnsi="Times New Roman" w:eastAsia="宋体" w:cs="Times New Roman"/>
                <w:color w:val="auto"/>
                <w:kern w:val="0"/>
                <w:sz w:val="21"/>
                <w:szCs w:val="21"/>
                <w:highlight w:val="none"/>
                <w:lang w:bidi="ar"/>
              </w:rPr>
            </w:pPr>
          </w:p>
        </w:tc>
        <w:tc>
          <w:tcPr>
            <w:tcW w:w="509" w:type="pct"/>
            <w:vMerge w:val="continue"/>
            <w:noWrap w:val="0"/>
            <w:vAlign w:val="center"/>
          </w:tcPr>
          <w:p w14:paraId="4ECAD126">
            <w:pPr>
              <w:widowControl/>
              <w:spacing w:line="240" w:lineRule="auto"/>
              <w:jc w:val="center"/>
              <w:rPr>
                <w:rFonts w:hint="default" w:ascii="Times New Roman" w:hAnsi="Times New Roman" w:eastAsia="宋体" w:cs="Times New Roman"/>
                <w:color w:val="auto"/>
                <w:kern w:val="0"/>
                <w:sz w:val="21"/>
                <w:szCs w:val="21"/>
                <w:highlight w:val="none"/>
                <w:lang w:bidi="ar"/>
              </w:rPr>
            </w:pPr>
          </w:p>
        </w:tc>
        <w:tc>
          <w:tcPr>
            <w:tcW w:w="720" w:type="pct"/>
            <w:vMerge w:val="continue"/>
            <w:noWrap w:val="0"/>
            <w:vAlign w:val="center"/>
          </w:tcPr>
          <w:p w14:paraId="51053276">
            <w:pPr>
              <w:widowControl/>
              <w:spacing w:line="240" w:lineRule="auto"/>
              <w:jc w:val="center"/>
              <w:rPr>
                <w:rFonts w:hint="default" w:ascii="Times New Roman" w:hAnsi="Times New Roman" w:eastAsia="宋体" w:cs="Times New Roman"/>
                <w:color w:val="auto"/>
                <w:kern w:val="0"/>
                <w:sz w:val="21"/>
                <w:szCs w:val="21"/>
                <w:highlight w:val="none"/>
                <w:lang w:bidi="ar"/>
              </w:rPr>
            </w:pPr>
          </w:p>
        </w:tc>
        <w:tc>
          <w:tcPr>
            <w:tcW w:w="544" w:type="pct"/>
            <w:vMerge w:val="continue"/>
            <w:noWrap w:val="0"/>
            <w:vAlign w:val="center"/>
          </w:tcPr>
          <w:p w14:paraId="2B076E22">
            <w:pPr>
              <w:widowControl/>
              <w:spacing w:line="240" w:lineRule="auto"/>
              <w:jc w:val="center"/>
              <w:rPr>
                <w:rFonts w:hint="default" w:ascii="Times New Roman" w:hAnsi="Times New Roman" w:eastAsia="宋体" w:cs="Times New Roman"/>
                <w:color w:val="auto"/>
                <w:kern w:val="0"/>
                <w:sz w:val="21"/>
                <w:szCs w:val="21"/>
                <w:highlight w:val="none"/>
                <w:lang w:bidi="ar"/>
              </w:rPr>
            </w:pPr>
          </w:p>
        </w:tc>
        <w:tc>
          <w:tcPr>
            <w:tcW w:w="416" w:type="pct"/>
            <w:noWrap w:val="0"/>
            <w:vAlign w:val="center"/>
          </w:tcPr>
          <w:p w14:paraId="275B7336">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氨氮</w:t>
            </w:r>
          </w:p>
        </w:tc>
        <w:tc>
          <w:tcPr>
            <w:tcW w:w="1041" w:type="dxa"/>
            <w:noWrap w:val="0"/>
            <w:vAlign w:val="center"/>
          </w:tcPr>
          <w:p w14:paraId="3D5A92BE">
            <w:pPr>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kern w:val="0"/>
                <w:sz w:val="21"/>
                <w:szCs w:val="20"/>
                <w:highlight w:val="none"/>
                <w:lang w:val="en-US" w:eastAsia="zh-CN" w:bidi="ar-SA"/>
              </w:rPr>
              <w:t>261</w:t>
            </w:r>
          </w:p>
        </w:tc>
        <w:tc>
          <w:tcPr>
            <w:tcW w:w="1011" w:type="dxa"/>
            <w:noWrap w:val="0"/>
            <w:vAlign w:val="center"/>
          </w:tcPr>
          <w:p w14:paraId="17587D1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snapToGrid w:val="0"/>
                <w:color w:val="auto"/>
                <w:kern w:val="2"/>
                <w:sz w:val="21"/>
                <w:szCs w:val="21"/>
                <w:highlight w:val="none"/>
                <w:lang w:val="en-US" w:eastAsia="zh-CN"/>
              </w:rPr>
              <w:t>15.7</w:t>
            </w:r>
          </w:p>
        </w:tc>
        <w:tc>
          <w:tcPr>
            <w:tcW w:w="639" w:type="pct"/>
            <w:noWrap w:val="0"/>
            <w:vAlign w:val="center"/>
          </w:tcPr>
          <w:p w14:paraId="4EA66066">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0.5</w:t>
            </w:r>
          </w:p>
        </w:tc>
        <w:tc>
          <w:tcPr>
            <w:tcW w:w="639" w:type="pct"/>
            <w:noWrap w:val="0"/>
            <w:vAlign w:val="center"/>
          </w:tcPr>
          <w:p w14:paraId="0F75F6B5">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0.025</w:t>
            </w:r>
          </w:p>
        </w:tc>
      </w:tr>
    </w:tbl>
    <w:p w14:paraId="18259904">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（4）预测模式</w:t>
      </w:r>
    </w:p>
    <w:p w14:paraId="613EF788">
      <w:pPr>
        <w:adjustRightInd w:val="0"/>
        <w:snapToGrid w:val="0"/>
        <w:spacing w:line="360" w:lineRule="auto"/>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 地下水环境》（HJ610-2016）要求，地下水环境影响评价三级评价预测方法可以选用解析法。根据本项目地下水的污染特性选用“一维半无限长多孔介质柱体，一端为定浓度边界”，公式如下：</w:t>
      </w:r>
    </w:p>
    <w:p w14:paraId="7B36FDF5">
      <w:pPr>
        <w:adjustRightInd w:val="0"/>
        <w:snapToGrid w:val="0"/>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2314575" cy="542925"/>
            <wp:effectExtent l="0" t="0" r="9525" b="952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80"/>
                    <a:stretch>
                      <a:fillRect/>
                    </a:stretch>
                  </pic:blipFill>
                  <pic:spPr>
                    <a:xfrm>
                      <a:off x="0" y="0"/>
                      <a:ext cx="2314575" cy="542925"/>
                    </a:xfrm>
                    <a:prstGeom prst="rect">
                      <a:avLst/>
                    </a:prstGeom>
                    <a:noFill/>
                    <a:ln>
                      <a:noFill/>
                    </a:ln>
                  </pic:spPr>
                </pic:pic>
              </a:graphicData>
            </a:graphic>
          </wp:inline>
        </w:drawing>
      </w:r>
    </w:p>
    <w:p w14:paraId="4571EA46">
      <w:pPr>
        <w:pStyle w:val="94"/>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i/>
          <w:snapToGrid w:val="0"/>
          <w:color w:val="auto"/>
          <w:sz w:val="24"/>
          <w:szCs w:val="24"/>
          <w:highlight w:val="none"/>
        </w:rPr>
        <w:t>x</w:t>
      </w:r>
      <w:r>
        <w:rPr>
          <w:rFonts w:hint="default" w:ascii="Times New Roman" w:hAnsi="Times New Roman" w:eastAsia="宋体" w:cs="Times New Roman"/>
          <w:snapToGrid w:val="0"/>
          <w:color w:val="auto"/>
          <w:sz w:val="24"/>
          <w:szCs w:val="24"/>
          <w:highlight w:val="none"/>
        </w:rPr>
        <w:t>—距注入点的距离，m；</w:t>
      </w:r>
    </w:p>
    <w:p w14:paraId="3B3A0D48">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t</w:t>
      </w:r>
      <w:r>
        <w:rPr>
          <w:rFonts w:hint="default" w:ascii="Times New Roman" w:hAnsi="Times New Roman" w:eastAsia="宋体" w:cs="Times New Roman"/>
          <w:snapToGrid w:val="0"/>
          <w:color w:val="auto"/>
          <w:sz w:val="24"/>
          <w:szCs w:val="24"/>
          <w:highlight w:val="none"/>
        </w:rPr>
        <w:t>—时间，d；</w:t>
      </w:r>
    </w:p>
    <w:p w14:paraId="375AEC34">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C</w:t>
      </w:r>
      <w:r>
        <w:rPr>
          <w:rFonts w:hint="default" w:ascii="Times New Roman" w:hAnsi="Times New Roman" w:eastAsia="宋体" w:cs="Times New Roman"/>
          <w:snapToGrid w:val="0"/>
          <w:color w:val="auto"/>
          <w:sz w:val="24"/>
          <w:szCs w:val="24"/>
          <w:highlight w:val="none"/>
        </w:rPr>
        <w:t>(</w:t>
      </w:r>
      <w:r>
        <w:rPr>
          <w:rFonts w:hint="default" w:ascii="Times New Roman" w:hAnsi="Times New Roman" w:eastAsia="宋体" w:cs="Times New Roman"/>
          <w:i/>
          <w:snapToGrid w:val="0"/>
          <w:color w:val="auto"/>
          <w:sz w:val="24"/>
          <w:szCs w:val="24"/>
          <w:highlight w:val="none"/>
        </w:rPr>
        <w:t>x</w:t>
      </w:r>
      <w:r>
        <w:rPr>
          <w:rFonts w:hint="default" w:ascii="Times New Roman" w:hAnsi="Times New Roman" w:eastAsia="宋体" w:cs="Times New Roman"/>
          <w:snapToGrid w:val="0"/>
          <w:color w:val="auto"/>
          <w:sz w:val="24"/>
          <w:szCs w:val="24"/>
          <w:highlight w:val="none"/>
        </w:rPr>
        <w:t>,</w:t>
      </w:r>
      <w:r>
        <w:rPr>
          <w:rFonts w:hint="default" w:ascii="Times New Roman" w:hAnsi="Times New Roman" w:eastAsia="宋体" w:cs="Times New Roman"/>
          <w:i/>
          <w:snapToGrid w:val="0"/>
          <w:color w:val="auto"/>
          <w:sz w:val="24"/>
          <w:szCs w:val="24"/>
          <w:highlight w:val="none"/>
        </w:rPr>
        <w:t>t</w:t>
      </w:r>
      <w:r>
        <w:rPr>
          <w:rFonts w:hint="default" w:ascii="Times New Roman" w:hAnsi="Times New Roman" w:eastAsia="宋体" w:cs="Times New Roman"/>
          <w:snapToGrid w:val="0"/>
          <w:color w:val="auto"/>
          <w:sz w:val="24"/>
          <w:szCs w:val="24"/>
          <w:highlight w:val="none"/>
        </w:rPr>
        <w:t>)—t时刻x处的示踪剂浓度，g/L；</w:t>
      </w:r>
    </w:p>
    <w:p w14:paraId="0A6D935B">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C</w:t>
      </w:r>
      <w:r>
        <w:rPr>
          <w:rFonts w:hint="default" w:ascii="Times New Roman" w:hAnsi="Times New Roman" w:eastAsia="宋体" w:cs="Times New Roman"/>
          <w:snapToGrid w:val="0"/>
          <w:color w:val="auto"/>
          <w:sz w:val="24"/>
          <w:szCs w:val="24"/>
          <w:highlight w:val="none"/>
          <w:vertAlign w:val="subscript"/>
        </w:rPr>
        <w:t>0</w:t>
      </w:r>
      <w:r>
        <w:rPr>
          <w:rFonts w:hint="default" w:ascii="Times New Roman" w:hAnsi="Times New Roman" w:eastAsia="宋体" w:cs="Times New Roman"/>
          <w:snapToGrid w:val="0"/>
          <w:color w:val="auto"/>
          <w:sz w:val="24"/>
          <w:szCs w:val="24"/>
          <w:highlight w:val="none"/>
        </w:rPr>
        <w:t>—注入</w:t>
      </w:r>
      <w:r>
        <w:rPr>
          <w:rFonts w:hint="default" w:ascii="Times New Roman" w:hAnsi="Times New Roman" w:eastAsia="宋体" w:cs="Times New Roman"/>
          <w:snapToGrid w:val="0"/>
          <w:color w:val="auto"/>
          <w:sz w:val="24"/>
          <w:szCs w:val="24"/>
          <w:highlight w:val="none"/>
          <w:lang w:val="en-US" w:eastAsia="zh-CN"/>
        </w:rPr>
        <w:t>的</w:t>
      </w:r>
      <w:r>
        <w:rPr>
          <w:rFonts w:hint="default" w:ascii="Times New Roman" w:hAnsi="Times New Roman" w:eastAsia="宋体" w:cs="Times New Roman"/>
          <w:snapToGrid w:val="0"/>
          <w:color w:val="auto"/>
          <w:sz w:val="24"/>
          <w:szCs w:val="24"/>
          <w:highlight w:val="none"/>
        </w:rPr>
        <w:t>示踪剂浓度，g/L；</w:t>
      </w:r>
    </w:p>
    <w:p w14:paraId="7B48821E">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u</w:t>
      </w:r>
      <w:r>
        <w:rPr>
          <w:rFonts w:hint="default" w:ascii="Times New Roman" w:hAnsi="Times New Roman" w:eastAsia="宋体" w:cs="Times New Roman"/>
          <w:snapToGrid w:val="0"/>
          <w:color w:val="auto"/>
          <w:sz w:val="24"/>
          <w:szCs w:val="24"/>
          <w:highlight w:val="none"/>
        </w:rPr>
        <w:t>—水流速度，m/d；</w:t>
      </w:r>
    </w:p>
    <w:p w14:paraId="1587BE4D">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D</w:t>
      </w:r>
      <w:r>
        <w:rPr>
          <w:rFonts w:hint="default" w:ascii="Times New Roman" w:hAnsi="Times New Roman" w:eastAsia="宋体" w:cs="Times New Roman"/>
          <w:snapToGrid w:val="0"/>
          <w:color w:val="auto"/>
          <w:sz w:val="24"/>
          <w:szCs w:val="24"/>
          <w:highlight w:val="none"/>
          <w:vertAlign w:val="subscript"/>
        </w:rPr>
        <w:t>L</w:t>
      </w:r>
      <w:r>
        <w:rPr>
          <w:rFonts w:hint="default" w:ascii="Times New Roman" w:hAnsi="Times New Roman" w:eastAsia="宋体" w:cs="Times New Roman"/>
          <w:snapToGrid w:val="0"/>
          <w:color w:val="auto"/>
          <w:sz w:val="24"/>
          <w:szCs w:val="24"/>
          <w:highlight w:val="none"/>
        </w:rPr>
        <w:t>—纵向弥散系数，m</w:t>
      </w:r>
      <w:r>
        <w:rPr>
          <w:rFonts w:hint="default" w:ascii="Times New Roman" w:hAnsi="Times New Roman" w:eastAsia="宋体" w:cs="Times New Roman"/>
          <w:snapToGrid w:val="0"/>
          <w:color w:val="auto"/>
          <w:sz w:val="24"/>
          <w:szCs w:val="24"/>
          <w:highlight w:val="none"/>
          <w:vertAlign w:val="superscript"/>
        </w:rPr>
        <w:t>2</w:t>
      </w:r>
      <w:r>
        <w:rPr>
          <w:rFonts w:hint="default" w:ascii="Times New Roman" w:hAnsi="Times New Roman" w:eastAsia="宋体" w:cs="Times New Roman"/>
          <w:snapToGrid w:val="0"/>
          <w:color w:val="auto"/>
          <w:sz w:val="24"/>
          <w:szCs w:val="24"/>
          <w:highlight w:val="none"/>
        </w:rPr>
        <w:t>/d；</w:t>
      </w:r>
    </w:p>
    <w:p w14:paraId="6B304C3D">
      <w:pPr>
        <w:adjustRightInd w:val="0"/>
        <w:snapToGrid w:val="0"/>
        <w:spacing w:line="360" w:lineRule="auto"/>
        <w:ind w:firstLine="1240" w:firstLineChars="517"/>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sz w:val="24"/>
          <w:szCs w:val="24"/>
          <w:highlight w:val="none"/>
        </w:rPr>
        <w:t>erfc()—余差数函数；</w:t>
      </w:r>
    </w:p>
    <w:p w14:paraId="21CBE625">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（5）模式中参数的确定</w:t>
      </w:r>
    </w:p>
    <w:p w14:paraId="6AF4388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①含水层参数根据《环境影响评价技术导则 地下水环境》（HJ610-2016）附录B，</w:t>
      </w:r>
      <w:r>
        <w:rPr>
          <w:rFonts w:hint="default" w:ascii="Times New Roman" w:hAnsi="Times New Roman" w:eastAsia="宋体" w:cs="Times New Roman"/>
          <w:color w:val="auto"/>
          <w:sz w:val="24"/>
          <w:highlight w:val="none"/>
        </w:rPr>
        <w:t>水源地的目标含水层</w:t>
      </w:r>
      <w:r>
        <w:rPr>
          <w:rFonts w:hint="default" w:ascii="Times New Roman" w:hAnsi="Times New Roman" w:cs="Times New Roman"/>
          <w:color w:val="auto"/>
          <w:highlight w:val="none"/>
        </w:rPr>
        <w:t>主要由亚黏土组成</w:t>
      </w:r>
      <w:r>
        <w:rPr>
          <w:rFonts w:hint="default" w:ascii="Times New Roman" w:hAnsi="Times New Roman" w:eastAsia="宋体" w:cs="Times New Roman"/>
          <w:color w:val="auto"/>
          <w:sz w:val="24"/>
          <w:highlight w:val="none"/>
        </w:rPr>
        <w:t>，渗透系数</w:t>
      </w:r>
      <w:r>
        <w:rPr>
          <w:rFonts w:hint="default" w:ascii="Times New Roman" w:hAnsi="Times New Roman" w:eastAsia="宋体" w:cs="Times New Roman"/>
          <w:color w:val="auto"/>
          <w:sz w:val="24"/>
          <w:highlight w:val="none"/>
          <w:lang w:eastAsia="zh-CN"/>
        </w:rPr>
        <w:t>取</w:t>
      </w:r>
      <w:r>
        <w:rPr>
          <w:rFonts w:hint="default" w:ascii="Times New Roman" w:hAnsi="Times New Roman" w:eastAsia="宋体" w:cs="Times New Roman"/>
          <w:color w:val="auto"/>
          <w:sz w:val="24"/>
          <w:highlight w:val="none"/>
          <w:lang w:val="en-US" w:eastAsia="zh-CN"/>
        </w:rPr>
        <w:t>0.</w:t>
      </w:r>
      <w:r>
        <w:rPr>
          <w:rFonts w:hint="eastAsia" w:ascii="Times New Roman" w:hAnsi="Times New Roman" w:cs="Times New Roman"/>
          <w:color w:val="auto"/>
          <w:sz w:val="24"/>
          <w:highlight w:val="none"/>
          <w:lang w:val="en-US" w:eastAsia="zh-CN"/>
        </w:rPr>
        <w:t>225</w:t>
      </w:r>
      <w:r>
        <w:rPr>
          <w:rFonts w:hint="default" w:ascii="Times New Roman" w:hAnsi="Times New Roman" w:eastAsia="宋体" w:cs="Times New Roman"/>
          <w:color w:val="auto"/>
          <w:sz w:val="24"/>
          <w:highlight w:val="none"/>
        </w:rPr>
        <w:t>m/d</w:t>
      </w:r>
      <w:r>
        <w:rPr>
          <w:rFonts w:hint="default" w:ascii="Times New Roman" w:hAnsi="Times New Roman" w:eastAsia="宋体" w:cs="Times New Roman"/>
          <w:color w:val="auto"/>
          <w:highlight w:val="none"/>
        </w:rPr>
        <w:t>；水力坡度取平均值I=</w:t>
      </w:r>
      <w:r>
        <w:rPr>
          <w:rFonts w:hint="eastAsia" w:ascii="Times New Roman" w:hAnsi="Times New Roman" w:cs="Times New Roman"/>
          <w:color w:val="auto"/>
          <w:highlight w:val="none"/>
          <w:lang w:val="en-US" w:eastAsia="zh-CN"/>
        </w:rPr>
        <w:t>0.034</w:t>
      </w:r>
      <w:r>
        <w:rPr>
          <w:rFonts w:hint="default" w:ascii="Times New Roman" w:hAnsi="Times New Roman" w:eastAsia="宋体" w:cs="Times New Roman"/>
          <w:color w:val="auto"/>
          <w:highlight w:val="none"/>
        </w:rPr>
        <w:t>；有效孔隙度（n）：本项目有效孔隙度取</w:t>
      </w:r>
      <w:r>
        <w:rPr>
          <w:rFonts w:hint="eastAsia" w:ascii="Times New Roman" w:hAnsi="Times New Roman" w:cs="Times New Roman"/>
          <w:color w:val="auto"/>
          <w:highlight w:val="none"/>
          <w:lang w:val="en-US" w:eastAsia="zh-CN"/>
        </w:rPr>
        <w:t>0.28</w:t>
      </w:r>
      <w:r>
        <w:rPr>
          <w:rFonts w:hint="default" w:ascii="Times New Roman" w:hAnsi="Times New Roman" w:eastAsia="宋体" w:cs="Times New Roman"/>
          <w:color w:val="auto"/>
          <w:highlight w:val="none"/>
          <w:lang w:val="en-US" w:eastAsia="zh-CN"/>
        </w:rPr>
        <w:t>，则</w:t>
      </w:r>
      <w:r>
        <w:rPr>
          <w:rFonts w:hint="default" w:ascii="Times New Roman" w:hAnsi="Times New Roman" w:eastAsia="宋体" w:cs="Times New Roman"/>
          <w:color w:val="auto"/>
          <w:highlight w:val="none"/>
        </w:rPr>
        <w:t>水流速度为0.</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m/d。水力坡度为</w:t>
      </w:r>
      <w:r>
        <w:rPr>
          <w:rFonts w:hint="eastAsia" w:ascii="Times New Roman" w:hAnsi="Times New Roman" w:cs="Times New Roman"/>
          <w:color w:val="auto"/>
          <w:highlight w:val="none"/>
          <w:lang w:val="en-US" w:eastAsia="zh-CN"/>
        </w:rPr>
        <w:t>0.034</w:t>
      </w:r>
      <w:r>
        <w:rPr>
          <w:rFonts w:hint="default" w:ascii="Times New Roman" w:hAnsi="Times New Roman" w:eastAsia="宋体" w:cs="Times New Roman"/>
          <w:color w:val="auto"/>
          <w:highlight w:val="none"/>
        </w:rPr>
        <w:t>，</w:t>
      </w:r>
    </w:p>
    <w:p w14:paraId="621CE0EF">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弥散系数：纵横弥散系数根据含水层岩性及渗透系数、水力坡度等因素，参照相同地区的经验值确定。D</w:t>
      </w:r>
      <w:r>
        <w:rPr>
          <w:rFonts w:hint="default" w:ascii="Times New Roman" w:hAnsi="Times New Roman" w:eastAsia="宋体" w:cs="Times New Roman"/>
          <w:color w:val="auto"/>
          <w:highlight w:val="none"/>
          <w:vertAlign w:val="subscript"/>
        </w:rPr>
        <w:t>L</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w:t>
      </w:r>
    </w:p>
    <w:p w14:paraId="7922F2C4">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污染物浓度为：COD</w:t>
      </w:r>
      <w:r>
        <w:rPr>
          <w:rFonts w:hint="eastAsia" w:ascii="Times New Roman" w:hAnsi="Times New Roman" w:cs="Times New Roman"/>
          <w:color w:val="auto"/>
          <w:highlight w:val="none"/>
          <w:lang w:eastAsia="zh-CN"/>
        </w:rPr>
        <w:t>2640</w:t>
      </w:r>
      <w:r>
        <w:rPr>
          <w:rFonts w:hint="default" w:ascii="Times New Roman" w:hAnsi="Times New Roman" w:eastAsia="宋体" w:cs="Times New Roman"/>
          <w:color w:val="auto"/>
          <w:highlight w:val="none"/>
        </w:rPr>
        <w:t>mg/L、氨氮</w:t>
      </w:r>
      <w:r>
        <w:rPr>
          <w:rFonts w:hint="eastAsia" w:ascii="Times New Roman" w:hAnsi="Times New Roman" w:cs="Times New Roman"/>
          <w:color w:val="auto"/>
          <w:highlight w:val="none"/>
          <w:lang w:eastAsia="zh-CN"/>
        </w:rPr>
        <w:t>261</w:t>
      </w:r>
      <w:r>
        <w:rPr>
          <w:rFonts w:hint="default" w:ascii="Times New Roman" w:hAnsi="Times New Roman" w:eastAsia="宋体" w:cs="Times New Roman"/>
          <w:color w:val="auto"/>
          <w:highlight w:val="none"/>
        </w:rPr>
        <w:t>mg/L。</w:t>
      </w:r>
    </w:p>
    <w:p w14:paraId="5F177E32">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地下水流向</w:t>
      </w:r>
    </w:p>
    <w:p w14:paraId="53D6074F">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项目区地下水流向为由</w:t>
      </w:r>
      <w:r>
        <w:rPr>
          <w:rFonts w:hint="eastAsia" w:ascii="Times New Roman" w:hAnsi="Times New Roman" w:cs="Times New Roman"/>
          <w:color w:val="auto"/>
          <w:highlight w:val="none"/>
          <w:lang w:val="en-US" w:eastAsia="zh-CN"/>
        </w:rPr>
        <w:t>西南到东北</w:t>
      </w:r>
      <w:r>
        <w:rPr>
          <w:rFonts w:hint="default" w:ascii="Times New Roman" w:hAnsi="Times New Roman" w:eastAsia="宋体" w:cs="Times New Roman"/>
          <w:color w:val="auto"/>
          <w:highlight w:val="none"/>
        </w:rPr>
        <w:t>。</w:t>
      </w:r>
    </w:p>
    <w:p w14:paraId="5989BEF0">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（6）预测结果</w:t>
      </w:r>
    </w:p>
    <w:p w14:paraId="2DFE7554">
      <w:pPr>
        <w:spacing w:line="360" w:lineRule="auto"/>
        <w:ind w:firstLine="420"/>
        <w:jc w:val="both"/>
        <w:rPr>
          <w:rFonts w:hint="default" w:ascii="Times New Roman" w:hAnsi="Times New Roman" w:cs="Times New Roman"/>
          <w:snapToGrid w:val="0"/>
          <w:color w:val="auto"/>
          <w:highlight w:val="none"/>
        </w:rPr>
      </w:pPr>
      <w:bookmarkStart w:id="738" w:name="_Toc32472"/>
      <w:bookmarkStart w:id="739" w:name="_Toc16325"/>
      <w:bookmarkStart w:id="740" w:name="_Toc325"/>
      <w:bookmarkStart w:id="741" w:name="_Toc32550"/>
      <w:r>
        <w:rPr>
          <w:rFonts w:hint="default" w:ascii="Times New Roman" w:hAnsi="Times New Roman" w:cs="Times New Roman"/>
          <w:snapToGrid w:val="0"/>
          <w:color w:val="auto"/>
          <w:highlight w:val="none"/>
        </w:rPr>
        <w:t>预测COD：100天时，预测超标距离为</w:t>
      </w:r>
      <w:r>
        <w:rPr>
          <w:rFonts w:hint="eastAsia" w:ascii="Times New Roman" w:hAnsi="Times New Roman" w:cs="Times New Roman"/>
          <w:snapToGrid w:val="0"/>
          <w:color w:val="auto"/>
          <w:highlight w:val="none"/>
          <w:lang w:val="en-US" w:eastAsia="zh-CN"/>
        </w:rPr>
        <w:t>20</w:t>
      </w:r>
      <w:r>
        <w:rPr>
          <w:rFonts w:hint="default" w:ascii="Times New Roman" w:hAnsi="Times New Roman" w:cs="Times New Roman"/>
          <w:snapToGrid w:val="0"/>
          <w:color w:val="auto"/>
          <w:highlight w:val="none"/>
        </w:rPr>
        <w:t>m；影响距离为</w:t>
      </w:r>
      <w:r>
        <w:rPr>
          <w:rFonts w:hint="eastAsia" w:ascii="Times New Roman" w:hAnsi="Times New Roman" w:cs="Times New Roman"/>
          <w:snapToGrid w:val="0"/>
          <w:color w:val="auto"/>
          <w:highlight w:val="none"/>
          <w:lang w:val="en-US" w:eastAsia="zh-CN"/>
        </w:rPr>
        <w:t>70</w:t>
      </w:r>
      <w:r>
        <w:rPr>
          <w:rFonts w:hint="default" w:ascii="Times New Roman" w:hAnsi="Times New Roman" w:cs="Times New Roman"/>
          <w:snapToGrid w:val="0"/>
          <w:color w:val="auto"/>
          <w:highlight w:val="none"/>
        </w:rPr>
        <w:t>m；1000天时，预测超标距离为</w:t>
      </w:r>
      <w:r>
        <w:rPr>
          <w:rFonts w:hint="eastAsia" w:ascii="Times New Roman" w:hAnsi="Times New Roman" w:cs="Times New Roman"/>
          <w:snapToGrid w:val="0"/>
          <w:color w:val="auto"/>
          <w:highlight w:val="none"/>
          <w:lang w:val="en-US" w:eastAsia="zh-CN"/>
        </w:rPr>
        <w:t>340</w:t>
      </w:r>
      <w:r>
        <w:rPr>
          <w:rFonts w:hint="default" w:ascii="Times New Roman" w:hAnsi="Times New Roman" w:cs="Times New Roman"/>
          <w:snapToGrid w:val="0"/>
          <w:color w:val="auto"/>
          <w:highlight w:val="none"/>
        </w:rPr>
        <w:t>m；影响距离为</w:t>
      </w:r>
      <w:r>
        <w:rPr>
          <w:rFonts w:hint="eastAsia" w:ascii="Times New Roman" w:hAnsi="Times New Roman" w:cs="Times New Roman"/>
          <w:snapToGrid w:val="0"/>
          <w:color w:val="auto"/>
          <w:highlight w:val="none"/>
          <w:lang w:val="en-US" w:eastAsia="zh-CN"/>
        </w:rPr>
        <w:t>430</w:t>
      </w:r>
      <w:r>
        <w:rPr>
          <w:rFonts w:hint="default" w:ascii="Times New Roman" w:hAnsi="Times New Roman" w:cs="Times New Roman"/>
          <w:snapToGrid w:val="0"/>
          <w:color w:val="auto"/>
          <w:highlight w:val="none"/>
        </w:rPr>
        <w:t>m。</w:t>
      </w:r>
    </w:p>
    <w:p w14:paraId="72C51C4F">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预测氨氮：100天时，预测超标距离为</w:t>
      </w:r>
      <w:r>
        <w:rPr>
          <w:rFonts w:hint="eastAsia" w:ascii="Times New Roman" w:hAnsi="Times New Roman" w:cs="Times New Roman"/>
          <w:snapToGrid w:val="0"/>
          <w:color w:val="auto"/>
          <w:highlight w:val="none"/>
          <w:lang w:val="en-US" w:eastAsia="zh-CN"/>
        </w:rPr>
        <w:t>50</w:t>
      </w:r>
      <w:r>
        <w:rPr>
          <w:rFonts w:hint="default" w:ascii="Times New Roman" w:hAnsi="Times New Roman" w:cs="Times New Roman"/>
          <w:snapToGrid w:val="0"/>
          <w:color w:val="auto"/>
          <w:highlight w:val="none"/>
        </w:rPr>
        <w:t>m；影响距离为</w:t>
      </w:r>
      <w:r>
        <w:rPr>
          <w:rFonts w:hint="eastAsia" w:ascii="Times New Roman" w:hAnsi="Times New Roman" w:cs="Times New Roman"/>
          <w:snapToGrid w:val="0"/>
          <w:color w:val="auto"/>
          <w:highlight w:val="none"/>
          <w:lang w:val="en-US" w:eastAsia="zh-CN"/>
        </w:rPr>
        <w:t>130</w:t>
      </w:r>
      <w:r>
        <w:rPr>
          <w:rFonts w:hint="default" w:ascii="Times New Roman" w:hAnsi="Times New Roman" w:cs="Times New Roman"/>
          <w:snapToGrid w:val="0"/>
          <w:color w:val="auto"/>
          <w:highlight w:val="none"/>
        </w:rPr>
        <w:t>m；1000天时，预测超标距离为</w:t>
      </w:r>
      <w:r>
        <w:rPr>
          <w:rFonts w:hint="eastAsia" w:ascii="Times New Roman" w:hAnsi="Times New Roman" w:cs="Times New Roman"/>
          <w:snapToGrid w:val="0"/>
          <w:color w:val="auto"/>
          <w:highlight w:val="none"/>
          <w:lang w:val="en-US" w:eastAsia="zh-CN"/>
        </w:rPr>
        <w:t>200</w:t>
      </w:r>
      <w:r>
        <w:rPr>
          <w:rFonts w:hint="default" w:ascii="Times New Roman" w:hAnsi="Times New Roman" w:cs="Times New Roman"/>
          <w:snapToGrid w:val="0"/>
          <w:color w:val="auto"/>
          <w:highlight w:val="none"/>
        </w:rPr>
        <w:t>m；影响距离为</w:t>
      </w:r>
      <w:r>
        <w:rPr>
          <w:rFonts w:hint="eastAsia" w:ascii="Times New Roman" w:hAnsi="Times New Roman" w:cs="Times New Roman"/>
          <w:snapToGrid w:val="0"/>
          <w:color w:val="auto"/>
          <w:highlight w:val="none"/>
          <w:lang w:val="en-US" w:eastAsia="zh-CN"/>
        </w:rPr>
        <w:t>420</w:t>
      </w:r>
      <w:r>
        <w:rPr>
          <w:rFonts w:hint="default" w:ascii="Times New Roman" w:hAnsi="Times New Roman" w:cs="Times New Roman"/>
          <w:snapToGrid w:val="0"/>
          <w:color w:val="auto"/>
          <w:highlight w:val="none"/>
        </w:rPr>
        <w:t>m。</w:t>
      </w:r>
    </w:p>
    <w:p w14:paraId="4C2C25B7">
      <w:pPr>
        <w:pStyle w:val="66"/>
        <w:rPr>
          <w:rFonts w:hint="default" w:ascii="Times New Roman" w:hAnsi="Times New Roman" w:eastAsia="黑体" w:cs="Times New Roman"/>
          <w:b w:val="0"/>
          <w:bCs/>
          <w:smallCaps w:val="0"/>
          <w:snapToGrid/>
          <w:kern w:val="2"/>
          <w:sz w:val="21"/>
          <w:szCs w:val="24"/>
          <w:highlight w:val="none"/>
          <w:lang w:val="zh-CN" w:eastAsia="zh-CN" w:bidi="ar-SA"/>
        </w:rPr>
      </w:pPr>
      <w:r>
        <w:rPr>
          <w:highlight w:val="none"/>
        </w:rPr>
        <w:drawing>
          <wp:anchor distT="0" distB="0" distL="114300" distR="114300" simplePos="0" relativeHeight="251713536" behindDoc="0" locked="0" layoutInCell="1" allowOverlap="1">
            <wp:simplePos x="0" y="0"/>
            <wp:positionH relativeFrom="column">
              <wp:posOffset>824230</wp:posOffset>
            </wp:positionH>
            <wp:positionV relativeFrom="page">
              <wp:posOffset>2245995</wp:posOffset>
            </wp:positionV>
            <wp:extent cx="3618230" cy="2148840"/>
            <wp:effectExtent l="0" t="0" r="1270" b="3810"/>
            <wp:wrapNone/>
            <wp:docPr id="2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9"/>
                    <pic:cNvPicPr>
                      <a:picLocks noChangeAspect="1"/>
                    </pic:cNvPicPr>
                  </pic:nvPicPr>
                  <pic:blipFill>
                    <a:blip r:embed="rId81"/>
                    <a:stretch>
                      <a:fillRect/>
                    </a:stretch>
                  </pic:blipFill>
                  <pic:spPr>
                    <a:xfrm>
                      <a:off x="0" y="0"/>
                      <a:ext cx="3618230" cy="2148840"/>
                    </a:xfrm>
                    <a:prstGeom prst="rect">
                      <a:avLst/>
                    </a:prstGeom>
                    <a:noFill/>
                    <a:ln>
                      <a:noFill/>
                    </a:ln>
                  </pic:spPr>
                </pic:pic>
              </a:graphicData>
            </a:graphic>
          </wp:anchor>
        </w:drawing>
      </w:r>
    </w:p>
    <w:p w14:paraId="677F1DED">
      <w:pPr>
        <w:pStyle w:val="66"/>
        <w:rPr>
          <w:rFonts w:hint="default" w:ascii="Times New Roman" w:hAnsi="Times New Roman" w:eastAsia="黑体" w:cs="Times New Roman"/>
          <w:b w:val="0"/>
          <w:bCs/>
          <w:smallCaps w:val="0"/>
          <w:snapToGrid/>
          <w:kern w:val="2"/>
          <w:sz w:val="21"/>
          <w:szCs w:val="24"/>
          <w:highlight w:val="none"/>
          <w:lang w:val="zh-CN" w:eastAsia="zh-CN" w:bidi="ar-SA"/>
        </w:rPr>
      </w:pPr>
    </w:p>
    <w:p w14:paraId="21FEE829">
      <w:pPr>
        <w:pStyle w:val="66"/>
        <w:rPr>
          <w:rFonts w:hint="default" w:ascii="Times New Roman" w:hAnsi="Times New Roman" w:eastAsia="黑体" w:cs="Times New Roman"/>
          <w:b w:val="0"/>
          <w:bCs/>
          <w:smallCaps w:val="0"/>
          <w:snapToGrid/>
          <w:kern w:val="2"/>
          <w:sz w:val="21"/>
          <w:szCs w:val="24"/>
          <w:highlight w:val="none"/>
          <w:lang w:val="zh-CN" w:eastAsia="zh-CN" w:bidi="ar-SA"/>
        </w:rPr>
      </w:pPr>
    </w:p>
    <w:p w14:paraId="3504EABF">
      <w:pPr>
        <w:pStyle w:val="66"/>
        <w:rPr>
          <w:rFonts w:hint="default" w:ascii="Times New Roman" w:hAnsi="Times New Roman" w:eastAsia="黑体" w:cs="Times New Roman"/>
          <w:b w:val="0"/>
          <w:bCs/>
          <w:smallCaps w:val="0"/>
          <w:snapToGrid/>
          <w:kern w:val="2"/>
          <w:sz w:val="21"/>
          <w:szCs w:val="24"/>
          <w:highlight w:val="none"/>
          <w:lang w:val="zh-CN" w:eastAsia="zh-CN" w:bidi="ar-SA"/>
        </w:rPr>
      </w:pPr>
    </w:p>
    <w:p w14:paraId="665BF129">
      <w:pPr>
        <w:pStyle w:val="66"/>
        <w:rPr>
          <w:rFonts w:hint="default" w:ascii="Times New Roman" w:hAnsi="Times New Roman" w:eastAsia="黑体" w:cs="Times New Roman"/>
          <w:b w:val="0"/>
          <w:bCs/>
          <w:smallCaps w:val="0"/>
          <w:snapToGrid/>
          <w:kern w:val="2"/>
          <w:sz w:val="21"/>
          <w:szCs w:val="24"/>
          <w:highlight w:val="none"/>
          <w:lang w:val="zh-CN" w:eastAsia="zh-CN" w:bidi="ar-SA"/>
        </w:rPr>
      </w:pPr>
    </w:p>
    <w:p w14:paraId="2651085B">
      <w:pPr>
        <w:pStyle w:val="66"/>
        <w:rPr>
          <w:rFonts w:hint="default" w:ascii="Times New Roman" w:hAnsi="Times New Roman" w:eastAsia="黑体" w:cs="Times New Roman"/>
          <w:b w:val="0"/>
          <w:bCs/>
          <w:smallCaps w:val="0"/>
          <w:snapToGrid/>
          <w:kern w:val="2"/>
          <w:sz w:val="21"/>
          <w:szCs w:val="24"/>
          <w:highlight w:val="none"/>
          <w:lang w:val="zh-CN" w:eastAsia="zh-CN" w:bidi="ar-SA"/>
        </w:rPr>
      </w:pPr>
    </w:p>
    <w:p w14:paraId="5A9F660A">
      <w:pPr>
        <w:pStyle w:val="66"/>
        <w:rPr>
          <w:rFonts w:hint="default" w:ascii="Times New Roman" w:hAnsi="Times New Roman" w:eastAsia="黑体" w:cs="Times New Roman"/>
          <w:b w:val="0"/>
          <w:bCs/>
          <w:smallCaps w:val="0"/>
          <w:snapToGrid/>
          <w:kern w:val="2"/>
          <w:sz w:val="21"/>
          <w:szCs w:val="24"/>
          <w:highlight w:val="none"/>
          <w:lang w:val="zh-CN" w:eastAsia="zh-CN" w:bidi="ar-SA"/>
        </w:rPr>
      </w:pPr>
    </w:p>
    <w:p w14:paraId="4FB472A1">
      <w:pPr>
        <w:pStyle w:val="66"/>
        <w:rPr>
          <w:rFonts w:hint="default" w:ascii="Times New Roman" w:hAnsi="Times New Roman" w:eastAsia="黑体" w:cs="Times New Roman"/>
          <w:b w:val="0"/>
          <w:bCs/>
          <w:smallCaps w:val="0"/>
          <w:snapToGrid/>
          <w:kern w:val="2"/>
          <w:sz w:val="21"/>
          <w:szCs w:val="24"/>
          <w:highlight w:val="none"/>
          <w:lang w:val="zh-CN" w:eastAsia="zh-CN" w:bidi="ar-SA"/>
        </w:rPr>
      </w:pPr>
    </w:p>
    <w:p w14:paraId="0C247F18">
      <w:pPr>
        <w:pStyle w:val="66"/>
        <w:rPr>
          <w:rFonts w:hint="default" w:ascii="Times New Roman" w:hAnsi="Times New Roman" w:eastAsia="黑体" w:cs="Times New Roman"/>
          <w:b w:val="0"/>
          <w:bCs/>
          <w:smallCaps w:val="0"/>
          <w:snapToGrid/>
          <w:kern w:val="2"/>
          <w:sz w:val="21"/>
          <w:szCs w:val="24"/>
          <w:highlight w:val="none"/>
          <w:lang w:val="zh-CN" w:eastAsia="zh-CN" w:bidi="ar-SA"/>
        </w:rPr>
      </w:pPr>
    </w:p>
    <w:p w14:paraId="0303F5FE">
      <w:pPr>
        <w:pStyle w:val="66"/>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黑体" w:cs="Times New Roman"/>
          <w:b w:val="0"/>
          <w:bCs/>
          <w:smallCaps w:val="0"/>
          <w:snapToGrid/>
          <w:kern w:val="2"/>
          <w:sz w:val="21"/>
          <w:szCs w:val="24"/>
          <w:highlight w:val="none"/>
          <w:lang w:val="zh-CN" w:eastAsia="zh-CN" w:bidi="ar-SA"/>
        </w:rPr>
      </w:pPr>
    </w:p>
    <w:p w14:paraId="520DA91B">
      <w:pPr>
        <w:pStyle w:val="66"/>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黑体" w:cs="Times New Roman"/>
          <w:b w:val="0"/>
          <w:bCs/>
          <w:smallCaps w:val="0"/>
          <w:snapToGrid/>
          <w:kern w:val="2"/>
          <w:sz w:val="21"/>
          <w:szCs w:val="24"/>
          <w:highlight w:val="none"/>
          <w:lang w:val="zh-CN" w:eastAsia="zh-CN" w:bidi="ar-SA"/>
        </w:rPr>
      </w:pPr>
    </w:p>
    <w:p w14:paraId="2C390413">
      <w:pPr>
        <w:pStyle w:val="66"/>
        <w:rPr>
          <w:rFonts w:hint="default"/>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图</w:t>
      </w:r>
      <w:r>
        <w:rPr>
          <w:rFonts w:hint="eastAsia" w:ascii="Times New Roman" w:hAnsi="Times New Roman" w:eastAsia="黑体" w:cs="Times New Roman"/>
          <w:b w:val="0"/>
          <w:bCs/>
          <w:smallCaps w:val="0"/>
          <w:snapToGrid/>
          <w:kern w:val="2"/>
          <w:sz w:val="21"/>
          <w:szCs w:val="24"/>
          <w:highlight w:val="none"/>
          <w:lang w:val="en-US" w:eastAsia="zh-CN" w:bidi="ar-SA"/>
        </w:rPr>
        <w:t>5.2</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非正常状况</w:t>
      </w:r>
      <w:r>
        <w:rPr>
          <w:rFonts w:hint="eastAsia" w:ascii="Times New Roman" w:hAnsi="Times New Roman" w:eastAsia="黑体" w:cs="Times New Roman"/>
          <w:b w:val="0"/>
          <w:bCs/>
          <w:smallCaps w:val="0"/>
          <w:snapToGrid/>
          <w:kern w:val="2"/>
          <w:sz w:val="21"/>
          <w:szCs w:val="24"/>
          <w:highlight w:val="none"/>
          <w:lang w:val="en-US" w:eastAsia="zh-CN" w:bidi="ar-SA"/>
        </w:rPr>
        <w:t>下COD泄露100d后运移情况</w:t>
      </w:r>
    </w:p>
    <w:p w14:paraId="353A8DF6">
      <w:pPr>
        <w:spacing w:line="360" w:lineRule="auto"/>
        <w:ind w:firstLine="420"/>
        <w:jc w:val="center"/>
        <w:rPr>
          <w:rFonts w:hint="default" w:ascii="Times New Roman" w:hAnsi="Times New Roman" w:eastAsia="黑体" w:cs="Times New Roman"/>
          <w:b w:val="0"/>
          <w:bCs/>
          <w:smallCaps w:val="0"/>
          <w:snapToGrid/>
          <w:kern w:val="2"/>
          <w:sz w:val="21"/>
          <w:szCs w:val="24"/>
          <w:highlight w:val="none"/>
          <w:lang w:val="zh-CN" w:eastAsia="zh-CN" w:bidi="ar-SA"/>
        </w:rPr>
      </w:pPr>
      <w:r>
        <w:rPr>
          <w:highlight w:val="none"/>
        </w:rPr>
        <w:drawing>
          <wp:anchor distT="0" distB="0" distL="114300" distR="114300" simplePos="0" relativeHeight="251711488" behindDoc="0" locked="0" layoutInCell="1" allowOverlap="1">
            <wp:simplePos x="0" y="0"/>
            <wp:positionH relativeFrom="column">
              <wp:posOffset>927100</wp:posOffset>
            </wp:positionH>
            <wp:positionV relativeFrom="page">
              <wp:posOffset>5055870</wp:posOffset>
            </wp:positionV>
            <wp:extent cx="3608705" cy="2208530"/>
            <wp:effectExtent l="0" t="0" r="10795" b="1270"/>
            <wp:wrapNone/>
            <wp:docPr id="2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4"/>
                    <pic:cNvPicPr>
                      <a:picLocks noChangeAspect="1"/>
                    </pic:cNvPicPr>
                  </pic:nvPicPr>
                  <pic:blipFill>
                    <a:blip r:embed="rId82"/>
                    <a:stretch>
                      <a:fillRect/>
                    </a:stretch>
                  </pic:blipFill>
                  <pic:spPr>
                    <a:xfrm>
                      <a:off x="0" y="0"/>
                      <a:ext cx="3608705" cy="2208530"/>
                    </a:xfrm>
                    <a:prstGeom prst="rect">
                      <a:avLst/>
                    </a:prstGeom>
                    <a:noFill/>
                    <a:ln>
                      <a:noFill/>
                    </a:ln>
                  </pic:spPr>
                </pic:pic>
              </a:graphicData>
            </a:graphic>
          </wp:anchor>
        </w:drawing>
      </w:r>
    </w:p>
    <w:p w14:paraId="35910D1B">
      <w:pPr>
        <w:rPr>
          <w:rFonts w:hint="default" w:ascii="Times New Roman" w:hAnsi="Times New Roman" w:eastAsia="黑体" w:cs="Times New Roman"/>
          <w:b w:val="0"/>
          <w:bCs/>
          <w:smallCaps w:val="0"/>
          <w:snapToGrid/>
          <w:kern w:val="2"/>
          <w:sz w:val="21"/>
          <w:szCs w:val="24"/>
          <w:highlight w:val="none"/>
          <w:lang w:val="zh-CN" w:eastAsia="zh-CN" w:bidi="ar-SA"/>
        </w:rPr>
      </w:pPr>
    </w:p>
    <w:p w14:paraId="45C3ED07">
      <w:pPr>
        <w:pStyle w:val="2"/>
        <w:rPr>
          <w:rFonts w:hint="default" w:ascii="Times New Roman" w:hAnsi="Times New Roman" w:eastAsia="黑体" w:cs="Times New Roman"/>
          <w:b w:val="0"/>
          <w:bCs/>
          <w:smallCaps w:val="0"/>
          <w:snapToGrid/>
          <w:kern w:val="2"/>
          <w:sz w:val="21"/>
          <w:szCs w:val="24"/>
          <w:highlight w:val="none"/>
          <w:lang w:val="zh-CN" w:eastAsia="zh-CN" w:bidi="ar-SA"/>
        </w:rPr>
      </w:pPr>
    </w:p>
    <w:p w14:paraId="684DC9B5">
      <w:pPr>
        <w:rPr>
          <w:rFonts w:hint="default" w:ascii="Times New Roman" w:hAnsi="Times New Roman" w:eastAsia="黑体" w:cs="Times New Roman"/>
          <w:b w:val="0"/>
          <w:bCs/>
          <w:smallCaps w:val="0"/>
          <w:snapToGrid/>
          <w:kern w:val="2"/>
          <w:sz w:val="21"/>
          <w:szCs w:val="24"/>
          <w:highlight w:val="none"/>
          <w:lang w:val="zh-CN" w:eastAsia="zh-CN" w:bidi="ar-SA"/>
        </w:rPr>
      </w:pPr>
    </w:p>
    <w:p w14:paraId="208D95AF">
      <w:pPr>
        <w:pStyle w:val="2"/>
        <w:rPr>
          <w:rFonts w:hint="default" w:ascii="Times New Roman" w:hAnsi="Times New Roman" w:eastAsia="黑体" w:cs="Times New Roman"/>
          <w:b w:val="0"/>
          <w:bCs/>
          <w:smallCaps w:val="0"/>
          <w:snapToGrid/>
          <w:kern w:val="2"/>
          <w:sz w:val="21"/>
          <w:szCs w:val="24"/>
          <w:highlight w:val="none"/>
          <w:lang w:val="zh-CN" w:eastAsia="zh-CN" w:bidi="ar-SA"/>
        </w:rPr>
      </w:pPr>
    </w:p>
    <w:p w14:paraId="40447564">
      <w:pPr>
        <w:rPr>
          <w:rFonts w:hint="default" w:ascii="Times New Roman" w:hAnsi="Times New Roman" w:eastAsia="黑体" w:cs="Times New Roman"/>
          <w:b w:val="0"/>
          <w:bCs/>
          <w:smallCaps w:val="0"/>
          <w:snapToGrid/>
          <w:kern w:val="2"/>
          <w:sz w:val="21"/>
          <w:szCs w:val="24"/>
          <w:highlight w:val="none"/>
          <w:lang w:val="zh-CN" w:eastAsia="zh-CN" w:bidi="ar-SA"/>
        </w:rPr>
      </w:pPr>
    </w:p>
    <w:p w14:paraId="7B5C6048">
      <w:pPr>
        <w:pStyle w:val="2"/>
        <w:rPr>
          <w:rFonts w:hint="default" w:ascii="Times New Roman" w:hAnsi="Times New Roman" w:eastAsia="黑体" w:cs="Times New Roman"/>
          <w:b w:val="0"/>
          <w:bCs/>
          <w:smallCaps w:val="0"/>
          <w:snapToGrid/>
          <w:kern w:val="2"/>
          <w:sz w:val="21"/>
          <w:szCs w:val="24"/>
          <w:highlight w:val="none"/>
          <w:lang w:val="zh-CN" w:eastAsia="zh-CN" w:bidi="ar-SA"/>
        </w:rPr>
      </w:pPr>
    </w:p>
    <w:p w14:paraId="14A56D0F">
      <w:pPr>
        <w:rPr>
          <w:rFonts w:hint="default" w:ascii="Times New Roman" w:hAnsi="Times New Roman" w:eastAsia="黑体" w:cs="Times New Roman"/>
          <w:b w:val="0"/>
          <w:bCs/>
          <w:smallCaps w:val="0"/>
          <w:snapToGrid/>
          <w:kern w:val="2"/>
          <w:sz w:val="21"/>
          <w:szCs w:val="24"/>
          <w:highlight w:val="none"/>
          <w:lang w:val="zh-CN" w:eastAsia="zh-CN" w:bidi="ar-SA"/>
        </w:rPr>
      </w:pPr>
    </w:p>
    <w:p w14:paraId="08C94209">
      <w:pPr>
        <w:pStyle w:val="2"/>
        <w:rPr>
          <w:rFonts w:hint="default" w:ascii="Times New Roman" w:hAnsi="Times New Roman" w:eastAsia="黑体" w:cs="Times New Roman"/>
          <w:b w:val="0"/>
          <w:bCs/>
          <w:smallCaps w:val="0"/>
          <w:snapToGrid/>
          <w:kern w:val="2"/>
          <w:sz w:val="21"/>
          <w:szCs w:val="24"/>
          <w:highlight w:val="none"/>
          <w:lang w:val="zh-CN" w:eastAsia="zh-CN" w:bidi="ar-SA"/>
        </w:rPr>
      </w:pPr>
    </w:p>
    <w:p w14:paraId="2F181822">
      <w:pPr>
        <w:rPr>
          <w:rFonts w:hint="default" w:ascii="Times New Roman" w:hAnsi="Times New Roman" w:eastAsia="黑体" w:cs="Times New Roman"/>
          <w:b w:val="0"/>
          <w:bCs/>
          <w:smallCaps w:val="0"/>
          <w:snapToGrid/>
          <w:kern w:val="2"/>
          <w:sz w:val="21"/>
          <w:szCs w:val="24"/>
          <w:highlight w:val="none"/>
          <w:lang w:val="zh-CN" w:eastAsia="zh-CN" w:bidi="ar-SA"/>
        </w:rPr>
      </w:pPr>
    </w:p>
    <w:p w14:paraId="44D9D999">
      <w:pPr>
        <w:pStyle w:val="2"/>
        <w:rPr>
          <w:rFonts w:hint="default"/>
          <w:highlight w:val="none"/>
          <w:lang w:val="zh-CN" w:eastAsia="zh-CN"/>
        </w:rPr>
      </w:pPr>
    </w:p>
    <w:p w14:paraId="4FBF8A3F">
      <w:pPr>
        <w:keepNext w:val="0"/>
        <w:keepLines w:val="0"/>
        <w:pageBreakBefore w:val="0"/>
        <w:widowControl/>
        <w:kinsoku/>
        <w:wordWrap/>
        <w:overflowPunct/>
        <w:topLinePunct w:val="0"/>
        <w:autoSpaceDE/>
        <w:autoSpaceDN/>
        <w:bidi w:val="0"/>
        <w:adjustRightInd/>
        <w:snapToGrid/>
        <w:spacing w:line="240" w:lineRule="auto"/>
        <w:ind w:firstLine="420"/>
        <w:jc w:val="center"/>
        <w:textAlignment w:val="auto"/>
        <w:rPr>
          <w:rFonts w:hint="eastAsia"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w:t>
      </w:r>
      <w:r>
        <w:rPr>
          <w:rFonts w:hint="eastAsia" w:ascii="Times New Roman" w:hAnsi="Times New Roman" w:eastAsia="黑体" w:cs="Times New Roman"/>
          <w:b w:val="0"/>
          <w:bCs/>
          <w:smallCaps w:val="0"/>
          <w:snapToGrid/>
          <w:kern w:val="2"/>
          <w:sz w:val="21"/>
          <w:szCs w:val="24"/>
          <w:highlight w:val="none"/>
          <w:lang w:val="en-US" w:eastAsia="zh-CN" w:bidi="ar-SA"/>
        </w:rPr>
        <w:t>5.2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en-US" w:eastAsia="zh-CN" w:bidi="ar-SA"/>
        </w:rPr>
        <w:t xml:space="preserve">  非正常状况</w:t>
      </w:r>
      <w:r>
        <w:rPr>
          <w:rFonts w:hint="eastAsia" w:ascii="Times New Roman" w:hAnsi="Times New Roman" w:eastAsia="黑体" w:cs="Times New Roman"/>
          <w:b w:val="0"/>
          <w:bCs/>
          <w:smallCaps w:val="0"/>
          <w:snapToGrid/>
          <w:kern w:val="2"/>
          <w:sz w:val="21"/>
          <w:szCs w:val="24"/>
          <w:highlight w:val="none"/>
          <w:lang w:val="en-US" w:eastAsia="zh-CN" w:bidi="ar-SA"/>
        </w:rPr>
        <w:t>下COD泄露1000d后运移情况</w:t>
      </w:r>
    </w:p>
    <w:p w14:paraId="750B42AF">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4949E7B1">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6C594A8E">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1D7B0E4B">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5E44BFE3">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0EAC912C">
      <w:pPr>
        <w:pStyle w:val="66"/>
        <w:jc w:val="both"/>
        <w:rPr>
          <w:rFonts w:hint="eastAsia" w:ascii="Times New Roman" w:hAnsi="Times New Roman" w:eastAsia="黑体" w:cs="Times New Roman"/>
          <w:b w:val="0"/>
          <w:bCs/>
          <w:smallCaps w:val="0"/>
          <w:snapToGrid/>
          <w:kern w:val="2"/>
          <w:sz w:val="21"/>
          <w:szCs w:val="24"/>
          <w:highlight w:val="none"/>
          <w:lang w:val="en-US" w:eastAsia="zh-CN" w:bidi="ar-SA"/>
        </w:rPr>
      </w:pPr>
    </w:p>
    <w:p w14:paraId="4EC73443">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0FA87A72">
      <w:pPr>
        <w:spacing w:line="360" w:lineRule="auto"/>
        <w:jc w:val="center"/>
        <w:rPr>
          <w:rFonts w:hint="default" w:ascii="Times New Roman" w:hAnsi="Times New Roman" w:eastAsia="黑体" w:cs="Times New Roman"/>
          <w:b w:val="0"/>
          <w:bCs/>
          <w:smallCaps w:val="0"/>
          <w:snapToGrid/>
          <w:kern w:val="2"/>
          <w:sz w:val="21"/>
          <w:szCs w:val="24"/>
          <w:highlight w:val="none"/>
          <w:lang w:val="zh-CN" w:eastAsia="zh-CN" w:bidi="ar-SA"/>
        </w:rPr>
      </w:pPr>
      <w:r>
        <w:rPr>
          <w:highlight w:val="none"/>
        </w:rPr>
        <w:drawing>
          <wp:inline distT="0" distB="0" distL="114300" distR="114300">
            <wp:extent cx="3753485" cy="2274570"/>
            <wp:effectExtent l="0" t="0" r="18415" b="11430"/>
            <wp:docPr id="2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5"/>
                    <pic:cNvPicPr>
                      <a:picLocks noChangeAspect="1"/>
                    </pic:cNvPicPr>
                  </pic:nvPicPr>
                  <pic:blipFill>
                    <a:blip r:embed="rId83"/>
                    <a:stretch>
                      <a:fillRect/>
                    </a:stretch>
                  </pic:blipFill>
                  <pic:spPr>
                    <a:xfrm>
                      <a:off x="0" y="0"/>
                      <a:ext cx="3753485" cy="2274570"/>
                    </a:xfrm>
                    <a:prstGeom prst="rect">
                      <a:avLst/>
                    </a:prstGeom>
                    <a:noFill/>
                    <a:ln>
                      <a:noFill/>
                    </a:ln>
                  </pic:spPr>
                </pic:pic>
              </a:graphicData>
            </a:graphic>
          </wp:inline>
        </w:drawing>
      </w:r>
    </w:p>
    <w:p w14:paraId="0F57A832">
      <w:pPr>
        <w:spacing w:line="360" w:lineRule="auto"/>
        <w:ind w:firstLine="420"/>
        <w:jc w:val="center"/>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黑体" w:cs="Times New Roman"/>
          <w:b w:val="0"/>
          <w:bCs/>
          <w:smallCaps w:val="0"/>
          <w:snapToGrid/>
          <w:kern w:val="2"/>
          <w:sz w:val="21"/>
          <w:szCs w:val="24"/>
          <w:highlight w:val="none"/>
          <w:lang w:val="zh-CN" w:eastAsia="zh-CN" w:bidi="ar-SA"/>
        </w:rPr>
        <w:t>图</w:t>
      </w:r>
      <w:r>
        <w:rPr>
          <w:rFonts w:hint="eastAsia" w:ascii="Times New Roman" w:hAnsi="Times New Roman" w:eastAsia="黑体" w:cs="Times New Roman"/>
          <w:b w:val="0"/>
          <w:bCs/>
          <w:smallCaps w:val="0"/>
          <w:snapToGrid/>
          <w:kern w:val="2"/>
          <w:sz w:val="21"/>
          <w:szCs w:val="24"/>
          <w:highlight w:val="none"/>
          <w:lang w:val="en-US" w:eastAsia="zh-CN" w:bidi="ar-SA"/>
        </w:rPr>
        <w:t>5.2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en-US" w:eastAsia="zh-CN" w:bidi="ar-SA"/>
        </w:rPr>
        <w:t xml:space="preserve">  非正常状况</w:t>
      </w:r>
      <w:r>
        <w:rPr>
          <w:rFonts w:hint="eastAsia" w:ascii="Times New Roman" w:hAnsi="Times New Roman" w:eastAsia="黑体" w:cs="Times New Roman"/>
          <w:b w:val="0"/>
          <w:bCs/>
          <w:smallCaps w:val="0"/>
          <w:snapToGrid/>
          <w:kern w:val="2"/>
          <w:sz w:val="21"/>
          <w:szCs w:val="24"/>
          <w:highlight w:val="none"/>
          <w:lang w:val="en-US" w:eastAsia="zh-CN" w:bidi="ar-SA"/>
        </w:rPr>
        <w:t>下氨氮泄露100d后运移情况</w:t>
      </w:r>
    </w:p>
    <w:p w14:paraId="2D168CB6">
      <w:pPr>
        <w:pStyle w:val="66"/>
        <w:rPr>
          <w:rFonts w:hint="eastAsia" w:ascii="Times New Roman" w:hAnsi="Times New Roman" w:eastAsia="黑体" w:cs="Times New Roman"/>
          <w:b w:val="0"/>
          <w:bCs/>
          <w:smallCaps w:val="0"/>
          <w:snapToGrid/>
          <w:kern w:val="2"/>
          <w:sz w:val="21"/>
          <w:szCs w:val="24"/>
          <w:highlight w:val="none"/>
          <w:lang w:val="en-US" w:eastAsia="zh-CN" w:bidi="ar-SA"/>
        </w:rPr>
      </w:pPr>
      <w:r>
        <w:rPr>
          <w:highlight w:val="none"/>
        </w:rPr>
        <w:drawing>
          <wp:anchor distT="0" distB="0" distL="114300" distR="114300" simplePos="0" relativeHeight="251712512" behindDoc="0" locked="0" layoutInCell="1" allowOverlap="1">
            <wp:simplePos x="0" y="0"/>
            <wp:positionH relativeFrom="column">
              <wp:posOffset>784860</wp:posOffset>
            </wp:positionH>
            <wp:positionV relativeFrom="page">
              <wp:posOffset>3623310</wp:posOffset>
            </wp:positionV>
            <wp:extent cx="3715385" cy="2230120"/>
            <wp:effectExtent l="0" t="0" r="18415" b="17780"/>
            <wp:wrapNone/>
            <wp:docPr id="2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7"/>
                    <pic:cNvPicPr>
                      <a:picLocks noChangeAspect="1"/>
                    </pic:cNvPicPr>
                  </pic:nvPicPr>
                  <pic:blipFill>
                    <a:blip r:embed="rId84"/>
                    <a:stretch>
                      <a:fillRect/>
                    </a:stretch>
                  </pic:blipFill>
                  <pic:spPr>
                    <a:xfrm>
                      <a:off x="0" y="0"/>
                      <a:ext cx="3715385" cy="2230120"/>
                    </a:xfrm>
                    <a:prstGeom prst="rect">
                      <a:avLst/>
                    </a:prstGeom>
                    <a:noFill/>
                    <a:ln>
                      <a:noFill/>
                    </a:ln>
                  </pic:spPr>
                </pic:pic>
              </a:graphicData>
            </a:graphic>
          </wp:anchor>
        </w:drawing>
      </w:r>
    </w:p>
    <w:p w14:paraId="64864305">
      <w:pPr>
        <w:pStyle w:val="66"/>
        <w:jc w:val="both"/>
        <w:rPr>
          <w:rFonts w:hint="eastAsia" w:ascii="Times New Roman" w:hAnsi="Times New Roman" w:eastAsia="黑体" w:cs="Times New Roman"/>
          <w:b w:val="0"/>
          <w:bCs/>
          <w:smallCaps w:val="0"/>
          <w:snapToGrid/>
          <w:kern w:val="2"/>
          <w:sz w:val="21"/>
          <w:szCs w:val="24"/>
          <w:highlight w:val="none"/>
          <w:lang w:val="en-US" w:eastAsia="zh-CN" w:bidi="ar-SA"/>
        </w:rPr>
      </w:pPr>
    </w:p>
    <w:p w14:paraId="2931CB71">
      <w:pPr>
        <w:pStyle w:val="66"/>
        <w:jc w:val="both"/>
        <w:rPr>
          <w:rFonts w:hint="eastAsia" w:ascii="Times New Roman" w:hAnsi="Times New Roman" w:eastAsia="黑体" w:cs="Times New Roman"/>
          <w:b w:val="0"/>
          <w:bCs/>
          <w:smallCaps w:val="0"/>
          <w:snapToGrid/>
          <w:kern w:val="2"/>
          <w:sz w:val="21"/>
          <w:szCs w:val="24"/>
          <w:highlight w:val="none"/>
          <w:lang w:val="en-US" w:eastAsia="zh-CN" w:bidi="ar-SA"/>
        </w:rPr>
      </w:pPr>
    </w:p>
    <w:p w14:paraId="78566F5F">
      <w:pPr>
        <w:pStyle w:val="66"/>
        <w:jc w:val="both"/>
        <w:rPr>
          <w:rFonts w:hint="eastAsia" w:ascii="Times New Roman" w:hAnsi="Times New Roman" w:eastAsia="黑体" w:cs="Times New Roman"/>
          <w:b w:val="0"/>
          <w:bCs/>
          <w:smallCaps w:val="0"/>
          <w:snapToGrid/>
          <w:kern w:val="2"/>
          <w:sz w:val="21"/>
          <w:szCs w:val="24"/>
          <w:highlight w:val="none"/>
          <w:lang w:val="en-US" w:eastAsia="zh-CN" w:bidi="ar-SA"/>
        </w:rPr>
      </w:pPr>
    </w:p>
    <w:p w14:paraId="4866ED04">
      <w:pPr>
        <w:pStyle w:val="66"/>
        <w:jc w:val="both"/>
        <w:rPr>
          <w:rFonts w:hint="eastAsia" w:ascii="Times New Roman" w:hAnsi="Times New Roman" w:eastAsia="黑体" w:cs="Times New Roman"/>
          <w:b w:val="0"/>
          <w:bCs/>
          <w:smallCaps w:val="0"/>
          <w:snapToGrid/>
          <w:kern w:val="2"/>
          <w:sz w:val="21"/>
          <w:szCs w:val="24"/>
          <w:highlight w:val="none"/>
          <w:lang w:val="en-US" w:eastAsia="zh-CN" w:bidi="ar-SA"/>
        </w:rPr>
      </w:pPr>
    </w:p>
    <w:p w14:paraId="691D77A2">
      <w:pPr>
        <w:pStyle w:val="66"/>
        <w:jc w:val="both"/>
        <w:rPr>
          <w:rFonts w:hint="eastAsia" w:ascii="Times New Roman" w:hAnsi="Times New Roman" w:eastAsia="黑体" w:cs="Times New Roman"/>
          <w:b w:val="0"/>
          <w:bCs/>
          <w:smallCaps w:val="0"/>
          <w:snapToGrid/>
          <w:kern w:val="2"/>
          <w:sz w:val="21"/>
          <w:szCs w:val="24"/>
          <w:highlight w:val="none"/>
          <w:lang w:val="en-US" w:eastAsia="zh-CN" w:bidi="ar-SA"/>
        </w:rPr>
      </w:pPr>
    </w:p>
    <w:p w14:paraId="23264C32">
      <w:pPr>
        <w:pStyle w:val="66"/>
        <w:jc w:val="both"/>
        <w:rPr>
          <w:rFonts w:hint="eastAsia" w:ascii="Times New Roman" w:hAnsi="Times New Roman" w:eastAsia="黑体" w:cs="Times New Roman"/>
          <w:b w:val="0"/>
          <w:bCs/>
          <w:smallCaps w:val="0"/>
          <w:snapToGrid/>
          <w:kern w:val="2"/>
          <w:sz w:val="21"/>
          <w:szCs w:val="24"/>
          <w:highlight w:val="none"/>
          <w:lang w:val="en-US" w:eastAsia="zh-CN" w:bidi="ar-SA"/>
        </w:rPr>
      </w:pPr>
    </w:p>
    <w:p w14:paraId="7F45B0BC">
      <w:pPr>
        <w:pStyle w:val="66"/>
        <w:jc w:val="both"/>
        <w:rPr>
          <w:rFonts w:hint="eastAsia" w:ascii="Times New Roman" w:hAnsi="Times New Roman" w:eastAsia="黑体" w:cs="Times New Roman"/>
          <w:b w:val="0"/>
          <w:bCs/>
          <w:smallCaps w:val="0"/>
          <w:snapToGrid/>
          <w:kern w:val="2"/>
          <w:sz w:val="21"/>
          <w:szCs w:val="24"/>
          <w:highlight w:val="none"/>
          <w:lang w:val="en-US" w:eastAsia="zh-CN" w:bidi="ar-SA"/>
        </w:rPr>
      </w:pPr>
    </w:p>
    <w:p w14:paraId="1A5D9D5F">
      <w:pPr>
        <w:pStyle w:val="66"/>
        <w:jc w:val="both"/>
        <w:rPr>
          <w:rFonts w:hint="eastAsia" w:ascii="Times New Roman" w:hAnsi="Times New Roman" w:eastAsia="黑体" w:cs="Times New Roman"/>
          <w:b w:val="0"/>
          <w:bCs/>
          <w:smallCaps w:val="0"/>
          <w:snapToGrid/>
          <w:kern w:val="2"/>
          <w:sz w:val="21"/>
          <w:szCs w:val="24"/>
          <w:highlight w:val="none"/>
          <w:lang w:val="en-US" w:eastAsia="zh-CN" w:bidi="ar-SA"/>
        </w:rPr>
      </w:pPr>
    </w:p>
    <w:p w14:paraId="2554CC90">
      <w:pPr>
        <w:spacing w:line="360" w:lineRule="auto"/>
        <w:jc w:val="both"/>
        <w:rPr>
          <w:rFonts w:hint="default" w:ascii="Times New Roman" w:hAnsi="Times New Roman" w:eastAsia="黑体" w:cs="Times New Roman"/>
          <w:b w:val="0"/>
          <w:bCs/>
          <w:smallCaps w:val="0"/>
          <w:snapToGrid/>
          <w:kern w:val="2"/>
          <w:sz w:val="21"/>
          <w:szCs w:val="24"/>
          <w:highlight w:val="none"/>
          <w:lang w:val="zh-CN" w:eastAsia="zh-CN" w:bidi="ar-SA"/>
        </w:rPr>
      </w:pPr>
    </w:p>
    <w:p w14:paraId="6843E3E9">
      <w:pPr>
        <w:spacing w:line="360" w:lineRule="auto"/>
        <w:ind w:firstLine="420"/>
        <w:jc w:val="center"/>
        <w:rPr>
          <w:rFonts w:hint="eastAsia"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w:t>
      </w:r>
      <w:r>
        <w:rPr>
          <w:rFonts w:hint="eastAsia" w:ascii="Times New Roman" w:hAnsi="Times New Roman" w:eastAsia="黑体" w:cs="Times New Roman"/>
          <w:b w:val="0"/>
          <w:bCs/>
          <w:smallCaps w:val="0"/>
          <w:snapToGrid/>
          <w:kern w:val="2"/>
          <w:sz w:val="21"/>
          <w:szCs w:val="24"/>
          <w:highlight w:val="none"/>
          <w:lang w:val="en-US" w:eastAsia="zh-CN" w:bidi="ar-SA"/>
        </w:rPr>
        <w:t>5.2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en-US" w:eastAsia="zh-CN" w:bidi="ar-SA"/>
        </w:rPr>
        <w:t xml:space="preserve">  非正常状况</w:t>
      </w:r>
      <w:r>
        <w:rPr>
          <w:rFonts w:hint="eastAsia" w:ascii="Times New Roman" w:hAnsi="Times New Roman" w:eastAsia="黑体" w:cs="Times New Roman"/>
          <w:b w:val="0"/>
          <w:bCs/>
          <w:smallCaps w:val="0"/>
          <w:snapToGrid/>
          <w:kern w:val="2"/>
          <w:sz w:val="21"/>
          <w:szCs w:val="24"/>
          <w:highlight w:val="none"/>
          <w:lang w:val="en-US" w:eastAsia="zh-CN" w:bidi="ar-SA"/>
        </w:rPr>
        <w:t>下氨氮泄露1000d后运移情况</w:t>
      </w:r>
    </w:p>
    <w:p w14:paraId="3BE5D603">
      <w:pPr>
        <w:spacing w:line="360" w:lineRule="auto"/>
        <w:ind w:firstLine="420"/>
        <w:jc w:val="both"/>
        <w:rPr>
          <w:rFonts w:hint="default" w:ascii="Times New Roman" w:hAnsi="Times New Roman" w:cs="Times New Roman"/>
          <w:color w:val="auto"/>
          <w:highlight w:val="none"/>
        </w:rPr>
      </w:pPr>
      <w:r>
        <w:rPr>
          <w:rFonts w:hint="default" w:ascii="Times New Roman" w:hAnsi="Times New Roman" w:cs="Times New Roman"/>
          <w:snapToGrid w:val="0"/>
          <w:color w:val="auto"/>
          <w:highlight w:val="none"/>
        </w:rPr>
        <w:t>根据预测结果可知，本项目非正常状况下COD 100d最远影响距离为</w:t>
      </w:r>
      <w:r>
        <w:rPr>
          <w:rFonts w:hint="eastAsia" w:ascii="Times New Roman" w:hAnsi="Times New Roman" w:cs="Times New Roman"/>
          <w:snapToGrid w:val="0"/>
          <w:color w:val="auto"/>
          <w:highlight w:val="none"/>
          <w:lang w:val="en-US" w:eastAsia="zh-CN"/>
        </w:rPr>
        <w:t>7</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m，1000d最远影响距离为</w:t>
      </w:r>
      <w:r>
        <w:rPr>
          <w:rFonts w:hint="eastAsia" w:ascii="Times New Roman" w:hAnsi="Times New Roman" w:cs="Times New Roman"/>
          <w:snapToGrid w:val="0"/>
          <w:color w:val="auto"/>
          <w:highlight w:val="none"/>
          <w:lang w:val="en-US" w:eastAsia="zh-CN"/>
        </w:rPr>
        <w:t>430</w:t>
      </w:r>
      <w:r>
        <w:rPr>
          <w:rFonts w:hint="default" w:ascii="Times New Roman" w:hAnsi="Times New Roman" w:cs="Times New Roman"/>
          <w:snapToGrid w:val="0"/>
          <w:color w:val="auto"/>
          <w:highlight w:val="none"/>
        </w:rPr>
        <w:t>m；氨氮100d最远影响距离为</w:t>
      </w:r>
      <w:r>
        <w:rPr>
          <w:rFonts w:hint="eastAsia" w:ascii="Times New Roman" w:hAnsi="Times New Roman" w:cs="Times New Roman"/>
          <w:snapToGrid w:val="0"/>
          <w:color w:val="auto"/>
          <w:highlight w:val="none"/>
          <w:lang w:val="en-US" w:eastAsia="zh-CN"/>
        </w:rPr>
        <w:t>130</w:t>
      </w:r>
      <w:r>
        <w:rPr>
          <w:rFonts w:hint="default" w:ascii="Times New Roman" w:hAnsi="Times New Roman" w:cs="Times New Roman"/>
          <w:snapToGrid w:val="0"/>
          <w:color w:val="auto"/>
          <w:highlight w:val="none"/>
        </w:rPr>
        <w:t>m，1000d最远影响距离为</w:t>
      </w:r>
      <w:r>
        <w:rPr>
          <w:rFonts w:hint="default" w:ascii="Times New Roman" w:hAnsi="Times New Roman" w:cs="Times New Roman"/>
          <w:snapToGrid w:val="0"/>
          <w:color w:val="auto"/>
          <w:highlight w:val="none"/>
          <w:lang w:val="en-US" w:eastAsia="zh-CN"/>
        </w:rPr>
        <w:t>4</w:t>
      </w:r>
      <w:r>
        <w:rPr>
          <w:rFonts w:hint="eastAsia" w:ascii="Times New Roman" w:hAnsi="Times New Roman" w:cs="Times New Roman"/>
          <w:snapToGrid w:val="0"/>
          <w:color w:val="auto"/>
          <w:highlight w:val="none"/>
          <w:lang w:val="en-US" w:eastAsia="zh-CN"/>
        </w:rPr>
        <w:t>2</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m。项目下游</w:t>
      </w:r>
      <w:r>
        <w:rPr>
          <w:rFonts w:hint="default" w:ascii="Times New Roman" w:hAnsi="Times New Roman" w:cs="Times New Roman"/>
          <w:snapToGrid w:val="0"/>
          <w:color w:val="auto"/>
          <w:highlight w:val="none"/>
          <w:lang w:val="en-US" w:eastAsia="zh-CN"/>
        </w:rPr>
        <w:t>4</w:t>
      </w:r>
      <w:r>
        <w:rPr>
          <w:rFonts w:hint="eastAsia" w:ascii="Times New Roman" w:hAnsi="Times New Roman" w:cs="Times New Roman"/>
          <w:snapToGrid w:val="0"/>
          <w:color w:val="auto"/>
          <w:highlight w:val="none"/>
          <w:lang w:val="en-US" w:eastAsia="zh-CN"/>
        </w:rPr>
        <w:t>3</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m范围内无地下水敏感目标，所以非正常工况下，污水泄漏不会对地下水流向下游居民点地下饮用水造成影响。项目建设对区域地下水环境影响较小。</w:t>
      </w:r>
      <w:r>
        <w:rPr>
          <w:rFonts w:hint="default" w:ascii="Times New Roman" w:hAnsi="Times New Roman" w:cs="Times New Roman"/>
          <w:color w:val="auto"/>
          <w:highlight w:val="none"/>
        </w:rPr>
        <w:t>评价要求在地下水下游设置监测井，并1次/季度对该口井水氨氮及COD进行监测，制定应急预案，及时发现，及时处理，防止非正常状况下对附近潜层地下水造成污染。</w:t>
      </w:r>
    </w:p>
    <w:p w14:paraId="24F63167">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r>
        <w:rPr>
          <w:rFonts w:hint="default" w:ascii="Times New Roman" w:hAnsi="Times New Roman" w:cs="Times New Roman"/>
          <w:snapToGrid w:val="0"/>
          <w:color w:val="auto"/>
          <w:highlight w:val="none"/>
          <w:lang w:val="en-US" w:eastAsia="zh-CN"/>
        </w:rPr>
        <w:t>7</w:t>
      </w:r>
      <w:r>
        <w:rPr>
          <w:rFonts w:hint="default" w:ascii="Times New Roman" w:hAnsi="Times New Roman" w:cs="Times New Roman"/>
          <w:snapToGrid w:val="0"/>
          <w:color w:val="auto"/>
          <w:highlight w:val="none"/>
        </w:rPr>
        <w:t>）防渗措施</w:t>
      </w:r>
    </w:p>
    <w:p w14:paraId="0B7B49AE">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snapToGrid w:val="0"/>
          <w:color w:val="auto"/>
          <w:sz w:val="24"/>
          <w:szCs w:val="24"/>
          <w:highlight w:val="none"/>
        </w:rPr>
      </w:pPr>
      <w:bookmarkStart w:id="742" w:name="_Hlk480414022"/>
      <w:r>
        <w:rPr>
          <w:rFonts w:hint="default" w:ascii="Times New Roman" w:hAnsi="Times New Roman" w:cs="Times New Roman"/>
          <w:snapToGrid w:val="0"/>
          <w:color w:val="auto"/>
          <w:sz w:val="24"/>
          <w:szCs w:val="24"/>
          <w:highlight w:val="none"/>
        </w:rPr>
        <w:t>为进一步保护地下水资源，本工程在设计上对猪舍、固液分离间、黑膜厌氧池、</w:t>
      </w:r>
      <w:r>
        <w:rPr>
          <w:rFonts w:hint="eastAsia" w:ascii="Times New Roman" w:hAnsi="Times New Roman" w:cs="Times New Roman"/>
          <w:color w:val="auto"/>
          <w:kern w:val="0"/>
          <w:sz w:val="24"/>
          <w:szCs w:val="24"/>
          <w:highlight w:val="none"/>
          <w:lang w:val="en-US" w:eastAsia="zh-CN"/>
        </w:rPr>
        <w:t>沼液贮存池、</w:t>
      </w:r>
      <w:r>
        <w:rPr>
          <w:rFonts w:hint="eastAsia" w:ascii="Times New Roman" w:hAnsi="Times New Roman" w:cs="Times New Roman"/>
          <w:snapToGrid w:val="0"/>
          <w:color w:val="auto"/>
          <w:sz w:val="24"/>
          <w:szCs w:val="24"/>
          <w:highlight w:val="none"/>
          <w:lang w:eastAsia="zh-CN"/>
        </w:rPr>
        <w:t>干粪堆积场</w:t>
      </w:r>
      <w:r>
        <w:rPr>
          <w:rFonts w:hint="default" w:ascii="Times New Roman" w:hAnsi="Times New Roman" w:cs="Times New Roman"/>
          <w:snapToGrid w:val="0"/>
          <w:color w:val="auto"/>
          <w:sz w:val="24"/>
          <w:szCs w:val="24"/>
          <w:highlight w:val="none"/>
        </w:rPr>
        <w:t>、医疗废物暂存间等采取以下防渗处理措施：</w:t>
      </w:r>
    </w:p>
    <w:bookmarkEnd w:id="742"/>
    <w:p w14:paraId="64E4E029">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snapToGrid w:val="0"/>
          <w:color w:val="auto"/>
          <w:sz w:val="24"/>
          <w:szCs w:val="24"/>
          <w:highlight w:val="none"/>
          <w:lang w:val="en-US" w:eastAsia="zh-CN" w:bidi="ar"/>
        </w:rPr>
      </w:pPr>
      <w:r>
        <w:rPr>
          <w:rFonts w:hint="default" w:ascii="Times New Roman" w:hAnsi="Times New Roman" w:cs="Times New Roman"/>
          <w:snapToGrid w:val="0"/>
          <w:color w:val="auto"/>
          <w:sz w:val="24"/>
          <w:szCs w:val="24"/>
          <w:highlight w:val="none"/>
          <w:lang w:val="en-US" w:bidi="ar"/>
        </w:rPr>
        <w:t>①</w:t>
      </w:r>
      <w:r>
        <w:rPr>
          <w:rFonts w:hint="eastAsia" w:ascii="Times New Roman" w:hAnsi="Times New Roman" w:cs="Times New Roman"/>
          <w:snapToGrid w:val="0"/>
          <w:color w:val="auto"/>
          <w:sz w:val="24"/>
          <w:szCs w:val="24"/>
          <w:highlight w:val="none"/>
          <w:lang w:val="en-US" w:eastAsia="zh-CN" w:bidi="ar"/>
        </w:rPr>
        <w:t>黑膜厌氧池、沼液贮存池、医疗废物暂存间防渗措施为高密度聚乙烯（HDPE）防渗膜（渗透系数K≤10</w:t>
      </w:r>
      <w:r>
        <w:rPr>
          <w:rFonts w:hint="eastAsia" w:ascii="Times New Roman" w:hAnsi="Times New Roman" w:cs="Times New Roman"/>
          <w:snapToGrid w:val="0"/>
          <w:color w:val="auto"/>
          <w:sz w:val="24"/>
          <w:szCs w:val="24"/>
          <w:highlight w:val="none"/>
          <w:vertAlign w:val="superscript"/>
          <w:lang w:val="en-US" w:eastAsia="zh-CN" w:bidi="ar"/>
        </w:rPr>
        <w:t>-12</w:t>
      </w:r>
      <w:r>
        <w:rPr>
          <w:rFonts w:hint="eastAsia" w:ascii="Times New Roman" w:hAnsi="Times New Roman" w:cs="Times New Roman"/>
          <w:snapToGrid w:val="0"/>
          <w:color w:val="auto"/>
          <w:sz w:val="24"/>
          <w:szCs w:val="24"/>
          <w:highlight w:val="none"/>
          <w:lang w:val="en-US" w:eastAsia="zh-CN" w:bidi="ar"/>
        </w:rPr>
        <w:t>cm/s，等效黏土防渗层Mb≥6.0m），满足《环境影响评价技术导则 地下水环境》（HJ610-2016）的防渗要求。</w:t>
      </w:r>
    </w:p>
    <w:p w14:paraId="7D5DA99D">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auto"/>
          <w:sz w:val="24"/>
          <w:szCs w:val="24"/>
          <w:highlight w:val="none"/>
          <w:lang w:val="en-US" w:bidi="ar"/>
        </w:rPr>
      </w:pPr>
      <w:r>
        <w:rPr>
          <w:rFonts w:hint="eastAsia" w:ascii="Times New Roman" w:hAnsi="Times New Roman" w:cs="Times New Roman"/>
          <w:snapToGrid w:val="0"/>
          <w:color w:val="auto"/>
          <w:sz w:val="24"/>
          <w:szCs w:val="24"/>
          <w:highlight w:val="none"/>
          <w:lang w:val="en-US" w:eastAsia="zh-CN" w:bidi="ar"/>
        </w:rPr>
        <w:t>医疗废物暂存间应采取防风、防雨、防晒、防渗、防漏和防止危险废物流失、扬散等措施。</w:t>
      </w:r>
    </w:p>
    <w:p w14:paraId="3C101B0A">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en-US" w:eastAsia="zh-CN" w:bidi="ar"/>
        </w:rPr>
      </w:pPr>
      <w:r>
        <w:rPr>
          <w:rFonts w:hint="default" w:ascii="Times New Roman" w:hAnsi="Times New Roman" w:cs="Times New Roman"/>
          <w:snapToGrid w:val="0"/>
          <w:color w:val="auto"/>
          <w:sz w:val="24"/>
          <w:szCs w:val="24"/>
          <w:highlight w:val="none"/>
          <w:lang w:val="en-US" w:bidi="ar"/>
        </w:rPr>
        <w:fldChar w:fldCharType="begin"/>
      </w:r>
      <w:r>
        <w:rPr>
          <w:rFonts w:hint="default" w:ascii="Times New Roman" w:hAnsi="Times New Roman" w:cs="Times New Roman"/>
          <w:snapToGrid w:val="0"/>
          <w:color w:val="auto"/>
          <w:sz w:val="24"/>
          <w:szCs w:val="24"/>
          <w:highlight w:val="none"/>
          <w:lang w:val="en-US" w:bidi="ar"/>
        </w:rPr>
        <w:instrText xml:space="preserve"> = 2 \* GB3 </w:instrText>
      </w:r>
      <w:r>
        <w:rPr>
          <w:rFonts w:hint="default" w:ascii="Times New Roman" w:hAnsi="Times New Roman" w:cs="Times New Roman"/>
          <w:snapToGrid w:val="0"/>
          <w:color w:val="auto"/>
          <w:sz w:val="24"/>
          <w:szCs w:val="24"/>
          <w:highlight w:val="none"/>
          <w:lang w:val="en-US" w:bidi="ar"/>
        </w:rPr>
        <w:fldChar w:fldCharType="separate"/>
      </w:r>
      <w:r>
        <w:rPr>
          <w:rFonts w:hint="default" w:ascii="Times New Roman" w:hAnsi="Times New Roman" w:cs="Times New Roman"/>
          <w:snapToGrid w:val="0"/>
          <w:color w:val="auto"/>
          <w:sz w:val="24"/>
          <w:szCs w:val="24"/>
          <w:highlight w:val="none"/>
          <w:lang w:val="en-US" w:bidi="ar"/>
        </w:rPr>
        <w:t>②</w:t>
      </w:r>
      <w:r>
        <w:rPr>
          <w:rFonts w:hint="default" w:ascii="Times New Roman" w:hAnsi="Times New Roman" w:cs="Times New Roman"/>
          <w:snapToGrid w:val="0"/>
          <w:color w:val="auto"/>
          <w:sz w:val="24"/>
          <w:szCs w:val="24"/>
          <w:highlight w:val="none"/>
          <w:lang w:val="en-US" w:bidi="ar"/>
        </w:rPr>
        <w:fldChar w:fldCharType="end"/>
      </w:r>
      <w:r>
        <w:rPr>
          <w:rFonts w:hint="default" w:ascii="Times New Roman" w:hAnsi="Times New Roman" w:cs="Times New Roman"/>
          <w:snapToGrid w:val="0"/>
          <w:color w:val="auto"/>
          <w:sz w:val="24"/>
          <w:szCs w:val="24"/>
          <w:highlight w:val="none"/>
          <w:lang w:val="en-US" w:bidi="ar"/>
        </w:rPr>
        <w:t>猪舍、</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cs="Times New Roman"/>
          <w:snapToGrid w:val="0"/>
          <w:color w:val="auto"/>
          <w:sz w:val="24"/>
          <w:szCs w:val="24"/>
          <w:highlight w:val="none"/>
          <w:lang w:val="en-US" w:eastAsia="zh-CN" w:bidi="ar"/>
        </w:rPr>
        <w:t>、固液分离间为</w:t>
      </w:r>
      <w:r>
        <w:rPr>
          <w:rFonts w:hint="default" w:ascii="Times New Roman" w:hAnsi="Times New Roman" w:cs="Times New Roman"/>
          <w:snapToGrid w:val="0"/>
          <w:color w:val="auto"/>
          <w:sz w:val="24"/>
          <w:szCs w:val="24"/>
          <w:highlight w:val="none"/>
          <w:lang w:val="en-US" w:bidi="ar"/>
        </w:rPr>
        <w:t>一般防渗区</w:t>
      </w:r>
      <w:r>
        <w:rPr>
          <w:rFonts w:hint="default" w:ascii="Times New Roman" w:hAnsi="Times New Roman" w:cs="Times New Roman"/>
          <w:snapToGrid w:val="0"/>
          <w:color w:val="auto"/>
          <w:sz w:val="24"/>
          <w:szCs w:val="24"/>
          <w:highlight w:val="none"/>
          <w:lang w:val="en-US" w:eastAsia="zh-CN" w:bidi="ar"/>
        </w:rPr>
        <w:t>，</w:t>
      </w:r>
      <w:r>
        <w:rPr>
          <w:rFonts w:hint="eastAsia" w:ascii="Times New Roman" w:hAnsi="Times New Roman" w:cs="Times New Roman"/>
          <w:snapToGrid w:val="0"/>
          <w:color w:val="auto"/>
          <w:sz w:val="24"/>
          <w:szCs w:val="24"/>
          <w:highlight w:val="none"/>
          <w:lang w:val="en-US" w:eastAsia="zh-CN" w:bidi="ar"/>
        </w:rPr>
        <w:t>地面及墙面采用水泥混凝土防渗，等效黏土防渗层Mb≥1.5m，K≤1.0×10</w:t>
      </w:r>
      <w:r>
        <w:rPr>
          <w:rFonts w:hint="eastAsia" w:ascii="Times New Roman" w:hAnsi="Times New Roman" w:cs="Times New Roman"/>
          <w:snapToGrid w:val="0"/>
          <w:color w:val="auto"/>
          <w:sz w:val="24"/>
          <w:szCs w:val="24"/>
          <w:highlight w:val="none"/>
          <w:vertAlign w:val="superscript"/>
          <w:lang w:val="en-US" w:eastAsia="zh-CN" w:bidi="ar"/>
        </w:rPr>
        <w:t>-7</w:t>
      </w:r>
      <w:r>
        <w:rPr>
          <w:rFonts w:hint="eastAsia" w:ascii="Times New Roman" w:hAnsi="Times New Roman" w:cs="Times New Roman"/>
          <w:snapToGrid w:val="0"/>
          <w:color w:val="auto"/>
          <w:sz w:val="24"/>
          <w:szCs w:val="24"/>
          <w:highlight w:val="none"/>
          <w:lang w:val="en-US" w:eastAsia="zh-CN" w:bidi="ar"/>
        </w:rPr>
        <w:t>cm/s满足《环境影响评价技术导则 地下水环境》（HJ610-2016）的防渗要求。</w:t>
      </w:r>
    </w:p>
    <w:p w14:paraId="5C6E6E8F">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napToGrid w:val="0"/>
          <w:color w:val="auto"/>
          <w:sz w:val="24"/>
          <w:szCs w:val="24"/>
          <w:highlight w:val="none"/>
          <w:lang w:eastAsia="zh-CN"/>
        </w:rPr>
      </w:pPr>
      <w:r>
        <w:rPr>
          <w:rFonts w:hint="default" w:ascii="Times New Roman" w:hAnsi="Times New Roman" w:cs="Times New Roman"/>
          <w:snapToGrid w:val="0"/>
          <w:color w:val="auto"/>
          <w:sz w:val="24"/>
          <w:szCs w:val="24"/>
          <w:highlight w:val="none"/>
          <w:lang w:val="en-US" w:bidi="ar"/>
        </w:rPr>
        <w:fldChar w:fldCharType="begin"/>
      </w:r>
      <w:r>
        <w:rPr>
          <w:rFonts w:hint="default" w:ascii="Times New Roman" w:hAnsi="Times New Roman" w:cs="Times New Roman"/>
          <w:snapToGrid w:val="0"/>
          <w:color w:val="auto"/>
          <w:sz w:val="24"/>
          <w:szCs w:val="24"/>
          <w:highlight w:val="none"/>
          <w:lang w:val="en-US" w:bidi="ar"/>
        </w:rPr>
        <w:instrText xml:space="preserve"> = 3 \* GB3 </w:instrText>
      </w:r>
      <w:r>
        <w:rPr>
          <w:rFonts w:hint="default" w:ascii="Times New Roman" w:hAnsi="Times New Roman" w:cs="Times New Roman"/>
          <w:snapToGrid w:val="0"/>
          <w:color w:val="auto"/>
          <w:sz w:val="24"/>
          <w:szCs w:val="24"/>
          <w:highlight w:val="none"/>
          <w:lang w:val="en-US" w:bidi="ar"/>
        </w:rPr>
        <w:fldChar w:fldCharType="separate"/>
      </w:r>
      <w:r>
        <w:rPr>
          <w:rFonts w:hint="default" w:ascii="Times New Roman" w:hAnsi="Times New Roman" w:cs="Times New Roman"/>
          <w:snapToGrid w:val="0"/>
          <w:color w:val="auto"/>
          <w:sz w:val="24"/>
          <w:szCs w:val="24"/>
          <w:highlight w:val="none"/>
          <w:lang w:val="en-US" w:bidi="ar"/>
        </w:rPr>
        <w:t>③</w:t>
      </w:r>
      <w:r>
        <w:rPr>
          <w:rFonts w:hint="default" w:ascii="Times New Roman" w:hAnsi="Times New Roman" w:cs="Times New Roman"/>
          <w:snapToGrid w:val="0"/>
          <w:color w:val="auto"/>
          <w:sz w:val="24"/>
          <w:szCs w:val="24"/>
          <w:highlight w:val="none"/>
          <w:lang w:val="en-US" w:bidi="ar"/>
        </w:rPr>
        <w:fldChar w:fldCharType="end"/>
      </w:r>
      <w:r>
        <w:rPr>
          <w:rFonts w:hint="default" w:ascii="Times New Roman" w:hAnsi="Times New Roman" w:cs="Times New Roman"/>
          <w:snapToGrid w:val="0"/>
          <w:color w:val="auto"/>
          <w:sz w:val="24"/>
          <w:szCs w:val="24"/>
          <w:highlight w:val="none"/>
          <w:lang w:val="en-US" w:bidi="ar"/>
        </w:rPr>
        <w:t>其他建筑物及道路采取简单防渗，地面</w:t>
      </w:r>
      <w:r>
        <w:rPr>
          <w:rFonts w:hint="default" w:ascii="Times New Roman" w:hAnsi="Times New Roman" w:cs="Times New Roman"/>
          <w:snapToGrid w:val="0"/>
          <w:color w:val="auto"/>
          <w:sz w:val="24"/>
          <w:szCs w:val="24"/>
          <w:highlight w:val="none"/>
          <w:lang w:val="en-US" w:eastAsia="zh-CN" w:bidi="ar"/>
        </w:rPr>
        <w:t>均用水泥进行一般地面硬化。</w:t>
      </w:r>
    </w:p>
    <w:p w14:paraId="4CB8A9C1">
      <w:pPr>
        <w:spacing w:line="360" w:lineRule="auto"/>
        <w:ind w:firstLine="420"/>
        <w:jc w:val="both"/>
        <w:rPr>
          <w:rFonts w:hint="default" w:ascii="Times New Roman" w:hAnsi="Times New Roman" w:cs="Times New Roman"/>
          <w:snapToGrid w:val="0"/>
          <w:color w:val="auto"/>
          <w:kern w:val="0"/>
          <w:sz w:val="24"/>
          <w:szCs w:val="24"/>
          <w:highlight w:val="none"/>
          <w:lang w:val="en-US" w:eastAsia="zh-CN" w:bidi="ar"/>
        </w:rPr>
      </w:pPr>
      <w:r>
        <w:rPr>
          <w:rFonts w:hint="default" w:ascii="Times New Roman" w:hAnsi="Times New Roman" w:cs="Times New Roman"/>
          <w:snapToGrid w:val="0"/>
          <w:color w:val="auto"/>
          <w:sz w:val="24"/>
          <w:szCs w:val="24"/>
          <w:highlight w:val="none"/>
          <w:lang w:val="en-US" w:eastAsia="zh-CN" w:bidi="ar"/>
        </w:rPr>
        <w:t>④</w:t>
      </w:r>
      <w:r>
        <w:rPr>
          <w:rFonts w:hint="default" w:ascii="Times New Roman" w:hAnsi="Times New Roman" w:eastAsia="宋体" w:cs="Times New Roman"/>
          <w:snapToGrid w:val="0"/>
          <w:color w:val="auto"/>
          <w:kern w:val="0"/>
          <w:sz w:val="24"/>
          <w:szCs w:val="24"/>
          <w:highlight w:val="none"/>
          <w:lang w:val="en-US" w:eastAsia="zh-CN" w:bidi="ar"/>
        </w:rPr>
        <w:t>医疗废物暂存间应采取防风、防雨、防晒</w:t>
      </w:r>
      <w:r>
        <w:rPr>
          <w:rFonts w:hint="default" w:ascii="Times New Roman" w:hAnsi="Times New Roman" w:cs="Times New Roman"/>
          <w:snapToGrid w:val="0"/>
          <w:color w:val="auto"/>
          <w:kern w:val="0"/>
          <w:sz w:val="24"/>
          <w:szCs w:val="24"/>
          <w:highlight w:val="none"/>
          <w:lang w:val="en-US" w:eastAsia="zh-CN" w:bidi="ar"/>
        </w:rPr>
        <w:t>、防渗、防漏</w:t>
      </w:r>
      <w:r>
        <w:rPr>
          <w:rFonts w:hint="default" w:ascii="Times New Roman" w:hAnsi="Times New Roman" w:eastAsia="宋体" w:cs="Times New Roman"/>
          <w:snapToGrid w:val="0"/>
          <w:color w:val="auto"/>
          <w:kern w:val="0"/>
          <w:sz w:val="24"/>
          <w:szCs w:val="24"/>
          <w:highlight w:val="none"/>
          <w:lang w:val="en-US" w:eastAsia="zh-CN" w:bidi="ar"/>
        </w:rPr>
        <w:t>和防止危险废物流失、扬散等措施</w:t>
      </w:r>
      <w:r>
        <w:rPr>
          <w:rFonts w:hint="default" w:ascii="Times New Roman" w:hAnsi="Times New Roman" w:cs="Times New Roman"/>
          <w:snapToGrid w:val="0"/>
          <w:color w:val="auto"/>
          <w:kern w:val="0"/>
          <w:sz w:val="24"/>
          <w:szCs w:val="24"/>
          <w:highlight w:val="none"/>
          <w:lang w:val="en-US" w:eastAsia="zh-CN" w:bidi="ar"/>
        </w:rPr>
        <w:t>；</w:t>
      </w:r>
    </w:p>
    <w:p w14:paraId="61D0500F">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lang w:val="en-US" w:eastAsia="zh-CN"/>
        </w:rPr>
        <w:t>⑤</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等构筑物四周分别设置0.5m高围堰，防止夏季雨水汇入，导致污水溢流。</w:t>
      </w:r>
    </w:p>
    <w:p w14:paraId="731C3DD8">
      <w:pPr>
        <w:spacing w:line="360" w:lineRule="auto"/>
        <w:ind w:firstLine="420"/>
        <w:jc w:val="both"/>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rPr>
        <w:fldChar w:fldCharType="begin"/>
      </w:r>
      <w:r>
        <w:rPr>
          <w:rFonts w:hint="default" w:ascii="Times New Roman" w:hAnsi="Times New Roman" w:cs="Times New Roman"/>
          <w:snapToGrid w:val="0"/>
          <w:color w:val="auto"/>
          <w:highlight w:val="none"/>
        </w:rPr>
        <w:instrText xml:space="preserve"> = 6 \* GB3 </w:instrText>
      </w:r>
      <w:r>
        <w:rPr>
          <w:rFonts w:hint="default" w:ascii="Times New Roman" w:hAnsi="Times New Roman" w:cs="Times New Roman"/>
          <w:snapToGrid w:val="0"/>
          <w:color w:val="auto"/>
          <w:highlight w:val="none"/>
        </w:rPr>
        <w:fldChar w:fldCharType="separate"/>
      </w:r>
      <w:r>
        <w:rPr>
          <w:rFonts w:hint="default" w:ascii="Times New Roman" w:hAnsi="Times New Roman" w:cs="Times New Roman"/>
          <w:snapToGrid w:val="0"/>
          <w:color w:val="auto"/>
          <w:highlight w:val="none"/>
        </w:rPr>
        <w:t>⑥</w:t>
      </w:r>
      <w:r>
        <w:rPr>
          <w:rFonts w:hint="default" w:ascii="Times New Roman" w:hAnsi="Times New Roman" w:cs="Times New Roman"/>
          <w:snapToGrid w:val="0"/>
          <w:color w:val="auto"/>
          <w:highlight w:val="none"/>
        </w:rPr>
        <w:fldChar w:fldCharType="end"/>
      </w:r>
      <w:r>
        <w:rPr>
          <w:rFonts w:hint="default" w:ascii="Times New Roman" w:hAnsi="Times New Roman" w:cs="Times New Roman"/>
          <w:snapToGrid w:val="0"/>
          <w:color w:val="auto"/>
          <w:highlight w:val="none"/>
        </w:rPr>
        <w:t>《关于做好畜禽规模养殖项目环境影响评价管理工作的通知》(环办环评[2018]31 号)中要求，黑膜厌氧池应采取有效的防雨、防渗和防溢流措施，故本项目黑膜厌氧池需加盖，可有效的防止夏季雨水汇入，导致污水溢流</w:t>
      </w:r>
      <w:r>
        <w:rPr>
          <w:rFonts w:hint="default" w:ascii="Times New Roman" w:hAnsi="Times New Roman" w:cs="Times New Roman"/>
          <w:snapToGrid w:val="0"/>
          <w:color w:val="auto"/>
          <w:highlight w:val="none"/>
          <w:lang w:eastAsia="zh-CN"/>
        </w:rPr>
        <w:t>。</w:t>
      </w:r>
    </w:p>
    <w:p w14:paraId="060EC90B">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lang w:val="en-US" w:eastAsia="zh-CN"/>
        </w:rPr>
        <w:t>⑦</w:t>
      </w:r>
      <w:r>
        <w:rPr>
          <w:rFonts w:hint="default" w:ascii="Times New Roman" w:hAnsi="Times New Roman" w:cs="Times New Roman"/>
          <w:snapToGrid w:val="0"/>
          <w:color w:val="auto"/>
          <w:highlight w:val="none"/>
        </w:rPr>
        <w:t>加强管理，建立巡逻制度，定期对固液分离间、</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等地进行检查，及时发现问题，查找隐患，杜绝污染物的外排。</w:t>
      </w:r>
    </w:p>
    <w:p w14:paraId="3AEC386C">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lang w:val="en-US" w:eastAsia="zh-CN"/>
        </w:rPr>
        <w:t>⑧</w:t>
      </w:r>
      <w:r>
        <w:rPr>
          <w:rFonts w:hint="default" w:ascii="Times New Roman" w:hAnsi="Times New Roman" w:cs="Times New Roman"/>
          <w:snapToGrid w:val="0"/>
          <w:color w:val="auto"/>
          <w:highlight w:val="none"/>
        </w:rPr>
        <w:t>养殖场设置</w:t>
      </w:r>
      <w:r>
        <w:rPr>
          <w:rFonts w:hint="eastAsia" w:ascii="Times New Roman" w:hAnsi="Times New Roman" w:cs="Times New Roman"/>
          <w:snapToGrid w:val="0"/>
          <w:color w:val="auto"/>
          <w:highlight w:val="none"/>
          <w:lang w:eastAsia="zh-CN"/>
        </w:rPr>
        <w:t>地下水</w:t>
      </w:r>
      <w:r>
        <w:rPr>
          <w:rFonts w:hint="default" w:ascii="Times New Roman" w:hAnsi="Times New Roman" w:cs="Times New Roman"/>
          <w:snapToGrid w:val="0"/>
          <w:color w:val="auto"/>
          <w:highlight w:val="none"/>
        </w:rPr>
        <w:t>跟踪监控井，及时监控地下水环境。</w:t>
      </w:r>
    </w:p>
    <w:p w14:paraId="504FAA9E">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本项目对地下水的主要污染途径为废水渗透，在认真采取以上措施的基础上，一旦水泥硬化层发生断裂，由于防渗层的保护作用，废水不会对地下水源造成影响。</w:t>
      </w:r>
    </w:p>
    <w:p w14:paraId="25829200">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5.2.4声环境影响预测评价</w:t>
      </w:r>
      <w:bookmarkEnd w:id="738"/>
      <w:bookmarkEnd w:id="739"/>
      <w:bookmarkEnd w:id="740"/>
      <w:bookmarkEnd w:id="741"/>
    </w:p>
    <w:p w14:paraId="16097866">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1、噪声源强</w:t>
      </w:r>
    </w:p>
    <w:p w14:paraId="5C425317">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项目噪声源主要为水泵、风机、猪叫等，源强为</w:t>
      </w:r>
      <w:r>
        <w:rPr>
          <w:rFonts w:hint="eastAsia" w:ascii="Times New Roman" w:hAnsi="Times New Roman" w:cs="Times New Roman"/>
          <w:snapToGrid w:val="0"/>
          <w:color w:val="auto"/>
          <w:highlight w:val="none"/>
          <w:lang w:val="en-US" w:eastAsia="zh-CN"/>
        </w:rPr>
        <w:t>80~85</w:t>
      </w:r>
      <w:r>
        <w:rPr>
          <w:rFonts w:hint="default" w:ascii="Times New Roman" w:hAnsi="Times New Roman" w:eastAsia="宋体" w:cs="Times New Roman"/>
          <w:snapToGrid w:val="0"/>
          <w:color w:val="auto"/>
          <w:kern w:val="0"/>
          <w:sz w:val="24"/>
          <w:szCs w:val="24"/>
          <w:highlight w:val="none"/>
          <w:lang w:val="en-US" w:eastAsia="zh-CN" w:bidi="ar-SA"/>
        </w:rPr>
        <w:t>dB（A），噪声源强见表表3-5-19、表3-5-20。</w:t>
      </w:r>
    </w:p>
    <w:p w14:paraId="012A1559">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2、环境数据</w:t>
      </w:r>
    </w:p>
    <w:p w14:paraId="3E23DFE8">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 1 \* GB3 \* MERGEFORMAT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0"/>
          <w:sz w:val="24"/>
          <w:szCs w:val="24"/>
          <w:highlight w:val="none"/>
          <w:lang w:val="en-US" w:eastAsia="zh-CN" w:bidi="ar-SA"/>
        </w:rPr>
        <w:t>①</w:t>
      </w:r>
      <w:r>
        <w:rPr>
          <w:rFonts w:hint="default" w:ascii="Times New Roman" w:hAnsi="Times New Roman" w:eastAsia="宋体" w:cs="Times New Roman"/>
          <w:snapToGrid w:val="0"/>
          <w:color w:val="auto"/>
          <w:kern w:val="0"/>
          <w:sz w:val="24"/>
          <w:szCs w:val="24"/>
          <w:highlight w:val="none"/>
          <w:lang w:val="en-US" w:eastAsia="zh-CN" w:bidi="ar-SA"/>
        </w:rPr>
        <w:fldChar w:fldCharType="end"/>
      </w:r>
      <w:r>
        <w:rPr>
          <w:rFonts w:hint="default" w:ascii="Times New Roman" w:hAnsi="Times New Roman" w:eastAsia="宋体" w:cs="Times New Roman"/>
          <w:snapToGrid w:val="0"/>
          <w:color w:val="auto"/>
          <w:kern w:val="0"/>
          <w:sz w:val="24"/>
          <w:szCs w:val="24"/>
          <w:highlight w:val="none"/>
          <w:lang w:val="en-US" w:eastAsia="zh-CN" w:bidi="ar-SA"/>
        </w:rPr>
        <w:t>项目所在区域年平均风速3.5m/s，主导风向为西风，年平均气温3.2℃，年平均相对湿度67%，大气压强1atm；</w:t>
      </w:r>
    </w:p>
    <w:p w14:paraId="7F5CA79A">
      <w:pPr>
        <w:pStyle w:val="37"/>
        <w:adjustRightInd w:val="0"/>
        <w:snapToGrid w:val="0"/>
        <w:spacing w:line="360" w:lineRule="auto"/>
        <w:ind w:left="0"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 2 \* GB3 \* MERGEFORMAT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0"/>
          <w:sz w:val="24"/>
          <w:szCs w:val="24"/>
          <w:highlight w:val="none"/>
          <w:lang w:val="en-US" w:eastAsia="zh-CN" w:bidi="ar-SA"/>
        </w:rPr>
        <w:t>②</w:t>
      </w:r>
      <w:r>
        <w:rPr>
          <w:rFonts w:hint="default" w:ascii="Times New Roman" w:hAnsi="Times New Roman" w:eastAsia="宋体" w:cs="Times New Roman"/>
          <w:snapToGrid w:val="0"/>
          <w:color w:val="auto"/>
          <w:kern w:val="0"/>
          <w:sz w:val="24"/>
          <w:szCs w:val="24"/>
          <w:highlight w:val="none"/>
          <w:lang w:val="en-US" w:eastAsia="zh-CN" w:bidi="ar-SA"/>
        </w:rPr>
        <w:fldChar w:fldCharType="end"/>
      </w:r>
      <w:r>
        <w:rPr>
          <w:rFonts w:hint="default" w:ascii="Times New Roman" w:hAnsi="Times New Roman" w:eastAsia="宋体" w:cs="Times New Roman"/>
          <w:snapToGrid w:val="0"/>
          <w:color w:val="auto"/>
          <w:kern w:val="0"/>
          <w:sz w:val="24"/>
          <w:szCs w:val="24"/>
          <w:highlight w:val="none"/>
          <w:lang w:val="en-US" w:eastAsia="zh-CN" w:bidi="ar-SA"/>
        </w:rPr>
        <w:t>声源和预测点间的地形均为平原，高差为0；</w:t>
      </w:r>
    </w:p>
    <w:p w14:paraId="7044C016">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 3 \* GB3 \* MERGEFORMAT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0"/>
          <w:sz w:val="24"/>
          <w:szCs w:val="24"/>
          <w:highlight w:val="none"/>
          <w:lang w:val="en-US" w:eastAsia="zh-CN" w:bidi="ar-SA"/>
        </w:rPr>
        <w:t>③</w:t>
      </w:r>
      <w:r>
        <w:rPr>
          <w:rFonts w:hint="default" w:ascii="Times New Roman" w:hAnsi="Times New Roman" w:eastAsia="宋体" w:cs="Times New Roman"/>
          <w:snapToGrid w:val="0"/>
          <w:color w:val="auto"/>
          <w:kern w:val="0"/>
          <w:sz w:val="24"/>
          <w:szCs w:val="24"/>
          <w:highlight w:val="none"/>
          <w:lang w:val="en-US" w:eastAsia="zh-CN" w:bidi="ar-SA"/>
        </w:rPr>
        <w:fldChar w:fldCharType="end"/>
      </w:r>
      <w:r>
        <w:rPr>
          <w:rFonts w:hint="default" w:ascii="Times New Roman" w:hAnsi="Times New Roman" w:eastAsia="宋体" w:cs="Times New Roman"/>
          <w:snapToGrid w:val="0"/>
          <w:color w:val="auto"/>
          <w:kern w:val="0"/>
          <w:sz w:val="24"/>
          <w:szCs w:val="24"/>
          <w:highlight w:val="none"/>
          <w:lang w:val="en-US" w:eastAsia="zh-CN" w:bidi="ar-SA"/>
        </w:rPr>
        <w:t>声源和预测点间的障碍物主要为猪舍及各车间；</w:t>
      </w:r>
    </w:p>
    <w:p w14:paraId="7A5D7621">
      <w:pPr>
        <w:pStyle w:val="37"/>
        <w:adjustRightInd w:val="0"/>
        <w:snapToGrid w:val="0"/>
        <w:spacing w:line="360" w:lineRule="auto"/>
        <w:ind w:left="0"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 4 \* GB3 \* MERGEFORMAT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0"/>
          <w:sz w:val="24"/>
          <w:szCs w:val="24"/>
          <w:highlight w:val="none"/>
          <w:lang w:val="en-US" w:eastAsia="zh-CN" w:bidi="ar-SA"/>
        </w:rPr>
        <w:t>④</w:t>
      </w:r>
      <w:r>
        <w:rPr>
          <w:rFonts w:hint="default" w:ascii="Times New Roman" w:hAnsi="Times New Roman" w:eastAsia="宋体" w:cs="Times New Roman"/>
          <w:snapToGrid w:val="0"/>
          <w:color w:val="auto"/>
          <w:kern w:val="0"/>
          <w:sz w:val="24"/>
          <w:szCs w:val="24"/>
          <w:highlight w:val="none"/>
          <w:lang w:val="en-US" w:eastAsia="zh-CN" w:bidi="ar-SA"/>
        </w:rPr>
        <w:fldChar w:fldCharType="end"/>
      </w:r>
      <w:r>
        <w:rPr>
          <w:rFonts w:hint="default" w:ascii="Times New Roman" w:hAnsi="Times New Roman" w:eastAsia="宋体" w:cs="Times New Roman"/>
          <w:snapToGrid w:val="0"/>
          <w:color w:val="auto"/>
          <w:kern w:val="0"/>
          <w:sz w:val="24"/>
          <w:szCs w:val="24"/>
          <w:highlight w:val="none"/>
          <w:lang w:val="en-US" w:eastAsia="zh-CN" w:bidi="ar-SA"/>
        </w:rPr>
        <w:t>声源和预测点间无树林、灌木等分布，地面覆盖情况为水泥地面。</w:t>
      </w:r>
    </w:p>
    <w:p w14:paraId="7B6FD94E">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3、预测方法</w:t>
      </w:r>
    </w:p>
    <w:p w14:paraId="07AEA4D0">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根据《环境影响评价技术导则声环境》（HJ2.4-2021）的技术要求，本次评价采取导则上推荐模式。</w:t>
      </w:r>
    </w:p>
    <w:p w14:paraId="6F257C8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（1）基本计算公式</w:t>
      </w:r>
    </w:p>
    <w:p w14:paraId="593F2F21">
      <w:pPr>
        <w:spacing w:line="360" w:lineRule="auto"/>
        <w:ind w:firstLine="480" w:firstLineChars="200"/>
        <w:rPr>
          <w:rFonts w:hint="default" w:ascii="Times New Roman" w:hAnsi="Times New Roman" w:cs="Times New Roman"/>
          <w:color w:val="auto"/>
          <w:sz w:val="24"/>
          <w:highlight w:val="none"/>
        </w:rPr>
      </w:pPr>
      <w:bookmarkStart w:id="743" w:name="_Toc9163"/>
      <w:bookmarkStart w:id="744" w:name="_Toc13360"/>
      <w:r>
        <w:rPr>
          <w:rFonts w:hint="default" w:ascii="Times New Roman" w:hAnsi="Times New Roman" w:cs="Times New Roman"/>
          <w:color w:val="auto"/>
          <w:sz w:val="24"/>
          <w:highlight w:val="none"/>
        </w:rPr>
        <w:t>①单个室外点声源在预测点产生的声级计算公式</w:t>
      </w:r>
      <w:bookmarkEnd w:id="743"/>
      <w:bookmarkEnd w:id="744"/>
    </w:p>
    <w:p w14:paraId="1B49220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A、在环境影响评价中，应根据声源声功率级或参考位置处的</w:t>
      </w:r>
      <w:r>
        <w:rPr>
          <w:rFonts w:hint="default" w:ascii="Times New Roman" w:hAnsi="Times New Roman" w:cs="Times New Roman"/>
          <w:color w:val="auto"/>
          <w:sz w:val="24"/>
          <w:highlight w:val="none"/>
          <w:lang w:val="en-US" w:eastAsia="zh-CN"/>
        </w:rPr>
        <w:t>声压级</w:t>
      </w:r>
      <w:r>
        <w:rPr>
          <w:rFonts w:hint="default" w:ascii="Times New Roman" w:hAnsi="Times New Roman" w:cs="Times New Roman"/>
          <w:color w:val="auto"/>
          <w:sz w:val="24"/>
          <w:highlight w:val="none"/>
        </w:rPr>
        <w:t>、户外声传播衰减，计算预测点的声级。在已知距离无指向性点声源参考点r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处的倍频带（用63Hz到8KHz的8个标称倍频带中心频率）声压级LP(r0)和计算出参考点(r0)和预测点(r)处之间的户外声传播衰减后，预测点8个倍频带声压级可分别用下列公式计算：</w:t>
      </w:r>
    </w:p>
    <w:p w14:paraId="4DE88F66">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3127375" cy="240665"/>
            <wp:effectExtent l="0" t="0" r="15875" b="571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85"/>
                    <a:stretch>
                      <a:fillRect/>
                    </a:stretch>
                  </pic:blipFill>
                  <pic:spPr>
                    <a:xfrm>
                      <a:off x="0" y="0"/>
                      <a:ext cx="3127375" cy="240665"/>
                    </a:xfrm>
                    <a:prstGeom prst="rect">
                      <a:avLst/>
                    </a:prstGeom>
                    <a:noFill/>
                    <a:ln>
                      <a:noFill/>
                    </a:ln>
                  </pic:spPr>
                </pic:pic>
              </a:graphicData>
            </a:graphic>
          </wp:inline>
        </w:drawing>
      </w:r>
      <w:r>
        <w:rPr>
          <w:rFonts w:hint="default" w:ascii="Times New Roman" w:hAnsi="Times New Roman" w:cs="Times New Roman"/>
          <w:color w:val="auto"/>
          <w:sz w:val="24"/>
          <w:highlight w:val="none"/>
        </w:rPr>
        <w:t>……………（1）</w:t>
      </w:r>
    </w:p>
    <w:p w14:paraId="2C38B1B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公式中：</w:t>
      </w:r>
    </w:p>
    <w:p w14:paraId="4C9AAE98">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L</w:t>
      </w:r>
      <w:r>
        <w:rPr>
          <w:rFonts w:hint="default" w:ascii="Times New Roman" w:hAnsi="Times New Roman" w:cs="Times New Roman"/>
          <w:color w:val="auto"/>
          <w:sz w:val="24"/>
          <w:highlight w:val="none"/>
          <w:vertAlign w:val="subscript"/>
          <w:lang w:val="en-US" w:eastAsia="zh-CN"/>
        </w:rPr>
        <w:t>p</w:t>
      </w:r>
      <w:r>
        <w:rPr>
          <w:rFonts w:hint="default" w:ascii="Times New Roman" w:hAnsi="Times New Roman" w:cs="Times New Roman"/>
          <w:color w:val="auto"/>
          <w:sz w:val="24"/>
          <w:highlight w:val="none"/>
          <w:lang w:val="en-US" w:eastAsia="zh-CN"/>
        </w:rPr>
        <w:t>（r）</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预测点处声压级，dB；</w:t>
      </w:r>
    </w:p>
    <w:p w14:paraId="0552885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L</w:t>
      </w:r>
      <w:r>
        <w:rPr>
          <w:rFonts w:hint="default" w:ascii="Times New Roman" w:hAnsi="Times New Roman" w:cs="Times New Roman"/>
          <w:color w:val="auto"/>
          <w:sz w:val="24"/>
          <w:highlight w:val="none"/>
          <w:vertAlign w:val="subscript"/>
          <w:lang w:val="en-US" w:eastAsia="zh-CN"/>
        </w:rPr>
        <w:t>w</w:t>
      </w:r>
      <w:r>
        <w:rPr>
          <w:rFonts w:hint="default" w:ascii="Times New Roman" w:hAnsi="Times New Roman" w:cs="Times New Roman"/>
          <w:color w:val="auto"/>
          <w:sz w:val="24"/>
          <w:highlight w:val="none"/>
        </w:rPr>
        <w:t>——由点声源产生的声功率级（A计权或倍频带）</w:t>
      </w:r>
      <w:r>
        <w:rPr>
          <w:rFonts w:hint="default" w:ascii="Times New Roman" w:hAnsi="Times New Roman" w:cs="Times New Roman"/>
          <w:color w:val="auto"/>
          <w:sz w:val="24"/>
          <w:highlight w:val="none"/>
          <w:lang w:val="en-US" w:eastAsia="zh-CN"/>
        </w:rPr>
        <w:t>，dB；</w:t>
      </w:r>
    </w:p>
    <w:p w14:paraId="5D854B1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Dc——指向性校正</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它</w:t>
      </w:r>
      <w:r>
        <w:rPr>
          <w:rFonts w:hint="default" w:ascii="Times New Roman" w:hAnsi="Times New Roman" w:cs="Times New Roman"/>
          <w:color w:val="auto"/>
          <w:sz w:val="24"/>
          <w:highlight w:val="none"/>
        </w:rPr>
        <w:t>描述点声源的等效</w:t>
      </w:r>
      <w:r>
        <w:rPr>
          <w:rFonts w:hint="default" w:ascii="Times New Roman" w:hAnsi="Times New Roman" w:cs="Times New Roman"/>
          <w:color w:val="auto"/>
          <w:sz w:val="24"/>
          <w:highlight w:val="none"/>
          <w:lang w:val="en-US" w:eastAsia="zh-CN"/>
        </w:rPr>
        <w:t>连续</w:t>
      </w:r>
      <w:r>
        <w:rPr>
          <w:rFonts w:hint="default" w:ascii="Times New Roman" w:hAnsi="Times New Roman" w:cs="Times New Roman"/>
          <w:color w:val="auto"/>
          <w:sz w:val="24"/>
          <w:highlight w:val="none"/>
        </w:rPr>
        <w:t>声压级与产生声功率级Lw的全向点声源在规定方向的</w:t>
      </w:r>
      <w:r>
        <w:rPr>
          <w:rFonts w:hint="default" w:ascii="Times New Roman" w:hAnsi="Times New Roman" w:cs="Times New Roman"/>
          <w:color w:val="auto"/>
          <w:sz w:val="24"/>
          <w:highlight w:val="none"/>
          <w:lang w:val="en-US" w:eastAsia="zh-CN"/>
        </w:rPr>
        <w:t>声</w:t>
      </w:r>
      <w:r>
        <w:rPr>
          <w:rFonts w:hint="default" w:ascii="Times New Roman" w:hAnsi="Times New Roman" w:cs="Times New Roman"/>
          <w:color w:val="auto"/>
          <w:sz w:val="24"/>
          <w:highlight w:val="none"/>
        </w:rPr>
        <w:t>级的偏差程度，dB；</w:t>
      </w:r>
    </w:p>
    <w:p w14:paraId="762EA2F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Adiv——几何发散引起的衰减，dB；</w:t>
      </w:r>
    </w:p>
    <w:p w14:paraId="53A7B64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Aatm——大气吸收引起的衰减，dB；</w:t>
      </w:r>
    </w:p>
    <w:p w14:paraId="6FCEA19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Agr——地面效应引起的衰减，dB；</w:t>
      </w:r>
    </w:p>
    <w:p w14:paraId="5400ED0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Abar——</w:t>
      </w:r>
      <w:r>
        <w:rPr>
          <w:rFonts w:hint="default" w:ascii="Times New Roman" w:hAnsi="Times New Roman" w:cs="Times New Roman"/>
          <w:color w:val="auto"/>
          <w:sz w:val="24"/>
          <w:highlight w:val="none"/>
          <w:lang w:val="en-US" w:eastAsia="zh-CN"/>
        </w:rPr>
        <w:t>障碍物屏蔽</w:t>
      </w:r>
      <w:r>
        <w:rPr>
          <w:rFonts w:hint="default" w:ascii="Times New Roman" w:hAnsi="Times New Roman" w:cs="Times New Roman"/>
          <w:color w:val="auto"/>
          <w:sz w:val="24"/>
          <w:highlight w:val="none"/>
        </w:rPr>
        <w:t>引起的衰减，dB；</w:t>
      </w:r>
    </w:p>
    <w:p w14:paraId="5370143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Amisc——其他多方面效应引起的衰减，dB；</w:t>
      </w:r>
    </w:p>
    <w:p w14:paraId="00B4BCA6">
      <w:p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B、预测点的A声级L</w:t>
      </w:r>
      <w:r>
        <w:rPr>
          <w:rFonts w:hint="default" w:ascii="Times New Roman" w:hAnsi="Times New Roman" w:cs="Times New Roman"/>
          <w:color w:val="auto"/>
          <w:sz w:val="24"/>
          <w:highlight w:val="none"/>
          <w:vertAlign w:val="subscript"/>
        </w:rPr>
        <w:t>A</w:t>
      </w:r>
      <w:r>
        <w:rPr>
          <w:rFonts w:hint="default" w:ascii="Times New Roman" w:hAnsi="Times New Roman" w:cs="Times New Roman"/>
          <w:color w:val="auto"/>
          <w:sz w:val="24"/>
          <w:highlight w:val="none"/>
        </w:rPr>
        <w:t>(r)可按下列公式计算，即将8个倍频带声压级合成，计算出预测点的A声级（LA(r)）</w:t>
      </w:r>
      <w:r>
        <w:rPr>
          <w:rFonts w:hint="default" w:ascii="Times New Roman" w:hAnsi="Times New Roman" w:cs="Times New Roman"/>
          <w:color w:val="auto"/>
          <w:sz w:val="24"/>
          <w:highlight w:val="none"/>
          <w:lang w:eastAsia="zh-CN"/>
        </w:rPr>
        <w:t>。</w:t>
      </w:r>
    </w:p>
    <w:p w14:paraId="7D1B3963">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2619375" cy="695325"/>
            <wp:effectExtent l="0" t="0" r="9525" b="952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86"/>
                    <a:stretch>
                      <a:fillRect/>
                    </a:stretch>
                  </pic:blipFill>
                  <pic:spPr>
                    <a:xfrm>
                      <a:off x="0" y="0"/>
                      <a:ext cx="2619375" cy="695325"/>
                    </a:xfrm>
                    <a:prstGeom prst="rect">
                      <a:avLst/>
                    </a:prstGeom>
                    <a:noFill/>
                    <a:ln>
                      <a:noFill/>
                    </a:ln>
                  </pic:spPr>
                </pic:pic>
              </a:graphicData>
            </a:graphic>
          </wp:inline>
        </w:drawing>
      </w:r>
      <w:r>
        <w:rPr>
          <w:rFonts w:hint="default" w:ascii="Times New Roman" w:hAnsi="Times New Roman" w:cs="Times New Roman"/>
          <w:color w:val="auto"/>
          <w:sz w:val="24"/>
          <w:highlight w:val="none"/>
        </w:rPr>
        <w:t>…………………（2）</w:t>
      </w:r>
    </w:p>
    <w:p w14:paraId="4C07E7F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5F5A38DF">
      <w:pPr>
        <w:spacing w:line="360" w:lineRule="auto"/>
        <w:ind w:firstLine="480" w:firstLineChars="200"/>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lang w:val="en-US" w:eastAsia="zh-CN"/>
        </w:rPr>
        <w:t>L</w:t>
      </w:r>
      <w:r>
        <w:rPr>
          <w:rFonts w:hint="default" w:ascii="Times New Roman" w:hAnsi="Times New Roman" w:cs="Times New Roman"/>
          <w:color w:val="auto"/>
          <w:sz w:val="24"/>
          <w:highlight w:val="none"/>
          <w:vertAlign w:val="subscript"/>
          <w:lang w:val="en-US" w:eastAsia="zh-CN"/>
        </w:rPr>
        <w:t>A</w:t>
      </w:r>
      <w:r>
        <w:rPr>
          <w:rFonts w:hint="default" w:ascii="Times New Roman" w:hAnsi="Times New Roman" w:cs="Times New Roman"/>
          <w:color w:val="auto"/>
          <w:sz w:val="24"/>
          <w:highlight w:val="none"/>
          <w:vertAlign w:val="baseline"/>
          <w:lang w:val="en-US" w:eastAsia="zh-CN"/>
        </w:rPr>
        <w:t>（r）</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距声源r处的A声级，dB（A）；</w:t>
      </w:r>
    </w:p>
    <w:p w14:paraId="6F93474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Pi</w:t>
      </w:r>
      <w:r>
        <w:rPr>
          <w:rFonts w:hint="default" w:ascii="Times New Roman" w:hAnsi="Times New Roman" w:cs="Times New Roman"/>
          <w:color w:val="auto"/>
          <w:sz w:val="24"/>
          <w:highlight w:val="none"/>
        </w:rPr>
        <w:t>(r)——预测点（r）处，第i倍频带声压级，dB；</w:t>
      </w:r>
    </w:p>
    <w:p w14:paraId="298CD68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ΔLi——第i倍频带的A计权网络修正值</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dB</w:t>
      </w:r>
      <w:r>
        <w:rPr>
          <w:rFonts w:hint="default" w:ascii="Times New Roman" w:hAnsi="Times New Roman" w:cs="Times New Roman"/>
          <w:color w:val="auto"/>
          <w:sz w:val="24"/>
          <w:highlight w:val="none"/>
        </w:rPr>
        <w:t>。</w:t>
      </w:r>
    </w:p>
    <w:p w14:paraId="65101DAE">
      <w:pPr>
        <w:spacing w:line="360" w:lineRule="auto"/>
        <w:ind w:firstLine="480" w:firstLineChars="200"/>
        <w:rPr>
          <w:rFonts w:hint="default" w:ascii="Times New Roman" w:hAnsi="Times New Roman" w:cs="Times New Roman"/>
          <w:color w:val="auto"/>
          <w:sz w:val="24"/>
          <w:highlight w:val="none"/>
        </w:rPr>
      </w:pPr>
      <w:bookmarkStart w:id="745" w:name="_Toc1166"/>
      <w:bookmarkStart w:id="746" w:name="_Toc1797"/>
      <w:r>
        <w:rPr>
          <w:rFonts w:hint="default" w:ascii="Times New Roman" w:hAnsi="Times New Roman" w:cs="Times New Roman"/>
          <w:color w:val="auto"/>
          <w:sz w:val="24"/>
          <w:highlight w:val="none"/>
        </w:rPr>
        <w:t>②室内声源等效室外声源声功率计算公式</w:t>
      </w:r>
      <w:bookmarkEnd w:id="745"/>
      <w:bookmarkEnd w:id="746"/>
    </w:p>
    <w:p w14:paraId="3196481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声源位于室内，室内声源可采用等效室外声源声功率级法进行计算。设靠近开口处（或窗户）室内、室外某倍频带的声压级分别为Lp1和Lp2。若声源所在室内声场为近似扩散声场。则室外</w:t>
      </w:r>
      <w:r>
        <w:rPr>
          <w:rFonts w:hint="default" w:ascii="Times New Roman" w:hAnsi="Times New Roman" w:cs="Times New Roman"/>
          <w:color w:val="auto"/>
          <w:sz w:val="24"/>
          <w:highlight w:val="none"/>
          <w:lang w:val="en-US" w:eastAsia="zh-CN"/>
        </w:rPr>
        <w:t>的</w:t>
      </w:r>
      <w:r>
        <w:rPr>
          <w:rFonts w:hint="default" w:ascii="Times New Roman" w:hAnsi="Times New Roman" w:cs="Times New Roman"/>
          <w:color w:val="auto"/>
          <w:sz w:val="24"/>
          <w:highlight w:val="none"/>
        </w:rPr>
        <w:t>倍频带的声压级公式为：</w:t>
      </w:r>
    </w:p>
    <w:p w14:paraId="56241C0A">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257300" cy="239395"/>
            <wp:effectExtent l="0" t="0" r="0" b="698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87"/>
                    <a:stretch>
                      <a:fillRect/>
                    </a:stretch>
                  </pic:blipFill>
                  <pic:spPr>
                    <a:xfrm>
                      <a:off x="0" y="0"/>
                      <a:ext cx="1257300" cy="239395"/>
                    </a:xfrm>
                    <a:prstGeom prst="rect">
                      <a:avLst/>
                    </a:prstGeom>
                    <a:noFill/>
                    <a:ln>
                      <a:noFill/>
                    </a:ln>
                  </pic:spPr>
                </pic:pic>
              </a:graphicData>
            </a:graphic>
          </wp:inline>
        </w:drawing>
      </w:r>
      <w:r>
        <w:rPr>
          <w:rFonts w:hint="default" w:ascii="Times New Roman" w:hAnsi="Times New Roman" w:cs="Times New Roman"/>
          <w:color w:val="auto"/>
          <w:sz w:val="24"/>
          <w:highlight w:val="none"/>
        </w:rPr>
        <w:t>…………………………（3）</w:t>
      </w:r>
    </w:p>
    <w:p w14:paraId="6F51105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537F6F1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p1</w:t>
      </w:r>
      <w:r>
        <w:rPr>
          <w:rFonts w:hint="default" w:ascii="Times New Roman" w:hAnsi="Times New Roman" w:cs="Times New Roman"/>
          <w:color w:val="auto"/>
          <w:sz w:val="24"/>
          <w:highlight w:val="none"/>
        </w:rPr>
        <w:t>——靠近开口处（或窗户）室内某倍频带的声压级或A声级，dB</w:t>
      </w:r>
      <w:r>
        <w:rPr>
          <w:rFonts w:hint="default" w:ascii="Times New Roman" w:hAnsi="Times New Roman" w:cs="Times New Roman"/>
          <w:color w:val="auto"/>
          <w:sz w:val="24"/>
          <w:highlight w:val="none"/>
          <w:lang w:eastAsia="zh-CN"/>
        </w:rPr>
        <w:t>；</w:t>
      </w:r>
    </w:p>
    <w:p w14:paraId="757B5B9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p2</w:t>
      </w:r>
      <w:r>
        <w:rPr>
          <w:rFonts w:hint="default" w:ascii="Times New Roman" w:hAnsi="Times New Roman" w:cs="Times New Roman"/>
          <w:color w:val="auto"/>
          <w:sz w:val="24"/>
          <w:highlight w:val="none"/>
        </w:rPr>
        <w:t>——靠近开口处（或窗户）室外某倍频带的声压级或A声级，dB</w:t>
      </w:r>
      <w:r>
        <w:rPr>
          <w:rFonts w:hint="default" w:ascii="Times New Roman" w:hAnsi="Times New Roman" w:cs="Times New Roman"/>
          <w:color w:val="auto"/>
          <w:sz w:val="24"/>
          <w:highlight w:val="none"/>
          <w:lang w:eastAsia="zh-CN"/>
        </w:rPr>
        <w:t>；</w:t>
      </w:r>
    </w:p>
    <w:p w14:paraId="734EF40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TL——隔墙（或窗户）倍频带</w:t>
      </w:r>
      <w:r>
        <w:rPr>
          <w:rFonts w:hint="default" w:ascii="Times New Roman" w:hAnsi="Times New Roman" w:cs="Times New Roman"/>
          <w:color w:val="auto"/>
          <w:sz w:val="24"/>
          <w:highlight w:val="none"/>
          <w:lang w:val="en-US" w:eastAsia="zh-CN"/>
        </w:rPr>
        <w:t>或A声级</w:t>
      </w:r>
      <w:r>
        <w:rPr>
          <w:rFonts w:hint="default" w:ascii="Times New Roman" w:hAnsi="Times New Roman" w:cs="Times New Roman"/>
          <w:color w:val="auto"/>
          <w:sz w:val="24"/>
          <w:highlight w:val="none"/>
        </w:rPr>
        <w:t>的隔声量，dB；</w:t>
      </w:r>
    </w:p>
    <w:p w14:paraId="330FAC5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计算某一室内声源靠近围护结构处产生的倍频带声压级公式：</w:t>
      </w:r>
    </w:p>
    <w:p w14:paraId="05E91058">
      <w:pPr>
        <w:spacing w:line="360" w:lineRule="auto"/>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785620" cy="390525"/>
            <wp:effectExtent l="0" t="0" r="0" b="8890"/>
            <wp:docPr id="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
                    <pic:cNvPicPr>
                      <a:picLocks noChangeAspect="1"/>
                    </pic:cNvPicPr>
                  </pic:nvPicPr>
                  <pic:blipFill>
                    <a:blip r:embed="rId88"/>
                    <a:stretch>
                      <a:fillRect/>
                    </a:stretch>
                  </pic:blipFill>
                  <pic:spPr>
                    <a:xfrm>
                      <a:off x="0" y="0"/>
                      <a:ext cx="1785620"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………………………（4）</w:t>
      </w:r>
    </w:p>
    <w:p w14:paraId="3E2E928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17D6B7D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p1</w:t>
      </w:r>
      <w:r>
        <w:rPr>
          <w:rFonts w:hint="default" w:ascii="Times New Roman" w:hAnsi="Times New Roman" w:cs="Times New Roman"/>
          <w:color w:val="auto"/>
          <w:sz w:val="24"/>
          <w:highlight w:val="none"/>
        </w:rPr>
        <w:t>——靠近开口处（或窗户）室内某倍频带的声压级或A声级，dB；</w:t>
      </w:r>
    </w:p>
    <w:p w14:paraId="72A4385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Lw——点声源声功率级（A计权或倍频带），dB；</w:t>
      </w:r>
    </w:p>
    <w:p w14:paraId="0CA978F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Q——指向性因子；通常对无指向性声源，当声源放在房间中心时，Q=1；当放在一面墙的中心时，Q=2；当放在两面墙夹角处时，Q=4；当放在三面墙夹角处时，Q=8；</w:t>
      </w:r>
    </w:p>
    <w:p w14:paraId="0410084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R——房间常数；</w:t>
      </w:r>
    </w:p>
    <w:p w14:paraId="78F1CFA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r——声源到靠近围护结构某点处的距离，m。</w:t>
      </w:r>
    </w:p>
    <w:p w14:paraId="25D2146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由上式可知，所有室内声源在围护结构处产生的i倍频带叠加声压级公式：</w:t>
      </w:r>
    </w:p>
    <w:p w14:paraId="487BDE16">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760855" cy="457200"/>
            <wp:effectExtent l="0" t="0" r="0" b="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89"/>
                    <a:stretch>
                      <a:fillRect/>
                    </a:stretch>
                  </pic:blipFill>
                  <pic:spPr>
                    <a:xfrm>
                      <a:off x="0" y="0"/>
                      <a:ext cx="1760855" cy="457200"/>
                    </a:xfrm>
                    <a:prstGeom prst="rect">
                      <a:avLst/>
                    </a:prstGeom>
                    <a:noFill/>
                    <a:ln>
                      <a:noFill/>
                    </a:ln>
                  </pic:spPr>
                </pic:pic>
              </a:graphicData>
            </a:graphic>
          </wp:inline>
        </w:drawing>
      </w:r>
      <w:r>
        <w:rPr>
          <w:rFonts w:hint="default" w:ascii="Times New Roman" w:hAnsi="Times New Roman" w:cs="Times New Roman"/>
          <w:color w:val="auto"/>
          <w:sz w:val="24"/>
          <w:highlight w:val="none"/>
        </w:rPr>
        <w:t>…………………………（5）</w:t>
      </w:r>
    </w:p>
    <w:p w14:paraId="071CFC3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337BF26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p1i（T）</w:t>
      </w:r>
      <w:r>
        <w:rPr>
          <w:rFonts w:hint="default" w:ascii="Times New Roman" w:hAnsi="Times New Roman" w:cs="Times New Roman"/>
          <w:color w:val="auto"/>
          <w:sz w:val="24"/>
          <w:highlight w:val="none"/>
        </w:rPr>
        <w:t>——靠近维护结构室内N个声源i倍频带的叠加声压级，dB；</w:t>
      </w:r>
    </w:p>
    <w:p w14:paraId="2D5B9A5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p1ij</w:t>
      </w:r>
      <w:r>
        <w:rPr>
          <w:rFonts w:hint="default" w:ascii="Times New Roman" w:hAnsi="Times New Roman" w:cs="Times New Roman"/>
          <w:color w:val="auto"/>
          <w:sz w:val="24"/>
          <w:highlight w:val="none"/>
        </w:rPr>
        <w:t>——室内j声源i倍频带的声压级，dB；</w:t>
      </w:r>
    </w:p>
    <w:p w14:paraId="583F554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N——室内声源总数。</w:t>
      </w:r>
    </w:p>
    <w:p w14:paraId="6EADB37B">
      <w:pPr>
        <w:spacing w:line="360" w:lineRule="auto"/>
        <w:ind w:firstLine="480" w:firstLineChars="200"/>
        <w:rPr>
          <w:rFonts w:hint="default" w:ascii="Times New Roman" w:hAnsi="Times New Roman" w:cs="Times New Roman"/>
          <w:color w:val="auto"/>
          <w:sz w:val="24"/>
          <w:highlight w:val="none"/>
        </w:rPr>
      </w:pPr>
      <w:bookmarkStart w:id="747" w:name="_Toc13636"/>
      <w:bookmarkStart w:id="748" w:name="_Toc984"/>
      <w:r>
        <w:rPr>
          <w:rFonts w:hint="default" w:ascii="Times New Roman" w:hAnsi="Times New Roman" w:cs="Times New Roman"/>
          <w:color w:val="auto"/>
          <w:sz w:val="24"/>
          <w:highlight w:val="none"/>
        </w:rPr>
        <w:t>③靠近声源处的预测点预测模式</w:t>
      </w:r>
      <w:bookmarkEnd w:id="747"/>
      <w:bookmarkEnd w:id="748"/>
    </w:p>
    <w:p w14:paraId="0A9AE6C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如预测点在靠近声源处，但不能满足声源条件时，需按线声源或面生源模式计算。</w:t>
      </w:r>
    </w:p>
    <w:p w14:paraId="289B9A81">
      <w:pPr>
        <w:spacing w:line="360" w:lineRule="auto"/>
        <w:ind w:firstLine="480" w:firstLineChars="200"/>
        <w:rPr>
          <w:rFonts w:hint="default" w:ascii="Times New Roman" w:hAnsi="Times New Roman" w:cs="Times New Roman"/>
          <w:color w:val="auto"/>
          <w:sz w:val="24"/>
          <w:highlight w:val="none"/>
        </w:rPr>
      </w:pPr>
      <w:bookmarkStart w:id="749" w:name="_Toc1304"/>
      <w:bookmarkStart w:id="750" w:name="_Toc1424"/>
      <w:r>
        <w:rPr>
          <w:rFonts w:hint="default" w:ascii="Times New Roman" w:hAnsi="Times New Roman" w:cs="Times New Roman"/>
          <w:color w:val="auto"/>
          <w:sz w:val="24"/>
          <w:highlight w:val="none"/>
        </w:rPr>
        <w:t>④噪声贡献值计算</w:t>
      </w:r>
      <w:bookmarkEnd w:id="749"/>
      <w:bookmarkEnd w:id="750"/>
    </w:p>
    <w:p w14:paraId="35665E8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声源对预测点产生的贡献值（Leqg）公式为</w:t>
      </w:r>
    </w:p>
    <w:p w14:paraId="556186B2">
      <w:pPr>
        <w:spacing w:line="360" w:lineRule="auto"/>
        <w:ind w:firstLine="6720" w:firstLineChars="2800"/>
        <w:jc w:val="right"/>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anchor distT="0" distB="0" distL="114300" distR="114300" simplePos="0" relativeHeight="251662336" behindDoc="0" locked="0" layoutInCell="1" allowOverlap="1">
            <wp:simplePos x="0" y="0"/>
            <wp:positionH relativeFrom="column">
              <wp:posOffset>1257300</wp:posOffset>
            </wp:positionH>
            <wp:positionV relativeFrom="paragraph">
              <wp:posOffset>-45720</wp:posOffset>
            </wp:positionV>
            <wp:extent cx="2933065" cy="457200"/>
            <wp:effectExtent l="0" t="0" r="635" b="0"/>
            <wp:wrapNone/>
            <wp:docPr id="84"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06"/>
                    <pic:cNvPicPr>
                      <a:picLocks noChangeAspect="1"/>
                    </pic:cNvPicPr>
                  </pic:nvPicPr>
                  <pic:blipFill>
                    <a:blip r:embed="rId90"/>
                    <a:stretch>
                      <a:fillRect/>
                    </a:stretch>
                  </pic:blipFill>
                  <pic:spPr>
                    <a:xfrm>
                      <a:off x="0" y="0"/>
                      <a:ext cx="2933065" cy="457200"/>
                    </a:xfrm>
                    <a:prstGeom prst="rect">
                      <a:avLst/>
                    </a:prstGeom>
                    <a:noFill/>
                    <a:ln>
                      <a:noFill/>
                    </a:ln>
                  </pic:spPr>
                </pic:pic>
              </a:graphicData>
            </a:graphic>
          </wp:anchor>
        </w:drawing>
      </w:r>
      <w:r>
        <w:rPr>
          <w:rFonts w:hint="default" w:ascii="Times New Roman" w:hAnsi="Times New Roman" w:cs="Times New Roman"/>
          <w:color w:val="auto"/>
          <w:sz w:val="24"/>
          <w:highlight w:val="none"/>
        </w:rPr>
        <w:t>……（6）</w:t>
      </w:r>
    </w:p>
    <w:p w14:paraId="024DE1F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06B94B5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Leqg—建设项目声源在预测点产生的噪声贡献值，dB；</w:t>
      </w:r>
    </w:p>
    <w:p w14:paraId="21686E1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T—用于计算等效声级的时间，s；</w:t>
      </w:r>
    </w:p>
    <w:p w14:paraId="0084D60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N—室外声源个数；</w:t>
      </w:r>
    </w:p>
    <w:p w14:paraId="29E035B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t—在T时间内i声源工作时间，s；</w:t>
      </w:r>
    </w:p>
    <w:p w14:paraId="7609744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M—等效室外声源个数；</w:t>
      </w:r>
    </w:p>
    <w:p w14:paraId="2CC8E90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t—在T时间内j声源工作时间，s。</w:t>
      </w:r>
    </w:p>
    <w:p w14:paraId="761691D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（2）传播衰减公式</w:t>
      </w:r>
    </w:p>
    <w:p w14:paraId="7EBE0DFD">
      <w:pPr>
        <w:spacing w:line="360" w:lineRule="auto"/>
        <w:ind w:firstLine="480" w:firstLineChars="200"/>
        <w:rPr>
          <w:rFonts w:hint="default" w:ascii="Times New Roman" w:hAnsi="Times New Roman" w:cs="Times New Roman"/>
          <w:color w:val="auto"/>
          <w:sz w:val="24"/>
          <w:highlight w:val="none"/>
        </w:rPr>
      </w:pPr>
      <w:bookmarkStart w:id="751" w:name="_Toc21277"/>
      <w:bookmarkStart w:id="752" w:name="_Toc6926"/>
      <w:r>
        <w:rPr>
          <w:rFonts w:hint="default" w:ascii="Times New Roman" w:hAnsi="Times New Roman" w:cs="Times New Roman"/>
          <w:color w:val="auto"/>
          <w:sz w:val="24"/>
          <w:highlight w:val="none"/>
        </w:rPr>
        <w:t>①几何发散衰减(Adiv)</w:t>
      </w:r>
      <w:bookmarkEnd w:id="751"/>
      <w:bookmarkEnd w:id="752"/>
    </w:p>
    <w:p w14:paraId="019EA5B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A、点声源的几何发散衰减</w:t>
      </w:r>
    </w:p>
    <w:p w14:paraId="6FC3FE9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无指向性点声源几何发散衰减的基本公式是</w:t>
      </w:r>
    </w:p>
    <w:p w14:paraId="184138EA">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732280" cy="192405"/>
            <wp:effectExtent l="0" t="0" r="1270" b="17145"/>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91"/>
                    <a:stretch>
                      <a:fillRect/>
                    </a:stretch>
                  </pic:blipFill>
                  <pic:spPr>
                    <a:xfrm>
                      <a:off x="0" y="0"/>
                      <a:ext cx="1732280" cy="192405"/>
                    </a:xfrm>
                    <a:prstGeom prst="rect">
                      <a:avLst/>
                    </a:prstGeom>
                    <a:noFill/>
                    <a:ln>
                      <a:noFill/>
                    </a:ln>
                  </pic:spPr>
                </pic:pic>
              </a:graphicData>
            </a:graphic>
          </wp:inline>
        </w:drawing>
      </w:r>
      <w:r>
        <w:rPr>
          <w:rFonts w:hint="default" w:ascii="Times New Roman" w:hAnsi="Times New Roman" w:cs="Times New Roman"/>
          <w:color w:val="auto"/>
          <w:sz w:val="24"/>
          <w:highlight w:val="none"/>
        </w:rPr>
        <w:t>…………………………………（7）</w:t>
      </w:r>
    </w:p>
    <w:p w14:paraId="4BB7F2D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公示（4）中第二项表示了点声源的几何发散衰减：</w:t>
      </w:r>
    </w:p>
    <w:p w14:paraId="331DAD01">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057910" cy="240665"/>
            <wp:effectExtent l="0" t="0" r="8890" b="6350"/>
            <wp:docPr id="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
                    <pic:cNvPicPr>
                      <a:picLocks noChangeAspect="1"/>
                    </pic:cNvPicPr>
                  </pic:nvPicPr>
                  <pic:blipFill>
                    <a:blip r:embed="rId92"/>
                    <a:stretch>
                      <a:fillRect/>
                    </a:stretch>
                  </pic:blipFill>
                  <pic:spPr>
                    <a:xfrm>
                      <a:off x="0" y="0"/>
                      <a:ext cx="1057910" cy="240665"/>
                    </a:xfrm>
                    <a:prstGeom prst="rect">
                      <a:avLst/>
                    </a:prstGeom>
                    <a:noFill/>
                    <a:ln>
                      <a:noFill/>
                    </a:ln>
                  </pic:spPr>
                </pic:pic>
              </a:graphicData>
            </a:graphic>
          </wp:inline>
        </w:drawing>
      </w:r>
      <w:r>
        <w:rPr>
          <w:rFonts w:hint="default" w:ascii="Times New Roman" w:hAnsi="Times New Roman" w:cs="Times New Roman"/>
          <w:color w:val="auto"/>
          <w:sz w:val="24"/>
          <w:highlight w:val="none"/>
        </w:rPr>
        <w:t xml:space="preserve"> ………………………………………（8）</w:t>
      </w:r>
    </w:p>
    <w:p w14:paraId="6CAB720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如果已知点声源的倍频带声功率级Lw或A声功率级（L</w:t>
      </w:r>
      <w:r>
        <w:rPr>
          <w:rFonts w:hint="default" w:ascii="Times New Roman" w:hAnsi="Times New Roman" w:cs="Times New Roman"/>
          <w:color w:val="auto"/>
          <w:sz w:val="24"/>
          <w:highlight w:val="none"/>
          <w:vertAlign w:val="subscript"/>
        </w:rPr>
        <w:t>AW</w:t>
      </w:r>
      <w:r>
        <w:rPr>
          <w:rFonts w:hint="default" w:ascii="Times New Roman" w:hAnsi="Times New Roman" w:cs="Times New Roman"/>
          <w:color w:val="auto"/>
          <w:sz w:val="24"/>
          <w:highlight w:val="none"/>
        </w:rPr>
        <w:t>），且声源处于自由声场，则公式（4）等效为下列公式：</w:t>
      </w:r>
    </w:p>
    <w:p w14:paraId="6C5D21C4">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539240" cy="192405"/>
            <wp:effectExtent l="0" t="0" r="3810" b="17145"/>
            <wp:docPr id="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3"/>
                    <pic:cNvPicPr>
                      <a:picLocks noChangeAspect="1"/>
                    </pic:cNvPicPr>
                  </pic:nvPicPr>
                  <pic:blipFill>
                    <a:blip r:embed="rId93"/>
                    <a:stretch>
                      <a:fillRect/>
                    </a:stretch>
                  </pic:blipFill>
                  <pic:spPr>
                    <a:xfrm>
                      <a:off x="0" y="0"/>
                      <a:ext cx="1539240" cy="192405"/>
                    </a:xfrm>
                    <a:prstGeom prst="rect">
                      <a:avLst/>
                    </a:prstGeom>
                    <a:noFill/>
                    <a:ln>
                      <a:noFill/>
                    </a:ln>
                  </pic:spPr>
                </pic:pic>
              </a:graphicData>
            </a:graphic>
          </wp:inline>
        </w:drawing>
      </w:r>
      <w:r>
        <w:rPr>
          <w:rFonts w:hint="default" w:ascii="Times New Roman" w:hAnsi="Times New Roman" w:cs="Times New Roman"/>
          <w:color w:val="auto"/>
          <w:sz w:val="24"/>
          <w:highlight w:val="none"/>
        </w:rPr>
        <w:t>……………………………（9）</w:t>
      </w:r>
    </w:p>
    <w:p w14:paraId="0CF6B6BA">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636395" cy="192405"/>
            <wp:effectExtent l="0" t="0" r="1905" b="17145"/>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1"/>
                    </pic:cNvPicPr>
                  </pic:nvPicPr>
                  <pic:blipFill>
                    <a:blip r:embed="rId94"/>
                    <a:stretch>
                      <a:fillRect/>
                    </a:stretch>
                  </pic:blipFill>
                  <pic:spPr>
                    <a:xfrm>
                      <a:off x="0" y="0"/>
                      <a:ext cx="1636395" cy="192405"/>
                    </a:xfrm>
                    <a:prstGeom prst="rect">
                      <a:avLst/>
                    </a:prstGeom>
                    <a:noFill/>
                    <a:ln>
                      <a:noFill/>
                    </a:ln>
                  </pic:spPr>
                </pic:pic>
              </a:graphicData>
            </a:graphic>
          </wp:inline>
        </w:drawing>
      </w:r>
      <w:r>
        <w:rPr>
          <w:rFonts w:hint="default" w:ascii="Times New Roman" w:hAnsi="Times New Roman" w:cs="Times New Roman"/>
          <w:color w:val="auto"/>
          <w:sz w:val="24"/>
          <w:highlight w:val="none"/>
        </w:rPr>
        <w:t>……………………………（10）</w:t>
      </w:r>
    </w:p>
    <w:p w14:paraId="2B56C6E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反射体引起的修正(ΔLr)</w:t>
      </w:r>
    </w:p>
    <w:p w14:paraId="4D85958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当点声源与预测点处在反射体同侧附近时，到达预测点的声级是直达声与反射声叠加的结果，从而使预测点声级增高。</w:t>
      </w:r>
    </w:p>
    <w:p w14:paraId="43D9EF5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当满足下列条件时，需考虑反射体引起的声级增高：</w:t>
      </w:r>
    </w:p>
    <w:p w14:paraId="6C567C3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a.反射体表面平整光滑，坚硬的。</w:t>
      </w:r>
    </w:p>
    <w:p w14:paraId="37A3377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b.反射体尺寸远远大于所有声波波长λ。</w:t>
      </w:r>
    </w:p>
    <w:p w14:paraId="6BDD8E4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c.入射角θ＜85º。</w:t>
      </w:r>
    </w:p>
    <w:p w14:paraId="15495B5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rr-rd&gt;&gt;λ反射引起的修正量ΔLr与rr/rd有关（rr=IP、rd=SP），可按下表</w:t>
      </w:r>
    </w:p>
    <w:p w14:paraId="3D47167B">
      <w:pPr>
        <w:spacing w:line="360" w:lineRule="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计算</w:t>
      </w:r>
      <w:r>
        <w:rPr>
          <w:rFonts w:hint="default" w:ascii="Times New Roman" w:hAnsi="Times New Roman" w:cs="Times New Roman"/>
          <w:color w:val="auto"/>
          <w:sz w:val="24"/>
          <w:highlight w:val="none"/>
          <w:lang w:eastAsia="zh-CN"/>
        </w:rPr>
        <w:t>：</w:t>
      </w:r>
    </w:p>
    <w:p w14:paraId="2EE539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反射体引起的修正量</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58"/>
        <w:gridCol w:w="4258"/>
      </w:tblGrid>
      <w:tr w14:paraId="28F95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25428082">
            <w:pPr>
              <w:adjustRightInd w:val="0"/>
              <w:snapToGrid w:val="0"/>
              <w:spacing w:line="240" w:lineRule="auto"/>
              <w:jc w:val="center"/>
              <w:rPr>
                <w:rFonts w:hint="default" w:ascii="Times New Roman" w:hAnsi="Times New Roman" w:eastAsia="宋体" w:cs="Times New Roman"/>
                <w:color w:val="auto"/>
                <w:sz w:val="24"/>
                <w:highlight w:val="none"/>
                <w:vertAlign w:val="subscript"/>
                <w:lang w:val="en-US" w:eastAsia="zh-CN"/>
              </w:rPr>
            </w:pPr>
            <w:r>
              <w:rPr>
                <w:rFonts w:hint="default" w:ascii="Times New Roman" w:hAnsi="Times New Roman" w:cs="Times New Roman"/>
                <w:color w:val="auto"/>
                <w:sz w:val="24"/>
                <w:highlight w:val="none"/>
                <w:vertAlign w:val="baseline"/>
                <w:lang w:val="en-US" w:eastAsia="zh-CN"/>
              </w:rPr>
              <w:t>r</w:t>
            </w:r>
            <w:r>
              <w:rPr>
                <w:rFonts w:hint="default" w:ascii="Times New Roman" w:hAnsi="Times New Roman" w:cs="Times New Roman"/>
                <w:color w:val="auto"/>
                <w:sz w:val="24"/>
                <w:highlight w:val="none"/>
                <w:vertAlign w:val="subscript"/>
                <w:lang w:val="en-US" w:eastAsia="zh-CN"/>
              </w:rPr>
              <w:t>r</w:t>
            </w:r>
            <w:r>
              <w:rPr>
                <w:rFonts w:hint="default" w:ascii="Times New Roman" w:hAnsi="Times New Roman" w:cs="Times New Roman"/>
                <w:color w:val="auto"/>
                <w:sz w:val="24"/>
                <w:highlight w:val="none"/>
                <w:vertAlign w:val="baseline"/>
                <w:lang w:val="en-US" w:eastAsia="zh-CN"/>
              </w:rPr>
              <w:t>/r</w:t>
            </w:r>
            <w:r>
              <w:rPr>
                <w:rFonts w:hint="default" w:ascii="Times New Roman" w:hAnsi="Times New Roman" w:cs="Times New Roman"/>
                <w:color w:val="auto"/>
                <w:sz w:val="24"/>
                <w:highlight w:val="none"/>
                <w:vertAlign w:val="subscript"/>
                <w:lang w:val="en-US" w:eastAsia="zh-CN"/>
              </w:rPr>
              <w:t>d</w:t>
            </w:r>
          </w:p>
        </w:tc>
        <w:tc>
          <w:tcPr>
            <w:tcW w:w="4264" w:type="dxa"/>
            <w:tcBorders>
              <w:tl2br w:val="nil"/>
              <w:tr2bl w:val="nil"/>
            </w:tcBorders>
            <w:noWrap w:val="0"/>
            <w:vAlign w:val="center"/>
          </w:tcPr>
          <w:p w14:paraId="46DD0438">
            <w:pPr>
              <w:adjustRightInd w:val="0"/>
              <w:snapToGrid w:val="0"/>
              <w:spacing w:line="240" w:lineRule="auto"/>
              <w:jc w:val="center"/>
              <w:rPr>
                <w:rFonts w:hint="default" w:ascii="Times New Roman" w:hAnsi="Times New Roman" w:eastAsia="宋体" w:cs="Times New Roman"/>
                <w:color w:val="auto"/>
                <w:sz w:val="24"/>
                <w:highlight w:val="none"/>
                <w:vertAlign w:val="baseline"/>
                <w:lang w:eastAsia="zh-CN"/>
              </w:rPr>
            </w:pP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dB</w:t>
            </w:r>
            <w:r>
              <w:rPr>
                <w:rFonts w:hint="default" w:ascii="Times New Roman" w:hAnsi="Times New Roman" w:cs="Times New Roman"/>
                <w:color w:val="auto"/>
                <w:sz w:val="24"/>
                <w:highlight w:val="none"/>
                <w:vertAlign w:val="baseline"/>
                <w:lang w:eastAsia="zh-CN"/>
              </w:rPr>
              <w:t>）</w:t>
            </w:r>
          </w:p>
        </w:tc>
      </w:tr>
      <w:tr w14:paraId="7107A9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2C7B4434">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≈1</w:t>
            </w:r>
          </w:p>
        </w:tc>
        <w:tc>
          <w:tcPr>
            <w:tcW w:w="4264" w:type="dxa"/>
            <w:tcBorders>
              <w:tl2br w:val="nil"/>
              <w:tr2bl w:val="nil"/>
            </w:tcBorders>
            <w:noWrap w:val="0"/>
            <w:vAlign w:val="center"/>
          </w:tcPr>
          <w:p w14:paraId="6453F7F1">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3</w:t>
            </w:r>
          </w:p>
        </w:tc>
      </w:tr>
      <w:tr w14:paraId="22D86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09A2C05D">
            <w:pPr>
              <w:adjustRightInd w:val="0"/>
              <w:snapToGrid w:val="0"/>
              <w:spacing w:line="240" w:lineRule="auto"/>
              <w:jc w:val="center"/>
              <w:rPr>
                <w:rFonts w:hint="default" w:ascii="Times New Roman" w:hAnsi="Times New Roman" w:cs="Times New Roman"/>
                <w:color w:val="auto"/>
                <w:sz w:val="24"/>
                <w:highlight w:val="none"/>
                <w:vertAlign w:val="baseline"/>
                <w:lang w:val="en-US"/>
              </w:rPr>
            </w:pPr>
            <w:r>
              <w:rPr>
                <w:rFonts w:hint="default" w:ascii="Times New Roman" w:hAnsi="Times New Roman" w:cs="Times New Roman"/>
                <w:color w:val="auto"/>
                <w:sz w:val="24"/>
                <w:highlight w:val="none"/>
                <w:vertAlign w:val="baseline"/>
                <w:lang w:val="en-US" w:eastAsia="zh-CN"/>
              </w:rPr>
              <w:t>≈1.4</w:t>
            </w:r>
          </w:p>
        </w:tc>
        <w:tc>
          <w:tcPr>
            <w:tcW w:w="4264" w:type="dxa"/>
            <w:tcBorders>
              <w:tl2br w:val="nil"/>
              <w:tr2bl w:val="nil"/>
            </w:tcBorders>
            <w:noWrap w:val="0"/>
            <w:vAlign w:val="center"/>
          </w:tcPr>
          <w:p w14:paraId="57E5549A">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2</w:t>
            </w:r>
          </w:p>
        </w:tc>
      </w:tr>
      <w:tr w14:paraId="5B262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53C1EF7C">
            <w:pPr>
              <w:adjustRightInd w:val="0"/>
              <w:snapToGrid w:val="0"/>
              <w:spacing w:line="240" w:lineRule="auto"/>
              <w:jc w:val="center"/>
              <w:rPr>
                <w:rFonts w:hint="default" w:ascii="Times New Roman" w:hAnsi="Times New Roman" w:cs="Times New Roman"/>
                <w:color w:val="auto"/>
                <w:sz w:val="24"/>
                <w:highlight w:val="none"/>
                <w:vertAlign w:val="baseline"/>
                <w:lang w:val="en-US"/>
              </w:rPr>
            </w:pPr>
            <w:r>
              <w:rPr>
                <w:rFonts w:hint="default" w:ascii="Times New Roman" w:hAnsi="Times New Roman" w:cs="Times New Roman"/>
                <w:color w:val="auto"/>
                <w:sz w:val="24"/>
                <w:highlight w:val="none"/>
                <w:vertAlign w:val="baseline"/>
                <w:lang w:val="en-US" w:eastAsia="zh-CN"/>
              </w:rPr>
              <w:t>≈2</w:t>
            </w:r>
          </w:p>
        </w:tc>
        <w:tc>
          <w:tcPr>
            <w:tcW w:w="4264" w:type="dxa"/>
            <w:tcBorders>
              <w:tl2br w:val="nil"/>
              <w:tr2bl w:val="nil"/>
            </w:tcBorders>
            <w:noWrap w:val="0"/>
            <w:vAlign w:val="center"/>
          </w:tcPr>
          <w:p w14:paraId="55E19525">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1</w:t>
            </w:r>
          </w:p>
        </w:tc>
      </w:tr>
      <w:tr w14:paraId="1FD8E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3F5E5E74">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＞2.5</w:t>
            </w:r>
          </w:p>
        </w:tc>
        <w:tc>
          <w:tcPr>
            <w:tcW w:w="4264" w:type="dxa"/>
            <w:tcBorders>
              <w:tl2br w:val="nil"/>
              <w:tr2bl w:val="nil"/>
            </w:tcBorders>
            <w:noWrap w:val="0"/>
            <w:vAlign w:val="center"/>
          </w:tcPr>
          <w:p w14:paraId="3C5B0193">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0</w:t>
            </w:r>
          </w:p>
        </w:tc>
      </w:tr>
    </w:tbl>
    <w:p w14:paraId="7014088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B、线声源的几何发散衰减(Adiv)</w:t>
      </w:r>
    </w:p>
    <w:p w14:paraId="6246076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a.无限长线声源</w:t>
      </w:r>
    </w:p>
    <w:p w14:paraId="709FC7B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无限长线声源几何发散衰减的基本公式是：</w:t>
      </w:r>
    </w:p>
    <w:p w14:paraId="476950C6">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587500" cy="384810"/>
            <wp:effectExtent l="0" t="0" r="12700" b="15875"/>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95"/>
                    <a:stretch>
                      <a:fillRect/>
                    </a:stretch>
                  </pic:blipFill>
                  <pic:spPr>
                    <a:xfrm>
                      <a:off x="0" y="0"/>
                      <a:ext cx="1587500" cy="384810"/>
                    </a:xfrm>
                    <a:prstGeom prst="rect">
                      <a:avLst/>
                    </a:prstGeom>
                    <a:noFill/>
                    <a:ln>
                      <a:noFill/>
                    </a:ln>
                  </pic:spPr>
                </pic:pic>
              </a:graphicData>
            </a:graphic>
          </wp:inline>
        </w:drawing>
      </w:r>
      <w:r>
        <w:rPr>
          <w:rFonts w:hint="default" w:ascii="Times New Roman" w:hAnsi="Times New Roman" w:cs="Times New Roman"/>
          <w:color w:val="auto"/>
          <w:sz w:val="24"/>
          <w:highlight w:val="none"/>
        </w:rPr>
        <w:t xml:space="preserve"> ……………………………（11）</w:t>
      </w:r>
    </w:p>
    <w:p w14:paraId="63B0A0A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上式中的第二项表示了无限长线声源的几何发散衰减：</w:t>
      </w:r>
    </w:p>
    <w:p w14:paraId="5F74B35B">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010920" cy="240665"/>
            <wp:effectExtent l="0" t="0" r="0" b="6350"/>
            <wp:docPr id="9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6"/>
                    <pic:cNvPicPr>
                      <a:picLocks noChangeAspect="1"/>
                    </pic:cNvPicPr>
                  </pic:nvPicPr>
                  <pic:blipFill>
                    <a:blip r:embed="rId96"/>
                    <a:stretch>
                      <a:fillRect/>
                    </a:stretch>
                  </pic:blipFill>
                  <pic:spPr>
                    <a:xfrm>
                      <a:off x="0" y="0"/>
                      <a:ext cx="1010920" cy="240665"/>
                    </a:xfrm>
                    <a:prstGeom prst="rect">
                      <a:avLst/>
                    </a:prstGeom>
                    <a:noFill/>
                    <a:ln>
                      <a:noFill/>
                    </a:ln>
                  </pic:spPr>
                </pic:pic>
              </a:graphicData>
            </a:graphic>
          </wp:inline>
        </w:drawing>
      </w:r>
      <w:r>
        <w:rPr>
          <w:rFonts w:hint="default" w:ascii="Times New Roman" w:hAnsi="Times New Roman" w:cs="Times New Roman"/>
          <w:color w:val="auto"/>
          <w:sz w:val="24"/>
          <w:highlight w:val="none"/>
        </w:rPr>
        <w:t xml:space="preserve"> …………………………（12）</w:t>
      </w:r>
    </w:p>
    <w:p w14:paraId="3C193EB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b.有限长线声源</w:t>
      </w:r>
    </w:p>
    <w:p w14:paraId="3CD54F1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anchor distT="0" distB="0" distL="114300" distR="114300" simplePos="0" relativeHeight="251663360" behindDoc="0" locked="0" layoutInCell="1" allowOverlap="1">
            <wp:simplePos x="0" y="0"/>
            <wp:positionH relativeFrom="column">
              <wp:posOffset>1257300</wp:posOffset>
            </wp:positionH>
            <wp:positionV relativeFrom="paragraph">
              <wp:posOffset>572770</wp:posOffset>
            </wp:positionV>
            <wp:extent cx="2152650" cy="428625"/>
            <wp:effectExtent l="0" t="0" r="0" b="8890"/>
            <wp:wrapNone/>
            <wp:docPr id="8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05"/>
                    <pic:cNvPicPr>
                      <a:picLocks noChangeAspect="1"/>
                    </pic:cNvPicPr>
                  </pic:nvPicPr>
                  <pic:blipFill>
                    <a:blip r:embed="rId97"/>
                    <a:stretch>
                      <a:fillRect/>
                    </a:stretch>
                  </pic:blipFill>
                  <pic:spPr>
                    <a:xfrm>
                      <a:off x="0" y="0"/>
                      <a:ext cx="2152650" cy="428625"/>
                    </a:xfrm>
                    <a:prstGeom prst="rect">
                      <a:avLst/>
                    </a:prstGeom>
                    <a:noFill/>
                    <a:ln>
                      <a:noFill/>
                    </a:ln>
                  </pic:spPr>
                </pic:pic>
              </a:graphicData>
            </a:graphic>
          </wp:anchor>
        </w:drawing>
      </w:r>
      <w:r>
        <w:rPr>
          <w:rFonts w:hint="default" w:ascii="Times New Roman" w:hAnsi="Times New Roman" w:cs="Times New Roman"/>
          <w:color w:val="auto"/>
          <w:sz w:val="24"/>
          <w:highlight w:val="none"/>
        </w:rPr>
        <w:t>设线声源长度为l0，单位长度线声源辐射的倍频带声功率级为Lw。在线声源垂直平分线上距声源r处的声压级为：</w:t>
      </w:r>
    </w:p>
    <w:p w14:paraId="760D24AE">
      <w:pPr>
        <w:spacing w:line="360" w:lineRule="auto"/>
        <w:ind w:firstLine="5280" w:firstLineChars="2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…………………（13）</w:t>
      </w:r>
    </w:p>
    <w:p w14:paraId="75C6181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或    </w:t>
      </w:r>
      <w:r>
        <w:rPr>
          <w:rFonts w:hint="default" w:ascii="Times New Roman" w:hAnsi="Times New Roman" w:cs="Times New Roman"/>
          <w:color w:val="auto"/>
          <w:highlight w:val="none"/>
        </w:rPr>
        <w:drawing>
          <wp:inline distT="0" distB="0" distL="114300" distR="114300">
            <wp:extent cx="2305050" cy="800100"/>
            <wp:effectExtent l="0" t="0" r="0" b="0"/>
            <wp:docPr id="9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7"/>
                    <pic:cNvPicPr>
                      <a:picLocks noChangeAspect="1"/>
                    </pic:cNvPicPr>
                  </pic:nvPicPr>
                  <pic:blipFill>
                    <a:blip r:embed="rId98"/>
                    <a:stretch>
                      <a:fillRect/>
                    </a:stretch>
                  </pic:blipFill>
                  <pic:spPr>
                    <a:xfrm>
                      <a:off x="0" y="0"/>
                      <a:ext cx="2305050" cy="800100"/>
                    </a:xfrm>
                    <a:prstGeom prst="rect">
                      <a:avLst/>
                    </a:prstGeom>
                    <a:noFill/>
                    <a:ln>
                      <a:noFill/>
                    </a:ln>
                  </pic:spPr>
                </pic:pic>
              </a:graphicData>
            </a:graphic>
          </wp:inline>
        </w:drawing>
      </w:r>
      <w:r>
        <w:rPr>
          <w:rFonts w:hint="default" w:ascii="Times New Roman" w:hAnsi="Times New Roman" w:cs="Times New Roman"/>
          <w:color w:val="auto"/>
          <w:sz w:val="24"/>
          <w:highlight w:val="none"/>
        </w:rPr>
        <w:t>…………………（14）</w:t>
      </w:r>
    </w:p>
    <w:p w14:paraId="412464D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当r＞l0且r0＞l0时，上式可近似简化为：</w:t>
      </w:r>
    </w:p>
    <w:p w14:paraId="7CD3C034">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590675" cy="390525"/>
            <wp:effectExtent l="0" t="0" r="9525" b="6985"/>
            <wp:docPr id="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
                    <pic:cNvPicPr>
                      <a:picLocks noChangeAspect="1"/>
                    </pic:cNvPicPr>
                  </pic:nvPicPr>
                  <pic:blipFill>
                    <a:blip r:embed="rId99"/>
                    <a:stretch>
                      <a:fillRect/>
                    </a:stretch>
                  </pic:blipFill>
                  <pic:spPr>
                    <a:xfrm>
                      <a:off x="0" y="0"/>
                      <a:ext cx="1590675"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………………………（15）</w:t>
      </w:r>
    </w:p>
    <w:p w14:paraId="1688874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即在近场区，有限长线声源可当作点声源处理。</w:t>
      </w:r>
    </w:p>
    <w:p w14:paraId="7366FFA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当r＜l0/3且r0＜l0/3时，该式可近似简化为：</w:t>
      </w:r>
    </w:p>
    <w:p w14:paraId="4DC20A32">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571625" cy="390525"/>
            <wp:effectExtent l="0" t="0" r="9525" b="6985"/>
            <wp:docPr id="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pic:cNvPicPr>
                      <a:picLocks noChangeAspect="1"/>
                    </pic:cNvPicPr>
                  </pic:nvPicPr>
                  <pic:blipFill>
                    <a:blip r:embed="rId95"/>
                    <a:stretch>
                      <a:fillRect/>
                    </a:stretch>
                  </pic:blipFill>
                  <pic:spPr>
                    <a:xfrm>
                      <a:off x="0" y="0"/>
                      <a:ext cx="1571625"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……………………（16）</w:t>
      </w:r>
    </w:p>
    <w:p w14:paraId="737D16C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即在近场区，有限长线声源可当作无限长线声源处理。</w:t>
      </w:r>
    </w:p>
    <w:p w14:paraId="58DFD2E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当l0/3＜r＜l0且l0/3＜r0＜l0时，该式可近似简化为：</w:t>
      </w:r>
    </w:p>
    <w:p w14:paraId="513E3C37">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571625" cy="390525"/>
            <wp:effectExtent l="0" t="0" r="9525" b="6985"/>
            <wp:docPr id="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0"/>
                    <pic:cNvPicPr>
                      <a:picLocks noChangeAspect="1"/>
                    </pic:cNvPicPr>
                  </pic:nvPicPr>
                  <pic:blipFill>
                    <a:blip r:embed="rId100"/>
                    <a:stretch>
                      <a:fillRect/>
                    </a:stretch>
                  </pic:blipFill>
                  <pic:spPr>
                    <a:xfrm>
                      <a:off x="0" y="0"/>
                      <a:ext cx="1571625"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……………………（17）</w:t>
      </w:r>
    </w:p>
    <w:p w14:paraId="256E085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C、面声源的几何发散衰减</w:t>
      </w:r>
    </w:p>
    <w:p w14:paraId="1781D20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一个大型机器设备的振动表面，车间透声的墙壁，均可以认为是面声源。如果已知面声源单位面积的声功率为W，各面积元噪声的位相是随机的，面声源可看作由无数点声源连续分布组合而成，其合成声级可按能量叠加法求出。</w:t>
      </w:r>
    </w:p>
    <w:p w14:paraId="330D0518">
      <w:pPr>
        <w:spacing w:line="360" w:lineRule="auto"/>
        <w:ind w:firstLine="480" w:firstLineChars="200"/>
        <w:rPr>
          <w:rFonts w:hint="default" w:ascii="Times New Roman" w:hAnsi="Times New Roman" w:cs="Times New Roman"/>
          <w:color w:val="auto"/>
          <w:sz w:val="24"/>
          <w:highlight w:val="none"/>
        </w:rPr>
      </w:pPr>
      <w:bookmarkStart w:id="753" w:name="_Toc2292"/>
      <w:bookmarkStart w:id="754" w:name="_Toc32354"/>
      <w:r>
        <w:rPr>
          <w:rFonts w:hint="default" w:ascii="Times New Roman" w:hAnsi="Times New Roman" w:cs="Times New Roman"/>
          <w:color w:val="auto"/>
          <w:sz w:val="24"/>
          <w:highlight w:val="none"/>
        </w:rPr>
        <w:t>②空气吸收引起的衰减(Aatm)</w:t>
      </w:r>
      <w:bookmarkEnd w:id="753"/>
      <w:bookmarkEnd w:id="754"/>
    </w:p>
    <w:p w14:paraId="00DDA58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空气吸收引起的衰减按下列公式计算：</w:t>
      </w:r>
    </w:p>
    <w:p w14:paraId="272AE45C">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019175" cy="390525"/>
            <wp:effectExtent l="0" t="0" r="0" b="8890"/>
            <wp:docPr id="9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1"/>
                    <pic:cNvPicPr>
                      <a:picLocks noChangeAspect="1"/>
                    </pic:cNvPicPr>
                  </pic:nvPicPr>
                  <pic:blipFill>
                    <a:blip r:embed="rId101"/>
                    <a:stretch>
                      <a:fillRect/>
                    </a:stretch>
                  </pic:blipFill>
                  <pic:spPr>
                    <a:xfrm>
                      <a:off x="0" y="0"/>
                      <a:ext cx="1019175"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………………………（18）</w:t>
      </w:r>
    </w:p>
    <w:p w14:paraId="63407D2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式中：α为温度、湿度和声波频率的函数，预测计算中一般根据建设项目所处区域常年平均气温和湿度选择相应的空气吸收系数。</w:t>
      </w:r>
    </w:p>
    <w:p w14:paraId="1B6325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7 </w:t>
      </w:r>
      <w:r>
        <w:rPr>
          <w:rFonts w:hint="default" w:ascii="Times New Roman" w:hAnsi="Times New Roman" w:eastAsia="黑体" w:cs="Times New Roman"/>
          <w:b w:val="0"/>
          <w:bCs/>
          <w:smallCaps w:val="0"/>
          <w:snapToGrid/>
          <w:color w:val="auto"/>
          <w:kern w:val="2"/>
          <w:sz w:val="21"/>
          <w:szCs w:val="24"/>
          <w:highlight w:val="none"/>
          <w:lang w:val="en-US" w:eastAsia="zh-CN" w:bidi="ar-SA"/>
        </w:rPr>
        <w:t>倍频带噪声的大气吸收衰减系数α</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1128"/>
        <w:gridCol w:w="765"/>
        <w:gridCol w:w="804"/>
        <w:gridCol w:w="804"/>
        <w:gridCol w:w="804"/>
        <w:gridCol w:w="855"/>
        <w:gridCol w:w="855"/>
        <w:gridCol w:w="855"/>
        <w:gridCol w:w="792"/>
      </w:tblGrid>
      <w:tr w14:paraId="3EC3B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vMerge w:val="restart"/>
            <w:tcBorders>
              <w:top w:val="single" w:color="auto" w:sz="12" w:space="0"/>
              <w:left w:val="nil"/>
              <w:bottom w:val="single" w:color="auto" w:sz="4" w:space="0"/>
              <w:right w:val="single" w:color="auto" w:sz="4" w:space="0"/>
            </w:tcBorders>
            <w:noWrap w:val="0"/>
            <w:vAlign w:val="center"/>
          </w:tcPr>
          <w:p w14:paraId="1A4834B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温度℃</w:t>
            </w:r>
          </w:p>
        </w:tc>
        <w:tc>
          <w:tcPr>
            <w:tcW w:w="662" w:type="pct"/>
            <w:vMerge w:val="restart"/>
            <w:tcBorders>
              <w:top w:val="single" w:color="auto" w:sz="12" w:space="0"/>
              <w:left w:val="single" w:color="auto" w:sz="4" w:space="0"/>
              <w:bottom w:val="single" w:color="auto" w:sz="4" w:space="0"/>
              <w:right w:val="single" w:color="auto" w:sz="4" w:space="0"/>
            </w:tcBorders>
            <w:noWrap w:val="0"/>
            <w:vAlign w:val="center"/>
          </w:tcPr>
          <w:p w14:paraId="511C688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相对湿度%</w:t>
            </w:r>
          </w:p>
        </w:tc>
        <w:tc>
          <w:tcPr>
            <w:tcW w:w="3836" w:type="pct"/>
            <w:gridSpan w:val="8"/>
            <w:tcBorders>
              <w:top w:val="single" w:color="auto" w:sz="12" w:space="0"/>
              <w:left w:val="single" w:color="auto" w:sz="4" w:space="0"/>
              <w:bottom w:val="single" w:color="auto" w:sz="4" w:space="0"/>
              <w:right w:val="nil"/>
            </w:tcBorders>
            <w:noWrap w:val="0"/>
            <w:vAlign w:val="center"/>
          </w:tcPr>
          <w:p w14:paraId="0940F81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大气吸收衰减系数α，dB/km</w:t>
            </w:r>
          </w:p>
        </w:tc>
      </w:tr>
      <w:tr w14:paraId="02901B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vMerge w:val="continue"/>
            <w:tcBorders>
              <w:top w:val="single" w:color="auto" w:sz="12" w:space="0"/>
              <w:left w:val="nil"/>
              <w:bottom w:val="single" w:color="auto" w:sz="4" w:space="0"/>
              <w:right w:val="single" w:color="auto" w:sz="4" w:space="0"/>
            </w:tcBorders>
            <w:noWrap w:val="0"/>
            <w:vAlign w:val="center"/>
          </w:tcPr>
          <w:p w14:paraId="5CD17EC5">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p>
        </w:tc>
        <w:tc>
          <w:tcPr>
            <w:tcW w:w="662" w:type="pct"/>
            <w:vMerge w:val="continue"/>
            <w:tcBorders>
              <w:top w:val="single" w:color="auto" w:sz="12" w:space="0"/>
              <w:left w:val="single" w:color="auto" w:sz="4" w:space="0"/>
              <w:bottom w:val="single" w:color="auto" w:sz="4" w:space="0"/>
              <w:right w:val="single" w:color="auto" w:sz="4" w:space="0"/>
            </w:tcBorders>
            <w:noWrap w:val="0"/>
            <w:vAlign w:val="center"/>
          </w:tcPr>
          <w:p w14:paraId="55A92036">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p>
        </w:tc>
        <w:tc>
          <w:tcPr>
            <w:tcW w:w="3836" w:type="pct"/>
            <w:gridSpan w:val="8"/>
            <w:tcBorders>
              <w:top w:val="single" w:color="auto" w:sz="4" w:space="0"/>
              <w:left w:val="single" w:color="auto" w:sz="4" w:space="0"/>
              <w:bottom w:val="single" w:color="auto" w:sz="4" w:space="0"/>
              <w:right w:val="nil"/>
            </w:tcBorders>
            <w:noWrap w:val="0"/>
            <w:vAlign w:val="center"/>
          </w:tcPr>
          <w:p w14:paraId="63BA522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倍频带中心频率Hz</w:t>
            </w:r>
          </w:p>
        </w:tc>
      </w:tr>
      <w:tr w14:paraId="3551C3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vMerge w:val="continue"/>
            <w:tcBorders>
              <w:top w:val="single" w:color="auto" w:sz="12" w:space="0"/>
              <w:left w:val="nil"/>
              <w:bottom w:val="single" w:color="auto" w:sz="4" w:space="0"/>
              <w:right w:val="single" w:color="auto" w:sz="4" w:space="0"/>
            </w:tcBorders>
            <w:noWrap w:val="0"/>
            <w:vAlign w:val="center"/>
          </w:tcPr>
          <w:p w14:paraId="46E23459">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p>
        </w:tc>
        <w:tc>
          <w:tcPr>
            <w:tcW w:w="662" w:type="pct"/>
            <w:vMerge w:val="continue"/>
            <w:tcBorders>
              <w:top w:val="single" w:color="auto" w:sz="12" w:space="0"/>
              <w:left w:val="single" w:color="auto" w:sz="4" w:space="0"/>
              <w:bottom w:val="single" w:color="auto" w:sz="4" w:space="0"/>
              <w:right w:val="single" w:color="auto" w:sz="4" w:space="0"/>
            </w:tcBorders>
            <w:noWrap w:val="0"/>
            <w:vAlign w:val="center"/>
          </w:tcPr>
          <w:p w14:paraId="3AF03C2C">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p>
        </w:tc>
        <w:tc>
          <w:tcPr>
            <w:tcW w:w="449" w:type="pct"/>
            <w:tcBorders>
              <w:top w:val="single" w:color="auto" w:sz="4" w:space="0"/>
              <w:left w:val="single" w:color="auto" w:sz="4" w:space="0"/>
              <w:bottom w:val="single" w:color="auto" w:sz="4" w:space="0"/>
              <w:right w:val="single" w:color="auto" w:sz="4" w:space="0"/>
            </w:tcBorders>
            <w:noWrap w:val="0"/>
            <w:vAlign w:val="center"/>
          </w:tcPr>
          <w:p w14:paraId="39E596F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024BCC3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125</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0C321C7">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74A83481">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5C10BC1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4280CCD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1E3F6607">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4000</w:t>
            </w:r>
          </w:p>
        </w:tc>
        <w:tc>
          <w:tcPr>
            <w:tcW w:w="464" w:type="pct"/>
            <w:tcBorders>
              <w:top w:val="single" w:color="auto" w:sz="4" w:space="0"/>
              <w:left w:val="single" w:color="auto" w:sz="4" w:space="0"/>
              <w:bottom w:val="single" w:color="auto" w:sz="4" w:space="0"/>
              <w:right w:val="nil"/>
            </w:tcBorders>
            <w:noWrap w:val="0"/>
            <w:vAlign w:val="center"/>
          </w:tcPr>
          <w:p w14:paraId="563ED8D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8000</w:t>
            </w:r>
          </w:p>
        </w:tc>
      </w:tr>
      <w:tr w14:paraId="0D3F8A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7B66544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53BCBDE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07B7E5A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EBDA25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7ADFC0D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69A5E115">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1.9</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2D180DE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3.7</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727AA8C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9.7</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088A5DB1">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32.8</w:t>
            </w:r>
          </w:p>
        </w:tc>
        <w:tc>
          <w:tcPr>
            <w:tcW w:w="464" w:type="pct"/>
            <w:tcBorders>
              <w:top w:val="single" w:color="auto" w:sz="4" w:space="0"/>
              <w:left w:val="single" w:color="auto" w:sz="4" w:space="0"/>
              <w:bottom w:val="single" w:color="auto" w:sz="4" w:space="0"/>
              <w:right w:val="nil"/>
            </w:tcBorders>
            <w:noWrap w:val="0"/>
            <w:vAlign w:val="center"/>
          </w:tcPr>
          <w:p w14:paraId="1A58F16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117.0</w:t>
            </w:r>
          </w:p>
        </w:tc>
      </w:tr>
      <w:tr w14:paraId="322DE2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6068F9A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6E97650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3E4802B2">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0FEBA97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0300FEC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58A014EC">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2.8</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396D68B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6D6E9E6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6CFDA21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22.9</w:t>
            </w:r>
          </w:p>
        </w:tc>
        <w:tc>
          <w:tcPr>
            <w:tcW w:w="464" w:type="pct"/>
            <w:tcBorders>
              <w:top w:val="single" w:color="auto" w:sz="4" w:space="0"/>
              <w:left w:val="single" w:color="auto" w:sz="4" w:space="0"/>
              <w:bottom w:val="single" w:color="auto" w:sz="4" w:space="0"/>
              <w:right w:val="nil"/>
            </w:tcBorders>
            <w:noWrap w:val="0"/>
            <w:vAlign w:val="center"/>
          </w:tcPr>
          <w:p w14:paraId="709E17F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76.6</w:t>
            </w:r>
          </w:p>
        </w:tc>
      </w:tr>
      <w:tr w14:paraId="57003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01BF81C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3DF26E1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0ACC9FC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6B75664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FF8DE0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56D8F9A3">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7C6881EB">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7.4</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165FB251">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12.7</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7A3F2BB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23.1</w:t>
            </w:r>
          </w:p>
        </w:tc>
        <w:tc>
          <w:tcPr>
            <w:tcW w:w="464" w:type="pct"/>
            <w:tcBorders>
              <w:top w:val="single" w:color="auto" w:sz="4" w:space="0"/>
              <w:left w:val="single" w:color="auto" w:sz="4" w:space="0"/>
              <w:bottom w:val="single" w:color="auto" w:sz="4" w:space="0"/>
              <w:right w:val="nil"/>
            </w:tcBorders>
            <w:noWrap w:val="0"/>
            <w:vAlign w:val="center"/>
          </w:tcPr>
          <w:p w14:paraId="3DA76A83">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59.3</w:t>
            </w:r>
          </w:p>
        </w:tc>
      </w:tr>
      <w:tr w14:paraId="04EFD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7265F40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59D0C80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0D69838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7CABF927">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0.6</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6764F7D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E507F9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2.7</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1F741B4C">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8.2</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35BA9DB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28.2</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583D9EA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28.8</w:t>
            </w:r>
          </w:p>
        </w:tc>
        <w:tc>
          <w:tcPr>
            <w:tcW w:w="464" w:type="pct"/>
            <w:tcBorders>
              <w:top w:val="single" w:color="auto" w:sz="4" w:space="0"/>
              <w:left w:val="single" w:color="auto" w:sz="4" w:space="0"/>
              <w:bottom w:val="single" w:color="auto" w:sz="4" w:space="0"/>
              <w:right w:val="nil"/>
            </w:tcBorders>
            <w:noWrap w:val="0"/>
            <w:vAlign w:val="center"/>
          </w:tcPr>
          <w:p w14:paraId="05C0B61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202.0</w:t>
            </w:r>
          </w:p>
        </w:tc>
      </w:tr>
      <w:tr w14:paraId="189EFC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16367527">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206FCAB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364C941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4D562A6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50818F4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0312355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2B188B7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4.2</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63720C2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10.8</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67EB653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36.2</w:t>
            </w:r>
          </w:p>
        </w:tc>
        <w:tc>
          <w:tcPr>
            <w:tcW w:w="464" w:type="pct"/>
            <w:tcBorders>
              <w:top w:val="single" w:color="auto" w:sz="4" w:space="0"/>
              <w:left w:val="single" w:color="auto" w:sz="4" w:space="0"/>
              <w:bottom w:val="single" w:color="auto" w:sz="4" w:space="0"/>
              <w:right w:val="nil"/>
            </w:tcBorders>
            <w:noWrap w:val="0"/>
            <w:vAlign w:val="center"/>
          </w:tcPr>
          <w:p w14:paraId="4644D27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129.0</w:t>
            </w:r>
          </w:p>
        </w:tc>
      </w:tr>
      <w:tr w14:paraId="3B108D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12" w:space="0"/>
              <w:right w:val="single" w:color="auto" w:sz="4" w:space="0"/>
            </w:tcBorders>
            <w:noWrap w:val="0"/>
            <w:vAlign w:val="center"/>
          </w:tcPr>
          <w:p w14:paraId="4B699A7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662" w:type="pct"/>
            <w:tcBorders>
              <w:top w:val="single" w:color="auto" w:sz="4" w:space="0"/>
              <w:left w:val="single" w:color="auto" w:sz="4" w:space="0"/>
              <w:bottom w:val="single" w:color="auto" w:sz="12" w:space="0"/>
              <w:right w:val="single" w:color="auto" w:sz="4" w:space="0"/>
            </w:tcBorders>
            <w:noWrap w:val="0"/>
            <w:vAlign w:val="center"/>
          </w:tcPr>
          <w:p w14:paraId="6F3BD5E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c>
          <w:tcPr>
            <w:tcW w:w="449" w:type="pct"/>
            <w:tcBorders>
              <w:top w:val="single" w:color="auto" w:sz="4" w:space="0"/>
              <w:left w:val="single" w:color="auto" w:sz="4" w:space="0"/>
              <w:bottom w:val="single" w:color="auto" w:sz="12" w:space="0"/>
              <w:right w:val="single" w:color="auto" w:sz="4" w:space="0"/>
            </w:tcBorders>
            <w:noWrap w:val="0"/>
            <w:vAlign w:val="center"/>
          </w:tcPr>
          <w:p w14:paraId="3D8306C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12" w:space="0"/>
              <w:right w:val="single" w:color="auto" w:sz="4" w:space="0"/>
            </w:tcBorders>
            <w:noWrap w:val="0"/>
            <w:vAlign w:val="center"/>
          </w:tcPr>
          <w:p w14:paraId="7489F93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472" w:type="pct"/>
            <w:tcBorders>
              <w:top w:val="single" w:color="auto" w:sz="4" w:space="0"/>
              <w:left w:val="single" w:color="auto" w:sz="4" w:space="0"/>
              <w:bottom w:val="single" w:color="auto" w:sz="12" w:space="0"/>
              <w:right w:val="single" w:color="auto" w:sz="4" w:space="0"/>
            </w:tcBorders>
            <w:noWrap w:val="0"/>
            <w:vAlign w:val="center"/>
          </w:tcPr>
          <w:p w14:paraId="64DAEAB3">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w:t>
            </w:r>
          </w:p>
        </w:tc>
        <w:tc>
          <w:tcPr>
            <w:tcW w:w="472" w:type="pct"/>
            <w:tcBorders>
              <w:top w:val="single" w:color="auto" w:sz="4" w:space="0"/>
              <w:left w:val="single" w:color="auto" w:sz="4" w:space="0"/>
              <w:bottom w:val="single" w:color="auto" w:sz="12" w:space="0"/>
              <w:right w:val="single" w:color="auto" w:sz="4" w:space="0"/>
            </w:tcBorders>
            <w:noWrap w:val="0"/>
            <w:vAlign w:val="center"/>
          </w:tcPr>
          <w:p w14:paraId="03151CB3">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w:t>
            </w:r>
          </w:p>
        </w:tc>
        <w:tc>
          <w:tcPr>
            <w:tcW w:w="502" w:type="pct"/>
            <w:tcBorders>
              <w:top w:val="single" w:color="auto" w:sz="4" w:space="0"/>
              <w:left w:val="single" w:color="auto" w:sz="4" w:space="0"/>
              <w:bottom w:val="single" w:color="auto" w:sz="12" w:space="0"/>
              <w:right w:val="single" w:color="auto" w:sz="4" w:space="0"/>
            </w:tcBorders>
            <w:noWrap w:val="0"/>
            <w:vAlign w:val="center"/>
          </w:tcPr>
          <w:p w14:paraId="14C08F3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w:t>
            </w:r>
          </w:p>
        </w:tc>
        <w:tc>
          <w:tcPr>
            <w:tcW w:w="502" w:type="pct"/>
            <w:tcBorders>
              <w:top w:val="single" w:color="auto" w:sz="4" w:space="0"/>
              <w:left w:val="single" w:color="auto" w:sz="4" w:space="0"/>
              <w:bottom w:val="single" w:color="auto" w:sz="12" w:space="0"/>
              <w:right w:val="single" w:color="auto" w:sz="4" w:space="0"/>
            </w:tcBorders>
            <w:noWrap w:val="0"/>
            <w:vAlign w:val="center"/>
          </w:tcPr>
          <w:p w14:paraId="714D6D42">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8.3</w:t>
            </w:r>
          </w:p>
        </w:tc>
        <w:tc>
          <w:tcPr>
            <w:tcW w:w="502" w:type="pct"/>
            <w:tcBorders>
              <w:top w:val="single" w:color="auto" w:sz="4" w:space="0"/>
              <w:left w:val="single" w:color="auto" w:sz="4" w:space="0"/>
              <w:bottom w:val="single" w:color="auto" w:sz="12" w:space="0"/>
              <w:right w:val="single" w:color="auto" w:sz="4" w:space="0"/>
            </w:tcBorders>
            <w:noWrap w:val="0"/>
            <w:vAlign w:val="center"/>
          </w:tcPr>
          <w:p w14:paraId="0D1A4AFB">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23.7</w:t>
            </w:r>
          </w:p>
        </w:tc>
        <w:tc>
          <w:tcPr>
            <w:tcW w:w="464" w:type="pct"/>
            <w:tcBorders>
              <w:top w:val="single" w:color="auto" w:sz="4" w:space="0"/>
              <w:left w:val="single" w:color="auto" w:sz="4" w:space="0"/>
              <w:bottom w:val="single" w:color="auto" w:sz="12" w:space="0"/>
              <w:right w:val="nil"/>
            </w:tcBorders>
            <w:noWrap w:val="0"/>
            <w:vAlign w:val="center"/>
          </w:tcPr>
          <w:p w14:paraId="46998CD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82.8</w:t>
            </w:r>
          </w:p>
        </w:tc>
      </w:tr>
    </w:tbl>
    <w:p w14:paraId="5B0BCD1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③地面效应衰减(Agr)</w:t>
      </w:r>
    </w:p>
    <w:p w14:paraId="602486A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地面类型可分为：</w:t>
      </w:r>
    </w:p>
    <w:p w14:paraId="6C14EA6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A、坚实地面，包括铺筑过的路面、水面、冰面以及夯实地面。 </w:t>
      </w:r>
    </w:p>
    <w:p w14:paraId="3046D3E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B、疏松地面，包括被草或其他植物覆盖的地面，以及农田等适合于植物生长的地面。</w:t>
      </w:r>
    </w:p>
    <w:p w14:paraId="77E7808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C、混合地面，由坚实地面和疏松地面组成。</w:t>
      </w:r>
    </w:p>
    <w:p w14:paraId="7719196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声波越过疏松地面传播时，或大部分为疏松地面的混合地面，在预测点仅计算A声级前提下，地面效应引起的倍频带衰减可用下列公式计算。</w:t>
      </w:r>
    </w:p>
    <w:p w14:paraId="7932F237">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914525" cy="428625"/>
            <wp:effectExtent l="0" t="0" r="9525" b="889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102"/>
                    <a:stretch>
                      <a:fillRect/>
                    </a:stretch>
                  </pic:blipFill>
                  <pic:spPr>
                    <a:xfrm>
                      <a:off x="0" y="0"/>
                      <a:ext cx="1914525" cy="428625"/>
                    </a:xfrm>
                    <a:prstGeom prst="rect">
                      <a:avLst/>
                    </a:prstGeom>
                    <a:noFill/>
                    <a:ln>
                      <a:noFill/>
                    </a:ln>
                  </pic:spPr>
                </pic:pic>
              </a:graphicData>
            </a:graphic>
          </wp:inline>
        </w:drawing>
      </w:r>
      <w:bookmarkStart w:id="755" w:name="_Toc2094"/>
      <w:bookmarkStart w:id="756" w:name="_Toc1070"/>
      <w:r>
        <w:rPr>
          <w:rFonts w:hint="default" w:ascii="Times New Roman" w:hAnsi="Times New Roman" w:cs="Times New Roman"/>
          <w:color w:val="auto"/>
          <w:sz w:val="24"/>
          <w:highlight w:val="none"/>
        </w:rPr>
        <w:t>……………………（19）</w:t>
      </w:r>
      <w:bookmarkEnd w:id="755"/>
      <w:bookmarkEnd w:id="756"/>
    </w:p>
    <w:p w14:paraId="57D55CC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3F4FD54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r——声源到预测点的距离，m；</w:t>
      </w:r>
    </w:p>
    <w:p w14:paraId="4741F19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hm——传播路径的平均离地高度，m；hm=F/r；F：面积，m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；r，m；</w:t>
      </w:r>
    </w:p>
    <w:p w14:paraId="1602384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若Agr计算出负值，则Agr可用</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代替。</w:t>
      </w:r>
    </w:p>
    <w:p w14:paraId="4F8A828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其他情况可参照GB/T17247.2进行计算。</w:t>
      </w:r>
    </w:p>
    <w:p w14:paraId="696F0798">
      <w:pPr>
        <w:spacing w:line="360" w:lineRule="auto"/>
        <w:ind w:firstLine="480" w:firstLineChars="200"/>
        <w:rPr>
          <w:rFonts w:hint="default" w:ascii="Times New Roman" w:hAnsi="Times New Roman" w:cs="Times New Roman"/>
          <w:color w:val="auto"/>
          <w:sz w:val="24"/>
          <w:highlight w:val="none"/>
          <w:lang w:val="en-US" w:eastAsia="zh-CN"/>
        </w:rPr>
      </w:pPr>
      <w:bookmarkStart w:id="757" w:name="_Toc20959"/>
      <w:bookmarkEnd w:id="757"/>
      <w:bookmarkStart w:id="758" w:name="_Toc26353"/>
      <w:bookmarkEnd w:id="758"/>
      <w:r>
        <w:rPr>
          <w:rFonts w:hint="default" w:ascii="Times New Roman" w:hAnsi="Times New Roman" w:cs="Times New Roman"/>
          <w:color w:val="auto"/>
          <w:sz w:val="24"/>
          <w:highlight w:val="none"/>
          <w:lang w:val="en-US" w:eastAsia="zh-CN"/>
        </w:rPr>
        <w:t>4）屏障引起的衰减（Abar）</w:t>
      </w:r>
    </w:p>
    <w:p w14:paraId="3DE93013">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位于声源和预测点之间的实体障碍物，如围墙、建筑物、土坡或地堑等起声屏障作用，从而引起声能量的较大衰减。在环境影响评价中，可将各种形式的屏障简化为具有一定高度的薄屏障。</w:t>
      </w:r>
    </w:p>
    <w:p w14:paraId="4D04F9AE">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S、O、P三点在同一平面内且垂直于地面。</w:t>
      </w:r>
    </w:p>
    <w:p w14:paraId="59A48C03">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定义δ=SO＋OP－SP为声程差，N=2δ/λ为菲涅尔数，其中λ为声波波长。</w:t>
      </w:r>
    </w:p>
    <w:p w14:paraId="5877E07D">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在噪声预测中，声屏障插入损失的计算方法应需要根据实际情况作简化处理。</w:t>
      </w:r>
    </w:p>
    <w:p w14:paraId="60D39574">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①有限长薄屏障在点声源声场中引起的衰减计算</w:t>
      </w:r>
    </w:p>
    <w:p w14:paraId="47FE4976">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首先计算三个传播途径的声程差δ1、δ2、δ3和相应的菲涅尔数N</w:t>
      </w:r>
      <w:r>
        <w:rPr>
          <w:rFonts w:hint="default" w:ascii="Times New Roman" w:hAnsi="Times New Roman" w:cs="Times New Roman"/>
          <w:color w:val="auto"/>
          <w:sz w:val="24"/>
          <w:highlight w:val="none"/>
          <w:vertAlign w:val="subscript"/>
          <w:lang w:val="en-US" w:eastAsia="zh-CN"/>
        </w:rPr>
        <w:t>1</w:t>
      </w:r>
      <w:r>
        <w:rPr>
          <w:rFonts w:hint="default" w:ascii="Times New Roman" w:hAnsi="Times New Roman" w:cs="Times New Roman"/>
          <w:color w:val="auto"/>
          <w:sz w:val="24"/>
          <w:highlight w:val="none"/>
          <w:lang w:val="en-US" w:eastAsia="zh-CN"/>
        </w:rPr>
        <w:t>、N</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、N</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w:t>
      </w:r>
    </w:p>
    <w:p w14:paraId="661C68E1">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声屏障引起的衰减公式为：</w:t>
      </w:r>
    </w:p>
    <w:p w14:paraId="1F2F883F">
      <w:pPr>
        <w:spacing w:line="360" w:lineRule="auto"/>
        <w:ind w:firstLine="480" w:firstLineChars="200"/>
        <w:jc w:val="center"/>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highlight w:val="none"/>
        </w:rPr>
        <w:drawing>
          <wp:inline distT="0" distB="0" distL="114300" distR="114300">
            <wp:extent cx="3552825" cy="676275"/>
            <wp:effectExtent l="0" t="0" r="9525" b="9525"/>
            <wp:docPr id="1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
                    <pic:cNvPicPr>
                      <a:picLocks noChangeAspect="1"/>
                    </pic:cNvPicPr>
                  </pic:nvPicPr>
                  <pic:blipFill>
                    <a:blip r:embed="rId103"/>
                    <a:stretch>
                      <a:fillRect/>
                    </a:stretch>
                  </pic:blipFill>
                  <pic:spPr>
                    <a:xfrm>
                      <a:off x="0" y="0"/>
                      <a:ext cx="3552825" cy="676275"/>
                    </a:xfrm>
                    <a:prstGeom prst="rect">
                      <a:avLst/>
                    </a:prstGeom>
                    <a:noFill/>
                    <a:ln>
                      <a:noFill/>
                    </a:ln>
                  </pic:spPr>
                </pic:pic>
              </a:graphicData>
            </a:graphic>
          </wp:inline>
        </w:drawing>
      </w:r>
    </w:p>
    <w:p w14:paraId="3DC27B17">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②双绕射计算</w:t>
      </w:r>
    </w:p>
    <w:p w14:paraId="62D746C8">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对于双绕射情景，可由下列公式计算绕射声与直达声之间的声程差δ：</w:t>
      </w:r>
    </w:p>
    <w:p w14:paraId="36730D35">
      <w:pPr>
        <w:spacing w:line="360" w:lineRule="auto"/>
        <w:ind w:firstLine="480" w:firstLineChars="200"/>
        <w:jc w:val="center"/>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highlight w:val="none"/>
        </w:rPr>
        <w:drawing>
          <wp:inline distT="0" distB="0" distL="114300" distR="114300">
            <wp:extent cx="2619375" cy="447675"/>
            <wp:effectExtent l="0" t="0" r="9525" b="9525"/>
            <wp:docPr id="1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
                    <pic:cNvPicPr>
                      <a:picLocks noChangeAspect="1"/>
                    </pic:cNvPicPr>
                  </pic:nvPicPr>
                  <pic:blipFill>
                    <a:blip r:embed="rId104"/>
                    <a:stretch>
                      <a:fillRect/>
                    </a:stretch>
                  </pic:blipFill>
                  <pic:spPr>
                    <a:xfrm>
                      <a:off x="0" y="0"/>
                      <a:ext cx="2619375" cy="447675"/>
                    </a:xfrm>
                    <a:prstGeom prst="rect">
                      <a:avLst/>
                    </a:prstGeom>
                    <a:noFill/>
                    <a:ln>
                      <a:noFill/>
                    </a:ln>
                  </pic:spPr>
                </pic:pic>
              </a:graphicData>
            </a:graphic>
          </wp:inline>
        </w:drawing>
      </w:r>
    </w:p>
    <w:p w14:paraId="4FA2D83C">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式中：</w:t>
      </w:r>
    </w:p>
    <w:p w14:paraId="7801A381">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a—声源和接收点之间的距离在平行于屏障上边界的投影长度，m。</w:t>
      </w:r>
    </w:p>
    <w:p w14:paraId="16A75300">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d</w:t>
      </w:r>
      <w:r>
        <w:rPr>
          <w:rFonts w:hint="default" w:ascii="Times New Roman" w:hAnsi="Times New Roman" w:cs="Times New Roman"/>
          <w:color w:val="auto"/>
          <w:sz w:val="24"/>
          <w:highlight w:val="none"/>
          <w:vertAlign w:val="subscript"/>
          <w:lang w:val="en-US" w:eastAsia="zh-CN"/>
        </w:rPr>
        <w:t>ss</w:t>
      </w:r>
      <w:r>
        <w:rPr>
          <w:rFonts w:hint="default" w:ascii="Times New Roman" w:hAnsi="Times New Roman" w:cs="Times New Roman"/>
          <w:color w:val="auto"/>
          <w:sz w:val="24"/>
          <w:highlight w:val="none"/>
          <w:lang w:val="en-US" w:eastAsia="zh-CN"/>
        </w:rPr>
        <w:t>—声源到第一绕射边的距离，m。</w:t>
      </w:r>
    </w:p>
    <w:p w14:paraId="2F77AA6C">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d</w:t>
      </w:r>
      <w:r>
        <w:rPr>
          <w:rFonts w:hint="default" w:ascii="Times New Roman" w:hAnsi="Times New Roman" w:cs="Times New Roman"/>
          <w:color w:val="auto"/>
          <w:sz w:val="24"/>
          <w:highlight w:val="none"/>
          <w:vertAlign w:val="subscript"/>
          <w:lang w:val="en-US" w:eastAsia="zh-CN"/>
        </w:rPr>
        <w:t>sr</w:t>
      </w:r>
      <w:r>
        <w:rPr>
          <w:rFonts w:hint="default" w:ascii="Times New Roman" w:hAnsi="Times New Roman" w:cs="Times New Roman"/>
          <w:color w:val="auto"/>
          <w:sz w:val="24"/>
          <w:highlight w:val="none"/>
          <w:lang w:val="en-US" w:eastAsia="zh-CN"/>
        </w:rPr>
        <w:t>—（第二）绕射边到接收点的距离，m。</w:t>
      </w:r>
    </w:p>
    <w:p w14:paraId="25685CE6">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e—在双绕射情况下两个绕射边界之间的距离，m。</w:t>
      </w:r>
    </w:p>
    <w:p w14:paraId="6630A332">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屏障衰减Abar（相当于 GB/T17247.2中的DZ）参照GB/T17247.2进行计算。</w:t>
      </w:r>
    </w:p>
    <w:p w14:paraId="7C33D3B6">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在任何频带上，屏障衰减Abar在单绕射（即薄屏障）情况，衰减最大取20dB；屏障衰减Abar在双绕射（即厚屏障）情况，衰减最大取25dB。</w:t>
      </w:r>
    </w:p>
    <w:p w14:paraId="4D94F079">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计算了屏障衰减后，不再考虑地面效应衰减。</w:t>
      </w:r>
    </w:p>
    <w:p w14:paraId="494347F4">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4、声级的计算</w:t>
      </w:r>
    </w:p>
    <w:p w14:paraId="4846683B">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1）建设项目声源在预测点产生的等效声级贡献值（Leqg）计算公式：</w:t>
      </w:r>
    </w:p>
    <w:p w14:paraId="5D0ACDC2">
      <w:pPr>
        <w:spacing w:line="360" w:lineRule="auto"/>
        <w:ind w:firstLine="480" w:firstLineChars="200"/>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highlight w:val="none"/>
        </w:rPr>
        <w:drawing>
          <wp:inline distT="0" distB="0" distL="114300" distR="114300">
            <wp:extent cx="2228850" cy="647700"/>
            <wp:effectExtent l="0" t="0" r="0" b="0"/>
            <wp:docPr id="1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5"/>
                    <pic:cNvPicPr>
                      <a:picLocks noChangeAspect="1"/>
                    </pic:cNvPicPr>
                  </pic:nvPicPr>
                  <pic:blipFill>
                    <a:blip r:embed="rId105"/>
                    <a:stretch>
                      <a:fillRect/>
                    </a:stretch>
                  </pic:blipFill>
                  <pic:spPr>
                    <a:xfrm>
                      <a:off x="0" y="0"/>
                      <a:ext cx="2228850" cy="647700"/>
                    </a:xfrm>
                    <a:prstGeom prst="rect">
                      <a:avLst/>
                    </a:prstGeom>
                    <a:noFill/>
                    <a:ln>
                      <a:noFill/>
                    </a:ln>
                  </pic:spPr>
                </pic:pic>
              </a:graphicData>
            </a:graphic>
          </wp:inline>
        </w:drawing>
      </w:r>
    </w:p>
    <w:p w14:paraId="6F26332B">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式中：</w:t>
      </w:r>
    </w:p>
    <w:p w14:paraId="2C185D77">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Leqg—建设项目声源在预测点的等效声级贡献值，dB（A）；</w:t>
      </w:r>
    </w:p>
    <w:p w14:paraId="14B6EF3F">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LAi—i声源在预测点产生的A声级，dB（A）；</w:t>
      </w:r>
    </w:p>
    <w:p w14:paraId="05C81E34">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T—预测计算的时间段，s；</w:t>
      </w:r>
    </w:p>
    <w:p w14:paraId="3EA595C1">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ti—i声源在T时段内的运行时间，s。</w:t>
      </w:r>
    </w:p>
    <w:p w14:paraId="39FAEF24">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2）预测点的预测等效声级（Leq）计算公式：</w:t>
      </w:r>
    </w:p>
    <w:p w14:paraId="1C394E64">
      <w:pPr>
        <w:spacing w:line="360" w:lineRule="auto"/>
        <w:ind w:firstLine="480" w:firstLineChars="200"/>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highlight w:val="none"/>
        </w:rPr>
        <w:drawing>
          <wp:inline distT="0" distB="0" distL="114300" distR="114300">
            <wp:extent cx="2438400" cy="504825"/>
            <wp:effectExtent l="0" t="0" r="0" b="9525"/>
            <wp:docPr id="1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6"/>
                    <pic:cNvPicPr>
                      <a:picLocks noChangeAspect="1"/>
                    </pic:cNvPicPr>
                  </pic:nvPicPr>
                  <pic:blipFill>
                    <a:blip r:embed="rId106"/>
                    <a:stretch>
                      <a:fillRect/>
                    </a:stretch>
                  </pic:blipFill>
                  <pic:spPr>
                    <a:xfrm>
                      <a:off x="0" y="0"/>
                      <a:ext cx="2438400" cy="504825"/>
                    </a:xfrm>
                    <a:prstGeom prst="rect">
                      <a:avLst/>
                    </a:prstGeom>
                    <a:noFill/>
                    <a:ln>
                      <a:noFill/>
                    </a:ln>
                  </pic:spPr>
                </pic:pic>
              </a:graphicData>
            </a:graphic>
          </wp:inline>
        </w:drawing>
      </w:r>
    </w:p>
    <w:p w14:paraId="6B07514B">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式中：Leqg—建设项目声源在预测点的等效声级贡献值，dB（A）；</w:t>
      </w:r>
    </w:p>
    <w:p w14:paraId="03618681">
      <w:pPr>
        <w:spacing w:line="360" w:lineRule="auto"/>
        <w:ind w:firstLine="504" w:firstLineChars="200"/>
        <w:rPr>
          <w:rFonts w:hint="default" w:ascii="Times New Roman" w:hAnsi="Times New Roman" w:eastAsia="宋体" w:cs="Times New Roman"/>
          <w:color w:val="auto"/>
          <w:spacing w:val="6"/>
          <w:sz w:val="24"/>
          <w:highlight w:val="none"/>
          <w:lang w:eastAsia="zh-CN"/>
        </w:rPr>
      </w:pPr>
      <w:r>
        <w:rPr>
          <w:rFonts w:hint="default" w:ascii="Times New Roman" w:hAnsi="Times New Roman" w:cs="Times New Roman"/>
          <w:color w:val="auto"/>
          <w:spacing w:val="6"/>
          <w:sz w:val="24"/>
          <w:highlight w:val="none"/>
        </w:rPr>
        <w:t>Leqb—预测点的背景值，dB（A）</w:t>
      </w:r>
      <w:r>
        <w:rPr>
          <w:rFonts w:hint="default" w:ascii="Times New Roman" w:hAnsi="Times New Roman" w:cs="Times New Roman"/>
          <w:color w:val="auto"/>
          <w:spacing w:val="6"/>
          <w:sz w:val="24"/>
          <w:highlight w:val="none"/>
          <w:lang w:eastAsia="zh-CN"/>
        </w:rPr>
        <w:t>。</w:t>
      </w:r>
    </w:p>
    <w:p w14:paraId="6D1100CD">
      <w:pPr>
        <w:pStyle w:val="454"/>
        <w:adjustRightInd/>
        <w:spacing w:line="360" w:lineRule="auto"/>
        <w:ind w:firstLine="480" w:firstLineChars="20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val="en-US" w:eastAsia="zh-CN"/>
        </w:rPr>
        <w:t>4</w:t>
      </w:r>
      <w:r>
        <w:rPr>
          <w:rFonts w:hint="default" w:ascii="Times New Roman" w:hAnsi="Times New Roman" w:eastAsia="宋体" w:cs="Times New Roman"/>
          <w:color w:val="auto"/>
          <w:szCs w:val="24"/>
          <w:highlight w:val="none"/>
        </w:rPr>
        <w:t>、预测内容</w:t>
      </w:r>
    </w:p>
    <w:p w14:paraId="7CB52F81">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预测噪声源对厂界外1m处的影响程度。</w:t>
      </w:r>
    </w:p>
    <w:p w14:paraId="767EAC32">
      <w:pPr>
        <w:pStyle w:val="454"/>
        <w:snapToGrid w:val="0"/>
        <w:spacing w:line="360" w:lineRule="auto"/>
        <w:ind w:firstLine="480" w:firstLineChars="20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val="en-US" w:eastAsia="zh-CN"/>
        </w:rPr>
        <w:t>5</w:t>
      </w:r>
      <w:r>
        <w:rPr>
          <w:rFonts w:hint="default" w:ascii="Times New Roman" w:hAnsi="Times New Roman" w:eastAsia="宋体" w:cs="Times New Roman"/>
          <w:color w:val="auto"/>
          <w:szCs w:val="24"/>
          <w:highlight w:val="none"/>
        </w:rPr>
        <w:t>、预测结果</w:t>
      </w:r>
    </w:p>
    <w:p w14:paraId="283B397A">
      <w:pPr>
        <w:adjustRightInd w:val="0"/>
        <w:snapToGrid w:val="0"/>
        <w:spacing w:line="360" w:lineRule="auto"/>
        <w:ind w:firstLine="480" w:firstLineChars="200"/>
        <w:rPr>
          <w:rFonts w:hint="default" w:ascii="Times New Roman" w:hAnsi="Times New Roman" w:eastAsia="宋体" w:cs="Times New Roman"/>
          <w:b/>
          <w:snapToGrid w:val="0"/>
          <w:color w:val="auto"/>
          <w:kern w:val="0"/>
          <w:sz w:val="24"/>
          <w:szCs w:val="32"/>
          <w:highlight w:val="none"/>
          <w:lang w:val="zh-CN" w:eastAsia="zh-CN" w:bidi="ar-SA"/>
        </w:rPr>
      </w:pPr>
      <w:r>
        <w:rPr>
          <w:rFonts w:hint="default" w:ascii="Times New Roman" w:hAnsi="Times New Roman" w:eastAsia="宋体" w:cs="Times New Roman"/>
          <w:color w:val="auto"/>
          <w:sz w:val="24"/>
          <w:highlight w:val="none"/>
        </w:rPr>
        <w:t>本项目厂界噪声源影响预测结果如</w:t>
      </w:r>
      <w:r>
        <w:rPr>
          <w:rFonts w:hint="default" w:ascii="Times New Roman" w:hAnsi="Times New Roman" w:cs="Times New Roman"/>
          <w:color w:val="auto"/>
          <w:sz w:val="24"/>
          <w:highlight w:val="none"/>
          <w:lang w:val="en-US" w:eastAsia="zh-CN"/>
        </w:rPr>
        <w:t>下</w:t>
      </w:r>
      <w:r>
        <w:rPr>
          <w:rFonts w:hint="default" w:ascii="Times New Roman" w:hAnsi="Times New Roman" w:eastAsia="宋体" w:cs="Times New Roman"/>
          <w:color w:val="auto"/>
          <w:sz w:val="24"/>
          <w:highlight w:val="none"/>
        </w:rPr>
        <w:t>表。</w:t>
      </w:r>
    </w:p>
    <w:p w14:paraId="034E0361">
      <w:pPr>
        <w:spacing w:line="240" w:lineRule="auto"/>
        <w:ind w:firstLine="420" w:firstLineChars="200"/>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8</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项目厂界噪声预测结果    单位：dB(A)</w:t>
      </w:r>
    </w:p>
    <w:tbl>
      <w:tblPr>
        <w:tblStyle w:val="4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11"/>
        <w:gridCol w:w="1080"/>
        <w:gridCol w:w="1087"/>
        <w:gridCol w:w="1080"/>
        <w:gridCol w:w="1087"/>
        <w:gridCol w:w="1080"/>
        <w:gridCol w:w="1088"/>
      </w:tblGrid>
      <w:tr w14:paraId="2EBC51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vMerge w:val="restart"/>
            <w:noWrap w:val="0"/>
            <w:vAlign w:val="center"/>
          </w:tcPr>
          <w:p w14:paraId="74765104">
            <w:pPr>
              <w:pStyle w:val="37"/>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位置</w:t>
            </w:r>
          </w:p>
        </w:tc>
        <w:tc>
          <w:tcPr>
            <w:tcW w:w="1272" w:type="pct"/>
            <w:gridSpan w:val="2"/>
            <w:noWrap w:val="0"/>
            <w:vAlign w:val="center"/>
          </w:tcPr>
          <w:p w14:paraId="75C69933">
            <w:pPr>
              <w:pStyle w:val="37"/>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贡献值</w:t>
            </w:r>
          </w:p>
        </w:tc>
        <w:tc>
          <w:tcPr>
            <w:tcW w:w="1272" w:type="pct"/>
            <w:gridSpan w:val="2"/>
            <w:noWrap w:val="0"/>
            <w:vAlign w:val="center"/>
          </w:tcPr>
          <w:p w14:paraId="70BA2E24">
            <w:pPr>
              <w:pStyle w:val="37"/>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标准值</w:t>
            </w:r>
          </w:p>
        </w:tc>
        <w:tc>
          <w:tcPr>
            <w:tcW w:w="1273" w:type="pct"/>
            <w:gridSpan w:val="2"/>
            <w:noWrap w:val="0"/>
            <w:vAlign w:val="center"/>
          </w:tcPr>
          <w:p w14:paraId="632FEB3C">
            <w:pPr>
              <w:pStyle w:val="37"/>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sz w:val="21"/>
                <w:szCs w:val="21"/>
                <w:highlight w:val="none"/>
              </w:rPr>
              <w:t>评价结果</w:t>
            </w:r>
          </w:p>
        </w:tc>
      </w:tr>
      <w:tr w14:paraId="18370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vMerge w:val="continue"/>
            <w:noWrap w:val="0"/>
            <w:vAlign w:val="center"/>
          </w:tcPr>
          <w:p w14:paraId="664A1E7F">
            <w:pPr>
              <w:pStyle w:val="37"/>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rPr>
            </w:pPr>
          </w:p>
        </w:tc>
        <w:tc>
          <w:tcPr>
            <w:tcW w:w="634" w:type="pct"/>
            <w:noWrap w:val="0"/>
            <w:vAlign w:val="center"/>
          </w:tcPr>
          <w:p w14:paraId="70AAF059">
            <w:pPr>
              <w:pStyle w:val="37"/>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昼间</w:t>
            </w:r>
          </w:p>
        </w:tc>
        <w:tc>
          <w:tcPr>
            <w:tcW w:w="637" w:type="pct"/>
            <w:noWrap w:val="0"/>
            <w:vAlign w:val="center"/>
          </w:tcPr>
          <w:p w14:paraId="7FE7BABF">
            <w:pPr>
              <w:pStyle w:val="37"/>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夜间</w:t>
            </w:r>
          </w:p>
        </w:tc>
        <w:tc>
          <w:tcPr>
            <w:tcW w:w="634" w:type="pct"/>
            <w:noWrap w:val="0"/>
            <w:vAlign w:val="center"/>
          </w:tcPr>
          <w:p w14:paraId="758E163B">
            <w:pPr>
              <w:pStyle w:val="37"/>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昼间</w:t>
            </w:r>
          </w:p>
        </w:tc>
        <w:tc>
          <w:tcPr>
            <w:tcW w:w="637" w:type="pct"/>
            <w:noWrap w:val="0"/>
            <w:vAlign w:val="center"/>
          </w:tcPr>
          <w:p w14:paraId="169E43AB">
            <w:pPr>
              <w:pStyle w:val="37"/>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夜间</w:t>
            </w:r>
          </w:p>
        </w:tc>
        <w:tc>
          <w:tcPr>
            <w:tcW w:w="634" w:type="pct"/>
            <w:noWrap w:val="0"/>
            <w:vAlign w:val="center"/>
          </w:tcPr>
          <w:p w14:paraId="7446C567">
            <w:pPr>
              <w:pStyle w:val="37"/>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昼间</w:t>
            </w:r>
          </w:p>
        </w:tc>
        <w:tc>
          <w:tcPr>
            <w:tcW w:w="638" w:type="pct"/>
            <w:noWrap w:val="0"/>
            <w:vAlign w:val="center"/>
          </w:tcPr>
          <w:p w14:paraId="28AF366F">
            <w:pPr>
              <w:pStyle w:val="37"/>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夜间</w:t>
            </w:r>
          </w:p>
        </w:tc>
      </w:tr>
      <w:tr w14:paraId="2A3FFD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noWrap w:val="0"/>
            <w:vAlign w:val="center"/>
          </w:tcPr>
          <w:p w14:paraId="29846744">
            <w:pPr>
              <w:pStyle w:val="26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rPr>
                <w:rFonts w:hint="default" w:ascii="Times New Roman" w:hAnsi="Times New Roman" w:eastAsia="宋体" w:cs="Times New Roman"/>
                <w:bCs/>
                <w:color w:val="auto"/>
                <w:kern w:val="0"/>
                <w:sz w:val="21"/>
                <w:szCs w:val="21"/>
                <w:highlight w:val="none"/>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东</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634" w:type="pct"/>
            <w:noWrap w:val="0"/>
            <w:vAlign w:val="center"/>
          </w:tcPr>
          <w:p w14:paraId="51207512">
            <w:pPr>
              <w:pStyle w:val="37"/>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46.92</w:t>
            </w:r>
          </w:p>
        </w:tc>
        <w:tc>
          <w:tcPr>
            <w:tcW w:w="637" w:type="pct"/>
            <w:noWrap w:val="0"/>
            <w:vAlign w:val="center"/>
          </w:tcPr>
          <w:p w14:paraId="5457475F">
            <w:pPr>
              <w:pStyle w:val="37"/>
              <w:adjustRightInd w:val="0"/>
              <w:snapToGrid w:val="0"/>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37.38</w:t>
            </w:r>
          </w:p>
        </w:tc>
        <w:tc>
          <w:tcPr>
            <w:tcW w:w="634" w:type="pct"/>
            <w:noWrap w:val="0"/>
            <w:vAlign w:val="center"/>
          </w:tcPr>
          <w:p w14:paraId="76F8DB69">
            <w:pPr>
              <w:pStyle w:val="37"/>
              <w:adjustRightInd w:val="0"/>
              <w:snapToGrid w:val="0"/>
              <w:ind w:left="0" w:left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color w:val="auto"/>
                <w:sz w:val="21"/>
                <w:szCs w:val="21"/>
                <w:highlight w:val="none"/>
                <w:lang w:val="en-US" w:eastAsia="zh-CN"/>
              </w:rPr>
              <w:t>55</w:t>
            </w:r>
          </w:p>
        </w:tc>
        <w:tc>
          <w:tcPr>
            <w:tcW w:w="637" w:type="pct"/>
            <w:noWrap w:val="0"/>
            <w:vAlign w:val="center"/>
          </w:tcPr>
          <w:p w14:paraId="59F763A9">
            <w:pPr>
              <w:pStyle w:val="37"/>
              <w:adjustRightInd w:val="0"/>
              <w:snapToGrid w:val="0"/>
              <w:ind w:left="0" w:left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sz w:val="21"/>
                <w:szCs w:val="21"/>
                <w:highlight w:val="none"/>
                <w:lang w:val="en-US" w:eastAsia="zh-CN"/>
              </w:rPr>
              <w:t>45</w:t>
            </w:r>
          </w:p>
        </w:tc>
        <w:tc>
          <w:tcPr>
            <w:tcW w:w="634" w:type="pct"/>
            <w:noWrap w:val="0"/>
            <w:vAlign w:val="center"/>
          </w:tcPr>
          <w:p w14:paraId="5FECDCE2">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c>
          <w:tcPr>
            <w:tcW w:w="638" w:type="pct"/>
            <w:noWrap w:val="0"/>
            <w:vAlign w:val="center"/>
          </w:tcPr>
          <w:p w14:paraId="1A7E5DB0">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r>
      <w:tr w14:paraId="275D2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81" w:type="pct"/>
            <w:noWrap w:val="0"/>
            <w:vAlign w:val="center"/>
          </w:tcPr>
          <w:p w14:paraId="7A01F83E">
            <w:pPr>
              <w:pStyle w:val="26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rPr>
                <w:rFonts w:hint="default" w:ascii="Times New Roman" w:hAnsi="Times New Roman" w:eastAsia="宋体" w:cs="Times New Roman"/>
                <w:bCs/>
                <w:color w:val="auto"/>
                <w:kern w:val="0"/>
                <w:sz w:val="21"/>
                <w:szCs w:val="21"/>
                <w:highlight w:val="none"/>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南</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634" w:type="pct"/>
            <w:noWrap w:val="0"/>
            <w:vAlign w:val="center"/>
          </w:tcPr>
          <w:p w14:paraId="2BF17D04">
            <w:pPr>
              <w:pStyle w:val="37"/>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48.18</w:t>
            </w:r>
          </w:p>
        </w:tc>
        <w:tc>
          <w:tcPr>
            <w:tcW w:w="637" w:type="pct"/>
            <w:noWrap w:val="0"/>
            <w:vAlign w:val="center"/>
          </w:tcPr>
          <w:p w14:paraId="07BD64F5">
            <w:pPr>
              <w:pStyle w:val="37"/>
              <w:adjustRightInd w:val="0"/>
              <w:snapToGrid w:val="0"/>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45.35</w:t>
            </w:r>
          </w:p>
        </w:tc>
        <w:tc>
          <w:tcPr>
            <w:tcW w:w="1080" w:type="dxa"/>
            <w:noWrap w:val="0"/>
            <w:vAlign w:val="center"/>
          </w:tcPr>
          <w:p w14:paraId="248D1659">
            <w:pPr>
              <w:pStyle w:val="37"/>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color w:val="auto"/>
                <w:sz w:val="21"/>
                <w:szCs w:val="21"/>
                <w:highlight w:val="none"/>
                <w:lang w:val="en-US" w:eastAsia="zh-CN"/>
              </w:rPr>
              <w:t>55</w:t>
            </w:r>
          </w:p>
        </w:tc>
        <w:tc>
          <w:tcPr>
            <w:tcW w:w="1087" w:type="dxa"/>
            <w:noWrap w:val="0"/>
            <w:vAlign w:val="center"/>
          </w:tcPr>
          <w:p w14:paraId="340AB6FF">
            <w:pPr>
              <w:pStyle w:val="37"/>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bCs/>
                <w:color w:val="auto"/>
                <w:sz w:val="21"/>
                <w:szCs w:val="21"/>
                <w:highlight w:val="none"/>
                <w:lang w:val="en-US" w:eastAsia="zh-CN"/>
              </w:rPr>
              <w:t>45</w:t>
            </w:r>
          </w:p>
        </w:tc>
        <w:tc>
          <w:tcPr>
            <w:tcW w:w="634" w:type="pct"/>
            <w:noWrap w:val="0"/>
            <w:vAlign w:val="center"/>
          </w:tcPr>
          <w:p w14:paraId="591C4BAE">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c>
          <w:tcPr>
            <w:tcW w:w="638" w:type="pct"/>
            <w:noWrap w:val="0"/>
            <w:vAlign w:val="center"/>
          </w:tcPr>
          <w:p w14:paraId="4695F37C">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r>
      <w:tr w14:paraId="42F0E5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noWrap w:val="0"/>
            <w:vAlign w:val="center"/>
          </w:tcPr>
          <w:p w14:paraId="6428B869">
            <w:pPr>
              <w:pStyle w:val="26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rPr>
                <w:rFonts w:hint="default" w:ascii="Times New Roman" w:hAnsi="Times New Roman" w:eastAsia="宋体" w:cs="Times New Roman"/>
                <w:bCs/>
                <w:color w:val="auto"/>
                <w:kern w:val="0"/>
                <w:sz w:val="21"/>
                <w:szCs w:val="21"/>
                <w:highlight w:val="none"/>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西</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634" w:type="pct"/>
            <w:noWrap w:val="0"/>
            <w:vAlign w:val="center"/>
          </w:tcPr>
          <w:p w14:paraId="4B2859E7">
            <w:pPr>
              <w:pStyle w:val="37"/>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33.15</w:t>
            </w:r>
          </w:p>
        </w:tc>
        <w:tc>
          <w:tcPr>
            <w:tcW w:w="637" w:type="pct"/>
            <w:noWrap w:val="0"/>
            <w:vAlign w:val="center"/>
          </w:tcPr>
          <w:p w14:paraId="66EEC6C2">
            <w:pPr>
              <w:pStyle w:val="37"/>
              <w:adjustRightInd w:val="0"/>
              <w:snapToGrid w:val="0"/>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29.76</w:t>
            </w:r>
          </w:p>
        </w:tc>
        <w:tc>
          <w:tcPr>
            <w:tcW w:w="1080" w:type="dxa"/>
            <w:noWrap w:val="0"/>
            <w:vAlign w:val="center"/>
          </w:tcPr>
          <w:p w14:paraId="57821027">
            <w:pPr>
              <w:pStyle w:val="37"/>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color w:val="auto"/>
                <w:sz w:val="21"/>
                <w:szCs w:val="21"/>
                <w:highlight w:val="none"/>
                <w:lang w:val="en-US" w:eastAsia="zh-CN"/>
              </w:rPr>
              <w:t>55</w:t>
            </w:r>
          </w:p>
        </w:tc>
        <w:tc>
          <w:tcPr>
            <w:tcW w:w="1087" w:type="dxa"/>
            <w:noWrap w:val="0"/>
            <w:vAlign w:val="center"/>
          </w:tcPr>
          <w:p w14:paraId="1973FFEA">
            <w:pPr>
              <w:pStyle w:val="37"/>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bCs/>
                <w:color w:val="auto"/>
                <w:sz w:val="21"/>
                <w:szCs w:val="21"/>
                <w:highlight w:val="none"/>
                <w:lang w:val="en-US" w:eastAsia="zh-CN"/>
              </w:rPr>
              <w:t>45</w:t>
            </w:r>
          </w:p>
        </w:tc>
        <w:tc>
          <w:tcPr>
            <w:tcW w:w="634" w:type="pct"/>
            <w:noWrap w:val="0"/>
            <w:vAlign w:val="center"/>
          </w:tcPr>
          <w:p w14:paraId="6E9228AB">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c>
          <w:tcPr>
            <w:tcW w:w="638" w:type="pct"/>
            <w:noWrap w:val="0"/>
            <w:vAlign w:val="center"/>
          </w:tcPr>
          <w:p w14:paraId="0296198F">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r>
      <w:tr w14:paraId="5D2D69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noWrap w:val="0"/>
            <w:vAlign w:val="center"/>
          </w:tcPr>
          <w:p w14:paraId="1E856295">
            <w:pPr>
              <w:pStyle w:val="26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rPr>
                <w:rFonts w:hint="default" w:ascii="Times New Roman" w:hAnsi="Times New Roman" w:eastAsia="宋体" w:cs="Times New Roman"/>
                <w:bCs/>
                <w:color w:val="auto"/>
                <w:kern w:val="0"/>
                <w:sz w:val="21"/>
                <w:szCs w:val="21"/>
                <w:highlight w:val="none"/>
              </w:rPr>
            </w:pPr>
            <w:r>
              <w:rPr>
                <w:rFonts w:ascii="Times New Roman" w:eastAsia="宋体" w:cs="Times New Roman"/>
                <w:color w:val="000000" w:themeColor="text1"/>
                <w:spacing w:val="20"/>
                <w:sz w:val="21"/>
                <w:szCs w:val="21"/>
                <w:highlight w:val="none"/>
                <w14:textFill>
                  <w14:solidFill>
                    <w14:schemeClr w14:val="tx1"/>
                  </w14:solidFill>
                </w14:textFill>
              </w:rPr>
              <w:t>厂界北侧</w:t>
            </w:r>
          </w:p>
        </w:tc>
        <w:tc>
          <w:tcPr>
            <w:tcW w:w="634" w:type="pct"/>
            <w:noWrap w:val="0"/>
            <w:vAlign w:val="center"/>
          </w:tcPr>
          <w:p w14:paraId="4949B386">
            <w:pPr>
              <w:pStyle w:val="37"/>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40.82</w:t>
            </w:r>
          </w:p>
        </w:tc>
        <w:tc>
          <w:tcPr>
            <w:tcW w:w="637" w:type="pct"/>
            <w:noWrap w:val="0"/>
            <w:vAlign w:val="center"/>
          </w:tcPr>
          <w:p w14:paraId="5910D6BD">
            <w:pPr>
              <w:pStyle w:val="37"/>
              <w:adjustRightInd w:val="0"/>
              <w:snapToGrid w:val="0"/>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31.87</w:t>
            </w:r>
          </w:p>
        </w:tc>
        <w:tc>
          <w:tcPr>
            <w:tcW w:w="1080" w:type="dxa"/>
            <w:noWrap w:val="0"/>
            <w:vAlign w:val="center"/>
          </w:tcPr>
          <w:p w14:paraId="504ACF0D">
            <w:pPr>
              <w:pStyle w:val="37"/>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color w:val="auto"/>
                <w:sz w:val="21"/>
                <w:szCs w:val="21"/>
                <w:highlight w:val="none"/>
                <w:lang w:val="en-US" w:eastAsia="zh-CN"/>
              </w:rPr>
              <w:t>55</w:t>
            </w:r>
          </w:p>
        </w:tc>
        <w:tc>
          <w:tcPr>
            <w:tcW w:w="1087" w:type="dxa"/>
            <w:noWrap w:val="0"/>
            <w:vAlign w:val="center"/>
          </w:tcPr>
          <w:p w14:paraId="285606EE">
            <w:pPr>
              <w:pStyle w:val="37"/>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bCs/>
                <w:color w:val="auto"/>
                <w:sz w:val="21"/>
                <w:szCs w:val="21"/>
                <w:highlight w:val="none"/>
                <w:lang w:val="en-US" w:eastAsia="zh-CN"/>
              </w:rPr>
              <w:t>45</w:t>
            </w:r>
          </w:p>
        </w:tc>
        <w:tc>
          <w:tcPr>
            <w:tcW w:w="634" w:type="pct"/>
            <w:noWrap w:val="0"/>
            <w:vAlign w:val="center"/>
          </w:tcPr>
          <w:p w14:paraId="07BE4021">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c>
          <w:tcPr>
            <w:tcW w:w="638" w:type="pct"/>
            <w:noWrap w:val="0"/>
            <w:vAlign w:val="center"/>
          </w:tcPr>
          <w:p w14:paraId="06D0FDB9">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r>
    </w:tbl>
    <w:p w14:paraId="590B07D7">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4"/>
          <w:highlight w:val="none"/>
        </w:rPr>
      </w:pPr>
      <w:r>
        <w:rPr>
          <w:highlight w:val="none"/>
        </w:rPr>
        <w:drawing>
          <wp:inline distT="0" distB="0" distL="114300" distR="114300">
            <wp:extent cx="4638675" cy="3655060"/>
            <wp:effectExtent l="0" t="0" r="9525" b="254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107"/>
                    <a:stretch>
                      <a:fillRect/>
                    </a:stretch>
                  </pic:blipFill>
                  <pic:spPr>
                    <a:xfrm>
                      <a:off x="0" y="0"/>
                      <a:ext cx="4638675" cy="3655060"/>
                    </a:xfrm>
                    <a:prstGeom prst="rect">
                      <a:avLst/>
                    </a:prstGeom>
                    <a:noFill/>
                    <a:ln>
                      <a:noFill/>
                    </a:ln>
                  </pic:spPr>
                </pic:pic>
              </a:graphicData>
            </a:graphic>
          </wp:inline>
        </w:drawing>
      </w:r>
    </w:p>
    <w:p w14:paraId="6FA5486F">
      <w:pPr>
        <w:spacing w:line="240" w:lineRule="auto"/>
        <w:ind w:firstLine="420" w:firstLineChars="200"/>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图5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噪声预测结果图</w:t>
      </w:r>
    </w:p>
    <w:p w14:paraId="2933F11D">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highlight w:val="none"/>
        </w:rPr>
        <w:t>根据预测结果可知，经采取基础减振、选用低噪声设备、厂房隔声等措施后，厂界外1米处的昼夜间噪声预测值均可以满足《工业企业厂界环境噪声排放标准》(GB12348-2008)</w:t>
      </w:r>
      <w:r>
        <w:rPr>
          <w:rFonts w:hint="eastAsia" w:ascii="Times New Roman" w:hAnsi="Times New Roman" w:cs="Times New Roman"/>
          <w:color w:val="auto"/>
          <w:sz w:val="24"/>
          <w:highlight w:val="none"/>
          <w:lang w:val="en-US" w:eastAsia="zh-CN"/>
        </w:rPr>
        <w:t>1类</w:t>
      </w:r>
      <w:r>
        <w:rPr>
          <w:rFonts w:hint="default" w:ascii="Times New Roman" w:hAnsi="Times New Roman" w:eastAsia="宋体" w:cs="Times New Roman"/>
          <w:color w:val="auto"/>
          <w:sz w:val="24"/>
          <w:highlight w:val="none"/>
        </w:rPr>
        <w:t>标准要求。因此项</w:t>
      </w:r>
      <w:r>
        <w:rPr>
          <w:rFonts w:hint="default" w:ascii="Times New Roman" w:hAnsi="Times New Roman" w:eastAsia="宋体" w:cs="Times New Roman"/>
          <w:color w:val="auto"/>
          <w:sz w:val="24"/>
          <w:szCs w:val="32"/>
          <w:highlight w:val="none"/>
        </w:rPr>
        <w:t>目投产后对周围声环境影响较小。</w:t>
      </w:r>
    </w:p>
    <w:p w14:paraId="3148647D">
      <w:pPr>
        <w:pStyle w:val="7"/>
        <w:rPr>
          <w:rFonts w:hint="eastAsia" w:ascii="Times New Roman" w:hAnsi="Times New Roman" w:eastAsia="宋体" w:cs="Times New Roman"/>
          <w:snapToGrid w:val="0"/>
          <w:color w:val="auto"/>
          <w:highlight w:val="none"/>
          <w:lang w:eastAsia="zh-CN"/>
        </w:rPr>
      </w:pPr>
      <w:bookmarkStart w:id="759" w:name="_Toc20464"/>
      <w:bookmarkStart w:id="760" w:name="_Toc20037"/>
      <w:bookmarkStart w:id="761" w:name="_Toc19128"/>
      <w:bookmarkStart w:id="762" w:name="_Toc32653"/>
      <w:r>
        <w:rPr>
          <w:rFonts w:hint="default" w:ascii="Times New Roman" w:hAnsi="Times New Roman" w:eastAsia="宋体" w:cs="Times New Roman"/>
          <w:snapToGrid w:val="0"/>
          <w:color w:val="auto"/>
          <w:highlight w:val="none"/>
        </w:rPr>
        <w:t>5.2.5固废影响预测评价</w:t>
      </w:r>
      <w:bookmarkEnd w:id="759"/>
      <w:bookmarkEnd w:id="760"/>
      <w:bookmarkEnd w:id="761"/>
      <w:bookmarkEnd w:id="762"/>
    </w:p>
    <w:p w14:paraId="5FA30658">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本项目固体废物主要为猪粪、病死猪尸体及胎盘、</w:t>
      </w:r>
      <w:r>
        <w:rPr>
          <w:rFonts w:hint="eastAsia" w:ascii="Times New Roman" w:hAnsi="Times New Roman" w:cs="Times New Roman"/>
          <w:snapToGrid w:val="0"/>
          <w:color w:val="auto"/>
          <w:highlight w:val="none"/>
          <w:lang w:eastAsia="zh-CN"/>
        </w:rPr>
        <w:t>动物医疗废物</w:t>
      </w:r>
      <w:r>
        <w:rPr>
          <w:rFonts w:hint="default" w:ascii="Times New Roman" w:hAnsi="Times New Roman" w:eastAsia="宋体" w:cs="Times New Roman"/>
          <w:snapToGrid w:val="0"/>
          <w:color w:val="auto"/>
          <w:highlight w:val="none"/>
        </w:rPr>
        <w:t>、废脱硫剂、沼渣</w:t>
      </w:r>
      <w:r>
        <w:rPr>
          <w:rFonts w:hint="eastAsia" w:ascii="Times New Roman" w:hAnsi="Times New Roman" w:cs="Times New Roman"/>
          <w:snapToGrid w:val="0"/>
          <w:color w:val="auto"/>
          <w:highlight w:val="none"/>
          <w:lang w:eastAsia="zh-CN"/>
        </w:rPr>
        <w:t>、废除臭剂桶、</w:t>
      </w:r>
      <w:r>
        <w:rPr>
          <w:rFonts w:hint="eastAsia" w:ascii="Times New Roman" w:hAnsi="Times New Roman" w:cs="Times New Roman"/>
          <w:snapToGrid w:val="0"/>
          <w:color w:val="auto"/>
          <w:highlight w:val="none"/>
          <w:lang w:val="en-US" w:eastAsia="zh-CN"/>
        </w:rPr>
        <w:t>生活垃圾</w:t>
      </w:r>
      <w:r>
        <w:rPr>
          <w:rFonts w:hint="default" w:ascii="Times New Roman" w:hAnsi="Times New Roman" w:eastAsia="宋体" w:cs="Times New Roman"/>
          <w:snapToGrid w:val="0"/>
          <w:color w:val="auto"/>
          <w:highlight w:val="none"/>
        </w:rPr>
        <w:t>。</w:t>
      </w:r>
    </w:p>
    <w:p w14:paraId="23A2E4F5">
      <w:pPr>
        <w:pStyle w:val="37"/>
        <w:spacing w:line="360" w:lineRule="auto"/>
        <w:ind w:left="0" w:firstLine="48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一、一般工业固体废物</w:t>
      </w:r>
    </w:p>
    <w:p w14:paraId="144FC66B">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1、</w:t>
      </w:r>
      <w:r>
        <w:rPr>
          <w:rFonts w:hint="default" w:ascii="Times New Roman" w:hAnsi="Times New Roman" w:eastAsia="宋体" w:cs="Times New Roman"/>
          <w:snapToGrid w:val="0"/>
          <w:color w:val="auto"/>
          <w:highlight w:val="none"/>
        </w:rPr>
        <w:t>猪粪</w:t>
      </w:r>
    </w:p>
    <w:p w14:paraId="0419C346">
      <w:pPr>
        <w:pStyle w:val="94"/>
        <w:ind w:firstLine="48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本</w:t>
      </w:r>
      <w:r>
        <w:rPr>
          <w:rFonts w:hint="default" w:ascii="Times New Roman" w:hAnsi="Times New Roman" w:cs="Times New Roman"/>
          <w:snapToGrid w:val="0"/>
          <w:color w:val="auto"/>
          <w:highlight w:val="none"/>
          <w:lang w:val="en-US" w:eastAsia="zh-CN"/>
        </w:rPr>
        <w:t>项目产生的猪粪采取</w:t>
      </w:r>
      <w:r>
        <w:rPr>
          <w:rFonts w:hint="eastAsia" w:ascii="Times New Roman" w:hAnsi="Times New Roman" w:cs="Times New Roman"/>
          <w:snapToGrid w:val="0"/>
          <w:color w:val="auto"/>
          <w:highlight w:val="none"/>
          <w:lang w:val="en-US" w:eastAsia="zh-CN"/>
        </w:rPr>
        <w:t>尿泡粪—干清粪</w:t>
      </w:r>
      <w:r>
        <w:rPr>
          <w:rFonts w:hint="default" w:ascii="Times New Roman" w:hAnsi="Times New Roman" w:cs="Times New Roman"/>
          <w:snapToGrid w:val="0"/>
          <w:color w:val="auto"/>
          <w:highlight w:val="none"/>
          <w:lang w:val="en-US" w:eastAsia="zh-CN"/>
        </w:rPr>
        <w:t>方式进行清粪，</w:t>
      </w:r>
      <w:r>
        <w:rPr>
          <w:rFonts w:hint="eastAsia" w:ascii="Times New Roman" w:hAnsi="Times New Roman" w:cs="Times New Roman"/>
          <w:snapToGrid w:val="0"/>
          <w:color w:val="auto"/>
          <w:highlight w:val="none"/>
          <w:lang w:val="en-US" w:eastAsia="zh-CN"/>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w:t>
      </w:r>
      <w:r>
        <w:rPr>
          <w:rFonts w:hint="default" w:ascii="Times New Roman" w:hAnsi="Times New Roman" w:cs="Times New Roman"/>
          <w:snapToGrid w:val="0"/>
          <w:color w:val="auto"/>
          <w:highlight w:val="none"/>
          <w:lang w:val="en-US" w:eastAsia="zh-CN"/>
        </w:rPr>
        <w:t>。根据《畜禽养殖业污染治理工程技术规范》的资料性附录 A“畜禽养殖废水水质和粪污产生量”猪粪量为398kg/头▪a，本项目常年存栏量8000头，产粪量总计8.723t/d、3184t/a。</w:t>
      </w:r>
    </w:p>
    <w:p w14:paraId="4D7E6D3D">
      <w:pPr>
        <w:pStyle w:val="94"/>
        <w:ind w:firstLine="480"/>
        <w:rPr>
          <w:rFonts w:hint="default" w:ascii="Times New Roman" w:hAnsi="Times New Roman" w:cs="Times New Roman"/>
          <w:color w:val="auto"/>
          <w:highlight w:val="none"/>
          <w:lang w:eastAsia="zh-CN"/>
        </w:rPr>
      </w:pPr>
      <w:r>
        <w:rPr>
          <w:rFonts w:hint="eastAsia" w:ascii="Times New Roman" w:hAnsi="Times New Roman" w:cs="Times New Roman"/>
          <w:snapToGrid w:val="0"/>
          <w:color w:val="auto"/>
          <w:highlight w:val="none"/>
          <w:lang w:val="en-US" w:eastAsia="zh-CN"/>
        </w:rPr>
        <w:t>则干粪</w:t>
      </w:r>
      <w:r>
        <w:rPr>
          <w:rFonts w:hint="default" w:ascii="Times New Roman" w:hAnsi="Times New Roman" w:cs="Times New Roman"/>
          <w:snapToGrid w:val="0"/>
          <w:color w:val="auto"/>
          <w:highlight w:val="none"/>
          <w:lang w:eastAsia="zh-CN"/>
        </w:rPr>
        <w:t>产生量为</w:t>
      </w:r>
      <w:r>
        <w:rPr>
          <w:rFonts w:hint="eastAsia" w:ascii="Times New Roman" w:hAnsi="Times New Roman" w:cs="Times New Roman"/>
          <w:snapToGrid w:val="0"/>
          <w:color w:val="auto"/>
          <w:highlight w:val="none"/>
          <w:lang w:val="en-US" w:eastAsia="zh-CN"/>
        </w:rPr>
        <w:t>1.7446t/d、636.779t/a</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可作为肥料施用于项目周边区域的农</w:t>
      </w:r>
      <w:r>
        <w:rPr>
          <w:rFonts w:hint="default" w:ascii="Times New Roman" w:hAnsi="Times New Roman" w:eastAsia="宋体" w:cs="Times New Roman"/>
          <w:snapToGrid w:val="0"/>
          <w:color w:val="auto"/>
          <w:highlight w:val="none"/>
        </w:rPr>
        <w:t>田。</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尿泡粪—干清粪</w:t>
      </w:r>
      <w:r>
        <w:rPr>
          <w:rFonts w:hint="default" w:ascii="Times New Roman" w:hAnsi="Times New Roman" w:cs="Times New Roman"/>
          <w:color w:val="auto"/>
          <w:highlight w:val="none"/>
          <w:lang w:val="en-US" w:eastAsia="zh-CN"/>
        </w:rPr>
        <w:t>后猪粪（</w:t>
      </w:r>
      <w:r>
        <w:rPr>
          <w:rFonts w:hint="eastAsia" w:ascii="Times New Roman" w:hAnsi="Times New Roman" w:cs="Times New Roman"/>
          <w:color w:val="auto"/>
          <w:highlight w:val="none"/>
          <w:lang w:val="en-US" w:eastAsia="zh-CN"/>
        </w:rPr>
        <w:t>3184</w:t>
      </w:r>
      <w:r>
        <w:rPr>
          <w:rFonts w:hint="default" w:ascii="Times New Roman" w:hAnsi="Times New Roman" w:cs="Times New Roman"/>
          <w:color w:val="auto"/>
          <w:highlight w:val="none"/>
          <w:lang w:val="en-US" w:eastAsia="zh-CN"/>
        </w:rPr>
        <w:t>t/a）随尿液进入固液分离间，粪便和废水经固液分离后的干物质（</w:t>
      </w:r>
      <w:r>
        <w:rPr>
          <w:rFonts w:hint="eastAsia" w:ascii="Times New Roman" w:hAnsi="Times New Roman" w:cs="Times New Roman"/>
          <w:color w:val="auto"/>
          <w:highlight w:val="none"/>
          <w:lang w:val="en-US" w:eastAsia="zh-CN"/>
        </w:rPr>
        <w:t>636.779t/a</w:t>
      </w:r>
      <w:r>
        <w:rPr>
          <w:rFonts w:hint="default" w:ascii="Times New Roman" w:hAnsi="Times New Roman" w:cs="Times New Roman"/>
          <w:color w:val="auto"/>
          <w:highlight w:val="none"/>
          <w:lang w:val="en-US" w:eastAsia="zh-CN"/>
        </w:rPr>
        <w:t>）被分离出来变成</w:t>
      </w:r>
      <w:r>
        <w:rPr>
          <w:rFonts w:hint="eastAsia" w:ascii="Times New Roman" w:hAnsi="Times New Roman" w:cs="Times New Roman"/>
          <w:color w:val="auto"/>
          <w:highlight w:val="none"/>
          <w:lang w:val="en-US" w:eastAsia="zh-CN"/>
        </w:rPr>
        <w:t>干粪</w:t>
      </w:r>
      <w:r>
        <w:rPr>
          <w:rFonts w:hint="default" w:ascii="Times New Roman" w:hAnsi="Times New Roman" w:cs="Times New Roman"/>
          <w:color w:val="auto"/>
          <w:highlight w:val="none"/>
          <w:lang w:val="en-US" w:eastAsia="zh-CN"/>
        </w:rPr>
        <w:t>，剩余物质（</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进入黑膜厌氧反应池进行厌氧反应，经过厌氧发酵后，60%的干物质被分解，40%的干物质生成沼渣</w:t>
      </w:r>
      <w:r>
        <w:rPr>
          <w:rFonts w:hint="default" w:ascii="Times New Roman" w:hAnsi="Times New Roman" w:cs="Times New Roman"/>
          <w:color w:val="auto"/>
          <w:highlight w:val="none"/>
          <w:lang w:eastAsia="zh-CN"/>
        </w:rPr>
        <w:t>。沼渣含水率为65%，则沼渣产生量约为</w:t>
      </w:r>
      <w:r>
        <w:rPr>
          <w:rFonts w:hint="eastAsia" w:ascii="Times New Roman" w:hAnsi="Times New Roman" w:cs="Times New Roman"/>
          <w:color w:val="auto"/>
          <w:highlight w:val="none"/>
          <w:lang w:val="en-US" w:eastAsia="zh-CN"/>
        </w:rPr>
        <w:t>0.977</w:t>
      </w:r>
      <w:r>
        <w:rPr>
          <w:rFonts w:hint="default" w:ascii="Times New Roman" w:hAnsi="Times New Roman" w:cs="Times New Roman"/>
          <w:color w:val="auto"/>
          <w:highlight w:val="none"/>
          <w:lang w:eastAsia="zh-CN"/>
        </w:rPr>
        <w:t>t/d（即</w:t>
      </w:r>
      <w:r>
        <w:rPr>
          <w:rFonts w:hint="eastAsia" w:ascii="Times New Roman" w:hAnsi="Times New Roman" w:cs="Times New Roman"/>
          <w:color w:val="auto"/>
          <w:highlight w:val="none"/>
          <w:lang w:val="en-US" w:eastAsia="zh-CN"/>
        </w:rPr>
        <w:t>356.608</w:t>
      </w:r>
      <w:r>
        <w:rPr>
          <w:rFonts w:hint="default" w:ascii="Times New Roman" w:hAnsi="Times New Roman" w:cs="Times New Roman"/>
          <w:color w:val="auto"/>
          <w:highlight w:val="none"/>
          <w:lang w:eastAsia="zh-CN"/>
        </w:rPr>
        <w:t>t/a）。产生的</w:t>
      </w:r>
      <w:r>
        <w:rPr>
          <w:rFonts w:hint="default" w:ascii="Times New Roman" w:hAnsi="Times New Roman" w:cs="Times New Roman"/>
          <w:color w:val="auto"/>
          <w:highlight w:val="none"/>
          <w:lang w:val="en-US" w:eastAsia="zh-CN"/>
        </w:rPr>
        <w:t>沼渣封闭运输至干粪堆积场发酵后施肥期施于农田，非施肥期暂存于密闭干粪堆积场</w:t>
      </w:r>
      <w:r>
        <w:rPr>
          <w:rFonts w:hint="default" w:ascii="Times New Roman" w:hAnsi="Times New Roman" w:cs="Times New Roman"/>
          <w:color w:val="auto"/>
          <w:highlight w:val="none"/>
          <w:lang w:eastAsia="zh-CN"/>
        </w:rPr>
        <w:t>。</w:t>
      </w:r>
    </w:p>
    <w:p w14:paraId="5AE2CA1D">
      <w:pPr>
        <w:pStyle w:val="94"/>
        <w:ind w:firstLine="48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干粪堆积场恶臭采用负压收集后（收集效率90%）进入活性炭吸附装置净化处理后（处理效率90%）经15米高排气筒排放，废气量为5000m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/h，并喷洒除臭剂，减少恶臭气体对周围环境的影响。</w:t>
      </w:r>
    </w:p>
    <w:p w14:paraId="672D83F3">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本项目养殖场地由养殖区、粪污暂存区和生活区组成。生产作业线顺畅、避免倒流、交叉，做到场区功能分区明确；</w:t>
      </w:r>
      <w:r>
        <w:rPr>
          <w:rFonts w:hint="default" w:ascii="Times New Roman" w:hAnsi="Times New Roman" w:eastAsia="宋体" w:cs="Times New Roman"/>
          <w:snapToGrid w:val="0"/>
          <w:color w:val="auto"/>
          <w:highlight w:val="none"/>
        </w:rPr>
        <w:t>猪</w:t>
      </w:r>
      <w:r>
        <w:rPr>
          <w:rFonts w:hint="default" w:ascii="Times New Roman" w:hAnsi="Times New Roman" w:eastAsia="宋体" w:cs="Times New Roman"/>
          <w:snapToGrid w:val="0"/>
          <w:color w:val="auto"/>
          <w:kern w:val="0"/>
          <w:sz w:val="24"/>
          <w:szCs w:val="24"/>
          <w:highlight w:val="none"/>
          <w:lang w:val="en-US" w:eastAsia="zh-CN" w:bidi="ar-SA"/>
        </w:rPr>
        <w:t>粪</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kern w:val="0"/>
          <w:sz w:val="24"/>
          <w:szCs w:val="24"/>
          <w:highlight w:val="none"/>
          <w:lang w:val="en-US" w:eastAsia="zh-CN" w:bidi="ar-SA"/>
        </w:rPr>
        <w:t>位于厂区下风向，远离生活区；场区粪污出口与厂区道路距离较近，方便</w:t>
      </w:r>
      <w:r>
        <w:rPr>
          <w:rFonts w:hint="default" w:ascii="Times New Roman" w:hAnsi="Times New Roman" w:eastAsia="宋体" w:cs="Times New Roman"/>
          <w:snapToGrid w:val="0"/>
          <w:color w:val="auto"/>
          <w:highlight w:val="none"/>
        </w:rPr>
        <w:t>猪</w:t>
      </w:r>
      <w:r>
        <w:rPr>
          <w:rFonts w:hint="default" w:ascii="Times New Roman" w:hAnsi="Times New Roman" w:eastAsia="宋体" w:cs="Times New Roman"/>
          <w:snapToGrid w:val="0"/>
          <w:color w:val="auto"/>
          <w:kern w:val="0"/>
          <w:sz w:val="24"/>
          <w:szCs w:val="24"/>
          <w:highlight w:val="none"/>
          <w:lang w:val="en-US" w:eastAsia="zh-CN" w:bidi="ar-SA"/>
        </w:rPr>
        <w:t>粪等的运输；粪污出口远离生活区及厂区主入口，避免粪污等对生活区造成影响。综上所述，项目粪污暂存场所设置合理。</w:t>
      </w:r>
    </w:p>
    <w:p w14:paraId="041E8C63">
      <w:pPr>
        <w:pStyle w:val="37"/>
        <w:spacing w:line="360" w:lineRule="auto"/>
        <w:ind w:left="0"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2、病死猪及胎盘</w:t>
      </w:r>
    </w:p>
    <w:p w14:paraId="5EC5E6B6">
      <w:pPr>
        <w:pStyle w:val="37"/>
        <w:spacing w:line="360" w:lineRule="auto"/>
        <w:ind w:left="0"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根据环境保护部关于病害动物无害化处理有关意见的复函：《动物防疫法》明确要求病害动物应当按照国务院兽医主管部门的规定进行无害化处理，不得随意处置。由于法律位阶高于部门规章，因此项目病害动物、分娩物无害化处理执行《动物防疫法》，病害动物按照《畜禽养殖业污染治理工程技术规范》（HJ497-2009）、《畜禽养殖业污染防治技术规范》（HJ/T81-2001）及《病死及病害动物无害化处理技术规范》农医发〔2017〕25号进行无害化处理，不再认定为危险废物集中处置。对于一般疾病死亡的病死猪以及分娩物，在项目运行期间对于病死猪，应严格按照《黑龙江省动物防疫条例》采取对策及时处理，严禁随意丢弃，严禁出售或作为饲料再利用。</w:t>
      </w:r>
    </w:p>
    <w:p w14:paraId="2A4506ED">
      <w:pPr>
        <w:pStyle w:val="94"/>
        <w:ind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本项目产生的病死猪及胎盘要及时清理</w:t>
      </w:r>
      <w:r>
        <w:rPr>
          <w:rFonts w:hint="eastAsia" w:ascii="Times New Roman" w:hAnsi="Times New Roman" w:cs="Times New Roman"/>
          <w:smallCaps w:val="0"/>
          <w:snapToGrid w:val="0"/>
          <w:color w:val="auto"/>
          <w:kern w:val="0"/>
          <w:sz w:val="24"/>
          <w:szCs w:val="24"/>
          <w:highlight w:val="none"/>
          <w:lang w:val="en-US" w:eastAsia="zh-CN" w:bidi="ar-SA"/>
        </w:rPr>
        <w:t>冷冻（冰箱）</w:t>
      </w:r>
      <w:r>
        <w:rPr>
          <w:rFonts w:hint="default" w:ascii="Times New Roman" w:hAnsi="Times New Roman" w:eastAsia="宋体" w:cs="Times New Roman"/>
          <w:smallCaps w:val="0"/>
          <w:snapToGrid w:val="0"/>
          <w:color w:val="auto"/>
          <w:kern w:val="0"/>
          <w:sz w:val="24"/>
          <w:szCs w:val="24"/>
          <w:highlight w:val="none"/>
          <w:lang w:val="en-US" w:eastAsia="zh-CN" w:bidi="ar-SA"/>
        </w:rPr>
        <w:t>，严禁随意丢弃，严禁出售或作为饲料再利用。</w:t>
      </w:r>
      <w:r>
        <w:rPr>
          <w:rFonts w:hint="default" w:ascii="Times New Roman" w:hAnsi="Times New Roman" w:eastAsia="宋体" w:cs="Times New Roman"/>
          <w:snapToGrid w:val="0"/>
          <w:color w:val="auto"/>
          <w:highlight w:val="none"/>
        </w:rPr>
        <w:t>病死猪及胎盘委托</w:t>
      </w:r>
      <w:r>
        <w:rPr>
          <w:rFonts w:hint="eastAsia" w:ascii="Times New Roman" w:hAnsi="Times New Roman" w:cs="Times New Roman"/>
          <w:snapToGrid w:val="0"/>
          <w:color w:val="auto"/>
          <w:highlight w:val="none"/>
          <w:lang w:eastAsia="zh-CN"/>
        </w:rPr>
        <w:t>鸡西市鑫农源固废处理有限公司进行无害化集中处理</w:t>
      </w:r>
      <w:r>
        <w:rPr>
          <w:rFonts w:hint="default" w:ascii="Times New Roman" w:hAnsi="Times New Roman" w:eastAsia="宋体" w:cs="Times New Roman"/>
          <w:snapToGrid w:val="0"/>
          <w:color w:val="auto"/>
          <w:highlight w:val="none"/>
        </w:rPr>
        <w:t>（具体协议见附件）</w:t>
      </w:r>
      <w:r>
        <w:rPr>
          <w:rFonts w:hint="default" w:ascii="Times New Roman" w:hAnsi="Times New Roman" w:cs="Times New Roman"/>
          <w:snapToGrid w:val="0"/>
          <w:color w:val="auto"/>
          <w:highlight w:val="none"/>
          <w:lang w:eastAsia="zh-CN"/>
        </w:rPr>
        <w:t>。</w:t>
      </w:r>
      <w:r>
        <w:rPr>
          <w:rFonts w:hint="default" w:ascii="Times New Roman" w:hAnsi="Times New Roman" w:eastAsia="宋体" w:cs="Times New Roman"/>
          <w:smallCaps w:val="0"/>
          <w:snapToGrid w:val="0"/>
          <w:color w:val="auto"/>
          <w:kern w:val="0"/>
          <w:sz w:val="24"/>
          <w:szCs w:val="24"/>
          <w:highlight w:val="none"/>
          <w:lang w:val="en-US" w:eastAsia="zh-CN" w:bidi="ar-SA"/>
        </w:rPr>
        <w:t>病死猪及胎盘转运车辆与人员应严格按照《病死动物无害化处理技术规范》、《黑龙江省动物防疫条例》等做好防护，并定期进行技术安全培训。</w:t>
      </w:r>
    </w:p>
    <w:p w14:paraId="1AB8182F">
      <w:pPr>
        <w:pStyle w:val="37"/>
        <w:spacing w:line="360" w:lineRule="auto"/>
        <w:ind w:left="0"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3、废脱硫剂</w:t>
      </w:r>
    </w:p>
    <w:p w14:paraId="30EEBCD7">
      <w:pPr>
        <w:pStyle w:val="37"/>
        <w:spacing w:line="360" w:lineRule="auto"/>
        <w:ind w:left="0"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本项目利用氧化法脱除沼气中的硫，沼气脱硫过程会产生废脱硫剂，废脱硫剂的主要成分是Fe</w:t>
      </w:r>
      <w:r>
        <w:rPr>
          <w:rFonts w:hint="default" w:ascii="Times New Roman" w:hAnsi="Times New Roman" w:eastAsia="宋体" w:cs="Times New Roman"/>
          <w:smallCaps w:val="0"/>
          <w:snapToGrid w:val="0"/>
          <w:color w:val="auto"/>
          <w:kern w:val="0"/>
          <w:sz w:val="24"/>
          <w:szCs w:val="24"/>
          <w:highlight w:val="none"/>
          <w:vertAlign w:val="subscript"/>
          <w:lang w:val="en-US" w:eastAsia="zh-CN" w:bidi="ar-SA"/>
        </w:rPr>
        <w:t>2</w:t>
      </w:r>
      <w:r>
        <w:rPr>
          <w:rFonts w:hint="default" w:ascii="Times New Roman" w:hAnsi="Times New Roman" w:eastAsia="宋体" w:cs="Times New Roman"/>
          <w:smallCaps w:val="0"/>
          <w:snapToGrid w:val="0"/>
          <w:color w:val="auto"/>
          <w:kern w:val="0"/>
          <w:sz w:val="24"/>
          <w:szCs w:val="24"/>
          <w:highlight w:val="none"/>
          <w:lang w:val="en-US" w:eastAsia="zh-CN" w:bidi="ar-SA"/>
        </w:rPr>
        <w:t>O</w:t>
      </w:r>
      <w:r>
        <w:rPr>
          <w:rFonts w:hint="default" w:ascii="Times New Roman" w:hAnsi="Times New Roman" w:eastAsia="宋体" w:cs="Times New Roman"/>
          <w:smallCaps w:val="0"/>
          <w:snapToGrid w:val="0"/>
          <w:color w:val="auto"/>
          <w:kern w:val="0"/>
          <w:sz w:val="24"/>
          <w:szCs w:val="24"/>
          <w:highlight w:val="none"/>
          <w:vertAlign w:val="subscript"/>
          <w:lang w:val="en-US" w:eastAsia="zh-CN" w:bidi="ar-SA"/>
        </w:rPr>
        <w:t>3</w:t>
      </w:r>
      <w:r>
        <w:rPr>
          <w:rFonts w:hint="default" w:ascii="Times New Roman" w:hAnsi="Times New Roman" w:eastAsia="宋体" w:cs="Times New Roman"/>
          <w:smallCaps w:val="0"/>
          <w:snapToGrid w:val="0"/>
          <w:color w:val="auto"/>
          <w:kern w:val="0"/>
          <w:sz w:val="24"/>
          <w:szCs w:val="24"/>
          <w:highlight w:val="none"/>
          <w:lang w:val="en-US" w:eastAsia="zh-CN" w:bidi="ar-SA"/>
        </w:rPr>
        <w:t>屑和木屑混合物，脱硫剂每年需更换2次，废脱硫剂由厂家回收处理。</w:t>
      </w:r>
    </w:p>
    <w:p w14:paraId="2BE9F5E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沼渣</w:t>
      </w:r>
    </w:p>
    <w:p w14:paraId="32D3EDBE">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沼渣养分含量较为全面，含丰富的氮、磷、钾、氨基酸、微量元素、有机酸和腐殖酸等生物活性物质，增强作物抗逆性及改善产品品质，是优质的有机肥基料，故本项目厂区沼渣封闭运输至</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lang w:val="en-US" w:eastAsia="zh-CN"/>
        </w:rPr>
        <w:t>发酵后</w:t>
      </w:r>
      <w:r>
        <w:rPr>
          <w:rFonts w:hint="eastAsia" w:ascii="Times New Roman" w:hAnsi="Times New Roman" w:cs="Times New Roman"/>
          <w:snapToGrid w:val="0"/>
          <w:color w:val="auto"/>
          <w:highlight w:val="none"/>
          <w:lang w:val="en-US" w:eastAsia="zh-CN"/>
        </w:rPr>
        <w:t>施肥期施于农田，非施肥期暂存于密闭干粪堆积场</w:t>
      </w:r>
      <w:r>
        <w:rPr>
          <w:rFonts w:hint="default" w:ascii="Times New Roman" w:hAnsi="Times New Roman" w:eastAsia="宋体" w:cs="Times New Roman"/>
          <w:snapToGrid w:val="0"/>
          <w:color w:val="auto"/>
          <w:highlight w:val="none"/>
          <w:lang w:val="en-US" w:eastAsia="zh-CN"/>
        </w:rPr>
        <w:t>。</w:t>
      </w:r>
    </w:p>
    <w:p w14:paraId="67B6B209">
      <w:pPr>
        <w:pStyle w:val="94"/>
        <w:ind w:firstLine="480"/>
        <w:rPr>
          <w:rFonts w:hint="default" w:ascii="Times New Roman" w:hAnsi="Times New Roman" w:eastAsia="宋体" w:cs="Times New Roman"/>
          <w:color w:val="auto"/>
          <w:highlight w:val="none"/>
          <w:lang w:eastAsia="zh-CN"/>
        </w:rPr>
      </w:pP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lang w:val="en-US" w:eastAsia="zh-CN"/>
        </w:rPr>
        <w:t>、</w:t>
      </w:r>
      <w:r>
        <w:rPr>
          <w:rFonts w:hint="default" w:ascii="Times New Roman" w:hAnsi="Times New Roman" w:eastAsia="宋体" w:cs="Times New Roman"/>
          <w:color w:val="auto"/>
          <w:highlight w:val="none"/>
          <w:lang w:eastAsia="zh-CN"/>
        </w:rPr>
        <w:t>废除臭剂桶</w:t>
      </w:r>
    </w:p>
    <w:p w14:paraId="01B3C33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废除臭剂包装桶，属于一般固废，集中收集后暂存于一般工业固体废物暂存间内，定期由厂家回收利用</w:t>
      </w:r>
      <w:r>
        <w:rPr>
          <w:rFonts w:hint="default" w:ascii="Times New Roman" w:hAnsi="Times New Roman" w:eastAsia="宋体" w:cs="Times New Roman"/>
          <w:color w:val="auto"/>
          <w:highlight w:val="none"/>
        </w:rPr>
        <w:t>。</w:t>
      </w:r>
    </w:p>
    <w:p w14:paraId="1A0E79D6">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生活垃圾</w:t>
      </w:r>
    </w:p>
    <w:p w14:paraId="550E739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在生活区内设置一处生活垃圾收集箱，生活垃圾由当地环卫部门统一收集处理，不外排。</w:t>
      </w:r>
    </w:p>
    <w:p w14:paraId="0C9A6FCD">
      <w:pPr>
        <w:adjustRightInd w:val="0"/>
        <w:snapToGrid w:val="0"/>
        <w:spacing w:line="360" w:lineRule="auto"/>
        <w:ind w:firstLine="482"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二、危险废物</w:t>
      </w:r>
    </w:p>
    <w:p w14:paraId="719CE8EC">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1、</w:t>
      </w:r>
      <w:r>
        <w:rPr>
          <w:rFonts w:hint="eastAsia" w:ascii="Times New Roman" w:hAnsi="Times New Roman" w:cs="Times New Roman"/>
          <w:snapToGrid w:val="0"/>
          <w:color w:val="auto"/>
          <w:highlight w:val="none"/>
          <w:lang w:eastAsia="zh-CN"/>
        </w:rPr>
        <w:t>动物医疗废物</w:t>
      </w:r>
    </w:p>
    <w:p w14:paraId="1BA7B6A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本项目营运期产生的主要为废疫苗瓶、棉签、棉球、医疗卫生用品、一次性医疗器械等</w:t>
      </w:r>
      <w:r>
        <w:rPr>
          <w:rFonts w:hint="eastAsia" w:ascii="Times New Roman" w:hAnsi="Times New Roman" w:cs="Times New Roman"/>
          <w:snapToGrid w:val="0"/>
          <w:color w:val="auto"/>
          <w:highlight w:val="none"/>
          <w:lang w:eastAsia="zh-CN"/>
        </w:rPr>
        <w:t>动物医疗废物</w:t>
      </w:r>
      <w:r>
        <w:rPr>
          <w:rFonts w:hint="default" w:ascii="Times New Roman" w:hAnsi="Times New Roman" w:eastAsia="宋体" w:cs="Times New Roman"/>
          <w:snapToGrid w:val="0"/>
          <w:color w:val="auto"/>
          <w:highlight w:val="none"/>
        </w:rPr>
        <w:t>。</w:t>
      </w:r>
    </w:p>
    <w:p w14:paraId="7CFC949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本项目产生的</w:t>
      </w:r>
      <w:r>
        <w:rPr>
          <w:rFonts w:hint="eastAsia" w:ascii="Times New Roman" w:hAnsi="Times New Roman" w:cs="Times New Roman"/>
          <w:snapToGrid w:val="0"/>
          <w:color w:val="auto"/>
          <w:highlight w:val="none"/>
          <w:lang w:eastAsia="zh-CN"/>
        </w:rPr>
        <w:t>动物医疗废物</w:t>
      </w:r>
      <w:r>
        <w:rPr>
          <w:rFonts w:hint="default" w:ascii="Times New Roman" w:hAnsi="Times New Roman" w:eastAsia="宋体" w:cs="Times New Roman"/>
          <w:snapToGrid w:val="0"/>
          <w:color w:val="auto"/>
          <w:highlight w:val="none"/>
        </w:rPr>
        <w:t>属于危险固废，废疫苗瓶、棉签、棉球、医疗卫生用品、一次性医疗器械等危废编号为HW01、医疗废物类、行业来源为：非特定性行业、废物代码：841-001-01，属于为防治动物传染病而需要收集和处理的废物。</w:t>
      </w:r>
    </w:p>
    <w:p w14:paraId="1A522CCF">
      <w:pPr>
        <w:pStyle w:val="9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9</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项目危险废物汇总一览表</w:t>
      </w:r>
    </w:p>
    <w:tbl>
      <w:tblPr>
        <w:tblStyle w:val="48"/>
        <w:tblW w:w="89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1"/>
        <w:gridCol w:w="641"/>
        <w:gridCol w:w="712"/>
        <w:gridCol w:w="762"/>
        <w:gridCol w:w="776"/>
        <w:gridCol w:w="954"/>
        <w:gridCol w:w="503"/>
        <w:gridCol w:w="733"/>
        <w:gridCol w:w="689"/>
        <w:gridCol w:w="745"/>
        <w:gridCol w:w="548"/>
        <w:gridCol w:w="1198"/>
      </w:tblGrid>
      <w:tr w14:paraId="613CA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27B252E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序号</w:t>
            </w:r>
          </w:p>
        </w:tc>
        <w:tc>
          <w:tcPr>
            <w:tcW w:w="641" w:type="dxa"/>
            <w:noWrap w:val="0"/>
            <w:vAlign w:val="center"/>
          </w:tcPr>
          <w:p w14:paraId="6BE286E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危险废物名称</w:t>
            </w:r>
          </w:p>
        </w:tc>
        <w:tc>
          <w:tcPr>
            <w:tcW w:w="712" w:type="dxa"/>
            <w:noWrap w:val="0"/>
            <w:vAlign w:val="center"/>
          </w:tcPr>
          <w:p w14:paraId="77D180D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危险废物类别</w:t>
            </w:r>
          </w:p>
        </w:tc>
        <w:tc>
          <w:tcPr>
            <w:tcW w:w="762" w:type="dxa"/>
            <w:noWrap w:val="0"/>
            <w:vAlign w:val="center"/>
          </w:tcPr>
          <w:p w14:paraId="23944D2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危险废物代码</w:t>
            </w:r>
          </w:p>
        </w:tc>
        <w:tc>
          <w:tcPr>
            <w:tcW w:w="776" w:type="dxa"/>
            <w:noWrap w:val="0"/>
            <w:vAlign w:val="center"/>
          </w:tcPr>
          <w:p w14:paraId="3F08931B">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产生量（t/a）</w:t>
            </w:r>
          </w:p>
        </w:tc>
        <w:tc>
          <w:tcPr>
            <w:tcW w:w="954" w:type="dxa"/>
            <w:noWrap w:val="0"/>
            <w:vAlign w:val="center"/>
          </w:tcPr>
          <w:p w14:paraId="1C74020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产生工序及装置</w:t>
            </w:r>
          </w:p>
        </w:tc>
        <w:tc>
          <w:tcPr>
            <w:tcW w:w="503" w:type="dxa"/>
            <w:noWrap w:val="0"/>
            <w:vAlign w:val="center"/>
          </w:tcPr>
          <w:p w14:paraId="450BBACC">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形态</w:t>
            </w:r>
          </w:p>
        </w:tc>
        <w:tc>
          <w:tcPr>
            <w:tcW w:w="733" w:type="dxa"/>
            <w:noWrap w:val="0"/>
            <w:vAlign w:val="center"/>
          </w:tcPr>
          <w:p w14:paraId="48DE57D3">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主要成分</w:t>
            </w:r>
          </w:p>
        </w:tc>
        <w:tc>
          <w:tcPr>
            <w:tcW w:w="689" w:type="dxa"/>
            <w:noWrap w:val="0"/>
            <w:vAlign w:val="center"/>
          </w:tcPr>
          <w:p w14:paraId="748296FC">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有害成分</w:t>
            </w:r>
          </w:p>
        </w:tc>
        <w:tc>
          <w:tcPr>
            <w:tcW w:w="745" w:type="dxa"/>
            <w:noWrap w:val="0"/>
            <w:vAlign w:val="center"/>
          </w:tcPr>
          <w:p w14:paraId="58677993">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产废周期</w:t>
            </w:r>
          </w:p>
        </w:tc>
        <w:tc>
          <w:tcPr>
            <w:tcW w:w="548" w:type="dxa"/>
            <w:noWrap w:val="0"/>
            <w:vAlign w:val="center"/>
          </w:tcPr>
          <w:p w14:paraId="710CA03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危险特性</w:t>
            </w:r>
          </w:p>
        </w:tc>
        <w:tc>
          <w:tcPr>
            <w:tcW w:w="1198" w:type="dxa"/>
            <w:noWrap w:val="0"/>
            <w:vAlign w:val="center"/>
          </w:tcPr>
          <w:p w14:paraId="015A1B78">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污染防治措施</w:t>
            </w:r>
          </w:p>
        </w:tc>
      </w:tr>
      <w:tr w14:paraId="43FFD7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1AEFAE8B">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1</w:t>
            </w:r>
          </w:p>
        </w:tc>
        <w:tc>
          <w:tcPr>
            <w:tcW w:w="641" w:type="dxa"/>
            <w:noWrap w:val="0"/>
            <w:vAlign w:val="center"/>
          </w:tcPr>
          <w:p w14:paraId="5289885C">
            <w:pPr>
              <w:autoSpaceDN w:val="0"/>
              <w:adjustRightInd w:val="0"/>
              <w:snapToGrid w:val="0"/>
              <w:spacing w:line="320" w:lineRule="atLeast"/>
              <w:jc w:val="center"/>
              <w:rPr>
                <w:rFonts w:hint="eastAsia" w:ascii="Times New Roman" w:hAnsi="Times New Roman" w:eastAsia="宋体" w:cs="Times New Roman"/>
                <w:color w:val="auto"/>
                <w:sz w:val="21"/>
                <w:szCs w:val="18"/>
                <w:highlight w:val="none"/>
                <w:lang w:eastAsia="zh-CN" w:bidi="ar"/>
              </w:rPr>
            </w:pPr>
            <w:r>
              <w:rPr>
                <w:rFonts w:hint="eastAsia" w:ascii="Times New Roman" w:hAnsi="Times New Roman" w:cs="Times New Roman"/>
                <w:color w:val="auto"/>
                <w:sz w:val="21"/>
                <w:szCs w:val="18"/>
                <w:highlight w:val="none"/>
                <w:lang w:eastAsia="zh-CN"/>
              </w:rPr>
              <w:t>动物医疗废物</w:t>
            </w:r>
          </w:p>
        </w:tc>
        <w:tc>
          <w:tcPr>
            <w:tcW w:w="712" w:type="dxa"/>
            <w:noWrap w:val="0"/>
            <w:vAlign w:val="center"/>
          </w:tcPr>
          <w:p w14:paraId="2DA32E6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HW01</w:t>
            </w:r>
          </w:p>
        </w:tc>
        <w:tc>
          <w:tcPr>
            <w:tcW w:w="762" w:type="dxa"/>
            <w:noWrap w:val="0"/>
            <w:vAlign w:val="center"/>
          </w:tcPr>
          <w:p w14:paraId="76E2444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841-001-01</w:t>
            </w:r>
          </w:p>
        </w:tc>
        <w:tc>
          <w:tcPr>
            <w:tcW w:w="776" w:type="dxa"/>
            <w:noWrap w:val="0"/>
            <w:vAlign w:val="center"/>
          </w:tcPr>
          <w:p w14:paraId="26D48701">
            <w:pPr>
              <w:autoSpaceDN w:val="0"/>
              <w:adjustRightInd w:val="0"/>
              <w:snapToGrid w:val="0"/>
              <w:spacing w:line="320" w:lineRule="atLeast"/>
              <w:jc w:val="center"/>
              <w:rPr>
                <w:rFonts w:hint="eastAsia" w:ascii="Times New Roman" w:hAnsi="Times New Roman" w:eastAsia="宋体" w:cs="Times New Roman"/>
                <w:color w:val="auto"/>
                <w:sz w:val="21"/>
                <w:szCs w:val="18"/>
                <w:highlight w:val="none"/>
                <w:lang w:val="en-US" w:eastAsia="zh-CN" w:bidi="ar"/>
              </w:rPr>
            </w:pPr>
            <w:r>
              <w:rPr>
                <w:rFonts w:hint="eastAsia" w:ascii="Times New Roman" w:hAnsi="Times New Roman" w:cs="Times New Roman"/>
                <w:color w:val="auto"/>
                <w:sz w:val="21"/>
                <w:szCs w:val="18"/>
                <w:highlight w:val="none"/>
                <w:lang w:eastAsia="zh-CN" w:bidi="ar"/>
              </w:rPr>
              <w:t>0.9125</w:t>
            </w:r>
          </w:p>
        </w:tc>
        <w:tc>
          <w:tcPr>
            <w:tcW w:w="954" w:type="dxa"/>
            <w:noWrap w:val="0"/>
            <w:vAlign w:val="center"/>
          </w:tcPr>
          <w:p w14:paraId="597AD3E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eastAsia="zh-CN" w:bidi="ar"/>
              </w:rPr>
            </w:pPr>
            <w:r>
              <w:rPr>
                <w:rFonts w:hint="eastAsia" w:ascii="Times New Roman" w:hAnsi="Times New Roman" w:cs="Times New Roman"/>
                <w:color w:val="auto"/>
                <w:sz w:val="21"/>
                <w:szCs w:val="18"/>
                <w:highlight w:val="none"/>
                <w:lang w:val="en-US" w:eastAsia="zh-CN"/>
              </w:rPr>
              <w:t>医疗废物暂存间</w:t>
            </w:r>
          </w:p>
        </w:tc>
        <w:tc>
          <w:tcPr>
            <w:tcW w:w="503" w:type="dxa"/>
            <w:noWrap w:val="0"/>
            <w:vAlign w:val="center"/>
          </w:tcPr>
          <w:p w14:paraId="3E98593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固态、液态</w:t>
            </w:r>
          </w:p>
        </w:tc>
        <w:tc>
          <w:tcPr>
            <w:tcW w:w="733" w:type="dxa"/>
            <w:noWrap w:val="0"/>
            <w:vAlign w:val="center"/>
          </w:tcPr>
          <w:p w14:paraId="5BF7097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无毒或减毒的抗原成分</w:t>
            </w:r>
          </w:p>
        </w:tc>
        <w:tc>
          <w:tcPr>
            <w:tcW w:w="689" w:type="dxa"/>
            <w:noWrap w:val="0"/>
            <w:vAlign w:val="center"/>
          </w:tcPr>
          <w:p w14:paraId="0701A980">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细菌、病毒等</w:t>
            </w:r>
          </w:p>
        </w:tc>
        <w:tc>
          <w:tcPr>
            <w:tcW w:w="745" w:type="dxa"/>
            <w:noWrap w:val="0"/>
            <w:vAlign w:val="center"/>
          </w:tcPr>
          <w:p w14:paraId="52C5D1F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年</w:t>
            </w:r>
          </w:p>
        </w:tc>
        <w:tc>
          <w:tcPr>
            <w:tcW w:w="548" w:type="dxa"/>
            <w:noWrap w:val="0"/>
            <w:vAlign w:val="center"/>
          </w:tcPr>
          <w:p w14:paraId="7FF08B46">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In</w:t>
            </w:r>
          </w:p>
        </w:tc>
        <w:tc>
          <w:tcPr>
            <w:tcW w:w="1198" w:type="dxa"/>
            <w:noWrap w:val="0"/>
            <w:vAlign w:val="center"/>
          </w:tcPr>
          <w:p w14:paraId="353654B1">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储存在密闭的桶（罐）及袋内，交由有资质单位处理处置</w:t>
            </w:r>
          </w:p>
        </w:tc>
      </w:tr>
    </w:tbl>
    <w:p w14:paraId="42B3197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根据《建设项目危险废物环境评价指南》，项目危险废物环境影响分析主要从以下几个方面进行：</w:t>
      </w:r>
    </w:p>
    <w:p w14:paraId="06703C3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GB3 \* MERGEFORMAT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①</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医疗废物暂存间选址可行性分析</w:t>
      </w:r>
    </w:p>
    <w:p w14:paraId="523854D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医疗废物暂存间</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位于</w:t>
      </w:r>
      <w:r>
        <w:rPr>
          <w:rFonts w:hint="eastAsia" w:ascii="Times New Roman" w:hAnsi="Times New Roman" w:cs="Times New Roman"/>
          <w:snapToGrid w:val="0"/>
          <w:color w:val="auto"/>
          <w:highlight w:val="none"/>
          <w:lang w:val="en-US" w:eastAsia="zh-CN"/>
        </w:rPr>
        <w:t>厂区东南</w:t>
      </w:r>
      <w:r>
        <w:rPr>
          <w:rFonts w:hint="default" w:ascii="Times New Roman" w:hAnsi="Times New Roman" w:eastAsia="宋体" w:cs="Times New Roman"/>
          <w:snapToGrid w:val="0"/>
          <w:color w:val="auto"/>
          <w:highlight w:val="none"/>
          <w:lang w:val="en-US" w:eastAsia="zh-CN"/>
        </w:rPr>
        <w:t>侧</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eastAsia="zh-CN"/>
        </w:rPr>
        <w:t>动物医疗废物</w:t>
      </w:r>
      <w:r>
        <w:rPr>
          <w:rFonts w:hint="default" w:ascii="Times New Roman" w:hAnsi="Times New Roman" w:eastAsia="宋体" w:cs="Times New Roman"/>
          <w:snapToGrid w:val="0"/>
          <w:color w:val="auto"/>
          <w:highlight w:val="none"/>
        </w:rPr>
        <w:t>产生后暂存于医疗废物暂存间，并及时委托有资质单位运输、处置。</w:t>
      </w:r>
    </w:p>
    <w:p w14:paraId="3212EEB5">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0</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建设项目危险废物贮存场所（设施）基本情况表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838"/>
        <w:gridCol w:w="790"/>
        <w:gridCol w:w="870"/>
        <w:gridCol w:w="1196"/>
        <w:gridCol w:w="790"/>
        <w:gridCol w:w="843"/>
        <w:gridCol w:w="791"/>
        <w:gridCol w:w="817"/>
        <w:gridCol w:w="791"/>
      </w:tblGrid>
      <w:tr w14:paraId="201B2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dxa"/>
            <w:tcBorders>
              <w:top w:val="single" w:color="auto" w:sz="12" w:space="0"/>
              <w:left w:val="nil"/>
            </w:tcBorders>
            <w:noWrap w:val="0"/>
            <w:vAlign w:val="center"/>
          </w:tcPr>
          <w:p w14:paraId="16DD66FB">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序号</w:t>
            </w:r>
          </w:p>
        </w:tc>
        <w:tc>
          <w:tcPr>
            <w:tcW w:w="898" w:type="dxa"/>
            <w:tcBorders>
              <w:top w:val="single" w:color="auto" w:sz="12" w:space="0"/>
            </w:tcBorders>
            <w:noWrap w:val="0"/>
            <w:vAlign w:val="center"/>
          </w:tcPr>
          <w:p w14:paraId="04E8D14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贮存场所（设施）名称</w:t>
            </w:r>
          </w:p>
        </w:tc>
        <w:tc>
          <w:tcPr>
            <w:tcW w:w="898" w:type="dxa"/>
            <w:tcBorders>
              <w:top w:val="single" w:color="auto" w:sz="12" w:space="0"/>
            </w:tcBorders>
            <w:noWrap w:val="0"/>
            <w:vAlign w:val="center"/>
          </w:tcPr>
          <w:p w14:paraId="78FB16A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危险废物名称</w:t>
            </w:r>
          </w:p>
        </w:tc>
        <w:tc>
          <w:tcPr>
            <w:tcW w:w="898" w:type="dxa"/>
            <w:tcBorders>
              <w:top w:val="single" w:color="auto" w:sz="12" w:space="0"/>
            </w:tcBorders>
            <w:noWrap w:val="0"/>
            <w:vAlign w:val="center"/>
          </w:tcPr>
          <w:p w14:paraId="72BAF4F2">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危险废物类别</w:t>
            </w:r>
          </w:p>
        </w:tc>
        <w:tc>
          <w:tcPr>
            <w:tcW w:w="898" w:type="dxa"/>
            <w:tcBorders>
              <w:top w:val="single" w:color="auto" w:sz="12" w:space="0"/>
            </w:tcBorders>
            <w:noWrap w:val="0"/>
            <w:vAlign w:val="center"/>
          </w:tcPr>
          <w:p w14:paraId="25B302BB">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危险废物代码</w:t>
            </w:r>
          </w:p>
        </w:tc>
        <w:tc>
          <w:tcPr>
            <w:tcW w:w="898" w:type="dxa"/>
            <w:tcBorders>
              <w:top w:val="single" w:color="auto" w:sz="12" w:space="0"/>
            </w:tcBorders>
            <w:noWrap w:val="0"/>
            <w:vAlign w:val="center"/>
          </w:tcPr>
          <w:p w14:paraId="67DFF61A">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位置</w:t>
            </w:r>
          </w:p>
        </w:tc>
        <w:tc>
          <w:tcPr>
            <w:tcW w:w="898" w:type="dxa"/>
            <w:tcBorders>
              <w:top w:val="single" w:color="auto" w:sz="12" w:space="0"/>
            </w:tcBorders>
            <w:noWrap w:val="0"/>
            <w:vAlign w:val="center"/>
          </w:tcPr>
          <w:p w14:paraId="44EE9818">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占地面积</w:t>
            </w:r>
          </w:p>
        </w:tc>
        <w:tc>
          <w:tcPr>
            <w:tcW w:w="898" w:type="dxa"/>
            <w:tcBorders>
              <w:top w:val="single" w:color="auto" w:sz="12" w:space="0"/>
            </w:tcBorders>
            <w:noWrap w:val="0"/>
            <w:vAlign w:val="center"/>
          </w:tcPr>
          <w:p w14:paraId="746F8BE4">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贮存方式</w:t>
            </w:r>
          </w:p>
        </w:tc>
        <w:tc>
          <w:tcPr>
            <w:tcW w:w="898" w:type="dxa"/>
            <w:tcBorders>
              <w:top w:val="single" w:color="auto" w:sz="12" w:space="0"/>
            </w:tcBorders>
            <w:noWrap w:val="0"/>
            <w:vAlign w:val="center"/>
          </w:tcPr>
          <w:p w14:paraId="7E6CFE1B">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贮存能力</w:t>
            </w:r>
          </w:p>
        </w:tc>
        <w:tc>
          <w:tcPr>
            <w:tcW w:w="898" w:type="dxa"/>
            <w:tcBorders>
              <w:top w:val="single" w:color="auto" w:sz="12" w:space="0"/>
              <w:right w:val="nil"/>
            </w:tcBorders>
            <w:noWrap w:val="0"/>
            <w:vAlign w:val="center"/>
          </w:tcPr>
          <w:p w14:paraId="243986F3">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贮存周期</w:t>
            </w:r>
          </w:p>
        </w:tc>
      </w:tr>
      <w:tr w14:paraId="6672D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dxa"/>
            <w:tcBorders>
              <w:left w:val="nil"/>
              <w:bottom w:val="single" w:color="auto" w:sz="12" w:space="0"/>
            </w:tcBorders>
            <w:noWrap w:val="0"/>
            <w:vAlign w:val="center"/>
          </w:tcPr>
          <w:p w14:paraId="3FD08DC1">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1</w:t>
            </w:r>
          </w:p>
        </w:tc>
        <w:tc>
          <w:tcPr>
            <w:tcW w:w="898" w:type="dxa"/>
            <w:tcBorders>
              <w:bottom w:val="single" w:color="auto" w:sz="12" w:space="0"/>
            </w:tcBorders>
            <w:noWrap w:val="0"/>
            <w:vAlign w:val="center"/>
          </w:tcPr>
          <w:p w14:paraId="5BD3554A">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专用容器</w:t>
            </w:r>
          </w:p>
        </w:tc>
        <w:tc>
          <w:tcPr>
            <w:tcW w:w="898" w:type="dxa"/>
            <w:tcBorders>
              <w:bottom w:val="single" w:color="auto" w:sz="12" w:space="0"/>
            </w:tcBorders>
            <w:noWrap w:val="0"/>
            <w:vAlign w:val="center"/>
          </w:tcPr>
          <w:p w14:paraId="65B6EB2E">
            <w:pPr>
              <w:autoSpaceDN w:val="0"/>
              <w:snapToGrid w:val="0"/>
              <w:spacing w:line="320" w:lineRule="atLeast"/>
              <w:jc w:val="center"/>
              <w:rPr>
                <w:rFonts w:hint="eastAsia" w:ascii="Times New Roman" w:hAnsi="Times New Roman" w:eastAsia="宋体" w:cs="Times New Roman"/>
                <w:color w:val="auto"/>
                <w:sz w:val="21"/>
                <w:szCs w:val="18"/>
                <w:highlight w:val="none"/>
                <w:lang w:eastAsia="zh-CN" w:bidi="ar"/>
              </w:rPr>
            </w:pPr>
            <w:r>
              <w:rPr>
                <w:rFonts w:hint="eastAsia" w:ascii="Times New Roman" w:hAnsi="Times New Roman" w:cs="Times New Roman"/>
                <w:color w:val="auto"/>
                <w:sz w:val="21"/>
                <w:szCs w:val="18"/>
                <w:highlight w:val="none"/>
                <w:lang w:eastAsia="zh-CN" w:bidi="ar"/>
              </w:rPr>
              <w:t>动物医疗废物</w:t>
            </w:r>
          </w:p>
        </w:tc>
        <w:tc>
          <w:tcPr>
            <w:tcW w:w="898" w:type="dxa"/>
            <w:tcBorders>
              <w:bottom w:val="single" w:color="auto" w:sz="12" w:space="0"/>
            </w:tcBorders>
            <w:noWrap w:val="0"/>
            <w:vAlign w:val="center"/>
          </w:tcPr>
          <w:p w14:paraId="61E44533">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HW01</w:t>
            </w:r>
          </w:p>
        </w:tc>
        <w:tc>
          <w:tcPr>
            <w:tcW w:w="898" w:type="dxa"/>
            <w:tcBorders>
              <w:bottom w:val="single" w:color="auto" w:sz="12" w:space="0"/>
            </w:tcBorders>
            <w:noWrap w:val="0"/>
            <w:vAlign w:val="center"/>
          </w:tcPr>
          <w:p w14:paraId="5775D2D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841-001-01</w:t>
            </w:r>
          </w:p>
        </w:tc>
        <w:tc>
          <w:tcPr>
            <w:tcW w:w="898" w:type="dxa"/>
            <w:tcBorders>
              <w:bottom w:val="single" w:color="auto" w:sz="12" w:space="0"/>
            </w:tcBorders>
            <w:noWrap w:val="0"/>
            <w:vAlign w:val="center"/>
          </w:tcPr>
          <w:p w14:paraId="08EB109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医疗废物暂存间</w:t>
            </w:r>
          </w:p>
        </w:tc>
        <w:tc>
          <w:tcPr>
            <w:tcW w:w="898" w:type="dxa"/>
            <w:tcBorders>
              <w:bottom w:val="single" w:color="auto" w:sz="12" w:space="0"/>
            </w:tcBorders>
            <w:noWrap w:val="0"/>
            <w:vAlign w:val="center"/>
          </w:tcPr>
          <w:p w14:paraId="05F7C6EE">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eastAsia" w:ascii="Times New Roman" w:hAnsi="Times New Roman" w:cs="Times New Roman"/>
                <w:color w:val="auto"/>
                <w:sz w:val="21"/>
                <w:szCs w:val="18"/>
                <w:highlight w:val="none"/>
                <w:lang w:val="en-US" w:eastAsia="zh-CN" w:bidi="ar"/>
              </w:rPr>
              <w:t>20m</w:t>
            </w:r>
            <w:r>
              <w:rPr>
                <w:rFonts w:hint="default" w:ascii="Times New Roman" w:hAnsi="Times New Roman" w:eastAsia="宋体" w:cs="Times New Roman"/>
                <w:color w:val="auto"/>
                <w:sz w:val="21"/>
                <w:szCs w:val="18"/>
                <w:highlight w:val="none"/>
                <w:vertAlign w:val="superscript"/>
                <w:lang w:bidi="ar"/>
              </w:rPr>
              <w:t>2</w:t>
            </w:r>
          </w:p>
        </w:tc>
        <w:tc>
          <w:tcPr>
            <w:tcW w:w="898" w:type="dxa"/>
            <w:tcBorders>
              <w:bottom w:val="single" w:color="auto" w:sz="12" w:space="0"/>
            </w:tcBorders>
            <w:noWrap w:val="0"/>
            <w:vAlign w:val="center"/>
          </w:tcPr>
          <w:p w14:paraId="62115A2C">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隔离贮存</w:t>
            </w:r>
          </w:p>
        </w:tc>
        <w:tc>
          <w:tcPr>
            <w:tcW w:w="898" w:type="dxa"/>
            <w:tcBorders>
              <w:bottom w:val="single" w:color="auto" w:sz="12" w:space="0"/>
            </w:tcBorders>
            <w:noWrap w:val="0"/>
            <w:vAlign w:val="center"/>
          </w:tcPr>
          <w:p w14:paraId="28AA62ED">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0.</w:t>
            </w:r>
            <w:r>
              <w:rPr>
                <w:rFonts w:hint="default" w:ascii="Times New Roman" w:hAnsi="Times New Roman" w:eastAsia="宋体" w:cs="Times New Roman"/>
                <w:color w:val="auto"/>
                <w:sz w:val="21"/>
                <w:szCs w:val="18"/>
                <w:highlight w:val="none"/>
                <w:lang w:val="en-US" w:eastAsia="zh-CN" w:bidi="ar"/>
              </w:rPr>
              <w:t>4</w:t>
            </w:r>
            <w:r>
              <w:rPr>
                <w:rFonts w:hint="default" w:ascii="Times New Roman" w:hAnsi="Times New Roman" w:eastAsia="宋体" w:cs="Times New Roman"/>
                <w:color w:val="auto"/>
                <w:sz w:val="21"/>
                <w:szCs w:val="18"/>
                <w:highlight w:val="none"/>
                <w:lang w:bidi="ar"/>
              </w:rPr>
              <w:t>t</w:t>
            </w:r>
          </w:p>
        </w:tc>
        <w:tc>
          <w:tcPr>
            <w:tcW w:w="898" w:type="dxa"/>
            <w:tcBorders>
              <w:bottom w:val="single" w:color="auto" w:sz="12" w:space="0"/>
              <w:right w:val="nil"/>
            </w:tcBorders>
            <w:noWrap w:val="0"/>
            <w:vAlign w:val="center"/>
          </w:tcPr>
          <w:p w14:paraId="567D83F2">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eastAsia" w:ascii="Times New Roman" w:hAnsi="Times New Roman" w:cs="Times New Roman"/>
                <w:color w:val="auto"/>
                <w:sz w:val="21"/>
                <w:szCs w:val="18"/>
                <w:highlight w:val="none"/>
                <w:lang w:val="en-US" w:eastAsia="zh-CN" w:bidi="ar"/>
              </w:rPr>
              <w:t>2</w:t>
            </w:r>
            <w:r>
              <w:rPr>
                <w:rFonts w:hint="default" w:ascii="Times New Roman" w:hAnsi="Times New Roman" w:eastAsia="宋体" w:cs="Times New Roman"/>
                <w:color w:val="auto"/>
                <w:sz w:val="21"/>
                <w:szCs w:val="18"/>
                <w:highlight w:val="none"/>
                <w:lang w:bidi="ar"/>
              </w:rPr>
              <w:t>d</w:t>
            </w:r>
          </w:p>
        </w:tc>
      </w:tr>
    </w:tbl>
    <w:p w14:paraId="509B982A">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项目医疗废物暂存间应根据《危险废物贮存污染控制标准》（GB18597-20</w:t>
      </w:r>
      <w:r>
        <w:rPr>
          <w:rFonts w:hint="default" w:ascii="Times New Roman" w:hAnsi="Times New Roman" w:cs="Times New Roman"/>
          <w:color w:val="auto"/>
          <w:sz w:val="24"/>
          <w:highlight w:val="none"/>
          <w:lang w:val="en-US" w:eastAsia="zh-CN" w:bidi="ar"/>
        </w:rPr>
        <w:t>23</w:t>
      </w:r>
      <w:r>
        <w:rPr>
          <w:rFonts w:hint="default" w:ascii="Times New Roman" w:hAnsi="Times New Roman" w:eastAsia="宋体" w:cs="Times New Roman"/>
          <w:color w:val="auto"/>
          <w:sz w:val="24"/>
          <w:highlight w:val="none"/>
          <w:lang w:bidi="ar"/>
        </w:rPr>
        <w:t>）的要求建设，</w:t>
      </w:r>
      <w:r>
        <w:rPr>
          <w:rFonts w:hint="eastAsia" w:ascii="Times New Roman" w:hAnsi="Times New Roman" w:cs="Times New Roman"/>
          <w:snapToGrid w:val="0"/>
          <w:color w:val="auto"/>
          <w:highlight w:val="none"/>
          <w:lang w:eastAsia="zh-CN"/>
        </w:rPr>
        <w:t>动物医疗废物</w:t>
      </w:r>
      <w:r>
        <w:rPr>
          <w:rFonts w:hint="default" w:ascii="Times New Roman" w:hAnsi="Times New Roman" w:cs="Times New Roman"/>
          <w:snapToGrid w:val="0"/>
          <w:color w:val="auto"/>
          <w:highlight w:val="none"/>
        </w:rPr>
        <w:t>交由有资质单位处置。医疗废物暂存间应采取防风、防雨、防晒、防渗、防漏和防止危险废物流失、扬散等措施</w:t>
      </w:r>
      <w:r>
        <w:rPr>
          <w:rFonts w:hint="default" w:ascii="Times New Roman" w:hAnsi="Times New Roman" w:eastAsia="宋体" w:cs="Times New Roman"/>
          <w:color w:val="auto"/>
          <w:sz w:val="24"/>
          <w:highlight w:val="none"/>
          <w:lang w:bidi="ar"/>
        </w:rPr>
        <w:t>。</w:t>
      </w:r>
      <w:r>
        <w:rPr>
          <w:rFonts w:hint="default" w:ascii="Times New Roman" w:hAnsi="Times New Roman" w:cs="Times New Roman"/>
          <w:snapToGrid w:val="0"/>
          <w:color w:val="auto"/>
          <w:highlight w:val="none"/>
        </w:rPr>
        <w:t>医疗废物暂存间</w:t>
      </w:r>
      <w:r>
        <w:rPr>
          <w:rFonts w:hint="eastAsia" w:ascii="Times New Roman" w:hAnsi="Times New Roman" w:cs="Times New Roman"/>
          <w:snapToGrid w:val="0"/>
          <w:color w:val="auto"/>
          <w:highlight w:val="none"/>
          <w:lang w:val="en-US" w:eastAsia="zh-CN"/>
        </w:rPr>
        <w:t>为重点防渗。</w:t>
      </w:r>
      <w:r>
        <w:rPr>
          <w:rFonts w:hint="default" w:ascii="Times New Roman" w:hAnsi="Times New Roman" w:eastAsia="宋体" w:cs="Times New Roman"/>
          <w:color w:val="auto"/>
          <w:sz w:val="24"/>
          <w:highlight w:val="none"/>
          <w:lang w:bidi="ar"/>
        </w:rPr>
        <w:t>企业应建有</w:t>
      </w:r>
      <w:r>
        <w:rPr>
          <w:rFonts w:hint="eastAsia" w:ascii="Times New Roman" w:hAnsi="Times New Roman" w:cs="Times New Roman"/>
          <w:color w:val="auto"/>
          <w:sz w:val="24"/>
          <w:highlight w:val="none"/>
          <w:lang w:eastAsia="zh-CN" w:bidi="ar"/>
        </w:rPr>
        <w:t>动物医疗废物</w:t>
      </w:r>
      <w:r>
        <w:rPr>
          <w:rFonts w:hint="default" w:ascii="Times New Roman" w:hAnsi="Times New Roman" w:eastAsia="宋体" w:cs="Times New Roman"/>
          <w:color w:val="auto"/>
          <w:sz w:val="24"/>
          <w:highlight w:val="none"/>
          <w:lang w:bidi="ar"/>
        </w:rPr>
        <w:t>登记记录，在贮存、转运前进行检查，并登记注册，作好废物名称、来源、数量、入库日期、存放位置、出库日期、接收单位等记录，满足《危险废物贮存污染控制标准》（GB18597-20</w:t>
      </w:r>
      <w:r>
        <w:rPr>
          <w:rFonts w:hint="default" w:ascii="Times New Roman" w:hAnsi="Times New Roman" w:cs="Times New Roman"/>
          <w:color w:val="auto"/>
          <w:sz w:val="24"/>
          <w:highlight w:val="none"/>
          <w:lang w:val="en-US" w:eastAsia="zh-CN" w:bidi="ar"/>
        </w:rPr>
        <w:t>23</w:t>
      </w:r>
      <w:r>
        <w:rPr>
          <w:rFonts w:hint="default" w:ascii="Times New Roman" w:hAnsi="Times New Roman" w:eastAsia="宋体" w:cs="Times New Roman"/>
          <w:color w:val="auto"/>
          <w:sz w:val="24"/>
          <w:highlight w:val="none"/>
          <w:lang w:bidi="ar"/>
        </w:rPr>
        <w:t>）要求。危险废物均得到妥善处置，对周边环境影响不大。</w:t>
      </w:r>
    </w:p>
    <w:p w14:paraId="7DA2517B">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②运输过程的环境影响分析</w:t>
      </w:r>
    </w:p>
    <w:p w14:paraId="07FD900F">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项目</w:t>
      </w:r>
      <w:r>
        <w:rPr>
          <w:rFonts w:hint="eastAsia" w:ascii="Times New Roman" w:hAnsi="Times New Roman" w:cs="Times New Roman"/>
          <w:color w:val="auto"/>
          <w:sz w:val="24"/>
          <w:highlight w:val="none"/>
          <w:lang w:eastAsia="zh-CN" w:bidi="ar"/>
        </w:rPr>
        <w:t>动物医疗废物</w:t>
      </w:r>
      <w:r>
        <w:rPr>
          <w:rFonts w:hint="default" w:ascii="Times New Roman" w:hAnsi="Times New Roman" w:eastAsia="宋体" w:cs="Times New Roman"/>
          <w:color w:val="auto"/>
          <w:sz w:val="24"/>
          <w:highlight w:val="none"/>
          <w:lang w:bidi="ar"/>
        </w:rPr>
        <w:t>主要产生于</w:t>
      </w:r>
      <w:r>
        <w:rPr>
          <w:rFonts w:hint="default" w:ascii="Times New Roman" w:hAnsi="Times New Roman" w:eastAsia="宋体" w:cs="Times New Roman"/>
          <w:color w:val="auto"/>
          <w:sz w:val="24"/>
          <w:highlight w:val="none"/>
          <w:lang w:val="en-US" w:eastAsia="zh-CN" w:bidi="ar"/>
        </w:rPr>
        <w:t>猪</w:t>
      </w:r>
      <w:r>
        <w:rPr>
          <w:rFonts w:hint="default" w:ascii="Times New Roman" w:hAnsi="Times New Roman" w:eastAsia="宋体" w:cs="Times New Roman"/>
          <w:color w:val="auto"/>
          <w:sz w:val="24"/>
          <w:highlight w:val="none"/>
          <w:lang w:bidi="ar"/>
        </w:rPr>
        <w:t>舍，至医疗废物暂存间之间的转运均在厂区内完成，因此转运路线不涉及环境敏感点。项目</w:t>
      </w:r>
      <w:r>
        <w:rPr>
          <w:rFonts w:hint="eastAsia" w:ascii="Times New Roman" w:hAnsi="Times New Roman" w:cs="Times New Roman"/>
          <w:color w:val="auto"/>
          <w:sz w:val="24"/>
          <w:highlight w:val="none"/>
          <w:lang w:eastAsia="zh-CN" w:bidi="ar"/>
        </w:rPr>
        <w:t>动物医疗废物</w:t>
      </w:r>
      <w:r>
        <w:rPr>
          <w:rFonts w:hint="default" w:ascii="Times New Roman" w:hAnsi="Times New Roman" w:eastAsia="宋体" w:cs="Times New Roman"/>
          <w:color w:val="auto"/>
          <w:sz w:val="24"/>
          <w:highlight w:val="none"/>
          <w:lang w:bidi="ar"/>
        </w:rPr>
        <w:t>从厂区内产生环节及时收集后，采用密封桶（罐）或袋进行包装，并转运至医疗废物暂存间，正常情况下发生危废泄漏的几率不大。项目厂区内道路均进行地面硬化，一旦发生泄漏能及时收集、处置，能够避免污染物对周围环境造成污染。</w:t>
      </w:r>
    </w:p>
    <w:p w14:paraId="3B861DF0">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fldChar w:fldCharType="begin"/>
      </w:r>
      <w:r>
        <w:rPr>
          <w:rFonts w:hint="default" w:ascii="Times New Roman" w:hAnsi="Times New Roman" w:eastAsia="宋体" w:cs="Times New Roman"/>
          <w:color w:val="auto"/>
          <w:sz w:val="24"/>
          <w:highlight w:val="none"/>
          <w:lang w:bidi="ar"/>
        </w:rPr>
        <w:instrText xml:space="preserve"> = 3 \* GB3 \* MERGEFORMAT </w:instrText>
      </w:r>
      <w:r>
        <w:rPr>
          <w:rFonts w:hint="default" w:ascii="Times New Roman" w:hAnsi="Times New Roman" w:eastAsia="宋体" w:cs="Times New Roman"/>
          <w:color w:val="auto"/>
          <w:sz w:val="24"/>
          <w:highlight w:val="none"/>
          <w:lang w:bidi="ar"/>
        </w:rPr>
        <w:fldChar w:fldCharType="separate"/>
      </w:r>
      <w:r>
        <w:rPr>
          <w:rFonts w:hint="default" w:ascii="Times New Roman" w:hAnsi="Times New Roman" w:eastAsia="宋体" w:cs="Times New Roman"/>
          <w:color w:val="auto"/>
          <w:sz w:val="24"/>
          <w:highlight w:val="none"/>
          <w:lang w:bidi="ar"/>
        </w:rPr>
        <w:t>③</w:t>
      </w:r>
      <w:r>
        <w:rPr>
          <w:rFonts w:hint="default" w:ascii="Times New Roman" w:hAnsi="Times New Roman" w:eastAsia="宋体" w:cs="Times New Roman"/>
          <w:color w:val="auto"/>
          <w:sz w:val="24"/>
          <w:highlight w:val="none"/>
          <w:lang w:bidi="ar"/>
        </w:rPr>
        <w:fldChar w:fldCharType="end"/>
      </w:r>
      <w:r>
        <w:rPr>
          <w:rFonts w:hint="default" w:ascii="Times New Roman" w:hAnsi="Times New Roman" w:eastAsia="宋体" w:cs="Times New Roman"/>
          <w:color w:val="auto"/>
          <w:sz w:val="24"/>
          <w:highlight w:val="none"/>
          <w:lang w:bidi="ar"/>
        </w:rPr>
        <w:t>处置的影响分析</w:t>
      </w:r>
    </w:p>
    <w:p w14:paraId="29E996F2">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项目产生的</w:t>
      </w:r>
      <w:r>
        <w:rPr>
          <w:rFonts w:hint="eastAsia" w:ascii="Times New Roman" w:hAnsi="Times New Roman" w:cs="Times New Roman"/>
          <w:color w:val="auto"/>
          <w:sz w:val="24"/>
          <w:highlight w:val="none"/>
          <w:lang w:eastAsia="zh-CN" w:bidi="ar"/>
        </w:rPr>
        <w:t>动物医疗废物</w:t>
      </w:r>
      <w:r>
        <w:rPr>
          <w:rFonts w:hint="default" w:ascii="Times New Roman" w:hAnsi="Times New Roman" w:eastAsia="宋体" w:cs="Times New Roman"/>
          <w:color w:val="auto"/>
          <w:sz w:val="24"/>
          <w:highlight w:val="none"/>
          <w:lang w:bidi="ar"/>
        </w:rPr>
        <w:t>使用专用容器暂存于医疗废物暂存间内</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val="en-US" w:eastAsia="zh-CN" w:bidi="ar"/>
        </w:rPr>
        <w:t>定期交有资质单位处理。</w:t>
      </w:r>
    </w:p>
    <w:p w14:paraId="78475559">
      <w:pPr>
        <w:autoSpaceDN w:val="0"/>
        <w:snapToGrid w:val="0"/>
        <w:spacing w:line="360" w:lineRule="auto"/>
        <w:ind w:firstLine="480"/>
        <w:jc w:val="both"/>
        <w:rPr>
          <w:rFonts w:hint="default" w:ascii="Times New Roman" w:hAnsi="Times New Roman" w:eastAsia="宋体" w:cs="Times New Roman"/>
          <w:color w:val="auto"/>
          <w:sz w:val="24"/>
          <w:highlight w:val="none"/>
          <w:lang w:eastAsia="zh-CN" w:bidi="ar"/>
        </w:rPr>
      </w:pPr>
      <w:r>
        <w:rPr>
          <w:rFonts w:hint="default" w:ascii="Times New Roman" w:hAnsi="Times New Roman" w:eastAsia="宋体" w:cs="Times New Roman"/>
          <w:color w:val="auto"/>
          <w:sz w:val="24"/>
          <w:highlight w:val="none"/>
          <w:lang w:eastAsia="zh-CN" w:bidi="ar"/>
        </w:rPr>
        <w:t>通过以上措施，建设项目产生的固体废物均得到了妥善处置和合理利用，符合《畜禽养殖业污染治理工程技术规范》（HJ497-2009）和《畜禽养殖业污染防治技术规范》（HJ/T81-2001）的要求，不向环境排放，并能给企业创造良好经济效益，并对改善区域农业生态环境产生积极影响，因此项目产生的固废均可得到有效的处置和利用，不会产生二次污染，对项目周围环境不会产生明显不良影响。</w:t>
      </w:r>
    </w:p>
    <w:p w14:paraId="20700E79">
      <w:pPr>
        <w:pStyle w:val="8"/>
        <w:keepNext/>
        <w:keepLines/>
        <w:pageBreakBefore w:val="0"/>
        <w:widowControl/>
        <w:kinsoku/>
        <w:wordWrap/>
        <w:overflowPunct/>
        <w:topLinePunct w:val="0"/>
        <w:autoSpaceDE/>
        <w:autoSpaceDN/>
        <w:bidi w:val="0"/>
        <w:adjustRightInd/>
        <w:snapToGrid/>
        <w:textAlignment w:val="auto"/>
        <w:outlineLvl w:val="3"/>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5.2.</w:t>
      </w:r>
      <w:r>
        <w:rPr>
          <w:rFonts w:hint="eastAsia"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w:t>
      </w:r>
      <w:r>
        <w:rPr>
          <w:rFonts w:hint="default" w:ascii="Times New Roman" w:hAnsi="Times New Roman" w:eastAsia="宋体" w:cs="Times New Roman"/>
          <w:snapToGrid w:val="0"/>
          <w:color w:val="auto"/>
          <w:highlight w:val="none"/>
          <w:lang w:val="en-US" w:eastAsia="zh-CN"/>
        </w:rPr>
        <w:t>运输路线可行性分析</w:t>
      </w:r>
    </w:p>
    <w:p w14:paraId="17F1B20E">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w:t>
      </w:r>
      <w:r>
        <w:rPr>
          <w:rFonts w:hint="eastAsia" w:ascii="Times New Roman" w:hAnsi="Times New Roman" w:cs="Times New Roman"/>
          <w:snapToGrid w:val="0"/>
          <w:color w:val="auto"/>
          <w:kern w:val="0"/>
          <w:sz w:val="24"/>
          <w:szCs w:val="24"/>
          <w:highlight w:val="none"/>
          <w:lang w:val="en-US" w:eastAsia="zh-CN" w:bidi="ar-SA"/>
        </w:rPr>
        <w:t>粪污与农户签订粪污消纳协议，并</w:t>
      </w:r>
      <w:r>
        <w:rPr>
          <w:rFonts w:hint="default" w:ascii="Times New Roman" w:hAnsi="Times New Roman" w:eastAsia="宋体" w:cs="Times New Roman"/>
          <w:snapToGrid w:val="0"/>
          <w:color w:val="auto"/>
          <w:kern w:val="0"/>
          <w:sz w:val="24"/>
          <w:szCs w:val="24"/>
          <w:highlight w:val="none"/>
          <w:lang w:val="en-US" w:eastAsia="zh-CN" w:bidi="ar-SA"/>
        </w:rPr>
        <w:t>结合当地施肥规律，建议粪污施用规律为用作基肥和底肥。</w:t>
      </w:r>
      <w:r>
        <w:rPr>
          <w:rFonts w:hint="eastAsia" w:ascii="Times New Roman" w:hAnsi="Times New Roman" w:eastAsia="宋体" w:cs="Times New Roman"/>
          <w:snapToGrid w:val="0"/>
          <w:color w:val="auto"/>
          <w:kern w:val="0"/>
          <w:sz w:val="24"/>
          <w:szCs w:val="24"/>
          <w:highlight w:val="none"/>
          <w:lang w:val="en-US" w:eastAsia="zh-CN" w:bidi="ar-SA"/>
        </w:rPr>
        <w:t>施肥期平均每天每户拉运</w:t>
      </w:r>
      <w:r>
        <w:rPr>
          <w:rFonts w:hint="eastAsia" w:ascii="Times New Roman" w:hAnsi="Times New Roman" w:cs="Times New Roman"/>
          <w:snapToGrid w:val="0"/>
          <w:color w:val="auto"/>
          <w:kern w:val="0"/>
          <w:sz w:val="24"/>
          <w:szCs w:val="24"/>
          <w:highlight w:val="none"/>
          <w:lang w:val="en-US" w:eastAsia="zh-CN" w:bidi="ar-SA"/>
        </w:rPr>
        <w:t>8</w:t>
      </w:r>
      <w:r>
        <w:rPr>
          <w:rFonts w:hint="eastAsia" w:ascii="Times New Roman" w:hAnsi="Times New Roman" w:eastAsia="宋体" w:cs="Times New Roman"/>
          <w:snapToGrid w:val="0"/>
          <w:color w:val="auto"/>
          <w:kern w:val="0"/>
          <w:sz w:val="24"/>
          <w:szCs w:val="24"/>
          <w:highlight w:val="none"/>
          <w:lang w:val="en-US" w:eastAsia="zh-CN" w:bidi="ar-SA"/>
        </w:rPr>
        <w:t>次</w:t>
      </w:r>
      <w:r>
        <w:rPr>
          <w:rFonts w:hint="default" w:ascii="Times New Roman" w:hAnsi="Times New Roman" w:eastAsia="宋体" w:cs="Times New Roman"/>
          <w:snapToGrid w:val="0"/>
          <w:color w:val="auto"/>
          <w:kern w:val="0"/>
          <w:sz w:val="24"/>
          <w:szCs w:val="24"/>
          <w:highlight w:val="none"/>
          <w:lang w:val="en-US" w:eastAsia="zh-CN" w:bidi="ar-SA"/>
        </w:rPr>
        <w:t>，抛洒施肥，约2</w:t>
      </w:r>
      <w:r>
        <w:rPr>
          <w:rFonts w:hint="eastAsia" w:ascii="Times New Roman" w:hAnsi="Times New Roman" w:cs="Times New Roman"/>
          <w:snapToGrid w:val="0"/>
          <w:color w:val="auto"/>
          <w:kern w:val="0"/>
          <w:sz w:val="24"/>
          <w:szCs w:val="24"/>
          <w:highlight w:val="none"/>
          <w:lang w:val="en-US" w:eastAsia="zh-CN" w:bidi="ar-SA"/>
        </w:rPr>
        <w:t>5</w:t>
      </w:r>
      <w:r>
        <w:rPr>
          <w:rFonts w:hint="default" w:ascii="Times New Roman" w:hAnsi="Times New Roman" w:eastAsia="宋体" w:cs="Times New Roman"/>
          <w:snapToGrid w:val="0"/>
          <w:color w:val="auto"/>
          <w:kern w:val="0"/>
          <w:sz w:val="24"/>
          <w:szCs w:val="24"/>
          <w:highlight w:val="none"/>
          <w:lang w:val="en-US" w:eastAsia="zh-CN" w:bidi="ar-SA"/>
        </w:rPr>
        <w:t>天内施用完毕。本项目配套施肥农田消纳能力满足本项目粪污需求，不会超出土壤的承载能力。本项目</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w:t>
      </w:r>
      <w:r>
        <w:rPr>
          <w:rFonts w:hint="eastAsia" w:ascii="Times New Roman" w:hAnsi="Times New Roman" w:cs="Times New Roman"/>
          <w:snapToGrid w:val="0"/>
          <w:color w:val="auto"/>
          <w:kern w:val="0"/>
          <w:sz w:val="24"/>
          <w:szCs w:val="24"/>
          <w:highlight w:val="none"/>
          <w:lang w:val="en-US" w:eastAsia="zh-CN" w:bidi="ar-SA"/>
        </w:rPr>
        <w:t>。</w:t>
      </w:r>
    </w:p>
    <w:p w14:paraId="04DC07FC">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color w:val="auto"/>
          <w:kern w:val="24"/>
          <w:sz w:val="24"/>
          <w:szCs w:val="24"/>
          <w:highlight w:val="none"/>
          <w:lang w:val="en-US" w:eastAsia="zh-CN"/>
        </w:rPr>
        <w:t>沼液</w:t>
      </w:r>
      <w:r>
        <w:rPr>
          <w:rFonts w:hint="default" w:ascii="Times New Roman" w:hAnsi="Times New Roman" w:eastAsia="宋体" w:cs="Times New Roman"/>
          <w:snapToGrid w:val="0"/>
          <w:color w:val="auto"/>
          <w:kern w:val="0"/>
          <w:sz w:val="24"/>
          <w:szCs w:val="24"/>
          <w:highlight w:val="none"/>
          <w:lang w:val="en-US" w:eastAsia="zh-CN" w:bidi="ar-SA"/>
        </w:rPr>
        <w:t>使用封闭式罐车进行猪粪粪肥料的运输，在清运养殖粪污过程中不得发生二次污染，严禁弃、撇、抛。在选择猪粪肥料的运输路线时，选择宽敞平坦的道路，避免坡度陡峭、弯道急转等不利于运输的路段。尽量避免经过居民区、水源地和敏感点，以减少对环境和人群的影响。在运输过程中，应定期检查罐车的密封性能和运输工具的安全性能。定期检查猪粪粪肥料的温度和湿度，避免过高的温度导致自燃的风险。</w:t>
      </w:r>
    </w:p>
    <w:p w14:paraId="3246E1B5">
      <w:pPr>
        <w:adjustRightInd w:val="0"/>
        <w:snapToGrid w:val="0"/>
        <w:spacing w:line="360" w:lineRule="auto"/>
        <w:ind w:firstLine="480" w:firstLineChars="200"/>
        <w:rPr>
          <w:rFonts w:hint="default" w:ascii="Times New Roman" w:hAnsi="Times New Roman" w:eastAsia="宋体" w:cs="Times New Roman"/>
          <w:color w:val="auto"/>
          <w:kern w:val="24"/>
          <w:sz w:val="24"/>
          <w:szCs w:val="24"/>
          <w:highlight w:val="none"/>
          <w:lang w:val="en-US" w:eastAsia="zh-CN"/>
        </w:rPr>
      </w:pPr>
      <w:r>
        <w:rPr>
          <w:rFonts w:hint="default" w:ascii="Times New Roman" w:hAnsi="Times New Roman" w:eastAsia="宋体" w:cs="Times New Roman"/>
          <w:snapToGrid w:val="0"/>
          <w:color w:val="auto"/>
          <w:kern w:val="0"/>
          <w:sz w:val="24"/>
          <w:szCs w:val="24"/>
          <w:highlight w:val="none"/>
          <w:lang w:val="en-US" w:eastAsia="zh-CN" w:bidi="ar-SA"/>
        </w:rPr>
        <w:t>本项目使用封闭式罐车拉运沼液</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固态粪污固体抛洒车至田间地头，均利用原有乡村道路，罐车发生翻车事故导致废水散逸的可能性很小。本项目提出在天气状况不良的情况下，禁止运输罐车进入道路，对相关人员进行培训，同时要对运输车辆进行车况安全检查，对有安全隐患的车辆在未排除隐患前不许参与运输。在采取了以上保护措施后，本项目运输线路是可行的。</w:t>
      </w:r>
    </w:p>
    <w:p w14:paraId="4F0D68EA">
      <w:pPr>
        <w:pStyle w:val="7"/>
        <w:numPr>
          <w:ilvl w:val="0"/>
          <w:numId w:val="0"/>
        </w:numPr>
        <w:adjustRightInd w:val="0"/>
        <w:snapToGrid w:val="0"/>
        <w:spacing w:before="0" w:after="0" w:line="360" w:lineRule="auto"/>
        <w:rPr>
          <w:rFonts w:hint="default" w:ascii="Times New Roman" w:hAnsi="Times New Roman" w:eastAsia="宋体" w:cs="Times New Roman"/>
          <w:b/>
          <w:bCs w:val="0"/>
          <w:color w:val="auto"/>
          <w:sz w:val="32"/>
          <w:szCs w:val="32"/>
          <w:highlight w:val="none"/>
        </w:rPr>
      </w:pPr>
      <w:bookmarkStart w:id="763" w:name="_Toc25167"/>
      <w:bookmarkStart w:id="764" w:name="_Toc23325"/>
      <w:bookmarkStart w:id="765" w:name="_Toc12192"/>
      <w:bookmarkStart w:id="766" w:name="_Toc26532"/>
      <w:r>
        <w:rPr>
          <w:rFonts w:hint="default" w:ascii="Times New Roman" w:hAnsi="Times New Roman" w:eastAsia="宋体" w:cs="Times New Roman"/>
          <w:b/>
          <w:bCs w:val="0"/>
          <w:color w:val="auto"/>
          <w:sz w:val="32"/>
          <w:szCs w:val="32"/>
          <w:highlight w:val="none"/>
        </w:rPr>
        <w:t>5.2.6土壤环境影响分析</w:t>
      </w:r>
      <w:bookmarkEnd w:id="763"/>
      <w:bookmarkEnd w:id="764"/>
      <w:bookmarkEnd w:id="765"/>
      <w:bookmarkEnd w:id="766"/>
    </w:p>
    <w:p w14:paraId="0298CA72">
      <w:pPr>
        <w:pStyle w:val="8"/>
        <w:keepNext/>
        <w:keepLines/>
        <w:pageBreakBefore w:val="0"/>
        <w:widowControl/>
        <w:kinsoku/>
        <w:wordWrap/>
        <w:overflowPunct/>
        <w:topLinePunct w:val="0"/>
        <w:autoSpaceDE/>
        <w:autoSpaceDN/>
        <w:bidi w:val="0"/>
        <w:adjustRightInd/>
        <w:snapToGrid/>
        <w:textAlignment w:val="auto"/>
        <w:outlineLvl w:val="3"/>
        <w:rPr>
          <w:rFonts w:hint="default" w:ascii="Times New Roman" w:hAnsi="Times New Roman" w:eastAsia="宋体" w:cs="Times New Roman"/>
          <w:snapToGrid w:val="0"/>
          <w:color w:val="auto"/>
          <w:highlight w:val="none"/>
        </w:rPr>
      </w:pPr>
      <w:bookmarkStart w:id="767" w:name="_Toc9798"/>
      <w:bookmarkStart w:id="768" w:name="_Toc28072"/>
      <w:bookmarkStart w:id="769" w:name="_Toc25489"/>
      <w:bookmarkStart w:id="770" w:name="_Toc18219"/>
      <w:bookmarkStart w:id="771" w:name="_Toc31292"/>
      <w:bookmarkStart w:id="772" w:name="_Toc9000"/>
      <w:bookmarkStart w:id="773" w:name="_Toc23344"/>
      <w:r>
        <w:rPr>
          <w:rFonts w:hint="default" w:ascii="Times New Roman" w:hAnsi="Times New Roman" w:eastAsia="宋体" w:cs="Times New Roman"/>
          <w:snapToGrid w:val="0"/>
          <w:color w:val="auto"/>
          <w:highlight w:val="none"/>
        </w:rPr>
        <w:t>5.2.6.1土壤影响途径分析</w:t>
      </w:r>
      <w:bookmarkEnd w:id="767"/>
      <w:bookmarkEnd w:id="768"/>
      <w:bookmarkEnd w:id="769"/>
      <w:bookmarkEnd w:id="770"/>
      <w:bookmarkEnd w:id="771"/>
      <w:bookmarkEnd w:id="772"/>
      <w:bookmarkEnd w:id="773"/>
    </w:p>
    <w:p w14:paraId="130E81A9">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4"/>
          <w:sz w:val="24"/>
          <w:szCs w:val="24"/>
          <w:highlight w:val="none"/>
        </w:rPr>
      </w:pPr>
      <w:r>
        <w:rPr>
          <w:rFonts w:hint="default" w:ascii="Times New Roman" w:hAnsi="Times New Roman" w:eastAsia="宋体" w:cs="Times New Roman"/>
          <w:color w:val="auto"/>
          <w:kern w:val="24"/>
          <w:sz w:val="24"/>
          <w:szCs w:val="24"/>
          <w:highlight w:val="none"/>
        </w:rPr>
        <w:t>土壤污染影响型是指人类活动所产生的物质，通过各种途径进入土壤，其数量和速度超过了土壤的容纳能力和净化速度的现象。土壤污染可使土壤的性质、组成及性状等发生变化，使污染物质的积累过程逐渐占据优势，破坏土壤的自然动态平衡，从而导致土壤自然正常功能失调，土壤质量恶化，影响作物的生长发育，以致造成产量和质量下降，并可通过食物链危害生物和人类健康。</w:t>
      </w:r>
    </w:p>
    <w:p w14:paraId="2A17216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4"/>
          <w:sz w:val="24"/>
          <w:szCs w:val="24"/>
          <w:highlight w:val="none"/>
        </w:rPr>
      </w:pPr>
      <w:r>
        <w:rPr>
          <w:rFonts w:hint="default" w:ascii="Times New Roman" w:hAnsi="Times New Roman" w:eastAsia="宋体" w:cs="Times New Roman"/>
          <w:color w:val="auto"/>
          <w:kern w:val="24"/>
          <w:sz w:val="24"/>
          <w:szCs w:val="24"/>
          <w:highlight w:val="none"/>
        </w:rPr>
        <w:t>污染物可以通过多种途径进入土壤，主要有三种影响途径：①大气沉降：污染物来源于被污染的大气，主要集中在土壤表层，污染物降落到地表可引起土壤土质发生变化，破坏土壤肥力与生态系统的平衡。②地面漫流：项目产生的废水事故状态下直接排入外环境，致使土壤受到无机盐、有机物和病原体的水平扩散造成的污染。③垂直下渗：废水从土壤表面渗入土壤内部，使土壤垂直方向受到污染。</w:t>
      </w:r>
    </w:p>
    <w:p w14:paraId="24EB28AC">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4"/>
          <w:sz w:val="24"/>
          <w:szCs w:val="24"/>
          <w:highlight w:val="none"/>
        </w:rPr>
      </w:pPr>
      <w:r>
        <w:rPr>
          <w:rFonts w:hint="default" w:ascii="Times New Roman" w:hAnsi="Times New Roman" w:eastAsia="宋体" w:cs="Times New Roman"/>
          <w:color w:val="auto"/>
          <w:kern w:val="24"/>
          <w:sz w:val="24"/>
          <w:szCs w:val="24"/>
          <w:highlight w:val="none"/>
        </w:rPr>
        <w:t>从建设项目对土壤的影响类型来看，建设项目主体表现为土壤环境污染影响型特点，根据建设项目开发活动特点，可能产生土壤环境污染的途径主要为</w:t>
      </w:r>
      <w:r>
        <w:rPr>
          <w:rFonts w:hint="default" w:ascii="Times New Roman" w:hAnsi="Times New Roman" w:eastAsia="宋体" w:cs="Times New Roman"/>
          <w:color w:val="auto"/>
          <w:kern w:val="24"/>
          <w:sz w:val="24"/>
          <w:szCs w:val="24"/>
          <w:highlight w:val="none"/>
          <w:lang w:eastAsia="zh-CN"/>
        </w:rPr>
        <w:t>“</w:t>
      </w:r>
      <w:r>
        <w:rPr>
          <w:rFonts w:hint="default" w:ascii="Times New Roman" w:hAnsi="Times New Roman" w:eastAsia="宋体" w:cs="Times New Roman"/>
          <w:color w:val="auto"/>
          <w:kern w:val="24"/>
          <w:sz w:val="24"/>
          <w:szCs w:val="24"/>
          <w:highlight w:val="none"/>
        </w:rPr>
        <w:t>粪污处理区泄漏或渗漏，入渗包气带——垂直入渗</w:t>
      </w:r>
      <w:r>
        <w:rPr>
          <w:rFonts w:hint="default" w:ascii="Times New Roman" w:hAnsi="Times New Roman" w:eastAsia="宋体" w:cs="Times New Roman"/>
          <w:color w:val="auto"/>
          <w:kern w:val="24"/>
          <w:sz w:val="24"/>
          <w:szCs w:val="24"/>
          <w:highlight w:val="none"/>
          <w:lang w:eastAsia="zh-CN"/>
        </w:rPr>
        <w:t>”</w:t>
      </w:r>
      <w:r>
        <w:rPr>
          <w:rFonts w:hint="default" w:ascii="Times New Roman" w:hAnsi="Times New Roman" w:eastAsia="宋体" w:cs="Times New Roman"/>
          <w:color w:val="auto"/>
          <w:kern w:val="24"/>
          <w:sz w:val="24"/>
          <w:szCs w:val="24"/>
          <w:highlight w:val="none"/>
        </w:rPr>
        <w:t>。</w:t>
      </w:r>
    </w:p>
    <w:p w14:paraId="3C8007C4">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kern w:val="24"/>
          <w:sz w:val="24"/>
          <w:szCs w:val="24"/>
          <w:highlight w:val="none"/>
        </w:rPr>
        <w:t>粪污处理区</w:t>
      </w:r>
      <w:r>
        <w:rPr>
          <w:rFonts w:hint="default" w:ascii="Times New Roman" w:hAnsi="Times New Roman" w:eastAsia="宋体" w:cs="Times New Roman"/>
          <w:color w:val="auto"/>
          <w:sz w:val="24"/>
          <w:szCs w:val="24"/>
          <w:highlight w:val="none"/>
        </w:rPr>
        <w:t>池体出现泄露或渗漏后，进入土壤的污染物主要为COD、氨氮、pH等，不涉及《土壤环境质量 农用地土壤污染风险管控标准》（试行）（GB15618-2018）中二类用地风险筛选值标准中的污染物项目。对于建设项目而言，一旦上述污染途径存在，进入土壤的污染物（COD、氨氮、pH等）与土壤溶液、空气、矿物质、有机质和微生物之间发生物理、化学和生物变化，形成污染物在表土层和土体中滞留、土壤溶液驱动下污染物迁移、污染物化学与生物转化将形成局地土壤污染。土壤污染物迁移途径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图。</w:t>
      </w:r>
    </w:p>
    <w:p w14:paraId="3DA28D58">
      <w:pPr>
        <w:jc w:val="center"/>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color w:val="auto"/>
          <w:highlight w:val="none"/>
        </w:rPr>
        <w:drawing>
          <wp:inline distT="0" distB="0" distL="114300" distR="114300">
            <wp:extent cx="2453640" cy="1925955"/>
            <wp:effectExtent l="0" t="0" r="3810" b="17145"/>
            <wp:docPr id="1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4"/>
                    <pic:cNvPicPr>
                      <a:picLocks noChangeAspect="1"/>
                    </pic:cNvPicPr>
                  </pic:nvPicPr>
                  <pic:blipFill>
                    <a:blip r:embed="rId108"/>
                    <a:stretch>
                      <a:fillRect/>
                    </a:stretch>
                  </pic:blipFill>
                  <pic:spPr>
                    <a:xfrm>
                      <a:off x="0" y="0"/>
                      <a:ext cx="2453640" cy="1925955"/>
                    </a:xfrm>
                    <a:prstGeom prst="rect">
                      <a:avLst/>
                    </a:prstGeom>
                    <a:noFill/>
                    <a:ln>
                      <a:noFill/>
                    </a:ln>
                  </pic:spPr>
                </pic:pic>
              </a:graphicData>
            </a:graphic>
          </wp:inline>
        </w:drawing>
      </w:r>
    </w:p>
    <w:p w14:paraId="423327A0">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图5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土壤污染途径示意图</w:t>
      </w:r>
    </w:p>
    <w:p w14:paraId="5D5E746E">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项目土壤环境影响类型与影响途径分析</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1673"/>
        <w:gridCol w:w="1988"/>
        <w:gridCol w:w="1850"/>
        <w:gridCol w:w="1906"/>
      </w:tblGrid>
      <w:tr w14:paraId="1C140C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46" w:type="pct"/>
            <w:vMerge w:val="restart"/>
            <w:noWrap w:val="0"/>
            <w:vAlign w:val="center"/>
          </w:tcPr>
          <w:p w14:paraId="334A125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时段</w:t>
            </w:r>
          </w:p>
        </w:tc>
        <w:tc>
          <w:tcPr>
            <w:tcW w:w="4354" w:type="pct"/>
            <w:gridSpan w:val="4"/>
            <w:noWrap w:val="0"/>
            <w:vAlign w:val="center"/>
          </w:tcPr>
          <w:p w14:paraId="0333562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污染影响型</w:t>
            </w:r>
          </w:p>
        </w:tc>
      </w:tr>
      <w:tr w14:paraId="6F8AAD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46" w:type="pct"/>
            <w:vMerge w:val="continue"/>
            <w:noWrap w:val="0"/>
            <w:vAlign w:val="center"/>
          </w:tcPr>
          <w:p w14:paraId="5419DB8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982" w:type="pct"/>
            <w:noWrap w:val="0"/>
            <w:vAlign w:val="center"/>
          </w:tcPr>
          <w:p w14:paraId="5131E4D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大气沉降</w:t>
            </w:r>
          </w:p>
        </w:tc>
        <w:tc>
          <w:tcPr>
            <w:tcW w:w="1167" w:type="pct"/>
            <w:noWrap w:val="0"/>
            <w:vAlign w:val="center"/>
          </w:tcPr>
          <w:p w14:paraId="3870C57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地面漫流</w:t>
            </w:r>
          </w:p>
        </w:tc>
        <w:tc>
          <w:tcPr>
            <w:tcW w:w="1086" w:type="pct"/>
            <w:noWrap w:val="0"/>
            <w:vAlign w:val="center"/>
          </w:tcPr>
          <w:p w14:paraId="1068238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垂直入渗</w:t>
            </w:r>
          </w:p>
        </w:tc>
        <w:tc>
          <w:tcPr>
            <w:tcW w:w="1120" w:type="pct"/>
            <w:noWrap w:val="0"/>
            <w:vAlign w:val="center"/>
          </w:tcPr>
          <w:p w14:paraId="4918C67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r>
      <w:tr w14:paraId="75CF99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46" w:type="pct"/>
            <w:noWrap w:val="0"/>
            <w:vAlign w:val="center"/>
          </w:tcPr>
          <w:p w14:paraId="50A9101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运营期</w:t>
            </w:r>
          </w:p>
        </w:tc>
        <w:tc>
          <w:tcPr>
            <w:tcW w:w="982" w:type="pct"/>
            <w:noWrap w:val="0"/>
            <w:vAlign w:val="center"/>
          </w:tcPr>
          <w:p w14:paraId="2448D6D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1167" w:type="pct"/>
            <w:noWrap w:val="0"/>
            <w:vAlign w:val="center"/>
          </w:tcPr>
          <w:p w14:paraId="1FDCA2C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1086" w:type="pct"/>
            <w:noWrap w:val="0"/>
            <w:vAlign w:val="center"/>
          </w:tcPr>
          <w:p w14:paraId="3C473FC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20" w:type="pct"/>
            <w:noWrap w:val="0"/>
            <w:vAlign w:val="center"/>
          </w:tcPr>
          <w:p w14:paraId="0DF2901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r>
    </w:tbl>
    <w:p w14:paraId="17815869">
      <w:pPr>
        <w:pStyle w:val="8"/>
        <w:keepNext/>
        <w:keepLines/>
        <w:pageBreakBefore w:val="0"/>
        <w:widowControl/>
        <w:kinsoku/>
        <w:wordWrap/>
        <w:overflowPunct/>
        <w:topLinePunct w:val="0"/>
        <w:autoSpaceDE/>
        <w:autoSpaceDN/>
        <w:bidi w:val="0"/>
        <w:adjustRightInd/>
        <w:snapToGrid/>
        <w:textAlignment w:val="auto"/>
        <w:outlineLvl w:val="3"/>
        <w:rPr>
          <w:rFonts w:hint="default" w:ascii="Times New Roman" w:hAnsi="Times New Roman" w:eastAsia="宋体" w:cs="Times New Roman"/>
          <w:snapToGrid w:val="0"/>
          <w:color w:val="auto"/>
          <w:highlight w:val="none"/>
        </w:rPr>
      </w:pPr>
      <w:bookmarkStart w:id="774" w:name="_Toc1563"/>
      <w:bookmarkStart w:id="775" w:name="_Toc8064"/>
      <w:bookmarkStart w:id="776" w:name="_Toc27758"/>
      <w:bookmarkStart w:id="777" w:name="_Toc2557"/>
      <w:bookmarkStart w:id="778" w:name="_Toc3516"/>
      <w:bookmarkStart w:id="779" w:name="_Toc10037"/>
      <w:bookmarkStart w:id="780" w:name="_Toc32290"/>
      <w:r>
        <w:rPr>
          <w:rFonts w:hint="default" w:ascii="Times New Roman" w:hAnsi="Times New Roman" w:eastAsia="宋体" w:cs="Times New Roman"/>
          <w:snapToGrid w:val="0"/>
          <w:color w:val="auto"/>
          <w:highlight w:val="none"/>
        </w:rPr>
        <w:t>5.2.6.2土壤环境影响源及影响因子识别</w:t>
      </w:r>
      <w:bookmarkEnd w:id="774"/>
      <w:bookmarkEnd w:id="775"/>
      <w:bookmarkEnd w:id="776"/>
      <w:bookmarkEnd w:id="777"/>
      <w:bookmarkEnd w:id="778"/>
      <w:bookmarkEnd w:id="779"/>
      <w:bookmarkEnd w:id="780"/>
    </w:p>
    <w:p w14:paraId="350E20B5">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建设项目可能产生的土壤污染源项及影响因子分析结果见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14:paraId="030052EF">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12</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土壤污染源项及影响因子分析结果</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2"/>
        <w:gridCol w:w="1731"/>
        <w:gridCol w:w="1418"/>
        <w:gridCol w:w="1752"/>
        <w:gridCol w:w="1243"/>
      </w:tblGrid>
      <w:tr w14:paraId="7E234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92" w:type="pct"/>
            <w:noWrap w:val="0"/>
            <w:vAlign w:val="center"/>
          </w:tcPr>
          <w:p w14:paraId="5B0DB1BB">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1016" w:type="pct"/>
            <w:noWrap w:val="0"/>
            <w:vAlign w:val="center"/>
          </w:tcPr>
          <w:p w14:paraId="2B883CF3">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工艺流程/点</w:t>
            </w:r>
          </w:p>
        </w:tc>
        <w:tc>
          <w:tcPr>
            <w:tcW w:w="832" w:type="pct"/>
            <w:noWrap w:val="0"/>
            <w:vAlign w:val="center"/>
          </w:tcPr>
          <w:p w14:paraId="50A59031">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污染途径</w:t>
            </w:r>
          </w:p>
        </w:tc>
        <w:tc>
          <w:tcPr>
            <w:tcW w:w="1028" w:type="pct"/>
            <w:noWrap w:val="0"/>
            <w:vAlign w:val="center"/>
          </w:tcPr>
          <w:p w14:paraId="4DEFA17D">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污染物指标</w:t>
            </w:r>
          </w:p>
        </w:tc>
        <w:tc>
          <w:tcPr>
            <w:tcW w:w="729" w:type="pct"/>
            <w:noWrap w:val="0"/>
            <w:vAlign w:val="center"/>
          </w:tcPr>
          <w:p w14:paraId="62AB6E99">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特征因子</w:t>
            </w:r>
          </w:p>
        </w:tc>
      </w:tr>
      <w:tr w14:paraId="41AC2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92" w:type="pct"/>
            <w:noWrap w:val="0"/>
            <w:vAlign w:val="center"/>
          </w:tcPr>
          <w:p w14:paraId="20F859F3">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粪污处理区</w:t>
            </w:r>
          </w:p>
        </w:tc>
        <w:tc>
          <w:tcPr>
            <w:tcW w:w="1016" w:type="pct"/>
            <w:noWrap w:val="0"/>
            <w:vAlign w:val="center"/>
          </w:tcPr>
          <w:p w14:paraId="12A9C4AA">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渗漏</w:t>
            </w:r>
          </w:p>
        </w:tc>
        <w:tc>
          <w:tcPr>
            <w:tcW w:w="832" w:type="pct"/>
            <w:noWrap w:val="0"/>
            <w:vAlign w:val="center"/>
          </w:tcPr>
          <w:p w14:paraId="092A5873">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垂直入渗</w:t>
            </w:r>
          </w:p>
        </w:tc>
        <w:tc>
          <w:tcPr>
            <w:tcW w:w="1028" w:type="pct"/>
            <w:noWrap w:val="0"/>
            <w:vAlign w:val="center"/>
          </w:tcPr>
          <w:p w14:paraId="3A1548DB">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COD、氨氮、pH</w:t>
            </w:r>
          </w:p>
        </w:tc>
        <w:tc>
          <w:tcPr>
            <w:tcW w:w="729" w:type="pct"/>
            <w:noWrap w:val="0"/>
            <w:vAlign w:val="center"/>
          </w:tcPr>
          <w:p w14:paraId="508430D4">
            <w:pPr>
              <w:pStyle w:val="37"/>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3F8C28A9">
      <w:pPr>
        <w:pStyle w:val="8"/>
        <w:keepNext/>
        <w:keepLines/>
        <w:pageBreakBefore w:val="0"/>
        <w:widowControl/>
        <w:kinsoku/>
        <w:wordWrap/>
        <w:overflowPunct/>
        <w:topLinePunct w:val="0"/>
        <w:autoSpaceDE/>
        <w:autoSpaceDN/>
        <w:bidi w:val="0"/>
        <w:adjustRightInd/>
        <w:snapToGrid/>
        <w:textAlignment w:val="auto"/>
        <w:outlineLvl w:val="3"/>
        <w:rPr>
          <w:rFonts w:hint="default" w:ascii="Times New Roman" w:hAnsi="Times New Roman" w:eastAsia="宋体" w:cs="Times New Roman"/>
          <w:snapToGrid w:val="0"/>
          <w:color w:val="auto"/>
          <w:highlight w:val="none"/>
        </w:rPr>
      </w:pPr>
      <w:bookmarkStart w:id="781" w:name="_Toc11802"/>
      <w:bookmarkStart w:id="782" w:name="_Toc20536"/>
      <w:bookmarkStart w:id="783" w:name="_Toc32629"/>
      <w:bookmarkStart w:id="784" w:name="_Toc20335"/>
      <w:bookmarkStart w:id="785" w:name="_Toc14718"/>
      <w:bookmarkStart w:id="786" w:name="_Toc22059"/>
      <w:bookmarkStart w:id="787" w:name="_Toc21505"/>
      <w:r>
        <w:rPr>
          <w:rFonts w:hint="default" w:ascii="Times New Roman" w:hAnsi="Times New Roman" w:eastAsia="宋体" w:cs="Times New Roman"/>
          <w:snapToGrid w:val="0"/>
          <w:color w:val="auto"/>
          <w:highlight w:val="none"/>
        </w:rPr>
        <w:t>5.2.6.3 土壤环境影响评价</w:t>
      </w:r>
      <w:bookmarkEnd w:id="781"/>
      <w:bookmarkEnd w:id="782"/>
      <w:bookmarkEnd w:id="783"/>
      <w:bookmarkEnd w:id="784"/>
      <w:bookmarkEnd w:id="785"/>
      <w:bookmarkEnd w:id="786"/>
      <w:bookmarkEnd w:id="787"/>
    </w:p>
    <w:p w14:paraId="23E7208A">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根据评价工作等级判定，本项目土壤评价工作等级为三级，采取定性描述进行预测分析。</w:t>
      </w:r>
    </w:p>
    <w:p w14:paraId="7B774089">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1、土壤盐化、碱化、酸化趋势分析</w:t>
      </w:r>
    </w:p>
    <w:p w14:paraId="67303D0C">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土壤盐化将导致天然植被退化、草群生态植被结构改变、植被生产力下降、土壤板结、土壤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（沙漠化、沼泽化和盐碱化）现象严重，生态环境日趋恶化。</w:t>
      </w:r>
    </w:p>
    <w:p w14:paraId="78E5636D">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评价区域为湿润地区，根据本项目土壤现状监测结果，项目占地范围内土壤呈未盐化；土壤pH值在</w:t>
      </w:r>
      <w:r>
        <w:rPr>
          <w:rFonts w:hint="eastAsia" w:ascii="Times New Roman" w:hAnsi="Times New Roman" w:eastAsia="宋体" w:cs="Times New Roman"/>
          <w:color w:val="auto"/>
          <w:sz w:val="24"/>
          <w:szCs w:val="24"/>
          <w:highlight w:val="none"/>
          <w:lang w:val="en-US" w:eastAsia="zh-CN"/>
        </w:rPr>
        <w:t>11.52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11.66</w:t>
      </w:r>
      <w:r>
        <w:rPr>
          <w:rFonts w:hint="default" w:ascii="Times New Roman" w:hAnsi="Times New Roman" w:eastAsia="宋体" w:cs="Times New Roman"/>
          <w:color w:val="auto"/>
          <w:sz w:val="24"/>
          <w:szCs w:val="24"/>
          <w:highlight w:val="none"/>
        </w:rPr>
        <w:t>之间，呈</w:t>
      </w:r>
      <w:r>
        <w:rPr>
          <w:rFonts w:hint="eastAsia" w:ascii="Times New Roman" w:hAnsi="Times New Roman" w:eastAsia="宋体" w:cs="Times New Roman"/>
          <w:color w:val="auto"/>
          <w:sz w:val="24"/>
          <w:szCs w:val="24"/>
          <w:highlight w:val="none"/>
          <w:lang w:val="en-US" w:eastAsia="zh-CN"/>
        </w:rPr>
        <w:t>碱</w:t>
      </w:r>
      <w:r>
        <w:rPr>
          <w:rFonts w:hint="default" w:ascii="Times New Roman" w:hAnsi="Times New Roman" w:eastAsia="宋体" w:cs="Times New Roman"/>
          <w:color w:val="auto"/>
          <w:sz w:val="24"/>
          <w:szCs w:val="24"/>
          <w:highlight w:val="none"/>
        </w:rPr>
        <w:t>性；土壤碱化分级结果显示，项目占地范围内及周边土壤呈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碱化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kern w:val="24"/>
          <w:sz w:val="24"/>
          <w:szCs w:val="24"/>
          <w:highlight w:val="none"/>
        </w:rPr>
        <w:t>粪污处理区</w:t>
      </w:r>
      <w:r>
        <w:rPr>
          <w:rFonts w:hint="default" w:ascii="Times New Roman" w:hAnsi="Times New Roman" w:eastAsia="宋体" w:cs="Times New Roman"/>
          <w:color w:val="auto"/>
          <w:sz w:val="24"/>
          <w:szCs w:val="24"/>
          <w:highlight w:val="none"/>
        </w:rPr>
        <w:t>采取防渗措施，及时发现问题，采取措施；加强管理，工作人员须经过培训，严格遵守操作规程。且本项目泄漏量较小，影响范围较小，不会造成占地范围内及周边土壤盐化、酸化或碱化。</w:t>
      </w:r>
    </w:p>
    <w:p w14:paraId="06D1B358">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2、垂直入渗影响分析</w:t>
      </w:r>
    </w:p>
    <w:p w14:paraId="531B510C">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本项目各池体出现泄露或渗漏后，进入土壤的污染物主要为COD、氨氮、pH等，不涉及《土壤环境质量 农用地土壤污染风险管控标准》（试行）（GB15618-2018）中二类用地风险筛选值标准中的污染物项目。一旦泄露，进入土壤的污染物（COD、氨氮、pH等）与土壤溶液、空气、矿物质、有机质和微生物之间发生物理、化学和生物变化，形成污染物在表土层和土体中滞留、土壤溶液驱动下污染物迁移、污染物化学与生物转化将形成局地土壤污染。</w:t>
      </w:r>
    </w:p>
    <w:p w14:paraId="0F5645B4">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kern w:val="24"/>
          <w:sz w:val="24"/>
          <w:szCs w:val="24"/>
          <w:highlight w:val="none"/>
        </w:rPr>
        <w:t>粪污处理区</w:t>
      </w:r>
      <w:r>
        <w:rPr>
          <w:rFonts w:hint="default" w:ascii="Times New Roman" w:hAnsi="Times New Roman" w:eastAsia="宋体" w:cs="Times New Roman"/>
          <w:color w:val="auto"/>
          <w:sz w:val="24"/>
          <w:szCs w:val="24"/>
          <w:highlight w:val="none"/>
        </w:rPr>
        <w:t>采取防渗措施，及时发现问题，采取措施；加强管理，工作人员须经过培训，严格遵守操作规程。</w:t>
      </w:r>
    </w:p>
    <w:p w14:paraId="736CBF64">
      <w:pPr>
        <w:pStyle w:val="46"/>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因此，正常情况下各池体不会发生泄漏并对土壤产生影响；一旦发生异常，立即启动应急机制，解决问题，项目建成后不会对土壤环境产生影响。</w:t>
      </w:r>
    </w:p>
    <w:p w14:paraId="6701EE37">
      <w:pPr>
        <w:pStyle w:val="7"/>
        <w:rPr>
          <w:rFonts w:hint="default" w:ascii="Times New Roman" w:hAnsi="Times New Roman" w:eastAsia="宋体" w:cs="Times New Roman"/>
          <w:snapToGrid w:val="0"/>
          <w:color w:val="auto"/>
          <w:highlight w:val="none"/>
          <w:lang w:val="en-US" w:eastAsia="zh-CN"/>
        </w:rPr>
      </w:pPr>
      <w:bookmarkStart w:id="788" w:name="_Toc21560"/>
      <w:bookmarkStart w:id="789" w:name="_Toc22816"/>
      <w:bookmarkStart w:id="790" w:name="_Toc13561"/>
      <w:bookmarkStart w:id="791" w:name="_Toc77"/>
      <w:bookmarkStart w:id="792" w:name="_Toc1723"/>
      <w:bookmarkStart w:id="793" w:name="_Toc9325"/>
      <w:r>
        <w:rPr>
          <w:rFonts w:hint="default" w:ascii="Times New Roman" w:hAnsi="Times New Roman" w:eastAsia="宋体" w:cs="Times New Roman"/>
          <w:snapToGrid w:val="0"/>
          <w:color w:val="auto"/>
          <w:highlight w:val="none"/>
          <w:lang w:val="en-US" w:eastAsia="zh-CN"/>
        </w:rPr>
        <w:t>5.2.7生态影响预测评价</w:t>
      </w:r>
      <w:bookmarkEnd w:id="788"/>
      <w:bookmarkEnd w:id="789"/>
      <w:bookmarkEnd w:id="790"/>
      <w:bookmarkEnd w:id="791"/>
      <w:bookmarkEnd w:id="792"/>
      <w:bookmarkEnd w:id="793"/>
    </w:p>
    <w:p w14:paraId="1DD7F7D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建设将对区域土壤、植被和地表环境造成一定的破坏。本项目养殖场为传统农业畜禽养殖，区域属于农牧业区，周围以农业生态环境为主，区域内无珍稀、濒危动植物，生态环境比较简单，生态功能不明显，生态效益较低。项目区扰动的原地貌和破坏的植被并非评价区特有植被，在项目区域乃至黑龙江省大部均有广泛分布。因此本项目不会造成评价区任何一种植被类型的消失。在采取做好生产管理和生态恢复等措施的情况下，项目的建设对评价区植被的影响较小。本项目通过对区域猪养殖实施集约化管理，并对猪只养殖产生的粪污进行减量化、无害化、资源化综合利用，并对猪舍、粪污处理工程产生的恶臭气体采取了加强通风、日粮中添加EM菌、喷洒除臭剂等措施，且一定要注意保护周边现有耕地。对养殖场周围进行美化，对保持和改善区域生态环境具有积极作用。本项目周边为农田生态系统，受人为活动影响较大。项目建成后对植被、植物种类和群落分布以及动物区系的基本组成和性质不会发生变化。</w:t>
      </w:r>
    </w:p>
    <w:p w14:paraId="3B1062F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1、评价区内主要生态过程过去、现在和将来都将以人为控制为主。自然植被、村庄、乡镇企业、农田、经济林和保护林等景观格局也不会明显改变。</w:t>
      </w:r>
    </w:p>
    <w:p w14:paraId="521F042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2、运营期排放废气等各项污染物的排放在严格的控制措施下，排放量不大，排放浓度达到了相应标准限值的要求，可被环境接受。</w:t>
      </w:r>
    </w:p>
    <w:p w14:paraId="3CEEBD8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沼液贮存池。</w:t>
      </w:r>
    </w:p>
    <w:p w14:paraId="576F638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4、根据本评价各环境要素的污染预测结果，各项污染物排放均达到了环境保护相应规定的要求，对区域污染的贡献量较小。</w:t>
      </w:r>
    </w:p>
    <w:p w14:paraId="1A7BE2C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通过对区域养殖场实施集约化管理，并对养殖场产生的猪粪进行减量化、无害化、资源化综合利用，构建猪养殖→猪粪→肥料还田→农作物，对改善项目区域农业生态环境将产生积极作用。</w:t>
      </w:r>
    </w:p>
    <w:p w14:paraId="6902DFE7">
      <w:pPr>
        <w:pStyle w:val="7"/>
        <w:rPr>
          <w:rFonts w:hint="default" w:ascii="Times New Roman" w:hAnsi="Times New Roman" w:eastAsia="宋体" w:cs="Times New Roman"/>
          <w:snapToGrid w:val="0"/>
          <w:color w:val="auto"/>
          <w:highlight w:val="none"/>
        </w:rPr>
      </w:pPr>
      <w:bookmarkStart w:id="794" w:name="_Toc12648"/>
      <w:bookmarkStart w:id="795" w:name="_Toc30979"/>
      <w:bookmarkStart w:id="796" w:name="_Toc1024"/>
      <w:bookmarkStart w:id="797" w:name="_Toc8537"/>
      <w:r>
        <w:rPr>
          <w:rFonts w:hint="default" w:ascii="Times New Roman" w:hAnsi="Times New Roman" w:eastAsia="宋体" w:cs="Times New Roman"/>
          <w:snapToGrid w:val="0"/>
          <w:color w:val="auto"/>
          <w:highlight w:val="none"/>
        </w:rPr>
        <w:t>5.2.</w:t>
      </w:r>
      <w:r>
        <w:rPr>
          <w:rFonts w:hint="default" w:ascii="Times New Roman" w:hAnsi="Times New Roman" w:eastAsia="宋体"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环境风险分析</w:t>
      </w:r>
      <w:bookmarkEnd w:id="794"/>
      <w:bookmarkEnd w:id="795"/>
      <w:bookmarkEnd w:id="796"/>
      <w:bookmarkEnd w:id="797"/>
    </w:p>
    <w:p w14:paraId="5DE33E30">
      <w:pPr>
        <w:pStyle w:val="8"/>
        <w:bidi w:val="0"/>
        <w:rPr>
          <w:rFonts w:hint="default"/>
          <w:highlight w:val="none"/>
        </w:rPr>
      </w:pPr>
      <w:bookmarkStart w:id="798" w:name="_Toc23"/>
      <w:bookmarkStart w:id="799" w:name="_Toc13316"/>
      <w:bookmarkStart w:id="800" w:name="_Toc18203"/>
      <w:bookmarkStart w:id="801" w:name="_Toc26691"/>
      <w:bookmarkStart w:id="802" w:name="_Toc6704"/>
      <w:r>
        <w:rPr>
          <w:rFonts w:hint="default"/>
          <w:highlight w:val="none"/>
        </w:rPr>
        <w:t>5.2.8.1 风险源调查</w:t>
      </w:r>
      <w:bookmarkEnd w:id="798"/>
      <w:bookmarkEnd w:id="799"/>
      <w:bookmarkEnd w:id="800"/>
      <w:bookmarkEnd w:id="801"/>
      <w:bookmarkEnd w:id="802"/>
    </w:p>
    <w:p w14:paraId="6CEF0D5F">
      <w:pPr>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根据《建设项目环境风险评价技术导则》（HJ169-2018）“附录 B 重点关注的危险物质及临界量”可知，</w:t>
      </w:r>
      <w:r>
        <w:rPr>
          <w:rFonts w:hint="default" w:ascii="Times New Roman" w:hAnsi="Times New Roman" w:cs="Times New Roman"/>
          <w:color w:val="auto"/>
          <w:highlight w:val="none"/>
        </w:rPr>
        <w:t>项目使用的原料均没有任何毒性、易燃性等危险特性，</w:t>
      </w:r>
      <w:r>
        <w:rPr>
          <w:rFonts w:hint="default" w:ascii="Times New Roman" w:hAnsi="Times New Roman" w:cs="Times New Roman"/>
          <w:bCs/>
          <w:color w:val="auto"/>
          <w:highlight w:val="none"/>
        </w:rPr>
        <w:t>本项目所涉及的危险物质为沼气（主要成分为甲烷）。</w:t>
      </w:r>
    </w:p>
    <w:p w14:paraId="546951F5">
      <w:pPr>
        <w:spacing w:line="360" w:lineRule="auto"/>
        <w:ind w:firstLine="480" w:firstLineChars="200"/>
        <w:jc w:val="both"/>
        <w:rPr>
          <w:rFonts w:hint="default" w:ascii="Times New Roman" w:hAnsi="Times New Roman" w:cs="Times New Roman"/>
          <w:bCs/>
          <w:color w:val="auto"/>
          <w:highlight w:val="none"/>
        </w:rPr>
      </w:pPr>
      <w:r>
        <w:rPr>
          <w:rFonts w:hint="default" w:ascii="Times New Roman" w:hAnsi="Times New Roman" w:eastAsia="宋体" w:cs="Times New Roman"/>
          <w:i w:val="0"/>
          <w:iCs w:val="0"/>
          <w:snapToGrid w:val="0"/>
          <w:color w:val="auto"/>
          <w:highlight w:val="none"/>
          <w:lang w:val="en-US" w:eastAsia="zh-CN"/>
        </w:rPr>
        <w:t>本项目</w:t>
      </w:r>
      <w:r>
        <w:rPr>
          <w:rFonts w:hint="default" w:ascii="Times New Roman" w:hAnsi="Times New Roman" w:eastAsia="宋体" w:cs="Times New Roman"/>
          <w:b w:val="0"/>
          <w:bCs w:val="0"/>
          <w:i w:val="0"/>
          <w:iCs w:val="0"/>
          <w:snapToGrid w:val="0"/>
          <w:color w:val="auto"/>
          <w:highlight w:val="none"/>
        </w:rPr>
        <w:t>污水处理工艺产</w:t>
      </w:r>
      <w:r>
        <w:rPr>
          <w:rFonts w:hint="default" w:ascii="Times New Roman" w:hAnsi="Times New Roman" w:eastAsia="宋体" w:cs="Times New Roman"/>
          <w:i w:val="0"/>
          <w:iCs w:val="0"/>
          <w:snapToGrid w:val="0"/>
          <w:color w:val="auto"/>
          <w:highlight w:val="none"/>
        </w:rPr>
        <w:t>生的沼气火炬</w:t>
      </w:r>
      <w:r>
        <w:rPr>
          <w:rFonts w:hint="default" w:ascii="Times New Roman" w:hAnsi="Times New Roman" w:eastAsia="宋体" w:cs="Times New Roman"/>
          <w:i w:val="0"/>
          <w:iCs w:val="0"/>
          <w:snapToGrid w:val="0"/>
          <w:color w:val="auto"/>
          <w:highlight w:val="none"/>
          <w:lang w:val="en-US" w:eastAsia="zh-CN"/>
        </w:rPr>
        <w:t>直接</w:t>
      </w:r>
      <w:r>
        <w:rPr>
          <w:rFonts w:hint="default" w:ascii="Times New Roman" w:hAnsi="Times New Roman" w:eastAsia="宋体" w:cs="Times New Roman"/>
          <w:i w:val="0"/>
          <w:iCs w:val="0"/>
          <w:snapToGrid w:val="0"/>
          <w:color w:val="auto"/>
          <w:highlight w:val="none"/>
        </w:rPr>
        <w:t>燃烧排放</w:t>
      </w:r>
      <w:r>
        <w:rPr>
          <w:rFonts w:hint="default" w:ascii="Times New Roman" w:hAnsi="Times New Roman" w:eastAsia="宋体" w:cs="Times New Roman"/>
          <w:i w:val="0"/>
          <w:iCs w:val="0"/>
          <w:snapToGrid w:val="0"/>
          <w:color w:val="auto"/>
          <w:highlight w:val="none"/>
          <w:lang w:eastAsia="zh-CN"/>
        </w:rPr>
        <w:t>，沼气火炬设有火焰控制系统，在供气管路上安装有检测器，达到燃烧条件时，沼气火炬自动运行点燃烧，</w:t>
      </w:r>
      <w:r>
        <w:rPr>
          <w:rFonts w:hint="default" w:ascii="Times New Roman" w:hAnsi="Times New Roman" w:eastAsia="宋体" w:cs="Times New Roman"/>
          <w:i w:val="0"/>
          <w:iCs w:val="0"/>
          <w:snapToGrid w:val="0"/>
          <w:color w:val="auto"/>
          <w:highlight w:val="none"/>
          <w:lang w:val="en-US" w:eastAsia="zh-CN"/>
        </w:rPr>
        <w:t>不设置沼气供气管道，沼气火炬</w:t>
      </w:r>
      <w:r>
        <w:rPr>
          <w:rFonts w:hint="default" w:ascii="Times New Roman" w:hAnsi="Times New Roman" w:eastAsia="宋体" w:cs="Times New Roman"/>
          <w:i w:val="0"/>
          <w:iCs w:val="0"/>
          <w:snapToGrid w:val="0"/>
          <w:color w:val="auto"/>
          <w:highlight w:val="none"/>
          <w:lang w:eastAsia="zh-CN"/>
        </w:rPr>
        <w:t>管路</w:t>
      </w:r>
      <w:r>
        <w:rPr>
          <w:rFonts w:hint="default" w:ascii="Times New Roman" w:hAnsi="Times New Roman" w:eastAsia="宋体" w:cs="Times New Roman"/>
          <w:i w:val="0"/>
          <w:iCs w:val="0"/>
          <w:snapToGrid w:val="0"/>
          <w:color w:val="auto"/>
          <w:highlight w:val="none"/>
          <w:lang w:val="en-US" w:eastAsia="zh-CN"/>
        </w:rPr>
        <w:t>长10m，直径0.1m，体积为</w:t>
      </w:r>
      <w:r>
        <w:rPr>
          <w:rFonts w:hint="eastAsia" w:ascii="Times New Roman" w:hAnsi="Times New Roman" w:cs="Times New Roman"/>
          <w:i w:val="0"/>
          <w:iCs w:val="0"/>
          <w:snapToGrid w:val="0"/>
          <w:color w:val="auto"/>
          <w:highlight w:val="none"/>
          <w:lang w:val="en-US" w:eastAsia="zh-CN"/>
        </w:rPr>
        <w:t>0.0785</w:t>
      </w:r>
      <w:r>
        <w:rPr>
          <w:rFonts w:hint="default" w:ascii="Times New Roman" w:hAnsi="Times New Roman" w:eastAsia="宋体" w:cs="Times New Roman"/>
          <w:i w:val="0"/>
          <w:iCs w:val="0"/>
          <w:snapToGrid w:val="0"/>
          <w:color w:val="auto"/>
          <w:highlight w:val="none"/>
          <w:lang w:val="en-US" w:eastAsia="zh-CN"/>
        </w:rPr>
        <w:t>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。通常情况下，沼气中甲烷含量占60%左右，甲烷密度为0.71kg/m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（标准状况下，1个标准大气压，20℃）。</w:t>
      </w:r>
      <w:r>
        <w:rPr>
          <w:rFonts w:hint="default" w:ascii="Times New Roman" w:hAnsi="Times New Roman" w:cs="Times New Roman"/>
          <w:bCs/>
          <w:color w:val="auto"/>
          <w:highlight w:val="none"/>
        </w:rPr>
        <w:t>经计算本项目甲烷的暂存量为</w:t>
      </w:r>
      <w:r>
        <w:rPr>
          <w:rFonts w:hint="eastAsia" w:ascii="Times New Roman" w:hAnsi="Times New Roman" w:cs="Times New Roman"/>
          <w:bCs/>
          <w:color w:val="auto"/>
          <w:highlight w:val="none"/>
          <w:lang w:val="en-US" w:eastAsia="zh-CN"/>
        </w:rPr>
        <w:t>0.000055735</w:t>
      </w:r>
      <w:r>
        <w:rPr>
          <w:rFonts w:hint="default" w:ascii="Times New Roman" w:hAnsi="Times New Roman" w:cs="Times New Roman"/>
          <w:bCs/>
          <w:color w:val="auto"/>
          <w:highlight w:val="none"/>
        </w:rPr>
        <w:t>t。</w:t>
      </w:r>
    </w:p>
    <w:p w14:paraId="2C45F678">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3</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沼气（甲烷）安全技术说明书</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9"/>
        <w:gridCol w:w="1295"/>
        <w:gridCol w:w="2517"/>
        <w:gridCol w:w="1804"/>
        <w:gridCol w:w="387"/>
        <w:gridCol w:w="1848"/>
      </w:tblGrid>
      <w:tr w14:paraId="60F75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12" w:space="0"/>
              <w:left w:val="nil"/>
              <w:bottom w:val="single" w:color="auto" w:sz="4" w:space="0"/>
              <w:right w:val="single" w:color="auto" w:sz="4" w:space="0"/>
            </w:tcBorders>
            <w:noWrap w:val="0"/>
            <w:vAlign w:val="center"/>
          </w:tcPr>
          <w:p w14:paraId="357E7C4B">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中文名称</w:t>
            </w:r>
          </w:p>
        </w:tc>
        <w:tc>
          <w:tcPr>
            <w:tcW w:w="1516" w:type="pct"/>
            <w:tcBorders>
              <w:top w:val="single" w:color="auto" w:sz="12" w:space="0"/>
              <w:left w:val="single" w:color="auto" w:sz="4" w:space="0"/>
              <w:bottom w:val="single" w:color="auto" w:sz="4" w:space="0"/>
              <w:right w:val="single" w:color="auto" w:sz="4" w:space="0"/>
            </w:tcBorders>
            <w:noWrap w:val="0"/>
            <w:vAlign w:val="center"/>
          </w:tcPr>
          <w:p w14:paraId="0B835B7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甲烷</w:t>
            </w:r>
          </w:p>
        </w:tc>
        <w:tc>
          <w:tcPr>
            <w:tcW w:w="1087" w:type="pct"/>
            <w:tcBorders>
              <w:top w:val="single" w:color="auto" w:sz="12" w:space="0"/>
              <w:left w:val="single" w:color="auto" w:sz="4" w:space="0"/>
              <w:bottom w:val="single" w:color="auto" w:sz="4" w:space="0"/>
              <w:right w:val="single" w:color="auto" w:sz="4" w:space="0"/>
            </w:tcBorders>
            <w:noWrap w:val="0"/>
            <w:vAlign w:val="center"/>
          </w:tcPr>
          <w:p w14:paraId="5575097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英文名称</w:t>
            </w:r>
          </w:p>
        </w:tc>
        <w:tc>
          <w:tcPr>
            <w:tcW w:w="1346" w:type="pct"/>
            <w:gridSpan w:val="2"/>
            <w:tcBorders>
              <w:top w:val="single" w:color="auto" w:sz="12" w:space="0"/>
              <w:left w:val="single" w:color="auto" w:sz="4" w:space="0"/>
              <w:bottom w:val="single" w:color="auto" w:sz="4" w:space="0"/>
              <w:right w:val="nil"/>
            </w:tcBorders>
            <w:noWrap w:val="0"/>
            <w:vAlign w:val="center"/>
          </w:tcPr>
          <w:p w14:paraId="39740470">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Marsh gas</w:t>
            </w:r>
          </w:p>
        </w:tc>
      </w:tr>
      <w:tr w14:paraId="7930E4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4" w:space="0"/>
              <w:left w:val="nil"/>
              <w:bottom w:val="single" w:color="auto" w:sz="4" w:space="0"/>
              <w:right w:val="single" w:color="auto" w:sz="4" w:space="0"/>
            </w:tcBorders>
            <w:noWrap w:val="0"/>
            <w:vAlign w:val="center"/>
          </w:tcPr>
          <w:p w14:paraId="72840D11">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分子式</w:t>
            </w:r>
          </w:p>
        </w:tc>
        <w:tc>
          <w:tcPr>
            <w:tcW w:w="1516" w:type="pct"/>
            <w:tcBorders>
              <w:top w:val="single" w:color="auto" w:sz="4" w:space="0"/>
              <w:left w:val="single" w:color="auto" w:sz="4" w:space="0"/>
              <w:bottom w:val="single" w:color="auto" w:sz="4" w:space="0"/>
              <w:right w:val="single" w:color="auto" w:sz="4" w:space="0"/>
            </w:tcBorders>
            <w:noWrap w:val="0"/>
            <w:vAlign w:val="center"/>
          </w:tcPr>
          <w:p w14:paraId="5EEBED1C">
            <w:pPr>
              <w:adjustRightInd w:val="0"/>
              <w:snapToGrid w:val="0"/>
              <w:jc w:val="center"/>
              <w:textAlignment w:val="center"/>
              <w:rPr>
                <w:rFonts w:hint="default" w:ascii="Times New Roman" w:hAnsi="Times New Roman" w:cs="Times New Roman"/>
                <w:color w:val="auto"/>
                <w:sz w:val="21"/>
                <w:szCs w:val="21"/>
                <w:highlight w:val="none"/>
                <w:vertAlign w:val="subscript"/>
              </w:rPr>
            </w:pPr>
            <w:r>
              <w:rPr>
                <w:rFonts w:hint="default" w:ascii="Times New Roman" w:hAnsi="Times New Roman" w:cs="Times New Roman"/>
                <w:color w:val="auto"/>
                <w:sz w:val="21"/>
                <w:szCs w:val="21"/>
                <w:highlight w:val="none"/>
              </w:rPr>
              <w:t>CH</w:t>
            </w:r>
            <w:r>
              <w:rPr>
                <w:rFonts w:hint="default" w:ascii="Times New Roman" w:hAnsi="Times New Roman" w:cs="Times New Roman"/>
                <w:color w:val="auto"/>
                <w:sz w:val="21"/>
                <w:szCs w:val="21"/>
                <w:highlight w:val="none"/>
                <w:vertAlign w:val="subscript"/>
              </w:rPr>
              <w:t>4</w:t>
            </w:r>
          </w:p>
        </w:tc>
        <w:tc>
          <w:tcPr>
            <w:tcW w:w="1087" w:type="pct"/>
            <w:tcBorders>
              <w:top w:val="single" w:color="auto" w:sz="4" w:space="0"/>
              <w:left w:val="single" w:color="auto" w:sz="4" w:space="0"/>
              <w:bottom w:val="single" w:color="auto" w:sz="4" w:space="0"/>
              <w:right w:val="single" w:color="auto" w:sz="4" w:space="0"/>
            </w:tcBorders>
            <w:noWrap w:val="0"/>
            <w:vAlign w:val="center"/>
          </w:tcPr>
          <w:p w14:paraId="5F3938E4">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分子量</w:t>
            </w:r>
          </w:p>
        </w:tc>
        <w:tc>
          <w:tcPr>
            <w:tcW w:w="1346" w:type="pct"/>
            <w:gridSpan w:val="2"/>
            <w:tcBorders>
              <w:top w:val="single" w:color="auto" w:sz="4" w:space="0"/>
              <w:left w:val="single" w:color="auto" w:sz="4" w:space="0"/>
              <w:bottom w:val="single" w:color="auto" w:sz="4" w:space="0"/>
              <w:right w:val="nil"/>
            </w:tcBorders>
            <w:noWrap w:val="0"/>
            <w:vAlign w:val="center"/>
          </w:tcPr>
          <w:p w14:paraId="55DEE6B1">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16.04</w:t>
            </w:r>
          </w:p>
        </w:tc>
      </w:tr>
      <w:tr w14:paraId="05E76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restart"/>
            <w:tcBorders>
              <w:top w:val="single" w:color="auto" w:sz="4" w:space="0"/>
              <w:left w:val="nil"/>
              <w:bottom w:val="single" w:color="auto" w:sz="4" w:space="0"/>
              <w:right w:val="single" w:color="auto" w:sz="4" w:space="0"/>
            </w:tcBorders>
            <w:noWrap w:val="0"/>
            <w:vAlign w:val="center"/>
          </w:tcPr>
          <w:p w14:paraId="0D70A342">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危险性概述</w:t>
            </w:r>
          </w:p>
        </w:tc>
        <w:tc>
          <w:tcPr>
            <w:tcW w:w="780" w:type="pct"/>
            <w:tcBorders>
              <w:top w:val="single" w:color="auto" w:sz="4" w:space="0"/>
              <w:left w:val="single" w:color="auto" w:sz="4" w:space="0"/>
              <w:bottom w:val="single" w:color="auto" w:sz="4" w:space="0"/>
              <w:right w:val="single" w:color="auto" w:sz="4" w:space="0"/>
            </w:tcBorders>
            <w:noWrap w:val="0"/>
            <w:vAlign w:val="center"/>
          </w:tcPr>
          <w:p w14:paraId="230DFA41">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健康危害</w:t>
            </w:r>
          </w:p>
        </w:tc>
        <w:tc>
          <w:tcPr>
            <w:tcW w:w="3949" w:type="pct"/>
            <w:gridSpan w:val="4"/>
            <w:tcBorders>
              <w:top w:val="single" w:color="auto" w:sz="4" w:space="0"/>
              <w:left w:val="single" w:color="auto" w:sz="4" w:space="0"/>
              <w:bottom w:val="single" w:color="auto" w:sz="4" w:space="0"/>
              <w:right w:val="nil"/>
            </w:tcBorders>
            <w:noWrap w:val="0"/>
            <w:vAlign w:val="center"/>
          </w:tcPr>
          <w:p w14:paraId="619DA87E">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烷对人基本无毒，但浓度过高时，使空气中氧含量明显降低，使人窒息。当空气中甲烷达25%～30%时，可引起头痛、头晕、乏力、注意力不集中、呼吸和心跳加速。若不及时脱离，可致窒息死亡。皮肤接触液化本品，可致冻伤。</w:t>
            </w:r>
          </w:p>
        </w:tc>
      </w:tr>
      <w:tr w14:paraId="25D9C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60FB467E">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4F302061">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环境危害</w:t>
            </w:r>
          </w:p>
        </w:tc>
        <w:tc>
          <w:tcPr>
            <w:tcW w:w="3949" w:type="pct"/>
            <w:gridSpan w:val="4"/>
            <w:tcBorders>
              <w:top w:val="single" w:color="auto" w:sz="4" w:space="0"/>
              <w:left w:val="single" w:color="auto" w:sz="4" w:space="0"/>
              <w:bottom w:val="single" w:color="auto" w:sz="4" w:space="0"/>
              <w:right w:val="nil"/>
            </w:tcBorders>
            <w:noWrap w:val="0"/>
            <w:vAlign w:val="center"/>
          </w:tcPr>
          <w:p w14:paraId="6680C328">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1CD85F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49B09C46">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7EA9421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燃爆危险</w:t>
            </w:r>
          </w:p>
        </w:tc>
        <w:tc>
          <w:tcPr>
            <w:tcW w:w="3949" w:type="pct"/>
            <w:gridSpan w:val="4"/>
            <w:tcBorders>
              <w:top w:val="single" w:color="auto" w:sz="4" w:space="0"/>
              <w:left w:val="single" w:color="auto" w:sz="4" w:space="0"/>
              <w:bottom w:val="single" w:color="auto" w:sz="4" w:space="0"/>
              <w:right w:val="nil"/>
            </w:tcBorders>
            <w:noWrap w:val="0"/>
            <w:vAlign w:val="center"/>
          </w:tcPr>
          <w:p w14:paraId="7B200474">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本品易燃，易窒息性。</w:t>
            </w:r>
          </w:p>
        </w:tc>
      </w:tr>
      <w:tr w14:paraId="44C20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restart"/>
            <w:tcBorders>
              <w:top w:val="single" w:color="auto" w:sz="4" w:space="0"/>
              <w:left w:val="nil"/>
              <w:bottom w:val="single" w:color="auto" w:sz="4" w:space="0"/>
              <w:right w:val="single" w:color="auto" w:sz="4" w:space="0"/>
            </w:tcBorders>
            <w:noWrap w:val="0"/>
            <w:vAlign w:val="center"/>
          </w:tcPr>
          <w:p w14:paraId="0C74E852">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消防措施</w:t>
            </w:r>
          </w:p>
        </w:tc>
        <w:tc>
          <w:tcPr>
            <w:tcW w:w="780" w:type="pct"/>
            <w:tcBorders>
              <w:top w:val="single" w:color="auto" w:sz="4" w:space="0"/>
              <w:left w:val="single" w:color="auto" w:sz="4" w:space="0"/>
              <w:bottom w:val="single" w:color="auto" w:sz="4" w:space="0"/>
              <w:right w:val="single" w:color="auto" w:sz="4" w:space="0"/>
            </w:tcBorders>
            <w:noWrap w:val="0"/>
            <w:vAlign w:val="center"/>
          </w:tcPr>
          <w:p w14:paraId="740EC83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危险特性</w:t>
            </w:r>
          </w:p>
        </w:tc>
        <w:tc>
          <w:tcPr>
            <w:tcW w:w="3949" w:type="pct"/>
            <w:gridSpan w:val="4"/>
            <w:tcBorders>
              <w:top w:val="single" w:color="auto" w:sz="4" w:space="0"/>
              <w:left w:val="single" w:color="auto" w:sz="4" w:space="0"/>
              <w:bottom w:val="single" w:color="auto" w:sz="4" w:space="0"/>
              <w:right w:val="nil"/>
            </w:tcBorders>
            <w:noWrap w:val="0"/>
            <w:vAlign w:val="center"/>
          </w:tcPr>
          <w:p w14:paraId="67F3E95B">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易燃，与空气混合能形成爆炸性混合物，遇热源和明火有燃烧爆炸的危险。与五氧化溴、氯气、次氯酸、三氟化氮、液氧、二氟化氧及其它强氧化剂接触剧烈反应。</w:t>
            </w:r>
          </w:p>
        </w:tc>
      </w:tr>
      <w:tr w14:paraId="38E42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6F7F5E34">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37D1A3F5">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灭火方法</w:t>
            </w:r>
          </w:p>
        </w:tc>
        <w:tc>
          <w:tcPr>
            <w:tcW w:w="3949" w:type="pct"/>
            <w:gridSpan w:val="4"/>
            <w:tcBorders>
              <w:top w:val="single" w:color="auto" w:sz="4" w:space="0"/>
              <w:left w:val="single" w:color="auto" w:sz="4" w:space="0"/>
              <w:bottom w:val="single" w:color="auto" w:sz="4" w:space="0"/>
              <w:right w:val="nil"/>
            </w:tcBorders>
            <w:noWrap w:val="0"/>
            <w:vAlign w:val="center"/>
          </w:tcPr>
          <w:p w14:paraId="1186F79D">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切断气源。若不能立即切断气源，则不允许熄灭正在燃烧的气体。喷水冷却容器，可能的话将容器从火场移至空旷处。灭火剂：雾状水、泡沫、二氧化碳、干粉。</w:t>
            </w:r>
          </w:p>
        </w:tc>
      </w:tr>
      <w:tr w14:paraId="35068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4" w:space="0"/>
              <w:left w:val="nil"/>
              <w:bottom w:val="single" w:color="auto" w:sz="4" w:space="0"/>
              <w:right w:val="single" w:color="auto" w:sz="4" w:space="0"/>
            </w:tcBorders>
            <w:noWrap w:val="0"/>
            <w:vAlign w:val="center"/>
          </w:tcPr>
          <w:p w14:paraId="62C12D72">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泄漏应急处理</w:t>
            </w:r>
          </w:p>
        </w:tc>
        <w:tc>
          <w:tcPr>
            <w:tcW w:w="3949" w:type="pct"/>
            <w:gridSpan w:val="4"/>
            <w:tcBorders>
              <w:top w:val="single" w:color="auto" w:sz="4" w:space="0"/>
              <w:left w:val="single" w:color="auto" w:sz="4" w:space="0"/>
              <w:bottom w:val="single" w:color="auto" w:sz="4" w:space="0"/>
              <w:right w:val="nil"/>
            </w:tcBorders>
            <w:noWrap w:val="0"/>
            <w:vAlign w:val="center"/>
          </w:tcPr>
          <w:p w14:paraId="3D640D48">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迅速撤离泄漏污染区人员至上风处，并进行隔离，严格限制出入。切断火源。建议应急处理人员戴自给正压式呼吸器，穿消防防护服。尽可能切断泄漏源。合理通风，加速扩散。喷雾状水稀释、溶解。构筑围堤或挖坑收容产生的大量废水。如有可能，将漏出气用排风机送至空旷地方或装设适当喷头烧掉。也可以将漏气的容器移至空旷处，注意通风。漏气容器妥善处理修复检验后再用。</w:t>
            </w:r>
          </w:p>
        </w:tc>
      </w:tr>
      <w:tr w14:paraId="60C0D5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4" w:space="0"/>
              <w:left w:val="nil"/>
              <w:bottom w:val="single" w:color="auto" w:sz="4" w:space="0"/>
              <w:right w:val="single" w:color="auto" w:sz="4" w:space="0"/>
            </w:tcBorders>
            <w:noWrap w:val="0"/>
            <w:vAlign w:val="center"/>
          </w:tcPr>
          <w:p w14:paraId="6EBA9CC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储存注意事项</w:t>
            </w:r>
          </w:p>
        </w:tc>
        <w:tc>
          <w:tcPr>
            <w:tcW w:w="3949" w:type="pct"/>
            <w:gridSpan w:val="4"/>
            <w:tcBorders>
              <w:top w:val="single" w:color="auto" w:sz="4" w:space="0"/>
              <w:left w:val="single" w:color="auto" w:sz="4" w:space="0"/>
              <w:bottom w:val="single" w:color="auto" w:sz="4" w:space="0"/>
              <w:right w:val="nil"/>
            </w:tcBorders>
            <w:noWrap w:val="0"/>
            <w:vAlign w:val="center"/>
          </w:tcPr>
          <w:p w14:paraId="3433B7C0">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储存于阴凉、通风的库房。远离火种、热源。库温不宜超过30℃。应与氧化剂等分开存放。采用防爆型照明、通风设施。禁止使用易产生火花的机械设备和工具。储区应备有泄漏应急处理设备。</w:t>
            </w:r>
          </w:p>
        </w:tc>
      </w:tr>
      <w:tr w14:paraId="21742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restart"/>
            <w:tcBorders>
              <w:top w:val="single" w:color="auto" w:sz="4" w:space="0"/>
              <w:left w:val="nil"/>
              <w:bottom w:val="single" w:color="auto" w:sz="4" w:space="0"/>
              <w:right w:val="single" w:color="auto" w:sz="4" w:space="0"/>
            </w:tcBorders>
            <w:noWrap w:val="0"/>
            <w:vAlign w:val="center"/>
          </w:tcPr>
          <w:p w14:paraId="2883902E">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理化特性</w:t>
            </w:r>
          </w:p>
        </w:tc>
        <w:tc>
          <w:tcPr>
            <w:tcW w:w="780" w:type="pct"/>
            <w:tcBorders>
              <w:top w:val="single" w:color="auto" w:sz="4" w:space="0"/>
              <w:left w:val="single" w:color="auto" w:sz="4" w:space="0"/>
              <w:bottom w:val="single" w:color="auto" w:sz="4" w:space="0"/>
              <w:right w:val="single" w:color="auto" w:sz="4" w:space="0"/>
            </w:tcBorders>
            <w:noWrap w:val="0"/>
            <w:vAlign w:val="center"/>
          </w:tcPr>
          <w:p w14:paraId="1C9B0A10">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外观与性状</w:t>
            </w:r>
          </w:p>
        </w:tc>
        <w:tc>
          <w:tcPr>
            <w:tcW w:w="3949" w:type="pct"/>
            <w:gridSpan w:val="4"/>
            <w:tcBorders>
              <w:top w:val="single" w:color="auto" w:sz="4" w:space="0"/>
              <w:left w:val="single" w:color="auto" w:sz="4" w:space="0"/>
              <w:bottom w:val="single" w:color="auto" w:sz="4" w:space="0"/>
              <w:right w:val="nil"/>
            </w:tcBorders>
            <w:noWrap w:val="0"/>
            <w:vAlign w:val="center"/>
          </w:tcPr>
          <w:p w14:paraId="43B8FF3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无色无臭气体。</w:t>
            </w:r>
          </w:p>
        </w:tc>
      </w:tr>
      <w:tr w14:paraId="04A8C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5ACE1CBA">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7509A05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熔点(℃)</w:t>
            </w:r>
          </w:p>
        </w:tc>
        <w:tc>
          <w:tcPr>
            <w:tcW w:w="1516" w:type="pct"/>
            <w:tcBorders>
              <w:top w:val="single" w:color="auto" w:sz="4" w:space="0"/>
              <w:left w:val="single" w:color="auto" w:sz="4" w:space="0"/>
              <w:bottom w:val="single" w:color="auto" w:sz="4" w:space="0"/>
              <w:right w:val="single" w:color="auto" w:sz="4" w:space="0"/>
            </w:tcBorders>
            <w:noWrap w:val="0"/>
            <w:vAlign w:val="center"/>
          </w:tcPr>
          <w:p w14:paraId="52D792F8">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-182.5</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4843993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沸   点(℃)</w:t>
            </w:r>
          </w:p>
        </w:tc>
        <w:tc>
          <w:tcPr>
            <w:tcW w:w="1113" w:type="pct"/>
            <w:tcBorders>
              <w:top w:val="single" w:color="auto" w:sz="4" w:space="0"/>
              <w:left w:val="single" w:color="auto" w:sz="4" w:space="0"/>
              <w:bottom w:val="single" w:color="auto" w:sz="4" w:space="0"/>
              <w:right w:val="nil"/>
            </w:tcBorders>
            <w:noWrap w:val="0"/>
            <w:vAlign w:val="center"/>
          </w:tcPr>
          <w:p w14:paraId="21D26D36">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-161.5</w:t>
            </w:r>
          </w:p>
        </w:tc>
      </w:tr>
      <w:tr w14:paraId="3BB1E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388A4D7D">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0E6F410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闪点(℃)</w:t>
            </w:r>
          </w:p>
        </w:tc>
        <w:tc>
          <w:tcPr>
            <w:tcW w:w="1516" w:type="pct"/>
            <w:tcBorders>
              <w:top w:val="single" w:color="auto" w:sz="4" w:space="0"/>
              <w:left w:val="single" w:color="auto" w:sz="4" w:space="0"/>
              <w:bottom w:val="single" w:color="auto" w:sz="4" w:space="0"/>
              <w:right w:val="single" w:color="auto" w:sz="4" w:space="0"/>
            </w:tcBorders>
            <w:noWrap w:val="0"/>
            <w:vAlign w:val="center"/>
          </w:tcPr>
          <w:p w14:paraId="085D751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-188</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3C64A6FE">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引燃温度(℃)</w:t>
            </w:r>
          </w:p>
        </w:tc>
        <w:tc>
          <w:tcPr>
            <w:tcW w:w="1113" w:type="pct"/>
            <w:tcBorders>
              <w:top w:val="single" w:color="auto" w:sz="4" w:space="0"/>
              <w:left w:val="single" w:color="auto" w:sz="4" w:space="0"/>
              <w:bottom w:val="single" w:color="auto" w:sz="4" w:space="0"/>
              <w:right w:val="nil"/>
            </w:tcBorders>
            <w:noWrap w:val="0"/>
            <w:vAlign w:val="center"/>
          </w:tcPr>
          <w:p w14:paraId="02327F1E">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538</w:t>
            </w:r>
          </w:p>
        </w:tc>
      </w:tr>
      <w:tr w14:paraId="533B6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5E739D9C">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5D7409C3">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爆炸上限%(V/V)</w:t>
            </w:r>
          </w:p>
        </w:tc>
        <w:tc>
          <w:tcPr>
            <w:tcW w:w="1516" w:type="pct"/>
            <w:tcBorders>
              <w:top w:val="single" w:color="auto" w:sz="4" w:space="0"/>
              <w:left w:val="single" w:color="auto" w:sz="4" w:space="0"/>
              <w:bottom w:val="single" w:color="auto" w:sz="4" w:space="0"/>
              <w:right w:val="single" w:color="auto" w:sz="4" w:space="0"/>
            </w:tcBorders>
            <w:noWrap w:val="0"/>
            <w:vAlign w:val="center"/>
          </w:tcPr>
          <w:p w14:paraId="2CA384D7">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3F42B278">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爆炸下限%(V/V)</w:t>
            </w:r>
          </w:p>
        </w:tc>
        <w:tc>
          <w:tcPr>
            <w:tcW w:w="1113" w:type="pct"/>
            <w:tcBorders>
              <w:top w:val="single" w:color="auto" w:sz="4" w:space="0"/>
              <w:left w:val="single" w:color="auto" w:sz="4" w:space="0"/>
              <w:bottom w:val="single" w:color="auto" w:sz="4" w:space="0"/>
              <w:right w:val="nil"/>
            </w:tcBorders>
            <w:noWrap w:val="0"/>
            <w:vAlign w:val="center"/>
          </w:tcPr>
          <w:p w14:paraId="3409889C">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5.3</w:t>
            </w:r>
          </w:p>
        </w:tc>
      </w:tr>
      <w:tr w14:paraId="364FC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4" w:space="0"/>
              <w:left w:val="nil"/>
              <w:bottom w:val="single" w:color="auto" w:sz="12" w:space="0"/>
              <w:right w:val="single" w:color="auto" w:sz="4" w:space="0"/>
            </w:tcBorders>
            <w:noWrap w:val="0"/>
            <w:vAlign w:val="center"/>
          </w:tcPr>
          <w:p w14:paraId="3EA0717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毒理学资料</w:t>
            </w:r>
          </w:p>
        </w:tc>
        <w:tc>
          <w:tcPr>
            <w:tcW w:w="3949" w:type="pct"/>
            <w:gridSpan w:val="4"/>
            <w:tcBorders>
              <w:top w:val="single" w:color="auto" w:sz="4" w:space="0"/>
              <w:left w:val="single" w:color="auto" w:sz="4" w:space="0"/>
              <w:bottom w:val="single" w:color="auto" w:sz="12" w:space="0"/>
              <w:right w:val="nil"/>
            </w:tcBorders>
            <w:noWrap w:val="0"/>
            <w:vAlign w:val="center"/>
          </w:tcPr>
          <w:p w14:paraId="7325690F">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LD</w:t>
            </w:r>
            <w:r>
              <w:rPr>
                <w:rFonts w:hint="default" w:ascii="Times New Roman" w:hAnsi="Times New Roman" w:cs="Times New Roman"/>
                <w:color w:val="auto"/>
                <w:sz w:val="21"/>
                <w:szCs w:val="21"/>
                <w:highlight w:val="none"/>
                <w:vertAlign w:val="subscript"/>
              </w:rPr>
              <w:t>50</w:t>
            </w:r>
            <w:r>
              <w:rPr>
                <w:rFonts w:hint="default" w:ascii="Times New Roman" w:hAnsi="Times New Roman" w:cs="Times New Roman"/>
                <w:color w:val="auto"/>
                <w:sz w:val="21"/>
                <w:szCs w:val="21"/>
                <w:highlight w:val="none"/>
              </w:rPr>
              <w:t>：无资料；LC</w:t>
            </w:r>
            <w:r>
              <w:rPr>
                <w:rFonts w:hint="default" w:ascii="Times New Roman" w:hAnsi="Times New Roman" w:cs="Times New Roman"/>
                <w:color w:val="auto"/>
                <w:sz w:val="21"/>
                <w:szCs w:val="21"/>
                <w:highlight w:val="none"/>
                <w:vertAlign w:val="subscript"/>
              </w:rPr>
              <w:t>50</w:t>
            </w:r>
            <w:r>
              <w:rPr>
                <w:rFonts w:hint="default" w:ascii="Times New Roman" w:hAnsi="Times New Roman" w:cs="Times New Roman"/>
                <w:color w:val="auto"/>
                <w:sz w:val="21"/>
                <w:szCs w:val="21"/>
                <w:highlight w:val="none"/>
              </w:rPr>
              <w:t>：无资料</w:t>
            </w:r>
          </w:p>
        </w:tc>
      </w:tr>
    </w:tbl>
    <w:p w14:paraId="1FFC22AA">
      <w:pPr>
        <w:pStyle w:val="8"/>
        <w:bidi w:val="0"/>
        <w:rPr>
          <w:rFonts w:hint="default"/>
          <w:highlight w:val="none"/>
        </w:rPr>
      </w:pPr>
      <w:r>
        <w:rPr>
          <w:rFonts w:hint="default"/>
          <w:highlight w:val="none"/>
        </w:rPr>
        <w:t>5.2.8.2 风险潜势初判</w:t>
      </w:r>
    </w:p>
    <w:p w14:paraId="0AD95947">
      <w:pPr>
        <w:pStyle w:val="2"/>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根据《建设项目环境风险评价技术导则》（HJ169-2018）中的附录B中确定危险物质及工艺系统危险性（P）等级进行判定。本项目危险物质</w:t>
      </w:r>
      <w:r>
        <w:rPr>
          <w:rFonts w:hint="default" w:ascii="Times New Roman" w:hAnsi="Times New Roman" w:cs="Times New Roman"/>
          <w:color w:val="auto"/>
          <w:highlight w:val="none"/>
          <w:lang w:val="en-US" w:eastAsia="zh-CN"/>
        </w:rPr>
        <w:t>甲烷</w:t>
      </w:r>
      <w:r>
        <w:rPr>
          <w:rFonts w:hint="default" w:ascii="Times New Roman" w:hAnsi="Times New Roman" w:cs="Times New Roman"/>
          <w:color w:val="auto"/>
          <w:highlight w:val="none"/>
        </w:rPr>
        <w:t>临界量为10t，本项目黑膜厌氧池中甲烷最大暂存量为</w:t>
      </w:r>
      <w:r>
        <w:rPr>
          <w:rFonts w:hint="eastAsia" w:ascii="Times New Roman" w:cs="Times New Roman"/>
          <w:color w:val="auto"/>
          <w:highlight w:val="none"/>
          <w:lang w:val="en-US" w:eastAsia="zh-CN"/>
        </w:rPr>
        <w:t>0.000055735</w:t>
      </w:r>
      <w:r>
        <w:rPr>
          <w:rFonts w:hint="default" w:ascii="Times New Roman" w:hAnsi="Times New Roman" w:cs="Times New Roman"/>
          <w:color w:val="auto"/>
          <w:highlight w:val="none"/>
        </w:rPr>
        <w:t>t。</w:t>
      </w:r>
    </w:p>
    <w:p w14:paraId="411F19EF">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计算所涉及的每种危险物质在厂界内的最大存在总量与其在附录B中对应临界量的比值，当只涉及一种危险物质时，计算该物质的总量与其临界量比值，即为Q；</w:t>
      </w:r>
    </w:p>
    <w:p w14:paraId="249158E3">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当Q＜1时，该项目环境风险潜势为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14:paraId="3A0EF356">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4</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危险物质数量与临界量</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9"/>
        <w:gridCol w:w="1296"/>
        <w:gridCol w:w="1108"/>
        <w:gridCol w:w="1131"/>
        <w:gridCol w:w="1362"/>
        <w:gridCol w:w="1393"/>
        <w:gridCol w:w="1627"/>
      </w:tblGrid>
      <w:tr w14:paraId="717309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9" w:type="dxa"/>
            <w:noWrap w:val="0"/>
            <w:vAlign w:val="center"/>
          </w:tcPr>
          <w:p w14:paraId="64F9E864">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序号</w:t>
            </w:r>
          </w:p>
        </w:tc>
        <w:tc>
          <w:tcPr>
            <w:tcW w:w="1296" w:type="dxa"/>
            <w:noWrap w:val="0"/>
            <w:vAlign w:val="center"/>
          </w:tcPr>
          <w:p w14:paraId="21E060A9">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装置</w:t>
            </w:r>
          </w:p>
        </w:tc>
        <w:tc>
          <w:tcPr>
            <w:tcW w:w="1108" w:type="dxa"/>
            <w:noWrap w:val="0"/>
            <w:vAlign w:val="center"/>
          </w:tcPr>
          <w:p w14:paraId="0CD6314B">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危险物质名称</w:t>
            </w:r>
          </w:p>
        </w:tc>
        <w:tc>
          <w:tcPr>
            <w:tcW w:w="1131" w:type="dxa"/>
            <w:noWrap w:val="0"/>
            <w:vAlign w:val="center"/>
          </w:tcPr>
          <w:p w14:paraId="48D579F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CAS号</w:t>
            </w:r>
          </w:p>
        </w:tc>
        <w:tc>
          <w:tcPr>
            <w:tcW w:w="1362" w:type="dxa"/>
            <w:noWrap w:val="0"/>
            <w:vAlign w:val="center"/>
          </w:tcPr>
          <w:p w14:paraId="0B091D3F">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最大存在总量q</w:t>
            </w:r>
            <w:r>
              <w:rPr>
                <w:rFonts w:hint="default" w:ascii="Times New Roman" w:hAnsi="Times New Roman" w:cs="Times New Roman"/>
                <w:b w:val="0"/>
                <w:bCs w:val="0"/>
                <w:color w:val="auto"/>
                <w:sz w:val="21"/>
                <w:szCs w:val="21"/>
                <w:highlight w:val="none"/>
                <w:vertAlign w:val="subscript"/>
              </w:rPr>
              <w:t>n</w:t>
            </w:r>
            <w:r>
              <w:rPr>
                <w:rFonts w:hint="default" w:ascii="Times New Roman" w:hAnsi="Times New Roman" w:cs="Times New Roman"/>
                <w:b w:val="0"/>
                <w:bCs w:val="0"/>
                <w:color w:val="auto"/>
                <w:sz w:val="21"/>
                <w:szCs w:val="21"/>
                <w:highlight w:val="none"/>
              </w:rPr>
              <w:t>/t</w:t>
            </w:r>
          </w:p>
        </w:tc>
        <w:tc>
          <w:tcPr>
            <w:tcW w:w="1393" w:type="dxa"/>
            <w:noWrap w:val="0"/>
            <w:vAlign w:val="center"/>
          </w:tcPr>
          <w:p w14:paraId="5B7C2A32">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临界量Q</w:t>
            </w:r>
            <w:r>
              <w:rPr>
                <w:rFonts w:hint="default" w:ascii="Times New Roman" w:hAnsi="Times New Roman" w:cs="Times New Roman"/>
                <w:b w:val="0"/>
                <w:bCs w:val="0"/>
                <w:color w:val="auto"/>
                <w:sz w:val="21"/>
                <w:szCs w:val="21"/>
                <w:highlight w:val="none"/>
                <w:vertAlign w:val="subscript"/>
              </w:rPr>
              <w:t>n</w:t>
            </w:r>
            <w:r>
              <w:rPr>
                <w:rFonts w:hint="default" w:ascii="Times New Roman" w:hAnsi="Times New Roman" w:cs="Times New Roman"/>
                <w:b w:val="0"/>
                <w:bCs w:val="0"/>
                <w:color w:val="auto"/>
                <w:sz w:val="21"/>
                <w:szCs w:val="21"/>
                <w:highlight w:val="none"/>
              </w:rPr>
              <w:t>/t</w:t>
            </w:r>
          </w:p>
        </w:tc>
        <w:tc>
          <w:tcPr>
            <w:tcW w:w="1627" w:type="dxa"/>
            <w:noWrap w:val="0"/>
            <w:vAlign w:val="center"/>
          </w:tcPr>
          <w:p w14:paraId="4C32E245">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该种危险物质Q值</w:t>
            </w:r>
          </w:p>
        </w:tc>
      </w:tr>
      <w:tr w14:paraId="134F58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9" w:type="dxa"/>
            <w:noWrap w:val="0"/>
            <w:vAlign w:val="center"/>
          </w:tcPr>
          <w:p w14:paraId="44E4851D">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w:t>
            </w:r>
          </w:p>
        </w:tc>
        <w:tc>
          <w:tcPr>
            <w:tcW w:w="1296" w:type="dxa"/>
            <w:noWrap w:val="0"/>
            <w:vAlign w:val="center"/>
          </w:tcPr>
          <w:p w14:paraId="398B0A2E">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沼气燃烧火炬管道</w:t>
            </w:r>
          </w:p>
        </w:tc>
        <w:tc>
          <w:tcPr>
            <w:tcW w:w="1108" w:type="dxa"/>
            <w:noWrap w:val="0"/>
            <w:vAlign w:val="center"/>
          </w:tcPr>
          <w:p w14:paraId="5E4C5EB9">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甲烷</w:t>
            </w:r>
          </w:p>
        </w:tc>
        <w:tc>
          <w:tcPr>
            <w:tcW w:w="1131" w:type="dxa"/>
            <w:noWrap w:val="0"/>
            <w:vAlign w:val="center"/>
          </w:tcPr>
          <w:p w14:paraId="3D7936BE">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74-82-8</w:t>
            </w:r>
          </w:p>
        </w:tc>
        <w:tc>
          <w:tcPr>
            <w:tcW w:w="1362" w:type="dxa"/>
            <w:noWrap w:val="0"/>
            <w:vAlign w:val="center"/>
          </w:tcPr>
          <w:p w14:paraId="6A89ECAD">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0.000055735</w:t>
            </w:r>
          </w:p>
        </w:tc>
        <w:tc>
          <w:tcPr>
            <w:tcW w:w="1393" w:type="dxa"/>
            <w:noWrap w:val="0"/>
            <w:vAlign w:val="center"/>
          </w:tcPr>
          <w:p w14:paraId="3CA89055">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10</w:t>
            </w:r>
          </w:p>
        </w:tc>
        <w:tc>
          <w:tcPr>
            <w:tcW w:w="1627" w:type="dxa"/>
            <w:noWrap w:val="0"/>
            <w:vAlign w:val="center"/>
          </w:tcPr>
          <w:p w14:paraId="14422E43">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0.0000055735</w:t>
            </w:r>
          </w:p>
        </w:tc>
      </w:tr>
      <w:tr w14:paraId="3B6EB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496" w:type="dxa"/>
            <w:gridSpan w:val="5"/>
            <w:noWrap w:val="0"/>
            <w:vAlign w:val="center"/>
          </w:tcPr>
          <w:p w14:paraId="2459EF32">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项目Q值∑</w:t>
            </w:r>
          </w:p>
        </w:tc>
        <w:tc>
          <w:tcPr>
            <w:tcW w:w="1393" w:type="dxa"/>
            <w:noWrap w:val="0"/>
            <w:vAlign w:val="center"/>
          </w:tcPr>
          <w:p w14:paraId="3B1BE248">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w:t>
            </w:r>
          </w:p>
        </w:tc>
        <w:tc>
          <w:tcPr>
            <w:tcW w:w="1627" w:type="dxa"/>
            <w:noWrap w:val="0"/>
            <w:vAlign w:val="center"/>
          </w:tcPr>
          <w:p w14:paraId="327B76B4">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0.0000055735</w:t>
            </w:r>
          </w:p>
        </w:tc>
      </w:tr>
    </w:tbl>
    <w:p w14:paraId="1317044B">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本项目危险物质数量和临界量比值Q＜1，本项目环境风险潜势为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14:paraId="32CE25A1">
      <w:pPr>
        <w:pStyle w:val="8"/>
        <w:bidi w:val="0"/>
        <w:rPr>
          <w:rFonts w:hint="default"/>
          <w:highlight w:val="none"/>
        </w:rPr>
      </w:pPr>
      <w:bookmarkStart w:id="803" w:name="_Toc26271"/>
      <w:bookmarkStart w:id="804" w:name="_Toc17384"/>
      <w:bookmarkStart w:id="805" w:name="_Toc17908"/>
      <w:bookmarkStart w:id="806" w:name="_Toc6925"/>
      <w:bookmarkStart w:id="807" w:name="_Toc32572"/>
      <w:r>
        <w:rPr>
          <w:rFonts w:hint="default"/>
          <w:highlight w:val="none"/>
        </w:rPr>
        <w:t>5.2.8.3评价等级</w:t>
      </w:r>
      <w:bookmarkEnd w:id="803"/>
      <w:bookmarkEnd w:id="804"/>
      <w:bookmarkEnd w:id="805"/>
      <w:bookmarkEnd w:id="806"/>
      <w:bookmarkEnd w:id="807"/>
    </w:p>
    <w:p w14:paraId="39E1F712">
      <w:pPr>
        <w:spacing w:line="440" w:lineRule="exact"/>
        <w:ind w:left="48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根据风险潜势进行评价工作等级的划分为简单分析。</w:t>
      </w:r>
    </w:p>
    <w:p w14:paraId="6A2B71E8">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评价工作等级划分</w:t>
      </w:r>
    </w:p>
    <w:tbl>
      <w:tblPr>
        <w:tblStyle w:val="48"/>
        <w:tblW w:w="5000"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670"/>
        <w:gridCol w:w="1671"/>
        <w:gridCol w:w="1671"/>
        <w:gridCol w:w="1673"/>
        <w:gridCol w:w="1671"/>
      </w:tblGrid>
      <w:tr w14:paraId="0CFEF7C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999" w:type="pct"/>
            <w:noWrap w:val="0"/>
            <w:vAlign w:val="center"/>
          </w:tcPr>
          <w:p w14:paraId="4448FF0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环境风险潜势</w:t>
            </w:r>
          </w:p>
        </w:tc>
        <w:tc>
          <w:tcPr>
            <w:tcW w:w="1000" w:type="pct"/>
            <w:noWrap w:val="0"/>
            <w:vAlign w:val="center"/>
          </w:tcPr>
          <w:p w14:paraId="1769CCA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4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IV</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4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IV</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vertAlign w:val="superscript"/>
              </w:rPr>
              <w:t>+</w:t>
            </w:r>
          </w:p>
        </w:tc>
        <w:tc>
          <w:tcPr>
            <w:tcW w:w="1000" w:type="pct"/>
            <w:noWrap w:val="0"/>
            <w:vAlign w:val="center"/>
          </w:tcPr>
          <w:p w14:paraId="014A1CA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3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III</w:t>
            </w:r>
            <w:r>
              <w:rPr>
                <w:rFonts w:hint="default" w:ascii="Times New Roman" w:hAnsi="Times New Roman" w:cs="Times New Roman"/>
                <w:color w:val="auto"/>
                <w:sz w:val="21"/>
                <w:szCs w:val="21"/>
                <w:highlight w:val="none"/>
              </w:rPr>
              <w:fldChar w:fldCharType="end"/>
            </w:r>
          </w:p>
        </w:tc>
        <w:tc>
          <w:tcPr>
            <w:tcW w:w="1001" w:type="pct"/>
            <w:noWrap w:val="0"/>
            <w:vAlign w:val="center"/>
          </w:tcPr>
          <w:p w14:paraId="47B0E9F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2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II</w:t>
            </w:r>
            <w:r>
              <w:rPr>
                <w:rFonts w:hint="default" w:ascii="Times New Roman" w:hAnsi="Times New Roman" w:cs="Times New Roman"/>
                <w:color w:val="auto"/>
                <w:sz w:val="21"/>
                <w:szCs w:val="21"/>
                <w:highlight w:val="none"/>
              </w:rPr>
              <w:fldChar w:fldCharType="end"/>
            </w:r>
          </w:p>
        </w:tc>
        <w:tc>
          <w:tcPr>
            <w:tcW w:w="1000" w:type="pct"/>
            <w:noWrap w:val="0"/>
            <w:vAlign w:val="center"/>
          </w:tcPr>
          <w:p w14:paraId="443310A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1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w:t>
            </w:r>
            <w:r>
              <w:rPr>
                <w:rFonts w:hint="default" w:ascii="Times New Roman" w:hAnsi="Times New Roman" w:cs="Times New Roman"/>
                <w:color w:val="auto"/>
                <w:sz w:val="21"/>
                <w:szCs w:val="21"/>
                <w:highlight w:val="none"/>
              </w:rPr>
              <w:fldChar w:fldCharType="end"/>
            </w:r>
          </w:p>
        </w:tc>
      </w:tr>
      <w:tr w14:paraId="42FD2211">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999" w:type="pct"/>
            <w:noWrap w:val="0"/>
            <w:vAlign w:val="center"/>
          </w:tcPr>
          <w:p w14:paraId="1E4E803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评价工作等级</w:t>
            </w:r>
          </w:p>
        </w:tc>
        <w:tc>
          <w:tcPr>
            <w:tcW w:w="1000" w:type="pct"/>
            <w:noWrap w:val="0"/>
            <w:vAlign w:val="center"/>
          </w:tcPr>
          <w:p w14:paraId="76E498B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w:t>
            </w:r>
          </w:p>
        </w:tc>
        <w:tc>
          <w:tcPr>
            <w:tcW w:w="1000" w:type="pct"/>
            <w:noWrap w:val="0"/>
            <w:vAlign w:val="center"/>
          </w:tcPr>
          <w:p w14:paraId="4381497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w:t>
            </w:r>
          </w:p>
        </w:tc>
        <w:tc>
          <w:tcPr>
            <w:tcW w:w="1001" w:type="pct"/>
            <w:noWrap w:val="0"/>
            <w:vAlign w:val="center"/>
          </w:tcPr>
          <w:p w14:paraId="6105FC7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三</w:t>
            </w:r>
          </w:p>
        </w:tc>
        <w:tc>
          <w:tcPr>
            <w:tcW w:w="1000" w:type="pct"/>
            <w:noWrap w:val="0"/>
            <w:vAlign w:val="center"/>
          </w:tcPr>
          <w:p w14:paraId="1B05AB3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简单分析</w:t>
            </w:r>
            <w:r>
              <w:rPr>
                <w:rFonts w:hint="default" w:ascii="Times New Roman" w:hAnsi="Times New Roman" w:cs="Times New Roman"/>
                <w:color w:val="auto"/>
                <w:sz w:val="21"/>
                <w:szCs w:val="21"/>
                <w:highlight w:val="none"/>
                <w:vertAlign w:val="superscript"/>
              </w:rPr>
              <w:t>a</w:t>
            </w:r>
          </w:p>
        </w:tc>
      </w:tr>
      <w:tr w14:paraId="0A930B4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5000" w:type="pct"/>
            <w:gridSpan w:val="5"/>
            <w:noWrap w:val="0"/>
            <w:vAlign w:val="center"/>
          </w:tcPr>
          <w:p w14:paraId="7F224F6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vertAlign w:val="superscript"/>
              </w:rPr>
              <w:t>a</w:t>
            </w:r>
            <w:r>
              <w:rPr>
                <w:rFonts w:hint="default" w:ascii="Times New Roman" w:hAnsi="Times New Roman" w:cs="Times New Roman"/>
                <w:color w:val="auto"/>
                <w:sz w:val="21"/>
                <w:szCs w:val="21"/>
                <w:highlight w:val="none"/>
              </w:rPr>
              <w:t>是相对于详细评价工作内容而言，在描述为危险物质、环境影响途径、环境危害后果、风险防范措施等方面给出定性的说明。</w:t>
            </w:r>
          </w:p>
        </w:tc>
      </w:tr>
    </w:tbl>
    <w:p w14:paraId="51BB20AD">
      <w:pPr>
        <w:pStyle w:val="8"/>
        <w:bidi w:val="0"/>
        <w:rPr>
          <w:rFonts w:hint="default" w:ascii="Times New Roman" w:hAnsi="Times New Roman" w:eastAsia="宋体"/>
          <w:highlight w:val="none"/>
        </w:rPr>
      </w:pPr>
      <w:bookmarkStart w:id="808" w:name="_Toc5812"/>
      <w:bookmarkStart w:id="809" w:name="_Toc14856"/>
      <w:bookmarkStart w:id="810" w:name="_Toc18506"/>
      <w:bookmarkStart w:id="811" w:name="_Toc18223"/>
      <w:bookmarkStart w:id="812" w:name="_Toc29376"/>
      <w:r>
        <w:rPr>
          <w:rFonts w:hint="default" w:ascii="Times New Roman" w:hAnsi="Times New Roman" w:eastAsia="宋体"/>
          <w:highlight w:val="none"/>
        </w:rPr>
        <w:t>5.2.8.4环境敏感目标调查</w:t>
      </w:r>
      <w:bookmarkEnd w:id="808"/>
      <w:bookmarkEnd w:id="809"/>
      <w:bookmarkEnd w:id="810"/>
      <w:bookmarkEnd w:id="811"/>
      <w:bookmarkEnd w:id="812"/>
    </w:p>
    <w:p w14:paraId="656F5331">
      <w:pPr>
        <w:pStyle w:val="2"/>
        <w:spacing w:line="440" w:lineRule="exact"/>
        <w:ind w:firstLine="480" w:firstLineChars="200"/>
        <w:rPr>
          <w:rFonts w:hint="default" w:ascii="Times New Roman" w:hAnsi="Times New Roman" w:eastAsia="宋体" w:cs="Times New Roman"/>
          <w:color w:val="auto"/>
          <w:kern w:val="0"/>
          <w:sz w:val="24"/>
          <w:szCs w:val="24"/>
          <w:highlight w:val="none"/>
          <w:lang w:val="en-US" w:eastAsia="zh-CN" w:bidi="zh-CN"/>
        </w:rPr>
      </w:pPr>
      <w:bookmarkStart w:id="813" w:name="_Toc20954"/>
      <w:bookmarkStart w:id="814" w:name="_Toc20476106"/>
      <w:r>
        <w:rPr>
          <w:rFonts w:hint="default" w:ascii="Times New Roman" w:hAnsi="Times New Roman" w:eastAsia="宋体" w:cs="Times New Roman"/>
          <w:color w:val="auto"/>
          <w:kern w:val="0"/>
          <w:sz w:val="24"/>
          <w:szCs w:val="24"/>
          <w:highlight w:val="none"/>
          <w:lang w:val="en-US" w:eastAsia="zh-CN" w:bidi="zh-CN"/>
        </w:rPr>
        <w:t>本项目位于</w:t>
      </w:r>
      <w:r>
        <w:rPr>
          <w:rFonts w:hint="eastAsia" w:ascii="Times New Roman" w:cs="Times New Roman"/>
          <w:color w:val="auto"/>
          <w:kern w:val="0"/>
          <w:sz w:val="24"/>
          <w:szCs w:val="24"/>
          <w:highlight w:val="none"/>
          <w:lang w:val="en-US" w:eastAsia="zh-CN" w:bidi="zh-CN"/>
        </w:rPr>
        <w:t>黑龙江省鸡西市密山市柳毛乡团结村4组</w:t>
      </w:r>
      <w:r>
        <w:rPr>
          <w:rFonts w:hint="default" w:ascii="Times New Roman" w:hAnsi="Times New Roman" w:eastAsia="宋体" w:cs="Times New Roman"/>
          <w:color w:val="auto"/>
          <w:kern w:val="0"/>
          <w:sz w:val="24"/>
          <w:szCs w:val="24"/>
          <w:highlight w:val="none"/>
          <w:lang w:val="en-US" w:eastAsia="zh-CN" w:bidi="zh-CN"/>
        </w:rPr>
        <w:t>，项目四周均为</w:t>
      </w:r>
      <w:r>
        <w:rPr>
          <w:rFonts w:hint="eastAsia" w:ascii="Times New Roman" w:cs="Times New Roman"/>
          <w:color w:val="auto"/>
          <w:kern w:val="0"/>
          <w:sz w:val="24"/>
          <w:szCs w:val="24"/>
          <w:highlight w:val="none"/>
          <w:lang w:val="en-US" w:eastAsia="zh-CN" w:bidi="zh-CN"/>
        </w:rPr>
        <w:t>农田</w:t>
      </w:r>
      <w:r>
        <w:rPr>
          <w:rFonts w:hint="default" w:ascii="Times New Roman" w:hAnsi="Times New Roman" w:eastAsia="宋体" w:cs="Times New Roman"/>
          <w:color w:val="auto"/>
          <w:kern w:val="0"/>
          <w:sz w:val="24"/>
          <w:szCs w:val="24"/>
          <w:highlight w:val="none"/>
          <w:lang w:val="en-US" w:eastAsia="zh-CN" w:bidi="zh-CN"/>
        </w:rPr>
        <w:t>。项目场区外距离最近居民区为东南侧578m处的团结村四组。本项目周边500m范围内无居民等敏感目标。</w:t>
      </w:r>
      <w:bookmarkEnd w:id="813"/>
      <w:bookmarkEnd w:id="814"/>
    </w:p>
    <w:p w14:paraId="3DA12C89">
      <w:pPr>
        <w:pStyle w:val="8"/>
        <w:bidi w:val="0"/>
        <w:rPr>
          <w:rFonts w:hint="default" w:ascii="Times New Roman" w:hAnsi="Times New Roman" w:eastAsia="宋体"/>
          <w:highlight w:val="none"/>
        </w:rPr>
      </w:pPr>
      <w:bookmarkStart w:id="815" w:name="_Toc13921"/>
      <w:bookmarkStart w:id="816" w:name="_Toc32745"/>
      <w:bookmarkStart w:id="817" w:name="_Toc16055"/>
      <w:bookmarkStart w:id="818" w:name="_Toc7721"/>
      <w:bookmarkStart w:id="819" w:name="_Toc25252"/>
      <w:r>
        <w:rPr>
          <w:rFonts w:hint="default" w:ascii="Times New Roman" w:hAnsi="Times New Roman" w:eastAsia="宋体"/>
          <w:highlight w:val="none"/>
        </w:rPr>
        <w:t>5.2.8.5环境风险识别</w:t>
      </w:r>
      <w:bookmarkEnd w:id="815"/>
      <w:bookmarkEnd w:id="816"/>
      <w:bookmarkEnd w:id="817"/>
      <w:bookmarkEnd w:id="818"/>
      <w:bookmarkEnd w:id="819"/>
    </w:p>
    <w:p w14:paraId="5B576DDC">
      <w:pPr>
        <w:spacing w:line="440" w:lineRule="exact"/>
        <w:ind w:firstLine="480" w:firstLineChars="200"/>
        <w:rPr>
          <w:rFonts w:hint="default" w:ascii="Times New Roman" w:hAnsi="Times New Roman" w:cs="Times New Roman"/>
          <w:color w:val="auto"/>
          <w:highlight w:val="none"/>
        </w:rPr>
      </w:pPr>
      <w:bookmarkStart w:id="820" w:name="_Toc20476107"/>
      <w:bookmarkStart w:id="821" w:name="_Toc13367"/>
      <w:r>
        <w:rPr>
          <w:rFonts w:hint="default" w:ascii="Times New Roman" w:hAnsi="Times New Roman" w:cs="Times New Roman"/>
          <w:color w:val="auto"/>
          <w:highlight w:val="none"/>
        </w:rPr>
        <w:t>1、物质危险性</w:t>
      </w:r>
      <w:bookmarkEnd w:id="820"/>
      <w:bookmarkEnd w:id="821"/>
    </w:p>
    <w:p w14:paraId="22D9F998">
      <w:pPr>
        <w:tabs>
          <w:tab w:val="left" w:pos="2340"/>
        </w:tabs>
        <w:autoSpaceDE w:val="0"/>
        <w:autoSpaceDN w:val="0"/>
        <w:adjustRightInd w:val="0"/>
        <w:snapToGrid w:val="0"/>
        <w:spacing w:line="440" w:lineRule="exact"/>
        <w:ind w:firstLine="482"/>
        <w:rPr>
          <w:rFonts w:hint="default" w:ascii="Times New Roman" w:hAnsi="Times New Roman" w:cs="Times New Roman"/>
          <w:color w:val="auto"/>
          <w:highlight w:val="none"/>
          <w:lang w:bidi="zh-CN"/>
        </w:rPr>
      </w:pPr>
      <w:r>
        <w:rPr>
          <w:rFonts w:hint="default" w:ascii="Times New Roman" w:hAnsi="Times New Roman" w:cs="Times New Roman"/>
          <w:color w:val="auto"/>
          <w:highlight w:val="none"/>
          <w:lang w:bidi="zh-CN"/>
        </w:rPr>
        <w:t>本项目涉及的主要风险物质是易燃易爆的沼气。</w:t>
      </w:r>
    </w:p>
    <w:p w14:paraId="3533030F">
      <w:pPr>
        <w:spacing w:line="440" w:lineRule="exact"/>
        <w:ind w:firstLine="480" w:firstLineChars="200"/>
        <w:rPr>
          <w:rFonts w:hint="default" w:ascii="Times New Roman" w:hAnsi="Times New Roman" w:cs="Times New Roman"/>
          <w:color w:val="auto"/>
          <w:highlight w:val="none"/>
        </w:rPr>
      </w:pPr>
      <w:bookmarkStart w:id="822" w:name="_Toc12003"/>
      <w:bookmarkStart w:id="823" w:name="_Toc20476108"/>
      <w:r>
        <w:rPr>
          <w:rFonts w:hint="default" w:ascii="Times New Roman" w:hAnsi="Times New Roman" w:cs="Times New Roman"/>
          <w:color w:val="auto"/>
          <w:highlight w:val="none"/>
        </w:rPr>
        <w:t>2、生产系统危险性识别</w:t>
      </w:r>
      <w:bookmarkEnd w:id="822"/>
      <w:bookmarkEnd w:id="823"/>
    </w:p>
    <w:p w14:paraId="42F3AB01">
      <w:pPr>
        <w:adjustRightInd w:val="0"/>
        <w:snapToGrid w:val="0"/>
        <w:spacing w:line="440" w:lineRule="exact"/>
        <w:ind w:firstLine="480" w:firstLineChars="200"/>
        <w:rPr>
          <w:rFonts w:hint="default" w:ascii="Times New Roman" w:hAnsi="Times New Roman" w:cs="Times New Roman"/>
          <w:color w:val="auto"/>
          <w:highlight w:val="none"/>
          <w:lang w:bidi="zh-CN"/>
        </w:rPr>
      </w:pPr>
      <w:r>
        <w:rPr>
          <w:rFonts w:hint="default" w:ascii="Times New Roman" w:hAnsi="Times New Roman" w:cs="Times New Roman"/>
          <w:color w:val="auto"/>
          <w:highlight w:val="none"/>
          <w:lang w:bidi="zh-CN"/>
        </w:rPr>
        <w:t>本项目生产设施风险识别情况见</w:t>
      </w:r>
      <w:r>
        <w:rPr>
          <w:rFonts w:hint="default" w:ascii="Times New Roman" w:hAnsi="Times New Roman" w:cs="Times New Roman"/>
          <w:color w:val="auto"/>
          <w:highlight w:val="none"/>
          <w:lang w:val="en-US" w:bidi="zh-CN"/>
        </w:rPr>
        <w:t>下</w:t>
      </w:r>
      <w:r>
        <w:rPr>
          <w:rFonts w:hint="default" w:ascii="Times New Roman" w:hAnsi="Times New Roman" w:cs="Times New Roman"/>
          <w:color w:val="auto"/>
          <w:highlight w:val="none"/>
          <w:lang w:bidi="zh-CN"/>
        </w:rPr>
        <w:t>表。</w:t>
      </w:r>
    </w:p>
    <w:p w14:paraId="16E1AE3A">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生产设施风险识别情况一览表</w:t>
      </w:r>
    </w:p>
    <w:tbl>
      <w:tblPr>
        <w:tblStyle w:val="48"/>
        <w:tblW w:w="5000"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43"/>
        <w:gridCol w:w="1475"/>
        <w:gridCol w:w="1608"/>
        <w:gridCol w:w="3830"/>
      </w:tblGrid>
      <w:tr w14:paraId="0A885288">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772" w:hRule="atLeast"/>
        </w:trPr>
        <w:tc>
          <w:tcPr>
            <w:tcW w:w="863" w:type="pct"/>
            <w:noWrap w:val="0"/>
            <w:vAlign w:val="center"/>
          </w:tcPr>
          <w:p w14:paraId="66DAB4F0">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主要危险单元</w:t>
            </w:r>
          </w:p>
        </w:tc>
        <w:tc>
          <w:tcPr>
            <w:tcW w:w="882" w:type="pct"/>
            <w:noWrap w:val="0"/>
            <w:vAlign w:val="center"/>
          </w:tcPr>
          <w:p w14:paraId="477338A7">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主要危险物质</w:t>
            </w:r>
          </w:p>
        </w:tc>
        <w:tc>
          <w:tcPr>
            <w:tcW w:w="962" w:type="pct"/>
            <w:noWrap w:val="0"/>
            <w:vAlign w:val="center"/>
          </w:tcPr>
          <w:p w14:paraId="5259591F">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危险识别</w:t>
            </w:r>
          </w:p>
        </w:tc>
        <w:tc>
          <w:tcPr>
            <w:tcW w:w="2291" w:type="pct"/>
            <w:noWrap w:val="0"/>
            <w:vAlign w:val="center"/>
          </w:tcPr>
          <w:p w14:paraId="06AFFD06">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危险性分析</w:t>
            </w:r>
          </w:p>
        </w:tc>
      </w:tr>
      <w:tr w14:paraId="7CB42FCC">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43" w:hRule="atLeast"/>
        </w:trPr>
        <w:tc>
          <w:tcPr>
            <w:tcW w:w="863" w:type="pct"/>
            <w:noWrap w:val="0"/>
            <w:vAlign w:val="center"/>
          </w:tcPr>
          <w:p w14:paraId="7CFD59F7">
            <w:pPr>
              <w:pStyle w:val="414"/>
              <w:adjustRightInd w:val="0"/>
              <w:snapToGrid w:val="0"/>
              <w:jc w:val="center"/>
              <w:rPr>
                <w:rFonts w:hint="default" w:ascii="Times New Roman" w:hAnsi="Times New Roman"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lang w:eastAsia="zh-CN"/>
              </w:rPr>
              <w:t>沼气燃烧火炬管道</w:t>
            </w:r>
          </w:p>
        </w:tc>
        <w:tc>
          <w:tcPr>
            <w:tcW w:w="882" w:type="pct"/>
            <w:noWrap w:val="0"/>
            <w:vAlign w:val="center"/>
          </w:tcPr>
          <w:p w14:paraId="1BC5A02A">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沼气</w:t>
            </w:r>
          </w:p>
        </w:tc>
        <w:tc>
          <w:tcPr>
            <w:tcW w:w="962" w:type="pct"/>
            <w:noWrap w:val="0"/>
            <w:vAlign w:val="center"/>
          </w:tcPr>
          <w:p w14:paraId="2AC24C14">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泄露、火灾、爆炸</w:t>
            </w:r>
          </w:p>
        </w:tc>
        <w:tc>
          <w:tcPr>
            <w:tcW w:w="2291" w:type="pct"/>
            <w:noWrap w:val="0"/>
            <w:vAlign w:val="center"/>
          </w:tcPr>
          <w:p w14:paraId="1B27EC95">
            <w:pPr>
              <w:pStyle w:val="414"/>
              <w:adjustRightInd w:val="0"/>
              <w:snapToGrid w:val="0"/>
              <w:jc w:val="center"/>
              <w:rPr>
                <w:rFonts w:hint="default" w:ascii="Times New Roman" w:hAnsi="Times New Roman"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lang w:eastAsia="zh-CN"/>
              </w:rPr>
              <w:t>沼气发生泄漏事故，容易流淌扩散，与空气混合，遇有火源极易发生燃烧、火灾、爆炸爆炸；火灾爆炸事故将可能引发人员伤亡事故，并可能对周围环境产生影响</w:t>
            </w:r>
          </w:p>
        </w:tc>
      </w:tr>
    </w:tbl>
    <w:p w14:paraId="3628D6C5">
      <w:pPr>
        <w:spacing w:line="360" w:lineRule="auto"/>
        <w:ind w:firstLine="480" w:firstLineChars="200"/>
        <w:rPr>
          <w:rFonts w:hint="default" w:ascii="Times New Roman" w:hAnsi="Times New Roman" w:cs="Times New Roman"/>
          <w:color w:val="auto"/>
          <w:highlight w:val="none"/>
        </w:rPr>
      </w:pPr>
      <w:bookmarkStart w:id="824" w:name="_Toc20476109"/>
      <w:r>
        <w:rPr>
          <w:rFonts w:hint="default" w:ascii="Times New Roman" w:hAnsi="Times New Roman" w:cs="Times New Roman"/>
          <w:color w:val="auto"/>
          <w:highlight w:val="none"/>
        </w:rPr>
        <w:t>3、风险识别结果及可能影响环境的途径</w:t>
      </w:r>
      <w:bookmarkEnd w:id="824"/>
    </w:p>
    <w:p w14:paraId="0626943C">
      <w:pPr>
        <w:pStyle w:val="3"/>
        <w:spacing w:line="360" w:lineRule="auto"/>
        <w:ind w:firstLine="480" w:firstLineChars="200"/>
        <w:rPr>
          <w:rFonts w:hint="default" w:ascii="Times New Roman" w:hAnsi="Times New Roman" w:cs="Times New Roman"/>
          <w:color w:val="auto"/>
          <w:szCs w:val="24"/>
          <w:highlight w:val="none"/>
        </w:rPr>
      </w:pPr>
      <w:bookmarkStart w:id="825" w:name="_Toc20476110"/>
      <w:bookmarkStart w:id="826" w:name="_Toc12776"/>
      <w:r>
        <w:rPr>
          <w:rFonts w:hint="default" w:ascii="Times New Roman" w:hAnsi="Times New Roman" w:cs="Times New Roman"/>
          <w:color w:val="auto"/>
          <w:szCs w:val="24"/>
          <w:highlight w:val="none"/>
        </w:rPr>
        <w:t>和沼气有关的具有风险的生产设施主要为黑膜厌氧池，涉及的风险主要为泄漏、火灾、爆炸。</w:t>
      </w:r>
      <w:bookmarkEnd w:id="825"/>
      <w:bookmarkEnd w:id="826"/>
      <w:bookmarkStart w:id="827" w:name="_Toc14064"/>
      <w:bookmarkStart w:id="828" w:name="_Toc21032"/>
      <w:bookmarkStart w:id="829" w:name="_Toc7398"/>
      <w:bookmarkStart w:id="830" w:name="_Toc24348"/>
      <w:bookmarkStart w:id="831" w:name="_Toc13205"/>
    </w:p>
    <w:p w14:paraId="37EB5DBD">
      <w:pPr>
        <w:pStyle w:val="8"/>
        <w:bidi w:val="0"/>
        <w:rPr>
          <w:rFonts w:hint="default" w:ascii="Times New Roman" w:hAnsi="Times New Roman" w:eastAsia="宋体"/>
          <w:highlight w:val="none"/>
        </w:rPr>
      </w:pPr>
      <w:r>
        <w:rPr>
          <w:rFonts w:hint="default" w:ascii="Times New Roman" w:hAnsi="Times New Roman" w:eastAsia="宋体"/>
          <w:highlight w:val="none"/>
        </w:rPr>
        <w:t>5.2.8.6 环境风险分析</w:t>
      </w:r>
      <w:bookmarkEnd w:id="827"/>
      <w:bookmarkEnd w:id="828"/>
      <w:bookmarkEnd w:id="829"/>
      <w:bookmarkEnd w:id="830"/>
      <w:bookmarkEnd w:id="831"/>
    </w:p>
    <w:p w14:paraId="4693FAD9">
      <w:pPr>
        <w:pStyle w:val="3"/>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结合项目自身生产特点，项目发生事故主要有两类，即火灾和爆炸事故。火灾事故的发生可能是因沼气泄露、并由其泄漏扩散区内的火源引起，爆炸则是因沼气产品遇到压降变化过大或其他非正常工况引起。</w:t>
      </w:r>
    </w:p>
    <w:p w14:paraId="1FD68D14">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当发生燃烧引发火灾时，为迅速控制火势，消防设施用水进行灭火，将产生消防废水。若不及时处理这些废水，对地表水造成污染。本项目厂区雨水排放口设置截断阀，当事故发生时截断污水排放，将污水控制在厂内，防止污水外排进入地表水。</w:t>
      </w:r>
    </w:p>
    <w:p w14:paraId="25F781F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（1）泄漏事故成因</w:t>
      </w:r>
    </w:p>
    <w:p w14:paraId="77A6887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w:t>
      </w: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出现破裂导致泄漏；</w:t>
      </w:r>
    </w:p>
    <w:p w14:paraId="72F12BAD">
      <w:pPr>
        <w:spacing w:line="360" w:lineRule="auto"/>
        <w:ind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②沼气输送管线破裂或法兰接口不严导致泄漏</w:t>
      </w:r>
      <w:r>
        <w:rPr>
          <w:rFonts w:hint="eastAsia" w:ascii="Times New Roman" w:hAnsi="Times New Roman" w:cs="Times New Roman"/>
          <w:color w:val="auto"/>
          <w:highlight w:val="none"/>
          <w:lang w:eastAsia="zh-CN"/>
        </w:rPr>
        <w:t>。</w:t>
      </w:r>
    </w:p>
    <w:p w14:paraId="3805E7A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（2）火灾爆炸事故成因</w:t>
      </w:r>
    </w:p>
    <w:p w14:paraId="0D140D12">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①沼气泄漏遇明火引发火灾；</w:t>
      </w:r>
    </w:p>
    <w:p w14:paraId="61C9B1A1">
      <w:pPr>
        <w:spacing w:line="360" w:lineRule="auto"/>
        <w:ind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②</w:t>
      </w: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超压引起爆炸</w:t>
      </w:r>
      <w:r>
        <w:rPr>
          <w:rFonts w:hint="eastAsia" w:ascii="Times New Roman" w:hAnsi="Times New Roman" w:cs="Times New Roman"/>
          <w:color w:val="auto"/>
          <w:highlight w:val="none"/>
          <w:lang w:eastAsia="zh-CN"/>
        </w:rPr>
        <w:t>。</w:t>
      </w:r>
    </w:p>
    <w:p w14:paraId="70128910">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（3）人员中毒事故成因</w:t>
      </w:r>
    </w:p>
    <w:p w14:paraId="0C1FB7E1">
      <w:pPr>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人员对</w:t>
      </w: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lang w:val="zh-CN"/>
        </w:rPr>
        <w:t>进行维修或下池检修、清除沼渣时，未采取安全措施，导致人员窒息和中毒事故的发生。室内沼气管线、阀门等部件出现沼气泄漏，导致室内人员窒息和中毒事故的发生</w:t>
      </w:r>
      <w:r>
        <w:rPr>
          <w:rFonts w:hint="default" w:ascii="Times New Roman" w:hAnsi="Times New Roman" w:cs="Times New Roman"/>
          <w:color w:val="auto"/>
          <w:highlight w:val="none"/>
          <w:lang w:val="en-US" w:eastAsia="zh-CN"/>
        </w:rPr>
        <w:t>。</w:t>
      </w:r>
    </w:p>
    <w:p w14:paraId="3B79F7CA">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运营期若安全管理措施不当，将因沼气泄漏诱发人员中毒、火灾爆炸事故危险度大大增加，一旦发生泄漏、火灾、爆炸安全事故，将严重威胁项目评价区域内人民群众的生命、财产安全和环境安全，出现上述安全事故可能导致人员窒息中毒，火灾产生的热辐射、爆炸产生的冲击波对其评价区域人民群众的生命、财产都将构成威胁，发生安全事故还将伴随次生大气污染、水污染、土壤污染。</w:t>
      </w:r>
    </w:p>
    <w:p w14:paraId="54FA71F9">
      <w:pPr>
        <w:pStyle w:val="8"/>
        <w:bidi w:val="0"/>
        <w:rPr>
          <w:rFonts w:hint="default" w:ascii="Times New Roman" w:hAnsi="Times New Roman" w:eastAsia="宋体"/>
          <w:highlight w:val="none"/>
        </w:rPr>
      </w:pPr>
      <w:bookmarkStart w:id="832" w:name="_Toc89"/>
      <w:bookmarkStart w:id="833" w:name="_Toc31227"/>
      <w:bookmarkStart w:id="834" w:name="_Toc6561"/>
      <w:bookmarkStart w:id="835" w:name="_Toc17859"/>
      <w:r>
        <w:rPr>
          <w:rFonts w:hint="default" w:ascii="Times New Roman" w:hAnsi="Times New Roman" w:eastAsia="宋体"/>
          <w:highlight w:val="none"/>
        </w:rPr>
        <w:t>5.2.8.7环境风险防范分析</w:t>
      </w:r>
      <w:bookmarkEnd w:id="832"/>
      <w:bookmarkEnd w:id="833"/>
      <w:bookmarkEnd w:id="834"/>
      <w:bookmarkEnd w:id="835"/>
    </w:p>
    <w:p w14:paraId="263405FD">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eastAsia="zh-CN"/>
        </w:rPr>
        <w:t>沼气燃烧处置</w:t>
      </w:r>
      <w:r>
        <w:rPr>
          <w:rFonts w:hint="default" w:ascii="Times New Roman" w:hAnsi="Times New Roman" w:cs="Times New Roman"/>
          <w:color w:val="auto"/>
          <w:highlight w:val="none"/>
        </w:rPr>
        <w:t>工程设计施工及生产运营中应严格执行《安全生产法》、《危险化学品安全管理条例》、《中华人民共和国消防法》和相关企业安全卫生设计规范，并采取如下环境风险防范措施：</w:t>
      </w:r>
    </w:p>
    <w:p w14:paraId="66802970">
      <w:pPr>
        <w:spacing w:line="440" w:lineRule="exact"/>
        <w:rPr>
          <w:rFonts w:hint="default" w:ascii="Times New Roman" w:hAnsi="Times New Roman" w:cs="Times New Roman"/>
          <w:b/>
          <w:color w:val="auto"/>
          <w:highlight w:val="none"/>
        </w:rPr>
      </w:pPr>
      <w:r>
        <w:rPr>
          <w:rFonts w:hint="default" w:ascii="Times New Roman" w:hAnsi="Times New Roman" w:cs="Times New Roman"/>
          <w:b/>
          <w:color w:val="auto"/>
          <w:highlight w:val="none"/>
        </w:rPr>
        <w:t>（1）总图布置和建筑安全防范分析</w:t>
      </w:r>
    </w:p>
    <w:p w14:paraId="7198A61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项目总图布置要按照功能区分区布置，</w:t>
      </w:r>
      <w:r>
        <w:rPr>
          <w:rFonts w:hint="eastAsia" w:ascii="Times New Roman" w:hAnsi="Times New Roman" w:cs="Times New Roman"/>
          <w:color w:val="auto"/>
          <w:highlight w:val="none"/>
          <w:lang w:eastAsia="zh-CN"/>
        </w:rPr>
        <w:t>沼气燃烧处置</w:t>
      </w:r>
      <w:r>
        <w:rPr>
          <w:rFonts w:hint="default" w:ascii="Times New Roman" w:hAnsi="Times New Roman" w:cs="Times New Roman"/>
          <w:color w:val="auto"/>
          <w:highlight w:val="none"/>
        </w:rPr>
        <w:t>工程应远离人居环境敏感点，并远离本项目办公区，项目办公区紧邻厂外道路，利于安全疏散和消防。</w:t>
      </w:r>
    </w:p>
    <w:p w14:paraId="4697B7A8">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场区人流和货运流明确分开，不与人流及其它货流混行或平交。消防道路的路面宽度不小于6m，路面内缘转弯半径不宜小于12m，路面上净空高度不应低于5m。</w:t>
      </w:r>
    </w:p>
    <w:p w14:paraId="04119EB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了防止偶然火灾事故造成重大人身伤亡和设备损失，应设计有完整、高效的沼气泄漏报警系统，包括泄漏监控、感烟等相关设备。沼气设施严格按防火规范布置，按照有关规范、标准进行设计、施工、验收；设备做防雷击、防静电接地、防腐措施。</w:t>
      </w:r>
    </w:p>
    <w:p w14:paraId="02BB3763">
      <w:pPr>
        <w:spacing w:line="440" w:lineRule="exact"/>
        <w:rPr>
          <w:rFonts w:hint="default" w:ascii="Times New Roman" w:hAnsi="Times New Roman" w:cs="Times New Roman"/>
          <w:b/>
          <w:color w:val="auto"/>
          <w:highlight w:val="none"/>
        </w:rPr>
      </w:pPr>
      <w:r>
        <w:rPr>
          <w:rFonts w:hint="default" w:ascii="Times New Roman" w:hAnsi="Times New Roman" w:cs="Times New Roman"/>
          <w:b/>
          <w:color w:val="auto"/>
          <w:highlight w:val="none"/>
        </w:rPr>
        <w:t>（2）沼气生产区安全管理分析</w:t>
      </w:r>
    </w:p>
    <w:p w14:paraId="110C16C1">
      <w:pPr>
        <w:spacing w:line="360" w:lineRule="auto"/>
        <w:ind w:firstLine="480" w:firstLineChars="20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贮存沼气设施区域，应划定一定距离范围内为防</w:t>
      </w:r>
      <w:r>
        <w:rPr>
          <w:rFonts w:hint="eastAsia" w:ascii="Times New Roman" w:hAnsi="Times New Roman" w:cs="Times New Roman"/>
          <w:color w:val="auto"/>
          <w:highlight w:val="none"/>
          <w:lang w:val="en-US" w:eastAsia="zh-CN"/>
        </w:rPr>
        <w:t>爆</w:t>
      </w:r>
      <w:r>
        <w:rPr>
          <w:rFonts w:hint="default" w:ascii="Times New Roman" w:hAnsi="Times New Roman" w:cs="Times New Roman"/>
          <w:color w:val="auto"/>
          <w:highlight w:val="none"/>
        </w:rPr>
        <w:t>区，并设立禁止明火标志，防爆区要加强通风，防治沼气蓄积；配备必要的消防器材。</w:t>
      </w:r>
    </w:p>
    <w:p w14:paraId="55578A62">
      <w:pPr>
        <w:spacing w:line="360" w:lineRule="auto"/>
        <w:ind w:firstLine="480" w:firstLineChars="20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、沼气输送管道要加强定期巡查、调节、保养、维修，确保沼气贮存、输送设施气密性良好运营。</w:t>
      </w:r>
    </w:p>
    <w:p w14:paraId="43E4DA11">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沼气制备系统设连续自动监测压力，自动调压，防止超压爆炸。当压力高于定值时，则应报警，并打开沼气使用系统，放散沼气。</w:t>
      </w:r>
    </w:p>
    <w:p w14:paraId="21C5B19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制定项目</w:t>
      </w:r>
      <w:r>
        <w:rPr>
          <w:rFonts w:hint="eastAsia" w:ascii="Times New Roman" w:hAnsi="Times New Roman" w:cs="Times New Roman"/>
          <w:color w:val="auto"/>
          <w:highlight w:val="none"/>
          <w:lang w:eastAsia="zh-CN"/>
        </w:rPr>
        <w:t>沼气燃烧处置</w:t>
      </w:r>
      <w:r>
        <w:rPr>
          <w:rFonts w:hint="default" w:ascii="Times New Roman" w:hAnsi="Times New Roman" w:cs="Times New Roman"/>
          <w:color w:val="auto"/>
          <w:highlight w:val="none"/>
        </w:rPr>
        <w:t>工程区电气运行和操作的巡回检查制度、检修制度、运行安全操作规程等各项规章制度。加强人员技术培训，电气维修人员必须经过培训，取得特种作业操作证后，方可上岗。防止因静电火花诱发沼气燃爆事故发生。</w:t>
      </w:r>
    </w:p>
    <w:p w14:paraId="69616831">
      <w:pPr>
        <w:spacing w:line="440" w:lineRule="exact"/>
        <w:rPr>
          <w:rFonts w:hint="default" w:ascii="Times New Roman" w:hAnsi="Times New Roman" w:cs="Times New Roman"/>
          <w:b/>
          <w:color w:val="auto"/>
          <w:highlight w:val="none"/>
        </w:rPr>
      </w:pPr>
      <w:r>
        <w:rPr>
          <w:rFonts w:hint="default" w:ascii="Times New Roman" w:hAnsi="Times New Roman" w:cs="Times New Roman"/>
          <w:b/>
          <w:color w:val="auto"/>
          <w:highlight w:val="none"/>
        </w:rPr>
        <w:t>（3）</w:t>
      </w:r>
      <w:r>
        <w:rPr>
          <w:rFonts w:hint="eastAsia" w:ascii="Times New Roman" w:hAnsi="Times New Roman" w:cs="Times New Roman"/>
          <w:b/>
          <w:color w:val="auto"/>
          <w:highlight w:val="none"/>
          <w:lang w:eastAsia="zh-CN"/>
        </w:rPr>
        <w:t>沼气燃烧处置</w:t>
      </w:r>
      <w:r>
        <w:rPr>
          <w:rFonts w:hint="default" w:ascii="Times New Roman" w:hAnsi="Times New Roman" w:cs="Times New Roman"/>
          <w:b/>
          <w:color w:val="auto"/>
          <w:highlight w:val="none"/>
        </w:rPr>
        <w:t>风险防范分析</w:t>
      </w:r>
    </w:p>
    <w:p w14:paraId="438C946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①输送沼气导管上的阀门要灵活、严密，不能漏气。</w:t>
      </w:r>
    </w:p>
    <w:p w14:paraId="7745D7C3">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②导气管应经常检查，确保不漏气。</w:t>
      </w:r>
    </w:p>
    <w:p w14:paraId="63E6E489">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③导气管上应装上压力表。压力过高应排出气体；压力不足时应停止使用，重新进料充气，以防止回火。</w:t>
      </w:r>
    </w:p>
    <w:p w14:paraId="58AB79D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④使用沼气必须与可燃物保持一定的安全距离，以保证安全。</w:t>
      </w:r>
    </w:p>
    <w:p w14:paraId="2527F1F9">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⑤使用沼气时发现漏气，应立即打开门窗，熄灭室内各种火源，以防止沼气爆炸。</w:t>
      </w:r>
    </w:p>
    <w:p w14:paraId="5831933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⑥下池检修或清除沉渣时，必须提高警惕，事先采取安全措施，防止窒息和中毒事故的发生。</w:t>
      </w:r>
    </w:p>
    <w:p w14:paraId="77591946">
      <w:pPr>
        <w:spacing w:line="440" w:lineRule="exact"/>
        <w:rPr>
          <w:rFonts w:hint="default" w:ascii="Times New Roman" w:hAnsi="Times New Roman" w:cs="Times New Roman"/>
          <w:b/>
          <w:color w:val="auto"/>
          <w:highlight w:val="none"/>
        </w:rPr>
      </w:pPr>
      <w:r>
        <w:rPr>
          <w:rFonts w:hint="default" w:ascii="Times New Roman" w:hAnsi="Times New Roman" w:cs="Times New Roman"/>
          <w:b/>
          <w:color w:val="auto"/>
          <w:highlight w:val="none"/>
        </w:rPr>
        <w:t>（4）环境风险应急分析</w:t>
      </w:r>
    </w:p>
    <w:p w14:paraId="7B936C7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发生火灾时，第一现场人应立即通知班组长并关闭沼气总阀，并拨打119报警，说明起火位置。</w:t>
      </w:r>
    </w:p>
    <w:p w14:paraId="523B9547">
      <w:pPr>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发生沼气大面积泄漏事故时，立即关闭沼气总阀，通知事故相关区域人员，并做好</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通风及人员疏散工作，将人员疏散至安全区域</w:t>
      </w:r>
      <w:r>
        <w:rPr>
          <w:rFonts w:hint="default" w:ascii="Times New Roman" w:hAnsi="Times New Roman" w:cs="Times New Roman"/>
          <w:color w:val="auto"/>
          <w:highlight w:val="none"/>
          <w:lang w:val="en-US" w:eastAsia="zh-CN"/>
        </w:rPr>
        <w:t>。</w:t>
      </w:r>
    </w:p>
    <w:p w14:paraId="78D9473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事故、紧急情况发生后的处理：</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立即建立警戒线，以火灾或泄漏点为中心50m范围为禁区，除事故小组、维修专业技术人员采取必备的防护设施进入，其余人员一概不准进入。禁区严禁携带火种，所有车辆熄火及禁止发动，关闭对讲机、手机等可能引起静电打火的设备。</w:t>
      </w:r>
    </w:p>
    <w:p w14:paraId="1042DF7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在沼气池泄漏时，要保持冷静，谨慎行事，对于沼气扩散条件好的地方，要保持电气原来的状态，不可随意开关，对接近泄漏点的电源，要切断。现场不可开启照明灯，拨打电话，也不要脱换衣物，防止产生静电火花，引燃泄漏沼气。</w:t>
      </w:r>
    </w:p>
    <w:p w14:paraId="39A02108">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现场施救：对于现场中毒或烧伤人员，应小心谨慎地将伤员抬离现场，送往安全地区，必要时采取人工呼吸及运送医院进行救护。</w:t>
      </w:r>
      <w:r>
        <w:rPr>
          <w:rFonts w:hint="default" w:ascii="Times New Roman" w:hAnsi="Times New Roman" w:cs="Times New Roman"/>
          <w:color w:val="auto"/>
          <w:highlight w:val="none"/>
          <w:lang w:val="en-US" w:eastAsia="zh-CN"/>
        </w:rPr>
        <w:t>建议应急办理人员戴好防毒面具，穿相应防备服，不要直接接触泄漏物，在保证安全的状况下堵漏。</w:t>
      </w:r>
    </w:p>
    <w:p w14:paraId="74288408">
      <w:pPr>
        <w:pStyle w:val="8"/>
        <w:bidi w:val="0"/>
        <w:rPr>
          <w:rFonts w:hint="default"/>
          <w:highlight w:val="none"/>
        </w:rPr>
      </w:pPr>
      <w:bookmarkStart w:id="836" w:name="_Toc11795"/>
      <w:bookmarkStart w:id="837" w:name="_Toc10404"/>
      <w:bookmarkStart w:id="838" w:name="_Toc28536"/>
      <w:bookmarkStart w:id="839" w:name="_Toc31379"/>
      <w:bookmarkStart w:id="840" w:name="_Toc7441"/>
      <w:r>
        <w:rPr>
          <w:rFonts w:hint="default"/>
          <w:highlight w:val="none"/>
        </w:rPr>
        <w:t>5.2.8.8风险应急分析</w:t>
      </w:r>
      <w:bookmarkEnd w:id="836"/>
      <w:bookmarkEnd w:id="837"/>
      <w:bookmarkEnd w:id="838"/>
      <w:bookmarkEnd w:id="839"/>
      <w:bookmarkEnd w:id="840"/>
    </w:p>
    <w:p w14:paraId="1530EB06">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风险事故应急预案是在贯彻预防为主的前提下，对建设项目可能出现事故，为及时控制危害源，抢救受害人员，指导居民防护和组织撤离，消除危害后果而组织的救援活动的预想方案。它需要建设单位和社会救援相结合。</w:t>
      </w:r>
    </w:p>
    <w:p w14:paraId="098EB4FF">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1、风险事故处置程序</w:t>
      </w:r>
    </w:p>
    <w:p w14:paraId="0858927A">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风险事故处置的核心是及时报警，正确决策，迅速扑救。各部门充分配合、协调行动。</w:t>
      </w:r>
    </w:p>
    <w:p w14:paraId="75DCF1FA">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2、应急反应计划</w:t>
      </w:r>
    </w:p>
    <w:p w14:paraId="1295BEF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急反应计划一般应包括：⑴应急组织及其职责；⑵应急设施、设备与器材；⑶应急通讯联络；⑷应急监测；⑸应急安全、保卫、医学救援；⑹应急撤离措施；⑺事故应急救援关闭程序与恢复措施；⑻事故后果评价；⑼应急演习；⑽公众教育和信息等。</w:t>
      </w:r>
    </w:p>
    <w:p w14:paraId="11803BD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（1）应急组织及其职责</w:t>
      </w:r>
    </w:p>
    <w:p w14:paraId="00581E08">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处置中心应设有应急组织，负责事故时的组织工作。为保证安全生产不仅应制定《安全生产责任制》等安全生产制度，同时还应制定《环境保护管理规定》等制度。</w:t>
      </w:r>
    </w:p>
    <w:p w14:paraId="10750312">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（2）应急设施、设备与器材</w:t>
      </w:r>
    </w:p>
    <w:p w14:paraId="11E73EC3">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应急设施主要包括：防火灾、爆炸事故应急设施、设备与材料，例如：消火栓、消防水炮、室外箱式消火栓、小型灭火设备等消防设施；防有毒有害物料外溢、扩散的应急设施、设备与材料。</w:t>
      </w:r>
    </w:p>
    <w:p w14:paraId="0E2C7D2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除在生产装置</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应配有固定应急消防设施外，还根据装置特点配有应急防护器具。</w:t>
      </w:r>
    </w:p>
    <w:p w14:paraId="2A9F6E21">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（3）应急通讯联络</w:t>
      </w:r>
    </w:p>
    <w:p w14:paraId="46ED1522">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应设完善的生产调度系统，应提供各部门有线电话直播；对重点和要害部位设有远程在线监控系统，应实现远程图像在线传输。通过监控可实现指挥调度。另外各生产装置生产</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配有报警电话和无线通讯对讲机。</w:t>
      </w:r>
    </w:p>
    <w:p w14:paraId="050DFC1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应急报警程序、通讯联络方式：生产装置一旦发生泄漏、火灾时，所有岗位人员首先采取自身保护措施并严格快速执行报警程序。</w:t>
      </w:r>
    </w:p>
    <w:p w14:paraId="7A854CD8">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①</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出现事故时，岗位人员立即报告厂当班调度；组织工艺处理措施；报告装置应急领导小组；拨打119报警电话，向消防支队说明具体情况；同时拨打120急救电话，并说明具体位置和</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情况，上述单位进入</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救护时应配备好自身护具，并根据报警情况，选择好救护路线（上风向进入</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w:t>
      </w:r>
    </w:p>
    <w:p w14:paraId="1A2A262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②</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及时逐级报告。</w:t>
      </w:r>
    </w:p>
    <w:p w14:paraId="142A5165">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③</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应急指挥领导、成员接到报告后，立即赶赴</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按照各自的职责分工和应急处理程序进行应急处理。</w:t>
      </w:r>
    </w:p>
    <w:p w14:paraId="07CABC79">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4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④</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处理期间根据事态的发展，厂应急领导</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对事故险情进行评估，根据评估结果确定是否需要协助救援。</w:t>
      </w:r>
    </w:p>
    <w:p w14:paraId="45C80FA6">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（4）应急监测</w:t>
      </w:r>
    </w:p>
    <w:p w14:paraId="4BB03488">
      <w:pPr>
        <w:spacing w:line="500" w:lineRule="atLeas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项目事故应急监测依托当地政府的环境监测站，同时可根据不同性质、级别的环境污染事故与省、市专家库管理系统取得联系，进行咨询、求助和应急联动。</w:t>
      </w:r>
    </w:p>
    <w:p w14:paraId="7215EEE9">
      <w:pPr>
        <w:spacing w:line="500" w:lineRule="atLeas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843780" cy="6125845"/>
            <wp:effectExtent l="0" t="0" r="13970" b="825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109"/>
                    <a:stretch>
                      <a:fillRect/>
                    </a:stretch>
                  </pic:blipFill>
                  <pic:spPr>
                    <a:xfrm>
                      <a:off x="0" y="0"/>
                      <a:ext cx="4843780" cy="6125845"/>
                    </a:xfrm>
                    <a:prstGeom prst="rect">
                      <a:avLst/>
                    </a:prstGeom>
                    <a:noFill/>
                    <a:ln>
                      <a:noFill/>
                    </a:ln>
                  </pic:spPr>
                </pic:pic>
              </a:graphicData>
            </a:graphic>
          </wp:inline>
        </w:drawing>
      </w:r>
    </w:p>
    <w:p w14:paraId="3EF53D6D">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图5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7</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事故应急方案框架图</w:t>
      </w:r>
    </w:p>
    <w:p w14:paraId="26B3E465">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事故发生后，由建设单位委托有资质的机构对事故</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进行监测，根据不同的事故工况，设定相应的监测方案。监测要素主要为环境空气；监测项目主要为事故涉及的污染因子；监测范围主要根据事故大小及影响范围而定。根据监测结果，确认事故范围，并立即组织</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人员的疏散工作，通过指挥部门，联络医疗、卫生等各相关部门人员实施救援工作。如地表水体、地下水体受到污染，则应通过指挥部门与当地政府、水利部门、卫生部门等进行联系，启动应急措施，防止造成社会危害和恐慌。</w:t>
      </w:r>
    </w:p>
    <w:p w14:paraId="6AAD597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（5）应急安全、保卫应急队伍保障</w:t>
      </w:r>
    </w:p>
    <w:p w14:paraId="61C2BAB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应急状态交通运输、医疗卫生、治安和交通管制保障主要依托当地政府，必要时与政府联动。</w:t>
      </w:r>
    </w:p>
    <w:p w14:paraId="1B9A755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（6）应急撤离措施</w:t>
      </w:r>
    </w:p>
    <w:p w14:paraId="42A0980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事故</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发生重大事故，可能对场区内、外人群安全构成危胁时，必须在指挥部指挥下，紧急疏散与事故应急救援无关的人员。疏散程序一般为给出紧急疏散信号（如鸣响警铃）；应急小组成员立即到达指定负责区域指导员工与来访人员有序撤离；在所有人离开后检查各人负责区域，确认没有任何无关人员滞留后再离开；发现受伤人员时，在确认环境安全的情况下，必须首先进行伤员救助。在不能确认环境安全或环境明显对救助者存在伤害时，应首先做好个体防护后再进行救助工作。员工在警报发出后，应无条件关闭正在操作的电气设备，按“紧急疏散示意图”离开大楼到指定地点集合。</w:t>
      </w:r>
    </w:p>
    <w:p w14:paraId="0B9B326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（7）事故应急救援关闭程序与恢复措施</w:t>
      </w:r>
    </w:p>
    <w:p w14:paraId="7A78704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突发事故结束后，由事故应急指挥领导小组协同地方政府相关部门迅速成立事故调查小组，根据事故现场的实际情况，结合环境监测部门的监测结果，适时宣布关闭事故应急救援程序。同时要求有关部门负责事故</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的善后处理及邻近区域解除事故警戒和善后恢复措施。处置中心应制定事故后恢复正常工作和生活的措施，并组织实施。</w:t>
      </w:r>
    </w:p>
    <w:p w14:paraId="4304415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（8）应急培训与演习</w:t>
      </w:r>
    </w:p>
    <w:p w14:paraId="790C4D2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处置中心全体管理人员和工人都必须定期组织安全环保培训，经培训合格，才能正式持证上岗，对于关键岗位应选派熟悉应急预案的有经验技术人员负责。事故应急处置训练内容应当包括事故发生时的工艺技术处置和扑救、安全防护救助措施、环境保护应急处置方法等。事故发生时，工厂安全环保部门工作人员和富有事故处置经验的人员要轮流值班，监视事故</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及其处置作业，直至事故结束。</w:t>
      </w:r>
    </w:p>
    <w:p w14:paraId="4C9B4141">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应根据应急反应方案定期进行事故应急预案演练，检查和提高应急指挥的水平和队员的反应能力，及时发现组织、器材及人员等方面的问题，及时做出改进，以保证应急反应的有效进行。</w:t>
      </w:r>
    </w:p>
    <w:p w14:paraId="3B2B96A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（9）公众教育和信息</w:t>
      </w:r>
    </w:p>
    <w:p w14:paraId="00C25E5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与地方环保部门、民政局等相关部门建立起良好的公共安全健康应急预防体系，定期或不定期组织周围村民开展安全、健康、环保培训教育，将事故应急措施、方案以及撤离方案等及时传达给村民，并且经常组织事故情况下的应急演练。</w:t>
      </w:r>
    </w:p>
    <w:p w14:paraId="5510CD88">
      <w:pPr>
        <w:pStyle w:val="8"/>
        <w:bidi w:val="0"/>
        <w:rPr>
          <w:rFonts w:hint="default"/>
          <w:highlight w:val="none"/>
        </w:rPr>
      </w:pPr>
      <w:bookmarkStart w:id="841" w:name="_Toc628"/>
      <w:bookmarkStart w:id="842" w:name="_Toc26969"/>
      <w:bookmarkStart w:id="843" w:name="_Toc27881"/>
      <w:bookmarkStart w:id="844" w:name="_Toc24534"/>
      <w:bookmarkStart w:id="845" w:name="_Toc4294"/>
      <w:r>
        <w:rPr>
          <w:rFonts w:hint="default"/>
          <w:highlight w:val="none"/>
        </w:rPr>
        <w:t>5.2.8.9粪污处理事故分析</w:t>
      </w:r>
      <w:bookmarkEnd w:id="841"/>
      <w:bookmarkEnd w:id="842"/>
      <w:bookmarkEnd w:id="843"/>
      <w:bookmarkEnd w:id="844"/>
      <w:bookmarkEnd w:id="845"/>
    </w:p>
    <w:p w14:paraId="0EE44777">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事故分析</w:t>
      </w:r>
    </w:p>
    <w:p w14:paraId="3B50BA0E">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本项目不单独设置事故池，黑膜厌氧池</w:t>
      </w:r>
      <w:r>
        <w:rPr>
          <w:rFonts w:hint="default" w:ascii="Times New Roman" w:hAnsi="Times New Roman" w:cs="Times New Roman"/>
          <w:bCs/>
          <w:color w:val="auto"/>
          <w:highlight w:val="none"/>
        </w:rPr>
        <w:t>的容积设计时即考虑了事故池的功能。本项目设置黑膜厌氧池</w:t>
      </w:r>
      <w:r>
        <w:rPr>
          <w:rFonts w:hint="default" w:ascii="Times New Roman" w:hAnsi="Times New Roman" w:cs="Times New Roman"/>
          <w:bCs/>
          <w:color w:val="auto"/>
          <w:highlight w:val="none"/>
          <w:lang w:val="en-US" w:eastAsia="zh-CN"/>
        </w:rPr>
        <w:t>1</w:t>
      </w:r>
      <w:r>
        <w:rPr>
          <w:rFonts w:hint="default" w:ascii="Times New Roman" w:hAnsi="Times New Roman" w:cs="Times New Roman"/>
          <w:bCs/>
          <w:color w:val="auto"/>
          <w:highlight w:val="none"/>
        </w:rPr>
        <w:t>座</w:t>
      </w:r>
      <w:r>
        <w:rPr>
          <w:rFonts w:hint="default" w:ascii="Times New Roman" w:hAnsi="Times New Roman" w:cs="Times New Roman"/>
          <w:color w:val="auto"/>
          <w:highlight w:val="none"/>
        </w:rPr>
        <w:t>，</w:t>
      </w:r>
      <w:r>
        <w:rPr>
          <w:rFonts w:hint="default" w:ascii="Times New Roman" w:hAnsi="Times New Roman" w:cs="Times New Roman"/>
          <w:bCs/>
          <w:color w:val="auto"/>
          <w:highlight w:val="none"/>
        </w:rPr>
        <w:t>容积为</w:t>
      </w:r>
      <w:r>
        <w:rPr>
          <w:rFonts w:hint="eastAsia" w:ascii="Times New Roman" w:hAnsi="Times New Roman" w:cs="Times New Roman"/>
          <w:bCs/>
          <w:color w:val="auto"/>
          <w:highlight w:val="none"/>
          <w:lang w:eastAsia="zh-CN"/>
        </w:rPr>
        <w:t>13000</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w:t>
      </w:r>
      <w:r>
        <w:rPr>
          <w:rFonts w:hint="default" w:ascii="Times New Roman" w:hAnsi="Times New Roman" w:cs="Times New Roman"/>
          <w:color w:val="auto"/>
          <w:highlight w:val="none"/>
        </w:rPr>
        <w:t>防止事故性废水排放。发生事故时有足够的时间来检修，全厂废水储存在黑膜厌氧池里，不外排，因此，粪污处理站事故状态下不会对地表水环境产生不良影响。</w:t>
      </w:r>
    </w:p>
    <w:p w14:paraId="4DD0470E">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黑膜厌氧池</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沼液贮存池</w:t>
      </w:r>
      <w:r>
        <w:rPr>
          <w:rFonts w:hint="default" w:ascii="Times New Roman" w:hAnsi="Times New Roman" w:cs="Times New Roman"/>
          <w:color w:val="auto"/>
          <w:highlight w:val="none"/>
        </w:rPr>
        <w:t>等沼液区事故状态下，可能造成地下水环境污染的主要途径是污水下渗影响，影响较大的因素如防渗膜破裂，使污水渗入地下含水层，对地下水水质造成影响。</w:t>
      </w:r>
    </w:p>
    <w:p w14:paraId="42C15B5D">
      <w:pPr>
        <w:adjustRightInd w:val="0"/>
        <w:snapToGrid w:val="0"/>
        <w:spacing w:line="48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本项目拟在场区粪污处理区</w:t>
      </w:r>
      <w:r>
        <w:rPr>
          <w:rFonts w:hint="eastAsia" w:ascii="Times New Roman" w:hAnsi="Times New Roman" w:cs="Times New Roman"/>
          <w:color w:val="auto"/>
          <w:highlight w:val="none"/>
          <w:lang w:val="en-US" w:eastAsia="zh-CN"/>
        </w:rPr>
        <w:t>东南</w:t>
      </w:r>
      <w:r>
        <w:rPr>
          <w:rFonts w:hint="default" w:ascii="Times New Roman" w:hAnsi="Times New Roman" w:cs="Times New Roman"/>
          <w:color w:val="auto"/>
          <w:highlight w:val="none"/>
        </w:rPr>
        <w:t>侧设置地下水监控井，位于场区地下水走向下游，一旦发现监测水质发生变化，立即停止使用，并采取补救措施。本项目黑膜厌氧池</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沼液贮存池</w:t>
      </w:r>
      <w:r>
        <w:rPr>
          <w:rFonts w:hint="default" w:ascii="Times New Roman" w:hAnsi="Times New Roman" w:cs="Times New Roman"/>
          <w:color w:val="auto"/>
          <w:highlight w:val="none"/>
        </w:rPr>
        <w:t>等的建设须严格按照防渗要求设计、施工；切实遵守对地下水监测井的监测规定。</w:t>
      </w:r>
    </w:p>
    <w:p w14:paraId="7593BFE6">
      <w:pPr>
        <w:adjustRightInd w:val="0"/>
        <w:snapToGrid w:val="0"/>
        <w:spacing w:line="48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发生事故或者其他突发性事件，造成或者可能造成水污染事故的，应当立即启动本单位的应急预案，采取应急措施，并向事故发生地的县级以上地方人民政府或者环境保护主管部门报告。</w:t>
      </w:r>
    </w:p>
    <w:p w14:paraId="37001B50">
      <w:pPr>
        <w:adjustRightInd w:val="0"/>
        <w:snapToGrid w:val="0"/>
        <w:spacing w:line="440" w:lineRule="exact"/>
        <w:ind w:firstLine="480" w:firstLineChars="20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沼液区事故风险防范措施</w:t>
      </w:r>
    </w:p>
    <w:p w14:paraId="122B0D22">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（1）平时注意废水处理设施的维护，及时发现处理设备的隐患，确保处理系统正常运行；开、停、检修要有预案，有严密周全的计划，确保废水满足施肥和排放要求。</w:t>
      </w:r>
    </w:p>
    <w:p w14:paraId="35849920">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（2）应设有备用电源和备用处理设备和零件，以备停电或设备出现故障时保障及时更换使废水能及时处理。</w:t>
      </w:r>
    </w:p>
    <w:p w14:paraId="771A72E0">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（3）对员工进行岗位培训，持证上岗。经常性检测并做好值班记录，实行岗位责任制。</w:t>
      </w:r>
    </w:p>
    <w:p w14:paraId="7BC07BAA">
      <w:pPr>
        <w:pStyle w:val="8"/>
        <w:bidi w:val="0"/>
        <w:rPr>
          <w:rFonts w:hint="default"/>
          <w:highlight w:val="none"/>
        </w:rPr>
      </w:pPr>
      <w:bookmarkStart w:id="846" w:name="_Toc25127"/>
      <w:r>
        <w:rPr>
          <w:rFonts w:hint="default"/>
          <w:highlight w:val="none"/>
        </w:rPr>
        <w:t>5.2.8.10疫病风险防范措施</w:t>
      </w:r>
      <w:bookmarkEnd w:id="846"/>
    </w:p>
    <w:p w14:paraId="5007A85B">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动物疫病防治工作关系食品安全和公共卫生安全，关系社会和谐稳定。在生产中应坚持“防病重于治病”的方针，防止猪群疫病的发生，特别是传染病、代谢病，使猪群更好地发挥生长性能，提高养猪的经济效益。</w:t>
      </w:r>
    </w:p>
    <w:p w14:paraId="292DAB9E">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（1）猪场布局与设施</w:t>
      </w:r>
    </w:p>
    <w:p w14:paraId="0310DCA1">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种猪场布局应按照《集约化养猪场建设标准》（NYJ/T04-2005）要求设置。</w:t>
      </w:r>
    </w:p>
    <w:p w14:paraId="067D05AA">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（2）加强检疫</w:t>
      </w:r>
    </w:p>
    <w:p w14:paraId="4F76434F">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①种猪购买及检验</w:t>
      </w:r>
    </w:p>
    <w:p w14:paraId="6AB89B42">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购买的种猪必须取得官方的检疫证和非疫区证明，防止传染病传播。</w:t>
      </w:r>
    </w:p>
    <w:p w14:paraId="3CB92029">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②同步检疫</w:t>
      </w:r>
    </w:p>
    <w:p w14:paraId="7305826D">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对种猪常见传染病、我国已扑灭的疾病和外来病制定疫病监控方案；与当地畜牧兽医行政管理部门建立定期的疫病监督抽查报告制度。每次免疫和检疫结果要有完整的记录，检疫与检测报告妥善保管。</w:t>
      </w:r>
    </w:p>
    <w:p w14:paraId="5E875E17">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③操作人员体检</w:t>
      </w:r>
    </w:p>
    <w:p w14:paraId="514644C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定期进行从业人员的体检。从业人员上岗必须穿戴规定的服饰并做到定期清洗和消毒。加强从业人员的职业卫生教育，严格操作的规章制度，从而减少人为的影响产品卫生的因素。</w:t>
      </w:r>
    </w:p>
    <w:p w14:paraId="11B724DA">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④应急措施</w:t>
      </w:r>
    </w:p>
    <w:p w14:paraId="277F364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经检验不合格的种猪应遵循《畜禽养殖业污染防治技术规范》进行处理。检疫时如发现传染病传播，立即将其隔离，装袋，按有关规定进行处理。本项目病死猪均按照该规则进行安全处置，如果养殖场发生疫情，应立即对养殖场进行隔离，并采取消毒措施，同时对染病猪只进行无害化处理，并同步报告畜牧局、环保局、农业局、卫生防疫站等相关部门，以便采取进一步的措施，防治疫情的扩散。</w:t>
      </w:r>
    </w:p>
    <w:p w14:paraId="38BF4D04">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（3）免疫接种</w:t>
      </w:r>
    </w:p>
    <w:p w14:paraId="29CF789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按要求进行免疫接种，预防疫病发生。</w:t>
      </w:r>
    </w:p>
    <w:p w14:paraId="6ACEE94A">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（4）疫病预防</w:t>
      </w:r>
    </w:p>
    <w:p w14:paraId="61444C0D">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①猪场应将生产区与生活区分开。生产区门口应设置消毒池和消毒室（内设紫外线灯等消毒设施），消毒池内应常年保持消毒药。</w:t>
      </w:r>
    </w:p>
    <w:p w14:paraId="372EEC53">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②严格控制非生产人员进入生产区，必须进入时应更换工作服及鞋帽，经消毒室消毒后才能进入。</w:t>
      </w:r>
    </w:p>
    <w:p w14:paraId="70C9DCD1">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③饲养人员每年应至少进行一次体格检查，如发现患有危害人、猪的传染病者，应及时调离，以防传染。</w:t>
      </w:r>
    </w:p>
    <w:p w14:paraId="25935BE0">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④及时清扫猪舍，经常保持猪舍、猪体的清洁，猪舍还应保持平整、干燥、无污物。</w:t>
      </w:r>
    </w:p>
    <w:p w14:paraId="54799AE1">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⑤粪污处理间内的集粪池夏季时易滋生蚊虫，在场区安装灭蚊灯，防止蚊虫叮咬造成疾病的传播。</w:t>
      </w:r>
    </w:p>
    <w:p w14:paraId="347F0BC8">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⑥健全检验、检疫制度，强化检验、检疫手段，场部设技术科、实验室，配备兽医，加强对疾病的预防和医治。</w:t>
      </w:r>
    </w:p>
    <w:p w14:paraId="205C56D3">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⑦为各阶段猪舍的清洗、消毒、阻断疫病传播创造条件，能有效控制和消灭场内已有病源。</w:t>
      </w:r>
    </w:p>
    <w:p w14:paraId="3BB272F2">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（5）疫病的扑灭</w:t>
      </w:r>
    </w:p>
    <w:p w14:paraId="064222E8">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在养殖场发生疫病或怀疑发生疫病时，根据《中华人民共和国动物防疫法》及时采取措施、及时诊断、及时报告。如发现传染疫情，对猪群实施严格的隔离、扑杀措施并追踪调查病猪的亲代和子代，对猪群实施清群和净化措施。对患有传染性疾病的生猪，应及时隔离并尽快确诊，同时对病猪的分泌物、粪便、剩余饲料、褥草及剖析的病变部分等无害化处理。</w:t>
      </w:r>
    </w:p>
    <w:p w14:paraId="0E9BD542">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（6）建立并保存生猪用药档案</w:t>
      </w:r>
    </w:p>
    <w:p w14:paraId="17B72BEE">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免疫与检疫时仔细看清各种生物制剂的名称、批号、有效期、免疫单位、剂量等，以防影响免疫效期。严格把握允许使用药物、慎用药物和禁用药物的规定。</w:t>
      </w:r>
    </w:p>
    <w:p w14:paraId="2569D5F7">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企业建立完善的防治防疫体系并按照疫病防治措施严格执行，可保证疫病风险降低在可接受的范围之内。</w:t>
      </w:r>
    </w:p>
    <w:p w14:paraId="783C3E8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（7）发生疫情时的紧急防制措施</w:t>
      </w:r>
    </w:p>
    <w:p w14:paraId="580421D3">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①应立即组成防疫小组，尽快做出确切诊断，迅速向有关上级部门报告疫情。</w:t>
      </w:r>
    </w:p>
    <w:p w14:paraId="65AF56E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迅速隔离病猪，对危害较重的传染病应及时划区封锁，建立封锁带，出入人员和车辆要严格消毒，同时严格消毒污染环境。解除封锁的条件是在最后一头病猪痊愈或安全处置后两个潜伏期内再无新病例出现，经过全面大消毒，报上级主管部门批准，方可解除封锁。</w:t>
      </w:r>
    </w:p>
    <w:p w14:paraId="7941C04D">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③对病猪及封锁区内的猪只实行合理的综合防制措施，包括疫苗的紧急接种、抗生素疗法、高免血清的特异性疗法、化学疗法、增强体质和生理机能的辅助疗法等。</w:t>
      </w:r>
    </w:p>
    <w:p w14:paraId="3FAFF6DB">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④病死猪进行无害化处理。</w:t>
      </w:r>
    </w:p>
    <w:p w14:paraId="2A025A0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⑤出现重大疫情时必须严格执行《重大动物疫情应急条例》中相关规定。</w:t>
      </w:r>
    </w:p>
    <w:p w14:paraId="58A34E36">
      <w:pPr>
        <w:pStyle w:val="8"/>
        <w:bidi w:val="0"/>
        <w:rPr>
          <w:rFonts w:hint="default"/>
          <w:highlight w:val="none"/>
        </w:rPr>
      </w:pPr>
      <w:bookmarkStart w:id="847" w:name="_Toc23727"/>
      <w:bookmarkStart w:id="848" w:name="_Toc22868"/>
      <w:bookmarkStart w:id="849" w:name="_Toc15881"/>
      <w:bookmarkStart w:id="850" w:name="_Toc31372"/>
      <w:r>
        <w:rPr>
          <w:rFonts w:hint="default"/>
          <w:highlight w:val="none"/>
        </w:rPr>
        <w:t>5.2.8.11风险评价结论</w:t>
      </w:r>
      <w:bookmarkEnd w:id="847"/>
      <w:bookmarkEnd w:id="848"/>
      <w:bookmarkEnd w:id="849"/>
      <w:bookmarkEnd w:id="850"/>
    </w:p>
    <w:p w14:paraId="328B173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0"/>
          <w:sz w:val="24"/>
          <w:szCs w:val="24"/>
          <w:highlight w:val="none"/>
          <w:lang w:val="en-GB" w:eastAsia="zh-CN" w:bidi="ar"/>
        </w:rPr>
      </w:pPr>
      <w:r>
        <w:rPr>
          <w:rFonts w:hint="default" w:ascii="Times New Roman" w:hAnsi="Times New Roman" w:eastAsia="宋体" w:cs="Times New Roman"/>
          <w:color w:val="auto"/>
          <w:kern w:val="0"/>
          <w:sz w:val="24"/>
          <w:szCs w:val="24"/>
          <w:highlight w:val="none"/>
          <w:lang w:val="en-GB" w:eastAsia="zh-CN" w:bidi="ar"/>
        </w:rPr>
        <w:t>本项目运行过程中存在的风险主要为</w:t>
      </w:r>
      <w:r>
        <w:rPr>
          <w:rFonts w:hint="default" w:ascii="Times New Roman" w:hAnsi="Times New Roman" w:eastAsia="宋体" w:cs="Times New Roman"/>
          <w:color w:val="auto"/>
          <w:kern w:val="0"/>
          <w:sz w:val="24"/>
          <w:szCs w:val="24"/>
          <w:highlight w:val="none"/>
          <w:lang w:val="en-US" w:eastAsia="zh-CN" w:bidi="ar"/>
        </w:rPr>
        <w:t>沼气泄漏诱发人员中毒、火灾、爆炸事故风险</w:t>
      </w:r>
      <w:r>
        <w:rPr>
          <w:rFonts w:hint="default" w:ascii="Times New Roman" w:hAnsi="Times New Roman" w:eastAsia="宋体" w:cs="Times New Roman"/>
          <w:color w:val="auto"/>
          <w:kern w:val="0"/>
          <w:sz w:val="24"/>
          <w:szCs w:val="24"/>
          <w:highlight w:val="none"/>
          <w:lang w:val="en-GB" w:eastAsia="zh-CN" w:bidi="ar"/>
        </w:rPr>
        <w:t>、疾病传播风险、沼液输送管线泄漏事故风险。在严格落实工程设计和环评报告书中提出的风险防范措施，杜绝事故发生的前提下，该项目环境风险处于可接受水平，制定的风险管理措施和应急预案有效可靠，从环境风险角度分析该项目建设可行。</w:t>
      </w:r>
      <w:bookmarkStart w:id="851" w:name="_Toc2919"/>
      <w:bookmarkStart w:id="852" w:name="_Toc17283"/>
      <w:bookmarkStart w:id="853" w:name="_Toc5729"/>
      <w:bookmarkStart w:id="854" w:name="_Toc22478"/>
    </w:p>
    <w:p w14:paraId="3F1F9F48">
      <w:pPr>
        <w:pStyle w:val="7"/>
        <w:bidi w:val="0"/>
        <w:rPr>
          <w:rFonts w:hint="default"/>
          <w:highlight w:val="none"/>
        </w:rPr>
      </w:pPr>
      <w:r>
        <w:rPr>
          <w:rFonts w:hint="default"/>
          <w:highlight w:val="none"/>
        </w:rPr>
        <w:t>5.2.</w:t>
      </w:r>
      <w:r>
        <w:rPr>
          <w:rFonts w:hint="default"/>
          <w:highlight w:val="none"/>
          <w:lang w:val="en-US" w:eastAsia="zh-CN"/>
        </w:rPr>
        <w:t>9</w:t>
      </w:r>
      <w:r>
        <w:rPr>
          <w:rFonts w:hint="default"/>
          <w:highlight w:val="none"/>
        </w:rPr>
        <w:t>生态环境影响分析</w:t>
      </w:r>
      <w:bookmarkEnd w:id="851"/>
      <w:bookmarkEnd w:id="852"/>
      <w:bookmarkEnd w:id="853"/>
      <w:bookmarkEnd w:id="854"/>
    </w:p>
    <w:p w14:paraId="404799F8">
      <w:pPr>
        <w:pStyle w:val="6"/>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项目建设将对区域土壤、植被和地表环境造成一定的破坏。本项目养殖场为传统农业畜禽养殖，区域属于农牧业区，周围以农业生态环境为主，区域内无珍稀、濒危动植物，生态环境比较简单，生态功能不明显，生态效益较低。项目区扰动的原地貌和破坏的植被并非评价区特有植被，在项目区域乃至黑龙江省大部均有广泛分布。因此本项目不会造成评价区任何一种植被类型的消失。在采取做好生产管理和生态恢复等措施的情况下，项目的建设对评价区植被的影响较小。本项目通过对区域猪养殖实施集约化管理，并对猪只养殖产生的粪污进行减量化、无害化、资源化综合利用，并对猪舍、粪污处理工程产生的恶臭气体采取了加强通风、日粮中添加EM菌、喷洒除臭剂等措施项目建成后，且一定要注意保护周边现有耕地。对养殖场周围进行美化，对保持和改善区域生态环境具有积极作用。本项目周边为农田生态系统，受人为活动影响较大。项目建成后对植被、植物种类和群落分布以及动物区系的基本组成和性质不会发生变化。</w:t>
      </w:r>
    </w:p>
    <w:p w14:paraId="43AD8111">
      <w:pPr>
        <w:pStyle w:val="6"/>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1、评价区内主要生态过程过去、现在和将来都将以人为控制为主。自然植被、村庄、乡镇企业、农田、经济林和保护林等景观格局也不会明显改变。</w:t>
      </w:r>
    </w:p>
    <w:p w14:paraId="461B0A77">
      <w:pPr>
        <w:pStyle w:val="6"/>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2、运营期排放废气等各项污染物的排放在严格的控制措施下，排放量不大，排放浓度达到了相应标准限值的要求，可被环境接受。</w:t>
      </w:r>
    </w:p>
    <w:p w14:paraId="5D28F8F8">
      <w:pPr>
        <w:pStyle w:val="6"/>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3、运营期生活污水经化粪池后进入黑膜厌氧池处理，生产废水分别集中收集后进入黑膜厌氧池发酵处理，处理后的沼液满足《畜禽粪便无害化处理技术规范》（GB/T36195-2018）表2标准，在施肥季节用于农田施肥，冬季暂存于沼液贮存池。</w:t>
      </w:r>
    </w:p>
    <w:p w14:paraId="588F3E40">
      <w:pPr>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4、根据本评价各环境要素的污染预测结果，各项污染物排放均达到了环境保护相应规定的要求，对区域污染的贡献量较小。</w:t>
      </w:r>
    </w:p>
    <w:p w14:paraId="2F118A61">
      <w:pPr>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通过对区域养殖场实施集约化管理，并对养殖场产生的猪粪进行减量化、无害化、资源化综合利用，构建猪养殖→猪粪→肥料还田→农作物，对改善项目区域农业生态环境将产生积极作用。</w:t>
      </w:r>
    </w:p>
    <w:p w14:paraId="1245F7D3">
      <w:pPr>
        <w:spacing w:line="360" w:lineRule="auto"/>
        <w:ind w:firstLine="480" w:firstLineChars="200"/>
        <w:rPr>
          <w:rFonts w:hint="default" w:ascii="Times New Roman" w:hAnsi="Times New Roman" w:cs="Times New Roman"/>
          <w:snapToGrid w:val="0"/>
          <w:color w:val="auto"/>
          <w:highlight w:val="none"/>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32" w:charSpace="0"/>
        </w:sectPr>
      </w:pPr>
    </w:p>
    <w:p w14:paraId="2E1B908F">
      <w:pPr>
        <w:pStyle w:val="4"/>
        <w:bidi w:val="0"/>
        <w:rPr>
          <w:rFonts w:hint="default"/>
          <w:highlight w:val="none"/>
        </w:rPr>
      </w:pPr>
      <w:bookmarkStart w:id="855" w:name="_Toc480447673"/>
      <w:bookmarkStart w:id="856" w:name="_Toc32107"/>
      <w:bookmarkStart w:id="857" w:name="_Toc1285"/>
      <w:bookmarkStart w:id="858" w:name="_Toc23542"/>
      <w:bookmarkStart w:id="859" w:name="_Toc30007"/>
      <w:bookmarkStart w:id="860" w:name="_Toc12578"/>
      <w:r>
        <w:rPr>
          <w:rFonts w:hint="default"/>
          <w:highlight w:val="none"/>
        </w:rPr>
        <w:t>6环境保护措施及其可行性论证</w:t>
      </w:r>
      <w:bookmarkEnd w:id="855"/>
      <w:bookmarkEnd w:id="856"/>
      <w:bookmarkEnd w:id="857"/>
      <w:bookmarkEnd w:id="858"/>
      <w:bookmarkEnd w:id="859"/>
      <w:bookmarkEnd w:id="860"/>
    </w:p>
    <w:p w14:paraId="6735302A">
      <w:pPr>
        <w:pStyle w:val="5"/>
        <w:bidi w:val="0"/>
        <w:rPr>
          <w:rFonts w:hint="default"/>
          <w:highlight w:val="none"/>
        </w:rPr>
      </w:pPr>
      <w:bookmarkStart w:id="861" w:name="_Toc277178439"/>
      <w:bookmarkStart w:id="862" w:name="_Toc16722"/>
      <w:bookmarkStart w:id="863" w:name="_Toc1914"/>
      <w:bookmarkStart w:id="864" w:name="_Toc26333"/>
      <w:bookmarkStart w:id="865" w:name="_Toc7594"/>
      <w:bookmarkStart w:id="866" w:name="_Toc255202308"/>
      <w:bookmarkStart w:id="867" w:name="_Toc480447674"/>
      <w:bookmarkStart w:id="868" w:name="_Toc241305662"/>
      <w:bookmarkStart w:id="869" w:name="_Toc237081935"/>
      <w:bookmarkStart w:id="870" w:name="_Toc225741621"/>
      <w:bookmarkStart w:id="871" w:name="_Toc30768"/>
      <w:bookmarkStart w:id="872" w:name="_Toc98920169"/>
      <w:bookmarkStart w:id="873" w:name="_Toc83525150"/>
      <w:r>
        <w:rPr>
          <w:rFonts w:hint="default"/>
          <w:highlight w:val="none"/>
        </w:rPr>
        <w:t>6.1施工期污染防治措施</w:t>
      </w:r>
      <w:bookmarkEnd w:id="861"/>
      <w:bookmarkEnd w:id="862"/>
      <w:bookmarkEnd w:id="863"/>
      <w:bookmarkEnd w:id="864"/>
      <w:bookmarkEnd w:id="865"/>
      <w:bookmarkEnd w:id="866"/>
      <w:bookmarkEnd w:id="867"/>
      <w:bookmarkEnd w:id="868"/>
      <w:bookmarkEnd w:id="869"/>
      <w:bookmarkEnd w:id="870"/>
      <w:bookmarkEnd w:id="871"/>
    </w:p>
    <w:p w14:paraId="52884B2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施工期污染以扬尘废气和机械尾气、施工废水、机械和运输车辆噪声、建筑垃圾及弃土等固体废物为主，并可伴随着小部分水土流失。施工期应采取相应的防治措施，防止项目施工时造成环境污染。</w:t>
      </w:r>
    </w:p>
    <w:p w14:paraId="47B90D27">
      <w:pPr>
        <w:pStyle w:val="7"/>
        <w:bidi w:val="0"/>
        <w:rPr>
          <w:rFonts w:hint="default"/>
          <w:highlight w:val="none"/>
        </w:rPr>
      </w:pPr>
      <w:bookmarkStart w:id="874" w:name="_Toc200162814"/>
      <w:bookmarkStart w:id="875" w:name="_Toc201330163"/>
      <w:bookmarkStart w:id="876" w:name="_Toc204572392"/>
      <w:bookmarkStart w:id="877" w:name="_Toc27964"/>
      <w:bookmarkStart w:id="878" w:name="_Toc225741622"/>
      <w:bookmarkStart w:id="879" w:name="_Toc203113620"/>
      <w:bookmarkStart w:id="880" w:name="_Toc200162117"/>
      <w:bookmarkStart w:id="881" w:name="_Toc25787"/>
      <w:bookmarkStart w:id="882" w:name="_Toc15085"/>
      <w:bookmarkStart w:id="883" w:name="_Toc200952545"/>
      <w:bookmarkStart w:id="884" w:name="_Toc4420"/>
      <w:bookmarkStart w:id="885" w:name="_Toc203373353"/>
      <w:r>
        <w:rPr>
          <w:rFonts w:hint="default"/>
          <w:highlight w:val="none"/>
        </w:rPr>
        <w:t>6.1.1水污染防治措施</w:t>
      </w:r>
      <w:bookmarkEnd w:id="874"/>
      <w:bookmarkEnd w:id="875"/>
      <w:bookmarkEnd w:id="876"/>
      <w:bookmarkEnd w:id="877"/>
      <w:bookmarkEnd w:id="878"/>
      <w:bookmarkEnd w:id="879"/>
      <w:bookmarkEnd w:id="880"/>
      <w:bookmarkEnd w:id="881"/>
      <w:bookmarkEnd w:id="882"/>
      <w:bookmarkEnd w:id="883"/>
      <w:bookmarkEnd w:id="884"/>
      <w:bookmarkEnd w:id="885"/>
    </w:p>
    <w:p w14:paraId="2632242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工程施工期间，严禁污水乱排和污染农田环境等。</w:t>
      </w:r>
    </w:p>
    <w:p w14:paraId="22C6C1D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同时应做好建筑材料和建筑废料的管理，避免地面水体二次污染。在施工过程中不对机械设备的检修及冲洗，以防止设备漏油现象的发生；施工机械设备的维修应在专业厂家进行，防止施工现场地表油类污染。</w:t>
      </w:r>
    </w:p>
    <w:p w14:paraId="0167CFA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rPr>
        <w:t>施工人员生活污水</w:t>
      </w:r>
      <w:r>
        <w:rPr>
          <w:rFonts w:hint="default" w:ascii="Times New Roman" w:hAnsi="Times New Roman" w:cs="Times New Roman"/>
          <w:snapToGrid w:val="0"/>
          <w:color w:val="auto"/>
          <w:highlight w:val="none"/>
          <w:lang w:val="en-US" w:eastAsia="zh-CN"/>
        </w:rPr>
        <w:t>排入黑膜厌氧池</w:t>
      </w:r>
      <w:r>
        <w:rPr>
          <w:rFonts w:hint="default" w:ascii="Times New Roman" w:hAnsi="Times New Roman" w:cs="Times New Roman"/>
          <w:snapToGrid w:val="0"/>
          <w:color w:val="auto"/>
          <w:highlight w:val="none"/>
        </w:rPr>
        <w:t>。</w:t>
      </w:r>
      <w:r>
        <w:rPr>
          <w:rFonts w:hint="default" w:ascii="Times New Roman" w:hAnsi="Times New Roman" w:eastAsia="宋体" w:cs="Times New Roman"/>
          <w:snapToGrid w:val="0"/>
          <w:color w:val="auto"/>
          <w:highlight w:val="none"/>
        </w:rPr>
        <w:t>施工现场设置临时沉淀池，施工废水经沉淀后上清液用于施工场地和道路洒水降尘，因此，施工期无施工废水排放到环境水体。本项目施工内容较少，施工期持续时间短，施工过程中产生的废水对周围环境不会造成影响。</w:t>
      </w:r>
    </w:p>
    <w:p w14:paraId="44A61592">
      <w:pPr>
        <w:pStyle w:val="7"/>
        <w:bidi w:val="0"/>
        <w:rPr>
          <w:rFonts w:hint="default"/>
          <w:highlight w:val="none"/>
        </w:rPr>
      </w:pPr>
      <w:bookmarkStart w:id="886" w:name="_Toc15071"/>
      <w:bookmarkStart w:id="887" w:name="_Toc203373354"/>
      <w:bookmarkStart w:id="888" w:name="_Toc19989"/>
      <w:bookmarkStart w:id="889" w:name="_Toc4994"/>
      <w:bookmarkStart w:id="890" w:name="_Toc29703"/>
      <w:bookmarkStart w:id="891" w:name="_Toc200162118"/>
      <w:bookmarkStart w:id="892" w:name="_Toc203113621"/>
      <w:bookmarkStart w:id="893" w:name="_Toc200162815"/>
      <w:bookmarkStart w:id="894" w:name="_Toc201330164"/>
      <w:bookmarkStart w:id="895" w:name="_Toc225741623"/>
      <w:bookmarkStart w:id="896" w:name="_Toc200952546"/>
      <w:bookmarkStart w:id="897" w:name="_Toc204572393"/>
      <w:r>
        <w:rPr>
          <w:rFonts w:hint="default"/>
          <w:highlight w:val="none"/>
        </w:rPr>
        <w:t>6.1.2大气污染防治措施</w:t>
      </w:r>
      <w:bookmarkEnd w:id="886"/>
      <w:bookmarkEnd w:id="887"/>
      <w:bookmarkEnd w:id="888"/>
      <w:bookmarkEnd w:id="889"/>
      <w:bookmarkEnd w:id="890"/>
      <w:bookmarkEnd w:id="891"/>
      <w:bookmarkEnd w:id="892"/>
      <w:bookmarkEnd w:id="893"/>
      <w:bookmarkEnd w:id="894"/>
      <w:bookmarkEnd w:id="895"/>
      <w:bookmarkEnd w:id="896"/>
      <w:bookmarkEnd w:id="897"/>
    </w:p>
    <w:p w14:paraId="3B59B15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（1）扬尘控制</w:t>
      </w:r>
    </w:p>
    <w:p w14:paraId="065B42C3">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为使施工过程中产生的扬尘对周围环境空气的影响降低到最小程度，建议采取以下防护措施：</w:t>
      </w:r>
    </w:p>
    <w:p w14:paraId="2EBA2E8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①</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施工期间应加强环境管理，贯彻边施工、边防治的原则。</w:t>
      </w:r>
    </w:p>
    <w:p w14:paraId="1062D7E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②</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施工现场只存放用于回填的土方量，多余的土方要及时运走，干燥季节要适时的对现场存放的土方洒水，保持其表面潮湿，以避免扬尘。</w:t>
      </w:r>
    </w:p>
    <w:p w14:paraId="702B71F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施工现场道路要做到路面硬化，经常清扫路面，干旱季节要定时洒水，保持路面湿润。</w:t>
      </w:r>
    </w:p>
    <w:p w14:paraId="1F988FB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运输白灰、水泥、土方、施工垃圾等易产生扬尘的车辆要密闭处理，或采取其它措施，以避免沿途散落。</w:t>
      </w:r>
    </w:p>
    <w:p w14:paraId="589FD75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5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⑤</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出工地的车辆要对车轮进行清洗或清扫。</w:t>
      </w:r>
    </w:p>
    <w:p w14:paraId="797D5F5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6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⑥</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主要施工现场要围挡或部分围挡，以减少施工扬尘的扩散范围，减轻扬尘对周围环境的污染。</w:t>
      </w:r>
    </w:p>
    <w:p w14:paraId="3E1FEF7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7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⑦</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施工结束时，应及时对施工占用场地进行恢复。</w:t>
      </w:r>
    </w:p>
    <w:p w14:paraId="306011E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围挡起直接阻挡扬尘飞扬的作用，洒水可降低施工扬尘的起尘量，经上述治理后，施工期产生的扬尘满足《大气污染物综合排放标准》（GB16297-1996）表2中无组织排放监控浓度限值。</w:t>
      </w:r>
    </w:p>
    <w:p w14:paraId="45E2177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（2）车辆尾气</w:t>
      </w:r>
    </w:p>
    <w:p w14:paraId="4B3CF35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做好施工现场的交通组织，施工道路硬化路面，保持路面平整，同时减少运输车辆怠速产生的废气排放。项目运输车辆定期检修，汽车尾气能够达标排放。项目场区占地面积较大，远离居民区，项目汽车尾气不会对施工区大气环境产生较大影响。</w:t>
      </w:r>
    </w:p>
    <w:p w14:paraId="7D6D49F7">
      <w:pPr>
        <w:pStyle w:val="7"/>
        <w:bidi w:val="0"/>
        <w:rPr>
          <w:rFonts w:hint="default"/>
          <w:highlight w:val="none"/>
        </w:rPr>
      </w:pPr>
      <w:bookmarkStart w:id="898" w:name="_Toc19336"/>
      <w:bookmarkStart w:id="899" w:name="_Toc23554"/>
      <w:bookmarkStart w:id="900" w:name="_Toc200162119"/>
      <w:bookmarkStart w:id="901" w:name="_Toc11212"/>
      <w:bookmarkStart w:id="902" w:name="_Toc200952547"/>
      <w:bookmarkStart w:id="903" w:name="_Toc225741624"/>
      <w:bookmarkStart w:id="904" w:name="_Toc23400"/>
      <w:bookmarkStart w:id="905" w:name="_Toc204572394"/>
      <w:bookmarkStart w:id="906" w:name="_Toc200162816"/>
      <w:bookmarkStart w:id="907" w:name="_Toc201330165"/>
      <w:bookmarkStart w:id="908" w:name="_Toc203113622"/>
      <w:bookmarkStart w:id="909" w:name="_Toc203373355"/>
      <w:r>
        <w:rPr>
          <w:rFonts w:hint="default"/>
          <w:highlight w:val="none"/>
        </w:rPr>
        <w:t>6.1.3噪声污染防治措施</w:t>
      </w:r>
      <w:bookmarkEnd w:id="898"/>
      <w:bookmarkEnd w:id="899"/>
      <w:bookmarkEnd w:id="900"/>
      <w:bookmarkEnd w:id="901"/>
      <w:bookmarkEnd w:id="902"/>
      <w:bookmarkEnd w:id="903"/>
      <w:bookmarkEnd w:id="904"/>
      <w:bookmarkEnd w:id="905"/>
      <w:bookmarkEnd w:id="906"/>
      <w:bookmarkEnd w:id="907"/>
      <w:bookmarkEnd w:id="908"/>
      <w:bookmarkEnd w:id="909"/>
    </w:p>
    <w:p w14:paraId="729775A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施工期间的噪声污染主要来自于施工机械作业产生的噪声和运输车辆产生的交通噪声。</w:t>
      </w:r>
    </w:p>
    <w:p w14:paraId="2246E30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本项目施工区距离噪声环境敏感点较远，施工期噪声不会对于区环境造成较大影响。为保证施工场界噪声达标排放，提出以下防治措施：</w:t>
      </w:r>
    </w:p>
    <w:p w14:paraId="1807CD7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合理安排施工计划和施工机械设备组合以及施工时间，避免在同一时间集中使用大量的动力机械设备，对产生高噪声设备尽量安排在白天使用，合理安排高噪声设备远离敏感目标作业，同时夜间（22:00～6:00）不使用噪声设备。</w:t>
      </w:r>
    </w:p>
    <w:p w14:paraId="19D13A8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对项目的施工进行合理布局，尽量将高噪声的机械设备安装在施工场区中部，远离边界。此外，尽量选用低噪声机械设备或带隔声、消声的设备，对产生噪声的施工设备加强维护和维修工作，亦对噪声有良好作用。</w:t>
      </w:r>
    </w:p>
    <w:p w14:paraId="36CF278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项目运输路线经过道路沿线两侧村屯时，应加强现场货物的运输管理，在运输车辆经过居民点时，尽量减速慢行，居民区内禁止鸣笛，禁止在中午（12:00-14:00）和夜间（22:00-6:00）经过居民点运输，以免影响沿途居民的正常生活。</w:t>
      </w:r>
    </w:p>
    <w:p w14:paraId="448541C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经上述治理后，项目施工期产生的场界噪声能够满足《</w:t>
      </w:r>
      <w:r>
        <w:rPr>
          <w:rFonts w:hint="eastAsia" w:ascii="Times New Roman" w:hAnsi="Times New Roman" w:cs="Times New Roman"/>
          <w:snapToGrid w:val="0"/>
          <w:color w:val="auto"/>
          <w:highlight w:val="none"/>
          <w:lang w:eastAsia="zh-CN"/>
        </w:rPr>
        <w:t>建筑施工噪声排放标准</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eastAsia="zh-CN"/>
        </w:rPr>
        <w:t>GB12523-2025</w:t>
      </w:r>
      <w:r>
        <w:rPr>
          <w:rFonts w:hint="default" w:ascii="Times New Roman" w:hAnsi="Times New Roman" w:eastAsia="宋体" w:cs="Times New Roman"/>
          <w:snapToGrid w:val="0"/>
          <w:color w:val="auto"/>
          <w:highlight w:val="none"/>
        </w:rPr>
        <w:t>）中要求。</w:t>
      </w:r>
    </w:p>
    <w:p w14:paraId="39F18D93">
      <w:pPr>
        <w:pStyle w:val="7"/>
        <w:bidi w:val="0"/>
        <w:rPr>
          <w:rFonts w:hint="default"/>
          <w:highlight w:val="none"/>
        </w:rPr>
      </w:pPr>
      <w:bookmarkStart w:id="910" w:name="_Toc200162120"/>
      <w:bookmarkStart w:id="911" w:name="_Toc200952548"/>
      <w:bookmarkStart w:id="912" w:name="_Toc200162817"/>
      <w:bookmarkStart w:id="913" w:name="_Toc204572395"/>
      <w:bookmarkStart w:id="914" w:name="_Toc201330166"/>
      <w:bookmarkStart w:id="915" w:name="_Toc225741625"/>
      <w:bookmarkStart w:id="916" w:name="_Toc6754"/>
      <w:bookmarkStart w:id="917" w:name="_Toc12331"/>
      <w:bookmarkStart w:id="918" w:name="_Toc23036"/>
      <w:bookmarkStart w:id="919" w:name="_Toc25719"/>
      <w:bookmarkStart w:id="920" w:name="_Toc203113623"/>
      <w:bookmarkStart w:id="921" w:name="_Toc203373356"/>
      <w:r>
        <w:rPr>
          <w:rFonts w:hint="default"/>
          <w:highlight w:val="none"/>
        </w:rPr>
        <w:t>6.1.4固体废物污染防治措施</w:t>
      </w:r>
      <w:bookmarkEnd w:id="910"/>
      <w:bookmarkEnd w:id="911"/>
      <w:bookmarkEnd w:id="912"/>
      <w:bookmarkEnd w:id="913"/>
      <w:bookmarkEnd w:id="914"/>
      <w:bookmarkEnd w:id="915"/>
      <w:bookmarkEnd w:id="916"/>
      <w:bookmarkEnd w:id="917"/>
      <w:bookmarkEnd w:id="918"/>
      <w:bookmarkEnd w:id="919"/>
      <w:bookmarkEnd w:id="920"/>
      <w:bookmarkEnd w:id="921"/>
    </w:p>
    <w:p w14:paraId="1E84F41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间在运输和转运各种建筑材料（如砂石、水泥、砖、木材等）时，将产生一定量建筑垃圾。废弃垃圾中钢筋、木材、废纸板等可以回收利用，混凝土块、砖瓦、弃渣等送至市政管理部门指定地点，多余土方回填外平整场地，无弃土产生。建筑垃圾严禁随意抛弃倾倒。</w:t>
      </w:r>
    </w:p>
    <w:p w14:paraId="061FB69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施工生活区内设置垃圾箱（桶）内，施工人员的生活垃圾也及时收集到指定的由当地环卫部门统一及时清运处理。</w:t>
      </w:r>
    </w:p>
    <w:p w14:paraId="3F84B2C7">
      <w:pPr>
        <w:pStyle w:val="7"/>
        <w:bidi w:val="0"/>
        <w:rPr>
          <w:rFonts w:hint="default"/>
          <w:highlight w:val="none"/>
        </w:rPr>
      </w:pPr>
      <w:bookmarkStart w:id="922" w:name="_Toc200162121"/>
      <w:bookmarkStart w:id="923" w:name="_Toc203373357"/>
      <w:bookmarkStart w:id="924" w:name="_Toc201330167"/>
      <w:bookmarkStart w:id="925" w:name="_Toc8035"/>
      <w:bookmarkStart w:id="926" w:name="_Toc200952549"/>
      <w:bookmarkStart w:id="927" w:name="_Toc225741626"/>
      <w:bookmarkStart w:id="928" w:name="_Toc203113624"/>
      <w:bookmarkStart w:id="929" w:name="_Toc204572396"/>
      <w:bookmarkStart w:id="930" w:name="_Toc23339"/>
      <w:bookmarkStart w:id="931" w:name="_Toc24863"/>
      <w:bookmarkStart w:id="932" w:name="_Toc16700"/>
      <w:bookmarkStart w:id="933" w:name="_Toc200162818"/>
      <w:r>
        <w:rPr>
          <w:rFonts w:hint="default"/>
          <w:highlight w:val="none"/>
        </w:rPr>
        <w:t>6.1.5生态保护减缓措施</w:t>
      </w:r>
      <w:bookmarkEnd w:id="922"/>
      <w:bookmarkEnd w:id="923"/>
      <w:bookmarkEnd w:id="924"/>
      <w:bookmarkEnd w:id="925"/>
      <w:bookmarkEnd w:id="926"/>
      <w:bookmarkEnd w:id="927"/>
      <w:bookmarkEnd w:id="928"/>
      <w:bookmarkEnd w:id="929"/>
      <w:bookmarkEnd w:id="930"/>
      <w:bookmarkEnd w:id="931"/>
      <w:bookmarkEnd w:id="932"/>
      <w:bookmarkEnd w:id="933"/>
    </w:p>
    <w:p w14:paraId="272EA68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建设期的生态影响主要是土地平整及土方挖运施工导致的水土流失，工程应加强施工道路的路面建设，创造施工场地良好的排水条件，减少雨水冲刷和停留时间，从而达到减少水土流失的目的。</w:t>
      </w:r>
    </w:p>
    <w:p w14:paraId="7BA5E06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（1）在有植被处施工时，将表土和深土分别堆放，施工后分层回填并恢复地貌。</w:t>
      </w:r>
    </w:p>
    <w:p w14:paraId="140E585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（2）在道路施工时，渣土应及时清运，完工后恢复道路两侧绿地。</w:t>
      </w:r>
    </w:p>
    <w:p w14:paraId="29383C6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（3）应注意选择施工季节，避免雨天施工，防止在暴雨期间造成大量水土流失。</w:t>
      </w:r>
    </w:p>
    <w:p w14:paraId="15AD21B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（4）施工时弃土尽量回用，直接送至填方处堆存，减少倒运次数，可减轻水土流失。施工结束后立即进行地表植被恢复，减少水土流失和扬尘污染。</w:t>
      </w:r>
    </w:p>
    <w:p w14:paraId="287BA3D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施工期应把剥离的表层腐殖土集中妥善存放，并采取遮挡措施，对挖方进行妥善的临时堆置，并及时进行基坑开挖弃方的清运，避免随意排放，以确保挖填裸露堆土，不被雨水冲刷，避免造成水土流失，施工结束后，挖方回填，恢复地表植被。</w:t>
      </w:r>
    </w:p>
    <w:p w14:paraId="6BA0C38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（6）加强对施工人员生态环境方面知识的教育，加强管理，增强对生态环境保护的意识和观念，并使施工人员变为自觉行为。</w:t>
      </w:r>
    </w:p>
    <w:p w14:paraId="22AD17E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项目占地类型为</w:t>
      </w:r>
      <w:r>
        <w:rPr>
          <w:rFonts w:hint="eastAsia" w:ascii="Times New Roman" w:hAnsi="Times New Roman" w:cs="Times New Roman"/>
          <w:snapToGrid w:val="0"/>
          <w:color w:val="auto"/>
          <w:highlight w:val="none"/>
          <w:lang w:eastAsia="zh-CN"/>
        </w:rPr>
        <w:t>设施农用地</w:t>
      </w:r>
      <w:r>
        <w:rPr>
          <w:rFonts w:hint="default" w:ascii="Times New Roman" w:hAnsi="Times New Roman" w:eastAsia="宋体" w:cs="Times New Roman"/>
          <w:color w:val="auto"/>
          <w:highlight w:val="none"/>
        </w:rPr>
        <w:t>，无国家和地方保护物种，运行期将最大程度减缓对生态环境的影响。</w:t>
      </w:r>
    </w:p>
    <w:p w14:paraId="200CC4B2">
      <w:pPr>
        <w:pStyle w:val="5"/>
        <w:bidi w:val="0"/>
        <w:rPr>
          <w:rFonts w:hint="default"/>
          <w:highlight w:val="none"/>
        </w:rPr>
      </w:pPr>
      <w:bookmarkStart w:id="934" w:name="_Toc480447675"/>
      <w:bookmarkStart w:id="935" w:name="_Toc8204"/>
      <w:bookmarkStart w:id="936" w:name="_Toc25864"/>
      <w:bookmarkStart w:id="937" w:name="_Toc8062"/>
      <w:bookmarkStart w:id="938" w:name="_Toc277178440"/>
      <w:bookmarkStart w:id="939" w:name="_Toc255202309"/>
      <w:bookmarkStart w:id="940" w:name="_Toc3916"/>
      <w:bookmarkStart w:id="941" w:name="_Toc14114"/>
      <w:r>
        <w:rPr>
          <w:rFonts w:hint="default"/>
          <w:highlight w:val="none"/>
        </w:rPr>
        <w:t>6.2运营期污染防治措施</w:t>
      </w:r>
      <w:bookmarkEnd w:id="934"/>
      <w:bookmarkEnd w:id="935"/>
      <w:bookmarkEnd w:id="936"/>
      <w:bookmarkEnd w:id="937"/>
      <w:bookmarkEnd w:id="938"/>
      <w:bookmarkEnd w:id="939"/>
      <w:bookmarkEnd w:id="940"/>
      <w:bookmarkEnd w:id="941"/>
    </w:p>
    <w:bookmarkEnd w:id="872"/>
    <w:bookmarkEnd w:id="873"/>
    <w:p w14:paraId="26EB7CD1">
      <w:pPr>
        <w:pStyle w:val="94"/>
        <w:ind w:firstLine="480"/>
        <w:rPr>
          <w:rFonts w:hint="default" w:ascii="Times New Roman" w:hAnsi="Times New Roman" w:eastAsia="宋体" w:cs="Times New Roman"/>
          <w:color w:val="auto"/>
          <w:highlight w:val="none"/>
          <w:lang w:val="en-US" w:eastAsia="zh-CN"/>
        </w:rPr>
      </w:pPr>
      <w:bookmarkStart w:id="942" w:name="_Toc83525151"/>
      <w:bookmarkStart w:id="943" w:name="_Toc74537250"/>
      <w:bookmarkStart w:id="944" w:name="_Toc98920175"/>
      <w:r>
        <w:rPr>
          <w:rFonts w:hint="default" w:ascii="Times New Roman" w:hAnsi="Times New Roman" w:eastAsia="宋体" w:cs="Times New Roman"/>
          <w:color w:val="auto"/>
          <w:highlight w:val="none"/>
          <w:lang w:val="en-US" w:eastAsia="zh-CN"/>
        </w:rPr>
        <w:t>本项目大气污染物主要为猪舍、</w:t>
      </w:r>
      <w:r>
        <w:rPr>
          <w:rFonts w:hint="eastAsia" w:ascii="Times New Roman" w:hAnsi="Times New Roman" w:cs="Times New Roman"/>
          <w:color w:val="auto"/>
          <w:highlight w:val="none"/>
          <w:lang w:val="en-US" w:eastAsia="zh-CN"/>
        </w:rPr>
        <w:t>黑膜厌氧池</w:t>
      </w:r>
      <w:r>
        <w:rPr>
          <w:rFonts w:hint="default" w:ascii="Times New Roman" w:hAnsi="Times New Roman" w:eastAsia="宋体" w:cs="Times New Roman"/>
          <w:color w:val="auto"/>
          <w:highlight w:val="none"/>
          <w:lang w:val="en-US" w:eastAsia="zh-CN"/>
        </w:rPr>
        <w:t>、沼液贮存池</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固液分离间及</w:t>
      </w:r>
      <w:r>
        <w:rPr>
          <w:rFonts w:hint="eastAsia" w:ascii="Times New Roman" w:hAnsi="Times New Roman" w:cs="Times New Roman"/>
          <w:color w:val="auto"/>
          <w:highlight w:val="none"/>
          <w:lang w:val="en-US" w:eastAsia="zh-CN"/>
        </w:rPr>
        <w:t>干粪堆积场</w:t>
      </w:r>
      <w:r>
        <w:rPr>
          <w:rFonts w:hint="default" w:ascii="Times New Roman" w:hAnsi="Times New Roman" w:eastAsia="宋体" w:cs="Times New Roman"/>
          <w:color w:val="auto"/>
          <w:highlight w:val="none"/>
          <w:lang w:val="en-US" w:eastAsia="zh-CN"/>
        </w:rPr>
        <w:t>等产生的恶臭，沼气火炬废气。</w:t>
      </w:r>
      <w:bookmarkStart w:id="945" w:name="_Toc14676"/>
      <w:bookmarkStart w:id="946" w:name="_Toc490466520"/>
      <w:bookmarkStart w:id="947" w:name="_Toc7552"/>
    </w:p>
    <w:p w14:paraId="005CD931">
      <w:pPr>
        <w:pStyle w:val="7"/>
        <w:bidi w:val="0"/>
        <w:rPr>
          <w:rFonts w:hint="default"/>
          <w:highlight w:val="none"/>
          <w:lang w:val="en-US" w:eastAsia="zh-CN"/>
        </w:rPr>
      </w:pPr>
      <w:bookmarkStart w:id="948" w:name="_Toc2551"/>
      <w:bookmarkStart w:id="949" w:name="_Toc25330"/>
      <w:bookmarkStart w:id="950" w:name="_Toc13058"/>
      <w:bookmarkStart w:id="951" w:name="_Toc9924"/>
      <w:r>
        <w:rPr>
          <w:rFonts w:hint="default"/>
          <w:highlight w:val="none"/>
        </w:rPr>
        <w:t>6.2.</w:t>
      </w:r>
      <w:r>
        <w:rPr>
          <w:rFonts w:hint="default"/>
          <w:highlight w:val="none"/>
          <w:lang w:val="en-US" w:eastAsia="zh-CN"/>
        </w:rPr>
        <w:t>1</w:t>
      </w:r>
      <w:r>
        <w:rPr>
          <w:rFonts w:hint="default"/>
          <w:highlight w:val="none"/>
        </w:rPr>
        <w:t xml:space="preserve"> </w:t>
      </w:r>
      <w:bookmarkEnd w:id="945"/>
      <w:bookmarkEnd w:id="946"/>
      <w:bookmarkEnd w:id="947"/>
      <w:r>
        <w:rPr>
          <w:rFonts w:hint="default"/>
          <w:highlight w:val="none"/>
          <w:lang w:val="en-US" w:eastAsia="zh-CN"/>
        </w:rPr>
        <w:t>废</w:t>
      </w:r>
      <w:r>
        <w:rPr>
          <w:rFonts w:hint="default"/>
          <w:highlight w:val="none"/>
        </w:rPr>
        <w:t>气污染防治措施</w:t>
      </w:r>
      <w:bookmarkEnd w:id="948"/>
      <w:bookmarkEnd w:id="949"/>
      <w:bookmarkEnd w:id="950"/>
      <w:bookmarkEnd w:id="951"/>
    </w:p>
    <w:p w14:paraId="662D720A">
      <w:pPr>
        <w:pStyle w:val="8"/>
        <w:bidi w:val="0"/>
        <w:rPr>
          <w:rFonts w:hint="default"/>
          <w:highlight w:val="none"/>
          <w:lang w:val="en-US" w:eastAsia="zh-CN"/>
        </w:rPr>
      </w:pPr>
      <w:bookmarkStart w:id="952" w:name="_Toc14697"/>
      <w:bookmarkStart w:id="953" w:name="_Toc9827"/>
      <w:r>
        <w:rPr>
          <w:rFonts w:hint="default"/>
          <w:highlight w:val="none"/>
          <w:lang w:val="en-US" w:eastAsia="zh-CN"/>
        </w:rPr>
        <w:t xml:space="preserve">6.2.1.1 </w:t>
      </w:r>
      <w:bookmarkEnd w:id="952"/>
      <w:bookmarkEnd w:id="953"/>
      <w:r>
        <w:rPr>
          <w:rFonts w:hint="default"/>
          <w:highlight w:val="none"/>
          <w:lang w:val="en-US" w:eastAsia="zh-CN"/>
        </w:rPr>
        <w:t>恶臭污染防治措施</w:t>
      </w:r>
    </w:p>
    <w:p w14:paraId="7F51EF47">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一、猪舍、</w:t>
      </w:r>
      <w:r>
        <w:rPr>
          <w:rFonts w:hint="eastAsia" w:ascii="Times New Roman" w:hAnsi="Times New Roman"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、沼液贮存池</w:t>
      </w:r>
      <w:r>
        <w:rPr>
          <w:rFonts w:hint="eastAsia"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固液分离间及</w:t>
      </w:r>
      <w:r>
        <w:rPr>
          <w:rFonts w:hint="eastAsia" w:ascii="Times New Roman" w:hAnsi="Times New Roman" w:cs="Times New Roman"/>
          <w:color w:val="auto"/>
          <w:kern w:val="0"/>
          <w:sz w:val="24"/>
          <w:szCs w:val="24"/>
          <w:highlight w:val="none"/>
          <w:lang w:val="en-US" w:eastAsia="zh-CN" w:bidi="ar-SA"/>
        </w:rPr>
        <w:t>干粪堆积场</w:t>
      </w:r>
      <w:r>
        <w:rPr>
          <w:rFonts w:hint="default" w:ascii="Times New Roman" w:hAnsi="Times New Roman" w:eastAsia="宋体" w:cs="Times New Roman"/>
          <w:color w:val="auto"/>
          <w:kern w:val="0"/>
          <w:sz w:val="24"/>
          <w:szCs w:val="24"/>
          <w:highlight w:val="none"/>
          <w:lang w:val="en-US" w:eastAsia="zh-CN" w:bidi="ar-SA"/>
        </w:rPr>
        <w:t>等恶臭污染防治措施</w:t>
      </w:r>
    </w:p>
    <w:p w14:paraId="1BB7C21A">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本项目总体布局，将本项目恶臭气体污染源分为二个区域，分别为养殖区及粪污治理区。养殖区包括猪舍（配种舍、分娩舍、保育舍、后备舍）以及其他相应配套设施。粪污治理区包括干粪堆积场、黑膜厌氧池</w:t>
      </w:r>
      <w:r>
        <w:rPr>
          <w:rFonts w:hint="eastAsia" w:ascii="Times New Roman" w:hAnsi="Times New Roman" w:cs="Times New Roman"/>
          <w:color w:val="auto"/>
          <w:kern w:val="0"/>
          <w:sz w:val="24"/>
          <w:szCs w:val="24"/>
          <w:highlight w:val="none"/>
          <w:lang w:val="en-US" w:eastAsia="zh-CN" w:bidi="ar-SA"/>
        </w:rPr>
        <w:t>、沼液贮存池</w:t>
      </w:r>
      <w:r>
        <w:rPr>
          <w:rFonts w:hint="default" w:ascii="Times New Roman" w:hAnsi="Times New Roman" w:eastAsia="宋体" w:cs="Times New Roman"/>
          <w:color w:val="auto"/>
          <w:kern w:val="0"/>
          <w:sz w:val="24"/>
          <w:szCs w:val="24"/>
          <w:highlight w:val="none"/>
          <w:lang w:val="en-US" w:eastAsia="zh-CN" w:bidi="ar-SA"/>
        </w:rPr>
        <w:t>。</w:t>
      </w:r>
    </w:p>
    <w:p w14:paraId="6D5D4A9D">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针对养殖区</w:t>
      </w:r>
      <w:r>
        <w:rPr>
          <w:rFonts w:hint="eastAsia" w:ascii="Times New Roman" w:hAnsi="Times New Roman" w:cs="Times New Roman"/>
          <w:color w:val="auto"/>
          <w:kern w:val="0"/>
          <w:sz w:val="24"/>
          <w:szCs w:val="24"/>
          <w:highlight w:val="none"/>
          <w:lang w:val="en-US" w:eastAsia="zh-CN" w:bidi="ar-SA"/>
        </w:rPr>
        <w:t>、粪污治理区</w:t>
      </w:r>
      <w:r>
        <w:rPr>
          <w:rFonts w:hint="default" w:ascii="Times New Roman" w:hAnsi="Times New Roman" w:eastAsia="宋体" w:cs="Times New Roman"/>
          <w:color w:val="auto"/>
          <w:kern w:val="0"/>
          <w:sz w:val="24"/>
          <w:szCs w:val="24"/>
          <w:highlight w:val="none"/>
          <w:lang w:val="en-US" w:eastAsia="zh-CN" w:bidi="ar-SA"/>
        </w:rPr>
        <w:t>产生的恶臭气体建议采取的恶臭处理措施如下：</w:t>
      </w:r>
    </w:p>
    <w:p w14:paraId="08AE83D5">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1、及时清理</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舍中的粪便</w:t>
      </w:r>
    </w:p>
    <w:p w14:paraId="0D0AC65C">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（1）有资料表明，温度高时恶臭气体浓度高，</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粪在1～2周后发酵较快，粪便暴露面积大的发酵率高。因此</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舍应全部进行地面硬化，并在</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舍内加强通风，可减少</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粪污染。</w:t>
      </w:r>
    </w:p>
    <w:p w14:paraId="0E01CF6D">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（2）为防止蚊蝇孳生，应根据蚊蝇生活习性，采用人工、机械配合喷药的方法预防蚊蝇孳生。</w:t>
      </w:r>
    </w:p>
    <w:p w14:paraId="0D206E86">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（3）加强</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舍与饲料堆放地的灭鼠工作，预防疾病的传播。</w:t>
      </w:r>
    </w:p>
    <w:p w14:paraId="48E4249A">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2、在</w:t>
      </w:r>
      <w:r>
        <w:rPr>
          <w:rFonts w:hint="eastAsia" w:ascii="Times New Roman" w:hAnsi="Times New Roman" w:cs="Times New Roman"/>
          <w:color w:val="auto"/>
          <w:sz w:val="24"/>
          <w:highlight w:val="none"/>
          <w:lang w:eastAsia="zh-CN"/>
        </w:rPr>
        <w:t>尿泡粪—干清粪</w:t>
      </w:r>
      <w:r>
        <w:rPr>
          <w:rFonts w:hint="default" w:ascii="Times New Roman" w:hAnsi="Times New Roman" w:eastAsia="宋体" w:cs="Times New Roman"/>
          <w:color w:val="auto"/>
          <w:sz w:val="24"/>
          <w:highlight w:val="none"/>
        </w:rPr>
        <w:t>后对</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舍的地面要进行及时清洗。</w:t>
      </w:r>
    </w:p>
    <w:p w14:paraId="2698D99A">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舍地面应具有一定坡度（一般为1.5%-3%），并设排水设施，确保清洗地面废水可以及时排出，不滞留产生恶臭。</w:t>
      </w:r>
    </w:p>
    <w:p w14:paraId="72D0439B">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3、强化</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舍消毒措施</w:t>
      </w:r>
    </w:p>
    <w:p w14:paraId="75FB467C">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（1）全部</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舍必须配备地面消毒设备，定期喷洒除臭剂。</w:t>
      </w:r>
    </w:p>
    <w:p w14:paraId="571BF40F">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（2）场区内应设有车辆清洗消毒设施。</w:t>
      </w:r>
    </w:p>
    <w:p w14:paraId="4BF1C4CE">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4、科学的设计日粮（日粮中添加EM菌）、提高饲料利用率</w:t>
      </w:r>
    </w:p>
    <w:p w14:paraId="74B89DE9">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采食饲料后，饲料在消化道内消化过程中（尤其是后段肠道），因微生物腐败分解而产生臭气；同时没有消化吸收部分在体外被微生物降解，因此提高日粮的消化率、减少干物质（特别是蛋白质）排出量，既减少肠道臭气的产生，又可减少粪便排出后的臭气的产生，这是减少恶臭来源的有效措施。</w:t>
      </w:r>
    </w:p>
    <w:bookmarkEnd w:id="942"/>
    <w:bookmarkEnd w:id="943"/>
    <w:bookmarkEnd w:id="944"/>
    <w:p w14:paraId="278E1A49">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5、黑膜厌氧池全封闭</w:t>
      </w:r>
    </w:p>
    <w:p w14:paraId="5BB6B147">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本项目黑膜厌氧池顶部采取HDPE膜材料将整个黑膜厌氧池进行全封闭，减少恶臭污染物无组织逸散</w:t>
      </w:r>
      <w:r>
        <w:rPr>
          <w:rFonts w:hint="default" w:ascii="Times New Roman" w:hAnsi="Times New Roman" w:cs="Times New Roman"/>
          <w:color w:val="auto"/>
          <w:sz w:val="24"/>
          <w:highlight w:val="none"/>
          <w:lang w:eastAsia="zh-CN"/>
        </w:rPr>
        <w:t>。</w:t>
      </w:r>
    </w:p>
    <w:p w14:paraId="7594F0F3">
      <w:pPr>
        <w:adjustRightInd w:val="0"/>
        <w:snapToGrid w:val="0"/>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6、各工艺单元恶臭气体防治措施</w:t>
      </w:r>
    </w:p>
    <w:p w14:paraId="2A4B59BB">
      <w:pPr>
        <w:adjustRightInd w:val="0"/>
        <w:snapToGrid w:val="0"/>
        <w:spacing w:line="360" w:lineRule="auto"/>
        <w:ind w:firstLine="480" w:firstLineChars="2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①恶臭气体防治措施</w:t>
      </w:r>
    </w:p>
    <w:p w14:paraId="74707C72">
      <w:pPr>
        <w:pStyle w:val="94"/>
        <w:ind w:firstLine="48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猪舍采用</w:t>
      </w:r>
      <w:r>
        <w:rPr>
          <w:rFonts w:hint="eastAsia" w:ascii="Times New Roman" w:hAnsi="Times New Roman" w:cs="Times New Roman"/>
          <w:color w:val="auto"/>
          <w:sz w:val="24"/>
          <w:szCs w:val="24"/>
          <w:highlight w:val="none"/>
          <w:lang w:val="en-US" w:eastAsia="zh-CN"/>
        </w:rPr>
        <w:t>尿泡粪—干清粪</w:t>
      </w:r>
      <w:r>
        <w:rPr>
          <w:rFonts w:hint="default" w:ascii="Times New Roman" w:hAnsi="Times New Roman" w:cs="Times New Roman"/>
          <w:color w:val="auto"/>
          <w:sz w:val="24"/>
          <w:szCs w:val="24"/>
          <w:highlight w:val="none"/>
          <w:lang w:val="en-US" w:eastAsia="zh-CN"/>
        </w:rPr>
        <w:t>的清粪方式，及时清运粪污；在日粮中添加EM菌；定期喷洒生物除臭剂。臭气浓度满足《畜禽养殖业污染物排放标准》（GB18596-2001）中表7标准，硫化氢、氨在厂界浓度满足《恶臭污染物排放标准》（GB14554-93）表1中二级新改扩建标准。</w:t>
      </w:r>
    </w:p>
    <w:p w14:paraId="32849365">
      <w:pPr>
        <w:pStyle w:val="94"/>
        <w:ind w:firstLine="480"/>
        <w:rPr>
          <w:rFonts w:hint="default" w:ascii="Times New Roman" w:hAnsi="Times New Roman" w:cs="Times New Roman"/>
          <w:snapToGrid w:val="0"/>
          <w:color w:val="auto"/>
          <w:sz w:val="24"/>
          <w:szCs w:val="24"/>
          <w:highlight w:val="none"/>
          <w:lang w:val="en-US" w:eastAsia="zh-CN" w:bidi="ar"/>
        </w:rPr>
      </w:pP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bCs/>
          <w:snapToGrid w:val="0"/>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及时清运固体粪污；采用好氧堆肥方式；恶臭采用负压收集后（收集效率90%）进入活性炭吸附装置净化处理后（处理效率90%）经15米高排气筒排放，废气量为</w:t>
      </w:r>
      <w:r>
        <w:rPr>
          <w:rFonts w:hint="eastAsia" w:ascii="Times New Roman" w:hAnsi="Times New Roman" w:cs="Times New Roman"/>
          <w:color w:val="auto"/>
          <w:sz w:val="24"/>
          <w:szCs w:val="24"/>
          <w:highlight w:val="none"/>
          <w:lang w:val="en-US" w:eastAsia="zh-CN"/>
        </w:rPr>
        <w:t>5000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/h，减少恶臭气体对周围环境的影响</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H</w:t>
      </w:r>
      <w:r>
        <w:rPr>
          <w:rFonts w:hint="eastAsia" w:ascii="Times New Roman" w:hAnsi="Times New Roman" w:cs="Times New Roman"/>
          <w:b w:val="0"/>
          <w:bCs w:val="0"/>
          <w:smallCap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S、NH</w:t>
      </w:r>
      <w:r>
        <w:rPr>
          <w:rFonts w:hint="eastAsia" w:ascii="Times New Roman" w:hAnsi="Times New Roman" w:cs="Times New Roman"/>
          <w:b w:val="0"/>
          <w:bCs w:val="0"/>
          <w:smallCaps/>
          <w:snapToGrid w:val="0"/>
          <w:color w:val="auto"/>
          <w:kern w:val="0"/>
          <w:sz w:val="24"/>
          <w:szCs w:val="24"/>
          <w:highlight w:val="none"/>
          <w:vertAlign w:val="subscript"/>
          <w:lang w:val="en-US" w:eastAsia="zh-CN" w:bidi="ar-SA"/>
        </w:rPr>
        <w:t>3</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有</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组织排放浓度执行《恶臭污染物排放标准》（GB14554-93）表</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中</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恶臭污染物排放标准限值</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；运营期恶臭污染物H</w:t>
      </w:r>
      <w:r>
        <w:rPr>
          <w:rFonts w:hint="default" w:ascii="Times New Roman" w:hAnsi="Times New Roman" w:eastAsia="宋体" w:cs="Times New Roman"/>
          <w:b w:val="0"/>
          <w:bCs w:val="0"/>
          <w:smallCap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S、NH</w:t>
      </w:r>
      <w:r>
        <w:rPr>
          <w:rFonts w:hint="default" w:ascii="Times New Roman" w:hAnsi="Times New Roman" w:eastAsia="宋体" w:cs="Times New Roman"/>
          <w:b w:val="0"/>
          <w:bCs w:val="0"/>
          <w:smallCaps/>
          <w:snapToGrid w:val="0"/>
          <w:color w:val="auto"/>
          <w:kern w:val="0"/>
          <w:sz w:val="24"/>
          <w:szCs w:val="24"/>
          <w:highlight w:val="none"/>
          <w:vertAlign w:val="subscript"/>
          <w:lang w:val="en-US" w:eastAsia="zh-CN" w:bidi="ar-SA"/>
        </w:rPr>
        <w:t>3</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无组织排放浓度执行《恶臭污染物排放标准》（GB14554-93）表1中二级新扩改建标准限值</w:t>
      </w:r>
      <w:r>
        <w:rPr>
          <w:rFonts w:hint="default" w:ascii="Times New Roman" w:hAnsi="Times New Roman" w:cs="Times New Roman"/>
          <w:snapToGrid w:val="0"/>
          <w:color w:val="auto"/>
          <w:sz w:val="24"/>
          <w:szCs w:val="24"/>
          <w:highlight w:val="none"/>
          <w:lang w:val="en-US" w:eastAsia="zh-CN" w:bidi="ar"/>
        </w:rPr>
        <w:t>。</w:t>
      </w:r>
    </w:p>
    <w:p w14:paraId="21520F2F">
      <w:pPr>
        <w:pStyle w:val="94"/>
        <w:ind w:firstLine="480"/>
        <w:jc w:val="both"/>
        <w:rPr>
          <w:rFonts w:hint="default" w:ascii="Times New Roman" w:hAnsi="Times New Roman" w:cs="Times New Roman"/>
          <w:snapToGrid w:val="0"/>
          <w:color w:val="auto"/>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eastAsia="zh-CN" w:bidi="ar"/>
        </w:rPr>
        <w:t>固液分离间对处理设施进行封闭，定期</w:t>
      </w:r>
      <w:r>
        <w:rPr>
          <w:rFonts w:hint="default" w:ascii="Times New Roman" w:hAnsi="Times New Roman" w:eastAsia="宋体" w:cs="Times New Roman"/>
          <w:bCs/>
          <w:snapToGrid w:val="0"/>
          <w:color w:val="auto"/>
          <w:sz w:val="24"/>
          <w:szCs w:val="24"/>
          <w:highlight w:val="none"/>
        </w:rPr>
        <w:t>喷洒除臭剂</w:t>
      </w:r>
      <w:r>
        <w:rPr>
          <w:rFonts w:hint="eastAsia" w:ascii="Times New Roman" w:hAnsi="Times New Roman" w:cs="Times New Roman"/>
          <w:bCs/>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lang w:val="en-US" w:eastAsia="zh-CN" w:bidi="ar"/>
        </w:rPr>
        <w:t>黑膜厌氧池</w:t>
      </w:r>
      <w:r>
        <w:rPr>
          <w:rFonts w:hint="default" w:ascii="Times New Roman" w:hAnsi="Times New Roman" w:eastAsia="宋体" w:cs="Times New Roman"/>
          <w:snapToGrid w:val="0"/>
          <w:color w:val="auto"/>
          <w:kern w:val="0"/>
          <w:sz w:val="24"/>
          <w:szCs w:val="24"/>
          <w:highlight w:val="none"/>
          <w:lang w:val="en-US" w:eastAsia="zh-CN" w:bidi="ar"/>
        </w:rPr>
        <w:t>定期喷洒除臭剂</w:t>
      </w:r>
      <w:r>
        <w:rPr>
          <w:rFonts w:hint="default" w:ascii="Times New Roman" w:hAnsi="Times New Roman"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kern w:val="0"/>
          <w:sz w:val="24"/>
          <w:szCs w:val="24"/>
          <w:highlight w:val="none"/>
          <w:lang w:val="en-US" w:eastAsia="zh-CN" w:bidi="ar"/>
        </w:rPr>
        <w:t>黑膜厌氧池</w:t>
      </w:r>
      <w:r>
        <w:rPr>
          <w:rFonts w:hint="default" w:ascii="Times New Roman" w:hAnsi="Times New Roman" w:cs="Times New Roman"/>
          <w:snapToGrid w:val="0"/>
          <w:color w:val="auto"/>
          <w:kern w:val="0"/>
          <w:sz w:val="24"/>
          <w:szCs w:val="24"/>
          <w:highlight w:val="none"/>
          <w:lang w:val="en-US" w:eastAsia="zh-CN" w:bidi="ar"/>
        </w:rPr>
        <w:t>全封闭</w:t>
      </w:r>
      <w:r>
        <w:rPr>
          <w:rFonts w:hint="default" w:ascii="Times New Roman" w:hAnsi="Times New Roman" w:eastAsia="宋体"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640CD187">
      <w:pPr>
        <w:pStyle w:val="94"/>
        <w:ind w:firstLine="480"/>
        <w:jc w:val="both"/>
        <w:rPr>
          <w:rFonts w:hint="default" w:ascii="Times New Roman" w:hAnsi="Times New Roman" w:eastAsia="宋体" w:cs="Times New Roman"/>
          <w:snapToGrid w:val="0"/>
          <w:color w:val="auto"/>
          <w:sz w:val="24"/>
          <w:szCs w:val="24"/>
          <w:highlight w:val="none"/>
          <w:lang w:val="en-US" w:eastAsia="zh-CN" w:bidi="ar"/>
        </w:rPr>
      </w:pPr>
      <w:r>
        <w:rPr>
          <w:rFonts w:hint="default" w:ascii="Times New Roman" w:hAnsi="Times New Roman" w:cs="Times New Roman"/>
          <w:snapToGrid w:val="0"/>
          <w:color w:val="auto"/>
          <w:sz w:val="24"/>
          <w:szCs w:val="24"/>
          <w:highlight w:val="none"/>
          <w:lang w:val="en-US" w:eastAsia="zh-CN" w:bidi="ar"/>
        </w:rPr>
        <w:t>全场</w:t>
      </w:r>
      <w:r>
        <w:rPr>
          <w:rFonts w:hint="default" w:ascii="Times New Roman" w:hAnsi="Times New Roman" w:eastAsia="宋体" w:cs="Times New Roman"/>
          <w:snapToGrid w:val="0"/>
          <w:color w:val="auto"/>
          <w:kern w:val="0"/>
          <w:sz w:val="24"/>
          <w:szCs w:val="24"/>
          <w:highlight w:val="none"/>
          <w:lang w:val="en-US" w:eastAsia="zh-CN" w:bidi="ar"/>
        </w:rPr>
        <w:t>固体粪污规范还田利用；场区运输道路全硬化、及时清扫、无积灰扬尘、定期洒水抑尘。</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79538D9B">
      <w:pPr>
        <w:spacing w:line="360" w:lineRule="auto"/>
        <w:ind w:firstLine="42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cs="Times New Roman"/>
          <w:snapToGrid w:val="0"/>
          <w:color w:val="auto"/>
          <w:sz w:val="24"/>
          <w:szCs w:val="24"/>
          <w:highlight w:val="none"/>
          <w:lang w:val="en-US" w:eastAsia="zh-CN"/>
        </w:rPr>
        <w:t>②</w:t>
      </w:r>
      <w:r>
        <w:rPr>
          <w:rFonts w:hint="default" w:ascii="Times New Roman" w:hAnsi="Times New Roman" w:eastAsia="宋体" w:cs="Times New Roman"/>
          <w:snapToGrid w:val="0"/>
          <w:color w:val="auto"/>
          <w:sz w:val="24"/>
          <w:szCs w:val="24"/>
          <w:highlight w:val="none"/>
        </w:rPr>
        <w:t>除臭原理</w:t>
      </w:r>
    </w:p>
    <w:p w14:paraId="7F8DA02D">
      <w:pPr>
        <w:adjustRightInd w:val="0"/>
        <w:snapToGrid w:val="0"/>
        <w:spacing w:line="360" w:lineRule="auto"/>
        <w:ind w:firstLine="480" w:firstLineChars="200"/>
        <w:jc w:val="both"/>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根据《自然科学》现代化农业，2011年第6期（总第383期）“微生物除臭剂研究进展”（赵晓峰，隋文志）的资料，经国家环境分析测试中心和陕西环境监测中心测试万洁芬对NH</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和H</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S的去除效率分别为92.6%和89%，对无组织排放的恶臭气体具有明显的治理效果。因此，本项目拟在猪舍、</w:t>
      </w:r>
      <w:r>
        <w:rPr>
          <w:rFonts w:hint="eastAsia" w:ascii="Times New Roman" w:hAnsi="Times New Roman" w:cs="Times New Roman"/>
          <w:color w:val="auto"/>
          <w:sz w:val="24"/>
          <w:highlight w:val="none"/>
          <w:lang w:val="en-US" w:eastAsia="zh-CN"/>
        </w:rPr>
        <w:t>干粪堆积场</w:t>
      </w:r>
      <w:r>
        <w:rPr>
          <w:rFonts w:hint="default" w:ascii="Times New Roman" w:hAnsi="Times New Roman" w:cs="Times New Roman"/>
          <w:color w:val="auto"/>
          <w:sz w:val="24"/>
          <w:highlight w:val="none"/>
          <w:lang w:val="en-US" w:eastAsia="zh-CN"/>
        </w:rPr>
        <w:t>中定期喷洒微生物除臭剂，可起到降低恶臭气体浓度的作用，但采用的除臭剂必须是无毒、无害，在环境中不会蓄积的</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以降低恶臭污染的影响。</w:t>
      </w:r>
    </w:p>
    <w:p w14:paraId="26A801A4">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根据《排污许可证申请与核发技术规范 畜禽养殖行业》（HJ1029-2019）</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rPr>
        <w:t>畜禽养殖行业</w:t>
      </w:r>
      <w:r>
        <w:rPr>
          <w:rFonts w:hint="default" w:ascii="Times New Roman" w:hAnsi="Times New Roman" w:cs="Times New Roman"/>
          <w:color w:val="auto"/>
          <w:highlight w:val="none"/>
          <w:lang w:val="en-US" w:eastAsia="zh-CN"/>
        </w:rPr>
        <w:t>排污单位恶臭无组织排放控制要求见下表。</w:t>
      </w:r>
    </w:p>
    <w:p w14:paraId="5E251BAF">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2-1  </w:t>
      </w:r>
      <w:r>
        <w:rPr>
          <w:rFonts w:hint="default" w:ascii="Times New Roman" w:hAnsi="Times New Roman" w:eastAsia="黑体" w:cs="Times New Roman"/>
          <w:b w:val="0"/>
          <w:bCs/>
          <w:smallCaps w:val="0"/>
          <w:snapToGrid/>
          <w:color w:val="auto"/>
          <w:kern w:val="2"/>
          <w:sz w:val="21"/>
          <w:szCs w:val="24"/>
          <w:highlight w:val="none"/>
          <w:lang w:val="zh-CN" w:eastAsia="zh-CN" w:bidi="ar-SA"/>
        </w:rPr>
        <w:t>畜禽养殖行业</w:t>
      </w:r>
      <w:r>
        <w:rPr>
          <w:rFonts w:hint="default" w:ascii="Times New Roman" w:hAnsi="Times New Roman" w:eastAsia="黑体" w:cs="Times New Roman"/>
          <w:b w:val="0"/>
          <w:bCs/>
          <w:smallCaps w:val="0"/>
          <w:snapToGrid/>
          <w:color w:val="auto"/>
          <w:kern w:val="2"/>
          <w:sz w:val="21"/>
          <w:szCs w:val="24"/>
          <w:highlight w:val="none"/>
          <w:lang w:val="en-US" w:eastAsia="zh-CN" w:bidi="ar-SA"/>
        </w:rPr>
        <w:t>排污单位恶臭无组织排放控制要求</w:t>
      </w:r>
    </w:p>
    <w:tbl>
      <w:tblPr>
        <w:tblStyle w:val="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4608"/>
        <w:gridCol w:w="2982"/>
      </w:tblGrid>
      <w:tr w14:paraId="3B1C3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936" w:type="dxa"/>
            <w:tcBorders>
              <w:tl2br w:val="nil"/>
              <w:tr2bl w:val="nil"/>
            </w:tcBorders>
            <w:vAlign w:val="center"/>
          </w:tcPr>
          <w:p w14:paraId="4A6C4DD5">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主要生产设施</w:t>
            </w:r>
          </w:p>
        </w:tc>
        <w:tc>
          <w:tcPr>
            <w:tcW w:w="4608" w:type="dxa"/>
            <w:tcBorders>
              <w:tl2br w:val="nil"/>
              <w:tr2bl w:val="nil"/>
            </w:tcBorders>
            <w:vAlign w:val="center"/>
          </w:tcPr>
          <w:p w14:paraId="0B419E62">
            <w:pPr>
              <w:pStyle w:val="2"/>
              <w:snapToGrid w:val="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无组织排放控制要求</w:t>
            </w:r>
          </w:p>
        </w:tc>
        <w:tc>
          <w:tcPr>
            <w:tcW w:w="2982" w:type="dxa"/>
            <w:tcBorders>
              <w:tl2br w:val="nil"/>
              <w:tr2bl w:val="nil"/>
            </w:tcBorders>
            <w:vAlign w:val="center"/>
          </w:tcPr>
          <w:p w14:paraId="1F027B33">
            <w:pPr>
              <w:pStyle w:val="2"/>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本项目采取的措施</w:t>
            </w:r>
          </w:p>
        </w:tc>
      </w:tr>
      <w:tr w14:paraId="25B9F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76DF8208">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养殖栏舍</w:t>
            </w:r>
          </w:p>
        </w:tc>
        <w:tc>
          <w:tcPr>
            <w:tcW w:w="4608" w:type="dxa"/>
            <w:tcBorders>
              <w:tl2br w:val="nil"/>
              <w:tr2bl w:val="nil"/>
            </w:tcBorders>
            <w:vAlign w:val="center"/>
          </w:tcPr>
          <w:p w14:paraId="0CA68714">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（1）选用益生菌配方颗粒；</w:t>
            </w:r>
          </w:p>
          <w:p w14:paraId="59E78944">
            <w:pPr>
              <w:numPr>
                <w:ilvl w:val="0"/>
                <w:numId w:val="0"/>
              </w:num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（2）及时清运粪污；</w:t>
            </w:r>
          </w:p>
          <w:p w14:paraId="357CEB34">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（3）向粪便或舍内投（铺）放吸附剂减少臭气的散发；</w:t>
            </w:r>
          </w:p>
          <w:p w14:paraId="39163C84">
            <w:p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（4）投加或喷洒除臭剂；</w:t>
            </w:r>
          </w:p>
          <w:p w14:paraId="6A0F083E">
            <w:pPr>
              <w:pStyle w:val="2"/>
              <w:snapToGrid w:val="0"/>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（5）集中通风排气经处理（</w:t>
            </w:r>
            <w:r>
              <w:rPr>
                <w:rFonts w:hint="default" w:ascii="Times New Roman" w:hAnsi="Times New Roman" w:cs="Times New Roman"/>
                <w:color w:val="auto"/>
                <w:sz w:val="21"/>
                <w:szCs w:val="21"/>
                <w:highlight w:val="none"/>
              </w:rPr>
              <w:t>喷淋法、生物洗涤法、吸收法等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后排放</w:t>
            </w:r>
            <w:r>
              <w:rPr>
                <w:rFonts w:hint="default" w:ascii="Times New Roman" w:hAnsi="Times New Roman" w:cs="Times New Roman"/>
                <w:color w:val="auto"/>
                <w:sz w:val="21"/>
                <w:szCs w:val="21"/>
                <w:highlight w:val="none"/>
                <w:lang w:eastAsia="zh-CN"/>
              </w:rPr>
              <w:t>；</w:t>
            </w:r>
          </w:p>
          <w:p w14:paraId="57136A81">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（6）集中收集气体经处理（生物过滤法、</w:t>
            </w:r>
            <w:r>
              <w:rPr>
                <w:rFonts w:hint="default" w:ascii="Times New Roman" w:hAnsi="Times New Roman" w:cs="Times New Roman"/>
                <w:color w:val="auto"/>
                <w:sz w:val="21"/>
                <w:szCs w:val="21"/>
                <w:highlight w:val="none"/>
              </w:rPr>
              <w:t>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由排气筒</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p>
        </w:tc>
        <w:tc>
          <w:tcPr>
            <w:tcW w:w="2982" w:type="dxa"/>
            <w:tcBorders>
              <w:tl2br w:val="nil"/>
              <w:tr2bl w:val="nil"/>
            </w:tcBorders>
            <w:vAlign w:val="center"/>
          </w:tcPr>
          <w:p w14:paraId="3FE0F064">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（1）选用益生菌配方饲料</w:t>
            </w:r>
          </w:p>
          <w:p w14:paraId="762E1D44">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（2）及时清运粪污</w:t>
            </w:r>
          </w:p>
          <w:p w14:paraId="1C440050">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（3）投加或喷洒除臭剂</w:t>
            </w:r>
          </w:p>
        </w:tc>
      </w:tr>
      <w:tr w14:paraId="00B8CF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2A7F350D">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固体粪污处理工程</w:t>
            </w:r>
          </w:p>
        </w:tc>
        <w:tc>
          <w:tcPr>
            <w:tcW w:w="4608" w:type="dxa"/>
            <w:tcBorders>
              <w:tl2br w:val="nil"/>
              <w:tr2bl w:val="nil"/>
            </w:tcBorders>
            <w:vAlign w:val="center"/>
          </w:tcPr>
          <w:p w14:paraId="5E032781">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（1）定期喷洒除臭剂；</w:t>
            </w:r>
          </w:p>
          <w:p w14:paraId="4DAF1214">
            <w:pPr>
              <w:numPr>
                <w:ilvl w:val="0"/>
                <w:numId w:val="0"/>
              </w:num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（2）及时清运固体粪污；</w:t>
            </w:r>
          </w:p>
          <w:p w14:paraId="3E61B6ED">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（3）采用厌氧或好氧堆肥方式；</w:t>
            </w:r>
          </w:p>
          <w:p w14:paraId="31D4FA07">
            <w:pPr>
              <w:adjustRightInd w:val="0"/>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（4）集中收集气体经处理（生物过滤法、</w:t>
            </w:r>
            <w:r>
              <w:rPr>
                <w:rFonts w:hint="default" w:ascii="Times New Roman" w:hAnsi="Times New Roman" w:cs="Times New Roman"/>
                <w:color w:val="auto"/>
                <w:sz w:val="21"/>
                <w:szCs w:val="21"/>
                <w:highlight w:val="none"/>
              </w:rPr>
              <w:t>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由排气筒</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p>
        </w:tc>
        <w:tc>
          <w:tcPr>
            <w:tcW w:w="2982" w:type="dxa"/>
            <w:tcBorders>
              <w:tl2br w:val="nil"/>
              <w:tr2bl w:val="nil"/>
            </w:tcBorders>
            <w:vAlign w:val="center"/>
          </w:tcPr>
          <w:p w14:paraId="433F47A3">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（1）定期喷洒除臭剂；</w:t>
            </w:r>
          </w:p>
          <w:p w14:paraId="08F4A28C">
            <w:pPr>
              <w:numPr>
                <w:ilvl w:val="0"/>
                <w:numId w:val="0"/>
              </w:num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（2）及时清运固体粪污；</w:t>
            </w:r>
          </w:p>
          <w:p w14:paraId="5D061941">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（3）干粪堆积场定期喷洒除臭剂；及时清运固体粪污；采用好氧堆肥方式；恶臭采用负压收集后（收集效率90%）进入活性炭吸附装置净化处理后（处理效率90%）经15米高排气筒排放，废气量为</w:t>
            </w:r>
            <w:r>
              <w:rPr>
                <w:rFonts w:hint="eastAsia" w:ascii="Times New Roman" w:cs="Times New Roman"/>
                <w:color w:val="auto"/>
                <w:sz w:val="21"/>
                <w:szCs w:val="21"/>
                <w:highlight w:val="none"/>
                <w:lang w:val="en-US" w:eastAsia="zh-CN"/>
              </w:rPr>
              <w:t>5000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/h</w:t>
            </w:r>
            <w:r>
              <w:rPr>
                <w:rFonts w:hint="eastAsia" w:ascii="Times New Roman" w:cs="Times New Roman"/>
                <w:color w:val="auto"/>
                <w:sz w:val="21"/>
                <w:szCs w:val="21"/>
                <w:highlight w:val="none"/>
                <w:lang w:val="en-US" w:eastAsia="zh-CN"/>
              </w:rPr>
              <w:t>。</w:t>
            </w:r>
          </w:p>
        </w:tc>
      </w:tr>
      <w:tr w14:paraId="4C594E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5D46013C">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废水处理工程</w:t>
            </w:r>
          </w:p>
        </w:tc>
        <w:tc>
          <w:tcPr>
            <w:tcW w:w="4608" w:type="dxa"/>
            <w:tcBorders>
              <w:tl2br w:val="nil"/>
              <w:tr2bl w:val="nil"/>
            </w:tcBorders>
            <w:vAlign w:val="center"/>
          </w:tcPr>
          <w:p w14:paraId="6C64A048">
            <w:pPr>
              <w:pStyle w:val="2"/>
              <w:numPr>
                <w:ilvl w:val="0"/>
                <w:numId w:val="6"/>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定期喷洒除臭剂；</w:t>
            </w:r>
          </w:p>
          <w:p w14:paraId="17C0801D">
            <w:pPr>
              <w:pStyle w:val="2"/>
              <w:numPr>
                <w:ilvl w:val="0"/>
                <w:numId w:val="6"/>
              </w:numPr>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废水处理设施加盖或加罩；</w:t>
            </w:r>
          </w:p>
          <w:p w14:paraId="4C2C0878">
            <w:pPr>
              <w:pStyle w:val="2"/>
              <w:numPr>
                <w:ilvl w:val="0"/>
                <w:numId w:val="6"/>
              </w:numPr>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集中收集气体经处理（生物过滤法、</w:t>
            </w:r>
            <w:r>
              <w:rPr>
                <w:rFonts w:hint="default" w:ascii="Times New Roman" w:hAnsi="Times New Roman" w:cs="Times New Roman"/>
                <w:color w:val="auto"/>
                <w:sz w:val="21"/>
                <w:szCs w:val="21"/>
                <w:highlight w:val="none"/>
              </w:rPr>
              <w:t>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由排气筒</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p>
        </w:tc>
        <w:tc>
          <w:tcPr>
            <w:tcW w:w="2982" w:type="dxa"/>
            <w:tcBorders>
              <w:tl2br w:val="nil"/>
              <w:tr2bl w:val="nil"/>
            </w:tcBorders>
            <w:vAlign w:val="center"/>
          </w:tcPr>
          <w:p w14:paraId="209DAA25">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（1）定期喷洒除臭剂；</w:t>
            </w:r>
          </w:p>
          <w:p w14:paraId="2B8670C8">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（2）黑膜厌氧池</w:t>
            </w:r>
            <w:r>
              <w:rPr>
                <w:rFonts w:hint="default" w:ascii="Times New Roman" w:hAnsi="Times New Roman" w:cs="Times New Roman"/>
                <w:color w:val="auto"/>
                <w:sz w:val="21"/>
                <w:szCs w:val="21"/>
                <w:highlight w:val="none"/>
                <w:vertAlign w:val="baseline"/>
                <w:lang w:val="en-US" w:eastAsia="zh-CN"/>
              </w:rPr>
              <w:t>加盖或加罩；</w:t>
            </w:r>
          </w:p>
        </w:tc>
      </w:tr>
      <w:tr w14:paraId="761B6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069262C3">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全场</w:t>
            </w:r>
          </w:p>
        </w:tc>
        <w:tc>
          <w:tcPr>
            <w:tcW w:w="4608" w:type="dxa"/>
            <w:tcBorders>
              <w:tl2br w:val="nil"/>
              <w:tr2bl w:val="nil"/>
            </w:tcBorders>
            <w:vAlign w:val="center"/>
          </w:tcPr>
          <w:p w14:paraId="3CB35108">
            <w:pPr>
              <w:pStyle w:val="2"/>
              <w:numPr>
                <w:ilvl w:val="0"/>
                <w:numId w:val="7"/>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固体粪污规范还田利用；</w:t>
            </w:r>
          </w:p>
          <w:p w14:paraId="3ED0C55B">
            <w:pPr>
              <w:numPr>
                <w:ilvl w:val="0"/>
                <w:numId w:val="7"/>
              </w:num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场区运输道路全硬化、及时清扫、无积灰扬尘、定期洒水抑尘；</w:t>
            </w:r>
          </w:p>
          <w:p w14:paraId="46534469">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（3）加强场区绿化。</w:t>
            </w:r>
          </w:p>
        </w:tc>
        <w:tc>
          <w:tcPr>
            <w:tcW w:w="2982" w:type="dxa"/>
            <w:tcBorders>
              <w:tl2br w:val="nil"/>
              <w:tr2bl w:val="nil"/>
            </w:tcBorders>
            <w:vAlign w:val="center"/>
          </w:tcPr>
          <w:p w14:paraId="77CDF19A">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（1）固体粪污规范还田利用；</w:t>
            </w:r>
          </w:p>
          <w:p w14:paraId="683D6A55">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（2）场区运输道路硬化、及时清扫、无积灰扬尘、定期洒水抑尘。</w:t>
            </w:r>
          </w:p>
        </w:tc>
      </w:tr>
    </w:tbl>
    <w:p w14:paraId="300C37A7">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经采取上表中废气处理措施后，本项目采取的措施符合</w:t>
      </w:r>
      <w:r>
        <w:rPr>
          <w:rFonts w:hint="default" w:ascii="Times New Roman" w:hAnsi="Times New Roman" w:cs="Times New Roman"/>
          <w:color w:val="auto"/>
          <w:highlight w:val="none"/>
        </w:rPr>
        <w:t>《排污许可证申请与核发技术规范 畜禽养殖行业》（HJ1029-2019）</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rPr>
        <w:t>畜禽养殖行业</w:t>
      </w:r>
      <w:r>
        <w:rPr>
          <w:rFonts w:hint="default" w:ascii="Times New Roman" w:hAnsi="Times New Roman" w:cs="Times New Roman"/>
          <w:color w:val="auto"/>
          <w:highlight w:val="none"/>
          <w:lang w:val="en-US" w:eastAsia="zh-CN"/>
        </w:rPr>
        <w:t>排污单位恶臭无组织排放控制要求，</w:t>
      </w:r>
      <w:r>
        <w:rPr>
          <w:rFonts w:hint="default" w:ascii="Times New Roman" w:hAnsi="Times New Roman" w:cs="Times New Roman"/>
          <w:color w:val="auto"/>
          <w:highlight w:val="none"/>
        </w:rPr>
        <w:t>本项目采取以上措施均属于可行性技术。</w:t>
      </w:r>
    </w:p>
    <w:p w14:paraId="4AD08FAC">
      <w:pPr>
        <w:pStyle w:val="94"/>
        <w:keepNext w:val="0"/>
        <w:keepLines w:val="0"/>
        <w:pageBreakBefore w:val="0"/>
        <w:widowControl/>
        <w:kinsoku/>
        <w:wordWrap/>
        <w:overflowPunct/>
        <w:topLinePunct w:val="0"/>
        <w:autoSpaceDE/>
        <w:autoSpaceDN/>
        <w:bidi w:val="0"/>
        <w:ind w:firstLine="48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highlight w:val="none"/>
          <w:lang w:val="en-US" w:eastAsia="zh-CN"/>
        </w:rPr>
        <w:t>采取以上措施后，NH</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、H</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S的有组织排放浓度执行《恶臭污染物排放标准》（GB14554-93）表2中恶臭污染物排放标准限值</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NH</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、H</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S的无组织排放</w:t>
      </w:r>
      <w:r>
        <w:rPr>
          <w:rFonts w:hint="default" w:ascii="Times New Roman" w:hAnsi="Times New Roman" w:eastAsia="宋体" w:cs="Times New Roman"/>
          <w:snapToGrid w:val="0"/>
          <w:color w:val="auto"/>
          <w:sz w:val="24"/>
          <w:szCs w:val="24"/>
          <w:highlight w:val="none"/>
          <w:lang w:val="en-US" w:eastAsia="zh-CN" w:bidi="ar"/>
        </w:rPr>
        <w:t>在厂界满足《恶臭污染物排放标准》（GB14554-93）表1中二级新改扩建标准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r>
        <w:rPr>
          <w:rFonts w:hint="default" w:ascii="Times New Roman" w:hAnsi="Times New Roman" w:cs="Times New Roman"/>
          <w:color w:val="auto"/>
          <w:sz w:val="24"/>
          <w:highlight w:val="none"/>
          <w:lang w:val="en-US" w:eastAsia="zh-CN"/>
        </w:rPr>
        <w:t>臭气浓度厂界无组织排放浓度满足《畜禽养殖业污染物排放标准》（GB18596-2001）中表7标准，＜70（无量纲）。</w:t>
      </w:r>
    </w:p>
    <w:p w14:paraId="266D1BE8">
      <w:pPr>
        <w:pStyle w:val="8"/>
        <w:bidi w:val="0"/>
        <w:rPr>
          <w:rFonts w:hint="eastAsia" w:ascii="Times New Roman" w:hAnsi="Times New Roman" w:eastAsia="宋体" w:cs="Times New Roman"/>
          <w:snapToGrid w:val="0"/>
          <w:color w:val="auto"/>
          <w:sz w:val="24"/>
          <w:szCs w:val="24"/>
          <w:highlight w:val="none"/>
          <w:lang w:eastAsia="zh-CN"/>
        </w:rPr>
      </w:pPr>
      <w:bookmarkStart w:id="954" w:name="_Toc8177"/>
      <w:bookmarkStart w:id="955" w:name="_Toc2385"/>
      <w:r>
        <w:rPr>
          <w:rFonts w:hint="default" w:ascii="Times New Roman" w:hAnsi="Times New Roman" w:eastAsia="宋体" w:cs="Times New Roman"/>
          <w:snapToGrid w:val="0"/>
          <w:color w:val="auto"/>
          <w:sz w:val="24"/>
          <w:szCs w:val="24"/>
          <w:highlight w:val="none"/>
        </w:rPr>
        <w:t>6.2.1.</w:t>
      </w:r>
      <w:r>
        <w:rPr>
          <w:rFonts w:hint="eastAsia" w:ascii="Times New Roman" w:hAnsi="Times New Roman" w:cs="Times New Roman"/>
          <w:snapToGrid w:val="0"/>
          <w:color w:val="auto"/>
          <w:sz w:val="24"/>
          <w:szCs w:val="24"/>
          <w:highlight w:val="none"/>
          <w:lang w:val="en-US" w:eastAsia="zh-CN"/>
        </w:rPr>
        <w:t>2</w:t>
      </w:r>
      <w:r>
        <w:rPr>
          <w:rFonts w:hint="default" w:ascii="Times New Roman" w:hAnsi="Times New Roman" w:eastAsia="宋体" w:cs="Times New Roman"/>
          <w:snapToGrid w:val="0"/>
          <w:color w:val="auto"/>
          <w:sz w:val="24"/>
          <w:szCs w:val="24"/>
          <w:highlight w:val="none"/>
        </w:rPr>
        <w:t>沼气污染防治措施</w:t>
      </w:r>
      <w:bookmarkEnd w:id="954"/>
      <w:bookmarkEnd w:id="955"/>
    </w:p>
    <w:p w14:paraId="4796B875">
      <w:pPr>
        <w:spacing w:line="360" w:lineRule="auto"/>
        <w:ind w:firstLine="42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本项目污水进行厌氧处理时会产生沼气，沼气主要成分为甲烷，为清洁能源，沼气燃烧产生污染物排放量较少。</w:t>
      </w:r>
      <w:r>
        <w:rPr>
          <w:rFonts w:hint="eastAsia" w:ascii="Times New Roman" w:hAnsi="Times New Roman" w:cs="Times New Roman"/>
          <w:snapToGrid w:val="0"/>
          <w:color w:val="auto"/>
          <w:sz w:val="24"/>
          <w:szCs w:val="24"/>
          <w:highlight w:val="none"/>
          <w:lang w:val="en-US" w:eastAsia="zh-CN"/>
        </w:rPr>
        <w:t>本项目黑膜厌氧池产生的沼气燃烧排放的废气经干法脱硫后火炬10m高排放</w:t>
      </w:r>
      <w:r>
        <w:rPr>
          <w:rFonts w:hint="default" w:ascii="Times New Roman" w:hAnsi="Times New Roman" w:eastAsia="宋体" w:cs="Times New Roman"/>
          <w:snapToGrid w:val="0"/>
          <w:color w:val="auto"/>
          <w:sz w:val="24"/>
          <w:szCs w:val="24"/>
          <w:highlight w:val="none"/>
        </w:rPr>
        <w:t>，颗粒物、NOx、SO</w:t>
      </w:r>
      <w:r>
        <w:rPr>
          <w:rFonts w:hint="default" w:ascii="Times New Roman" w:hAnsi="Times New Roman" w:eastAsia="宋体" w:cs="Times New Roman"/>
          <w:snapToGrid w:val="0"/>
          <w:color w:val="auto"/>
          <w:sz w:val="24"/>
          <w:szCs w:val="24"/>
          <w:highlight w:val="none"/>
          <w:vertAlign w:val="subscript"/>
        </w:rPr>
        <w:t>2</w:t>
      </w:r>
      <w:r>
        <w:rPr>
          <w:rFonts w:hint="default" w:ascii="Times New Roman" w:hAnsi="Times New Roman" w:eastAsia="宋体" w:cs="Times New Roman"/>
          <w:snapToGrid w:val="0"/>
          <w:color w:val="auto"/>
          <w:sz w:val="24"/>
          <w:szCs w:val="24"/>
          <w:highlight w:val="none"/>
        </w:rPr>
        <w:t>排放量均较小，颗粒物</w:t>
      </w:r>
      <w:r>
        <w:rPr>
          <w:rFonts w:hint="eastAsia" w:ascii="Times New Roman" w:hAnsi="Times New Roman" w:cs="Times New Roman"/>
          <w:snapToGrid w:val="0"/>
          <w:color w:val="auto"/>
          <w:sz w:val="24"/>
          <w:szCs w:val="24"/>
          <w:highlight w:val="none"/>
          <w:lang w:val="en-US" w:eastAsia="zh-CN"/>
        </w:rPr>
        <w:t>排放浓度为0.18mg/m</w:t>
      </w:r>
      <w:r>
        <w:rPr>
          <w:rFonts w:hint="eastAsia" w:ascii="Times New Roman" w:hAnsi="Times New Roman" w:cs="Times New Roman"/>
          <w:snapToGrid w:val="0"/>
          <w:color w:val="auto"/>
          <w:sz w:val="24"/>
          <w:szCs w:val="24"/>
          <w:highlight w:val="none"/>
          <w:vertAlign w:val="superscript"/>
          <w:lang w:val="en-US" w:eastAsia="zh-CN"/>
        </w:rPr>
        <w:t>3</w:t>
      </w:r>
      <w:r>
        <w:rPr>
          <w:rFonts w:hint="eastAsia" w:ascii="Times New Roman" w:hAnsi="Times New Roman"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rPr>
        <w:t>NOx</w:t>
      </w:r>
      <w:r>
        <w:rPr>
          <w:rFonts w:hint="eastAsia" w:ascii="Times New Roman" w:hAnsi="Times New Roman" w:cs="Times New Roman"/>
          <w:snapToGrid w:val="0"/>
          <w:color w:val="auto"/>
          <w:sz w:val="24"/>
          <w:szCs w:val="24"/>
          <w:highlight w:val="none"/>
          <w:lang w:val="en-US" w:eastAsia="zh-CN"/>
        </w:rPr>
        <w:t>排放浓度为1.8mg/m</w:t>
      </w:r>
      <w:r>
        <w:rPr>
          <w:rFonts w:hint="eastAsia" w:ascii="Times New Roman" w:hAnsi="Times New Roman" w:cs="Times New Roman"/>
          <w:snapToGrid w:val="0"/>
          <w:color w:val="auto"/>
          <w:sz w:val="24"/>
          <w:szCs w:val="24"/>
          <w:highlight w:val="none"/>
          <w:vertAlign w:val="superscript"/>
          <w:lang w:val="en-US" w:eastAsia="zh-CN"/>
        </w:rPr>
        <w:t>3</w:t>
      </w:r>
      <w:r>
        <w:rPr>
          <w:rFonts w:hint="eastAsia" w:ascii="Times New Roman" w:hAnsi="Times New Roman"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rPr>
        <w:t>SO</w:t>
      </w:r>
      <w:r>
        <w:rPr>
          <w:rFonts w:hint="default" w:ascii="Times New Roman" w:hAnsi="Times New Roman" w:eastAsia="宋体" w:cs="Times New Roman"/>
          <w:snapToGrid w:val="0"/>
          <w:color w:val="auto"/>
          <w:sz w:val="24"/>
          <w:szCs w:val="24"/>
          <w:highlight w:val="none"/>
          <w:vertAlign w:val="subscript"/>
        </w:rPr>
        <w:t>2</w:t>
      </w:r>
      <w:r>
        <w:rPr>
          <w:rFonts w:hint="eastAsia" w:ascii="Times New Roman" w:hAnsi="Times New Roman" w:cs="Times New Roman"/>
          <w:snapToGrid w:val="0"/>
          <w:color w:val="auto"/>
          <w:sz w:val="24"/>
          <w:szCs w:val="24"/>
          <w:highlight w:val="none"/>
          <w:lang w:val="en-US" w:eastAsia="zh-CN"/>
        </w:rPr>
        <w:t>排放浓度为0.04mg/m</w:t>
      </w:r>
      <w:r>
        <w:rPr>
          <w:rFonts w:hint="eastAsia" w:ascii="Times New Roman" w:hAnsi="Times New Roman" w:cs="Times New Roman"/>
          <w:snapToGrid w:val="0"/>
          <w:color w:val="auto"/>
          <w:sz w:val="24"/>
          <w:szCs w:val="24"/>
          <w:highlight w:val="none"/>
          <w:vertAlign w:val="superscript"/>
          <w:lang w:val="en-US" w:eastAsia="zh-CN"/>
        </w:rPr>
        <w:t>3</w:t>
      </w:r>
      <w:r>
        <w:rPr>
          <w:rFonts w:hint="eastAsia" w:ascii="Times New Roman" w:hAnsi="Times New Roman" w:cs="Times New Roman"/>
          <w:snapToGrid w:val="0"/>
          <w:color w:val="auto"/>
          <w:sz w:val="24"/>
          <w:szCs w:val="24"/>
          <w:highlight w:val="none"/>
          <w:lang w:val="en-US" w:eastAsia="zh-CN"/>
        </w:rPr>
        <w:t>，达到《大气污染物综合排放标准》(GB16297-1996)表2二级排放标准，</w:t>
      </w:r>
      <w:r>
        <w:rPr>
          <w:rFonts w:hint="default" w:ascii="Times New Roman" w:hAnsi="Times New Roman" w:eastAsia="宋体" w:cs="Times New Roman"/>
          <w:snapToGrid w:val="0"/>
          <w:color w:val="auto"/>
          <w:sz w:val="24"/>
          <w:szCs w:val="24"/>
          <w:highlight w:val="none"/>
        </w:rPr>
        <w:t>对环境影响很小，可以被环境接受。</w:t>
      </w:r>
    </w:p>
    <w:p w14:paraId="4A05BF95">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highlight w:val="none"/>
          <w:lang w:val="en-US" w:eastAsia="zh-CN"/>
        </w:rPr>
      </w:pPr>
      <w:r>
        <w:rPr>
          <w:rFonts w:hint="eastAsia" w:ascii="Times New Roman" w:hAnsi="Times New Roman" w:eastAsia="宋体" w:cs="Times New Roman"/>
          <w:snapToGrid w:val="0"/>
          <w:color w:val="auto"/>
          <w:kern w:val="0"/>
          <w:sz w:val="24"/>
          <w:szCs w:val="24"/>
          <w:highlight w:val="none"/>
          <w:lang w:val="en-US" w:eastAsia="zh-CN" w:bidi="ar-SA"/>
        </w:rPr>
        <w:t>根据</w:t>
      </w:r>
      <w:r>
        <w:rPr>
          <w:rFonts w:hint="default" w:ascii="Times New Roman" w:hAnsi="Times New Roman" w:eastAsia="宋体" w:cs="Times New Roman"/>
          <w:snapToGrid w:val="0"/>
          <w:color w:val="auto"/>
          <w:kern w:val="0"/>
          <w:sz w:val="24"/>
          <w:szCs w:val="24"/>
          <w:highlight w:val="none"/>
          <w:lang w:val="en-US" w:eastAsia="zh-CN" w:bidi="ar-SA"/>
        </w:rPr>
        <w:t>《大气污染物综合排放标准》（GB16297-1996）中要求“</w:t>
      </w:r>
      <w:r>
        <w:rPr>
          <w:rFonts w:hint="eastAsia" w:ascii="Times New Roman" w:hAnsi="Times New Roman" w:eastAsia="宋体" w:cs="Times New Roman"/>
          <w:snapToGrid w:val="0"/>
          <w:color w:val="auto"/>
          <w:kern w:val="0"/>
          <w:sz w:val="24"/>
          <w:szCs w:val="24"/>
          <w:highlight w:val="none"/>
          <w:lang w:val="en-US" w:eastAsia="zh-CN" w:bidi="ar-SA"/>
        </w:rPr>
        <w:t>7.3若某排气筒的高度处于本标准列出的两个值之间，其执行的最高允许排放速率以内插法计算，内插法的计算式见本标准附录B；当某排气筒的高度大于或小于本标准列出的最大或最小值时，以外推法计算其最高允许排放速率，外推法计算式见本标准附录B。</w:t>
      </w:r>
      <w:r>
        <w:rPr>
          <w:rFonts w:hint="default" w:ascii="Times New Roman" w:hAnsi="Times New Roman" w:eastAsia="宋体" w:cs="Times New Roman"/>
          <w:snapToGrid w:val="0"/>
          <w:color w:val="auto"/>
          <w:kern w:val="0"/>
          <w:sz w:val="24"/>
          <w:szCs w:val="24"/>
          <w:highlight w:val="none"/>
          <w:lang w:val="en-US" w:eastAsia="zh-CN" w:bidi="ar-SA"/>
        </w:rPr>
        <w:t>7.4新污染源的排气筒其他一般不低于15m。</w:t>
      </w:r>
      <w:r>
        <w:rPr>
          <w:rFonts w:hint="eastAsia" w:ascii="Times New Roman" w:hAnsi="Times New Roman" w:eastAsia="宋体" w:cs="Times New Roman"/>
          <w:snapToGrid w:val="0"/>
          <w:color w:val="auto"/>
          <w:kern w:val="0"/>
          <w:sz w:val="24"/>
          <w:szCs w:val="24"/>
          <w:highlight w:val="none"/>
          <w:lang w:val="en-US" w:eastAsia="zh-CN" w:bidi="ar-SA"/>
        </w:rPr>
        <w:t>若某新污染源的排气筒必须低于15m时，其排放速率标准值按7.3的外推结果再严格50%执行</w:t>
      </w:r>
      <w:r>
        <w:rPr>
          <w:rFonts w:hint="default" w:ascii="Times New Roman" w:hAnsi="Times New Roman" w:eastAsia="宋体" w:cs="Times New Roman"/>
          <w:snapToGrid w:val="0"/>
          <w:color w:val="auto"/>
          <w:kern w:val="0"/>
          <w:sz w:val="24"/>
          <w:szCs w:val="24"/>
          <w:highlight w:val="none"/>
          <w:lang w:val="en-US" w:eastAsia="zh-CN" w:bidi="ar-SA"/>
        </w:rPr>
        <w:t>”，</w:t>
      </w:r>
      <w:r>
        <w:rPr>
          <w:rFonts w:hint="eastAsia" w:ascii="Times New Roman" w:cs="Times New Roman"/>
          <w:snapToGrid w:val="0"/>
          <w:color w:val="auto"/>
          <w:sz w:val="24"/>
          <w:szCs w:val="24"/>
          <w:highlight w:val="none"/>
          <w:lang w:val="en-US" w:eastAsia="zh-CN"/>
        </w:rPr>
        <w:t>本项目黑膜厌氧池产生的沼气燃烧排放的废气经干法脱硫后火炬10m高排放</w:t>
      </w:r>
      <w:r>
        <w:rPr>
          <w:rFonts w:hint="default" w:ascii="Times New Roman" w:hAnsi="Times New Roman" w:eastAsia="宋体" w:cs="Times New Roman"/>
          <w:snapToGrid w:val="0"/>
          <w:color w:val="auto"/>
          <w:sz w:val="24"/>
          <w:szCs w:val="24"/>
          <w:highlight w:val="none"/>
        </w:rPr>
        <w:t>，颗粒物、NOx、SO</w:t>
      </w:r>
      <w:r>
        <w:rPr>
          <w:rFonts w:hint="default" w:ascii="Times New Roman" w:hAnsi="Times New Roman" w:eastAsia="宋体" w:cs="Times New Roman"/>
          <w:snapToGrid w:val="0"/>
          <w:color w:val="auto"/>
          <w:sz w:val="24"/>
          <w:szCs w:val="24"/>
          <w:highlight w:val="none"/>
          <w:vertAlign w:val="subscript"/>
        </w:rPr>
        <w:t>2</w:t>
      </w:r>
      <w:r>
        <w:rPr>
          <w:rFonts w:hint="default" w:ascii="Times New Roman" w:hAnsi="Times New Roman" w:eastAsia="宋体" w:cs="Times New Roman"/>
          <w:snapToGrid w:val="0"/>
          <w:color w:val="auto"/>
          <w:sz w:val="24"/>
          <w:szCs w:val="24"/>
          <w:highlight w:val="none"/>
        </w:rPr>
        <w:t>排放量均较小，颗粒物</w:t>
      </w:r>
      <w:r>
        <w:rPr>
          <w:rFonts w:hint="eastAsia" w:ascii="Times New Roman" w:hAnsi="Times New Roman" w:cs="Times New Roman"/>
          <w:snapToGrid w:val="0"/>
          <w:color w:val="auto"/>
          <w:sz w:val="24"/>
          <w:szCs w:val="24"/>
          <w:highlight w:val="none"/>
          <w:lang w:val="en-US" w:eastAsia="zh-CN"/>
        </w:rPr>
        <w:t>排放速率为0.00037kg/h</w:t>
      </w:r>
      <w:r>
        <w:rPr>
          <w:rFonts w:hint="eastAsia" w:ascii="Times New Roman" w:hAnsi="Times New Roman"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rPr>
        <w:t>NOx</w:t>
      </w:r>
      <w:r>
        <w:rPr>
          <w:rFonts w:hint="eastAsia" w:ascii="Times New Roman" w:hAnsi="Times New Roman" w:cs="Times New Roman"/>
          <w:snapToGrid w:val="0"/>
          <w:color w:val="auto"/>
          <w:sz w:val="24"/>
          <w:szCs w:val="24"/>
          <w:highlight w:val="none"/>
          <w:lang w:val="en-US" w:eastAsia="zh-CN"/>
        </w:rPr>
        <w:t>排放速率为0.0036kg/h</w:t>
      </w:r>
      <w:r>
        <w:rPr>
          <w:rFonts w:hint="eastAsia" w:ascii="Times New Roman" w:hAnsi="Times New Roman"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rPr>
        <w:t>SO</w:t>
      </w:r>
      <w:r>
        <w:rPr>
          <w:rFonts w:hint="default" w:ascii="Times New Roman" w:hAnsi="Times New Roman" w:eastAsia="宋体" w:cs="Times New Roman"/>
          <w:snapToGrid w:val="0"/>
          <w:color w:val="auto"/>
          <w:sz w:val="24"/>
          <w:szCs w:val="24"/>
          <w:highlight w:val="none"/>
          <w:vertAlign w:val="subscript"/>
        </w:rPr>
        <w:t>2</w:t>
      </w:r>
      <w:r>
        <w:rPr>
          <w:rFonts w:hint="eastAsia" w:ascii="Times New Roman" w:hAnsi="Times New Roman" w:cs="Times New Roman"/>
          <w:snapToGrid w:val="0"/>
          <w:color w:val="auto"/>
          <w:sz w:val="24"/>
          <w:szCs w:val="24"/>
          <w:highlight w:val="none"/>
          <w:lang w:val="en-US" w:eastAsia="zh-CN"/>
        </w:rPr>
        <w:t>排放速率为0.000087kg/h</w:t>
      </w:r>
      <w:r>
        <w:rPr>
          <w:rFonts w:hint="eastAsia" w:ascii="Times New Roman" w:hAnsi="Times New Roman" w:cs="Times New Roman"/>
          <w:snapToGrid w:val="0"/>
          <w:color w:val="auto"/>
          <w:sz w:val="24"/>
          <w:szCs w:val="24"/>
          <w:highlight w:val="none"/>
          <w:vertAlign w:val="baseline"/>
          <w:lang w:val="en-US" w:eastAsia="zh-CN"/>
        </w:rPr>
        <w:t>（</w:t>
      </w:r>
      <w:r>
        <w:rPr>
          <w:rFonts w:hint="default" w:ascii="Times New Roman" w:hAnsi="Times New Roman" w:eastAsia="宋体" w:cs="Times New Roman"/>
          <w:snapToGrid w:val="0"/>
          <w:color w:val="auto"/>
          <w:sz w:val="24"/>
          <w:szCs w:val="24"/>
          <w:highlight w:val="none"/>
        </w:rPr>
        <w:t>颗粒物</w:t>
      </w:r>
      <w:r>
        <w:rPr>
          <w:rFonts w:hint="eastAsia" w:ascii="Times New Roman" w:hAnsi="Times New Roman" w:cs="Times New Roman"/>
          <w:snapToGrid w:val="0"/>
          <w:color w:val="auto"/>
          <w:sz w:val="24"/>
          <w:szCs w:val="24"/>
          <w:highlight w:val="none"/>
          <w:lang w:val="en-US" w:eastAsia="zh-CN"/>
        </w:rPr>
        <w:t>排放速率为0.785kg/h</w:t>
      </w:r>
      <w:r>
        <w:rPr>
          <w:rFonts w:hint="eastAsia" w:ascii="Times New Roman" w:hAnsi="Times New Roman"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rPr>
        <w:t>NOx</w:t>
      </w:r>
      <w:r>
        <w:rPr>
          <w:rFonts w:hint="eastAsia" w:ascii="Times New Roman" w:hAnsi="Times New Roman" w:cs="Times New Roman"/>
          <w:snapToGrid w:val="0"/>
          <w:color w:val="auto"/>
          <w:sz w:val="24"/>
          <w:szCs w:val="24"/>
          <w:highlight w:val="none"/>
          <w:lang w:val="en-US" w:eastAsia="zh-CN"/>
        </w:rPr>
        <w:t>排放速率为0.26kg/h</w:t>
      </w:r>
      <w:r>
        <w:rPr>
          <w:rFonts w:hint="eastAsia" w:ascii="Times New Roman" w:hAnsi="Times New Roman"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rPr>
        <w:t>SO</w:t>
      </w:r>
      <w:r>
        <w:rPr>
          <w:rFonts w:hint="default" w:ascii="Times New Roman" w:hAnsi="Times New Roman" w:eastAsia="宋体" w:cs="Times New Roman"/>
          <w:snapToGrid w:val="0"/>
          <w:color w:val="auto"/>
          <w:sz w:val="24"/>
          <w:szCs w:val="24"/>
          <w:highlight w:val="none"/>
          <w:vertAlign w:val="subscript"/>
        </w:rPr>
        <w:t>2</w:t>
      </w:r>
      <w:r>
        <w:rPr>
          <w:rFonts w:hint="eastAsia" w:ascii="Times New Roman" w:hAnsi="Times New Roman" w:cs="Times New Roman"/>
          <w:snapToGrid w:val="0"/>
          <w:color w:val="auto"/>
          <w:sz w:val="24"/>
          <w:szCs w:val="24"/>
          <w:highlight w:val="none"/>
          <w:lang w:val="en-US" w:eastAsia="zh-CN"/>
        </w:rPr>
        <w:t>排放速率为0.87kg/h</w:t>
      </w:r>
      <w:r>
        <w:rPr>
          <w:rFonts w:hint="eastAsia" w:ascii="Times New Roman" w:hAnsi="Times New Roman" w:cs="Times New Roman"/>
          <w:snapToGrid w:val="0"/>
          <w:color w:val="auto"/>
          <w:sz w:val="24"/>
          <w:szCs w:val="24"/>
          <w:highlight w:val="none"/>
          <w:vertAlign w:val="baseline"/>
          <w:lang w:val="en-US" w:eastAsia="zh-CN"/>
        </w:rPr>
        <w:t>），低于</w:t>
      </w:r>
      <w:r>
        <w:rPr>
          <w:rFonts w:hint="default" w:ascii="Times New Roman" w:hAnsi="Times New Roman" w:eastAsia="宋体" w:cs="Times New Roman"/>
          <w:snapToGrid w:val="0"/>
          <w:color w:val="auto"/>
          <w:kern w:val="0"/>
          <w:sz w:val="24"/>
          <w:szCs w:val="24"/>
          <w:highlight w:val="none"/>
          <w:lang w:val="en-US" w:eastAsia="zh-CN" w:bidi="ar-SA"/>
        </w:rPr>
        <w:t>7.4新污染源的排气筒其他一般不低于15m。</w:t>
      </w:r>
      <w:r>
        <w:rPr>
          <w:rFonts w:hint="eastAsia" w:ascii="Times New Roman" w:hAnsi="Times New Roman" w:eastAsia="宋体" w:cs="Times New Roman"/>
          <w:snapToGrid w:val="0"/>
          <w:color w:val="auto"/>
          <w:kern w:val="0"/>
          <w:sz w:val="24"/>
          <w:szCs w:val="24"/>
          <w:highlight w:val="none"/>
          <w:lang w:val="en-US" w:eastAsia="zh-CN" w:bidi="ar-SA"/>
        </w:rPr>
        <w:t>若某新污染源的排气筒必须低于15m时，其排放速率标准值按7.3的外推结果再严格50%执行。</w:t>
      </w:r>
      <w:r>
        <w:rPr>
          <w:rFonts w:hint="eastAsia" w:ascii="Times New Roman" w:cs="Times New Roman"/>
          <w:snapToGrid w:val="0"/>
          <w:color w:val="auto"/>
          <w:kern w:val="0"/>
          <w:sz w:val="24"/>
          <w:szCs w:val="24"/>
          <w:highlight w:val="none"/>
          <w:lang w:val="en-US" w:eastAsia="zh-CN" w:bidi="ar-SA"/>
        </w:rPr>
        <w:t>本项目黑膜厌氧池产生的沼气燃烧排放的废气经干法脱硫后火炬10m高排放</w:t>
      </w:r>
      <w:r>
        <w:rPr>
          <w:rFonts w:hint="default" w:ascii="Times New Roman" w:hAnsi="Times New Roman" w:eastAsia="宋体" w:cs="Times New Roman"/>
          <w:snapToGrid w:val="0"/>
          <w:color w:val="auto"/>
          <w:kern w:val="0"/>
          <w:sz w:val="24"/>
          <w:szCs w:val="24"/>
          <w:highlight w:val="none"/>
          <w:lang w:val="en-US" w:eastAsia="zh-CN" w:bidi="ar-SA"/>
        </w:rPr>
        <w:t>，符合《大气污染物综合排放标准》（GB16297-1996）要求，因此本项目沼气火炬沼气燃烧</w:t>
      </w:r>
      <w:r>
        <w:rPr>
          <w:rFonts w:hint="eastAsia" w:ascii="Times New Roman" w:hAnsi="Times New Roman" w:eastAsia="宋体" w:cs="Times New Roman"/>
          <w:snapToGrid w:val="0"/>
          <w:color w:val="auto"/>
          <w:kern w:val="0"/>
          <w:sz w:val="24"/>
          <w:szCs w:val="24"/>
          <w:highlight w:val="none"/>
          <w:lang w:val="en-US" w:eastAsia="zh-CN" w:bidi="ar-SA"/>
        </w:rPr>
        <w:t>排气筒</w:t>
      </w:r>
      <w:r>
        <w:rPr>
          <w:rFonts w:hint="default" w:ascii="Times New Roman" w:hAnsi="Times New Roman" w:eastAsia="宋体" w:cs="Times New Roman"/>
          <w:snapToGrid w:val="0"/>
          <w:color w:val="auto"/>
          <w:kern w:val="0"/>
          <w:sz w:val="24"/>
          <w:szCs w:val="24"/>
          <w:highlight w:val="none"/>
          <w:lang w:val="en-US" w:eastAsia="zh-CN" w:bidi="ar-SA"/>
        </w:rPr>
        <w:t>设置合理。</w:t>
      </w:r>
    </w:p>
    <w:p w14:paraId="3945F965">
      <w:pPr>
        <w:spacing w:line="360" w:lineRule="auto"/>
        <w:ind w:firstLine="42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通过采取上述措施，可有效降低项目生产过程中产生的废气对周边环境空气的影响，采取的措施可行。</w:t>
      </w:r>
    </w:p>
    <w:p w14:paraId="6B2EB6AA">
      <w:pPr>
        <w:pStyle w:val="7"/>
        <w:bidi w:val="0"/>
        <w:rPr>
          <w:rFonts w:hint="default"/>
          <w:highlight w:val="none"/>
        </w:rPr>
      </w:pPr>
      <w:bookmarkStart w:id="956" w:name="_Toc5228"/>
      <w:bookmarkStart w:id="957" w:name="_Toc8961"/>
      <w:bookmarkStart w:id="958" w:name="_Toc2836"/>
      <w:bookmarkStart w:id="959" w:name="_Toc11541"/>
      <w:r>
        <w:rPr>
          <w:rFonts w:hint="default"/>
          <w:highlight w:val="none"/>
        </w:rPr>
        <w:t>6.2.2废水污染防治措施及其可行性分析</w:t>
      </w:r>
      <w:bookmarkEnd w:id="956"/>
      <w:bookmarkEnd w:id="957"/>
      <w:bookmarkEnd w:id="958"/>
      <w:bookmarkEnd w:id="959"/>
    </w:p>
    <w:p w14:paraId="49B6BF7F">
      <w:pPr>
        <w:pStyle w:val="8"/>
        <w:bidi w:val="0"/>
        <w:rPr>
          <w:rFonts w:hint="default"/>
          <w:highlight w:val="none"/>
        </w:rPr>
      </w:pPr>
      <w:bookmarkStart w:id="960" w:name="_Toc3255"/>
      <w:bookmarkStart w:id="961" w:name="_Toc14551"/>
      <w:r>
        <w:rPr>
          <w:rFonts w:hint="default"/>
          <w:highlight w:val="none"/>
        </w:rPr>
        <w:t>6.2.2.1养殖废水和生活污水处理措施</w:t>
      </w:r>
      <w:bookmarkEnd w:id="960"/>
      <w:bookmarkEnd w:id="961"/>
    </w:p>
    <w:p w14:paraId="0DA96578">
      <w:pPr>
        <w:tabs>
          <w:tab w:val="left" w:pos="1680"/>
        </w:tabs>
        <w:spacing w:line="360" w:lineRule="auto"/>
        <w:ind w:right="210" w:firstLine="54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根据《关于做好畜禽规模养殖项目环境影响评价管理工作的通知》中三、强化粪污治理措施，做好污染防治中的要求，</w:t>
      </w:r>
      <w:r>
        <w:rPr>
          <w:rFonts w:hint="eastAsia" w:ascii="Times New Roman" w:hAnsi="Times New Roman" w:cs="Times New Roman"/>
          <w:sz w:val="24"/>
          <w:highlight w:val="none"/>
          <w:lang w:eastAsia="zh-CN"/>
        </w:rPr>
        <w:t>黑膜厌氧池</w:t>
      </w:r>
      <w:r>
        <w:rPr>
          <w:rFonts w:hint="eastAsia" w:ascii="Times New Roman" w:hAnsi="Times New Roman" w:eastAsia="宋体" w:cs="Times New Roman"/>
          <w:sz w:val="24"/>
          <w:highlight w:val="none"/>
        </w:rPr>
        <w:t>作为贮存池应采取有效的防雨、防渗和防溢流措施。本项目</w:t>
      </w:r>
      <w:r>
        <w:rPr>
          <w:rFonts w:hint="eastAsia" w:ascii="Times New Roman" w:hAnsi="Times New Roman" w:cs="Times New Roman"/>
          <w:sz w:val="24"/>
          <w:highlight w:val="none"/>
          <w:lang w:eastAsia="zh-CN"/>
        </w:rPr>
        <w:t>黑膜厌氧池</w:t>
      </w:r>
      <w:r>
        <w:rPr>
          <w:rFonts w:hint="eastAsia" w:ascii="Times New Roman" w:hAnsi="Times New Roman" w:eastAsia="宋体" w:cs="Times New Roman"/>
          <w:sz w:val="24"/>
          <w:highlight w:val="none"/>
        </w:rPr>
        <w:t>已做防渗处理且为全封闭，可有效的防雨、防渗和防溢流。</w:t>
      </w:r>
      <w:r>
        <w:rPr>
          <w:rFonts w:hint="default" w:ascii="Times New Roman" w:hAnsi="Times New Roman" w:eastAsia="宋体" w:cs="Times New Roman"/>
          <w:sz w:val="24"/>
          <w:highlight w:val="none"/>
          <w:lang w:val="en-US" w:eastAsia="zh-CN"/>
        </w:rPr>
        <w:t>厂区采取雨污分流方式，雨水采用明沟排放；废水采用暗沟收集。</w:t>
      </w:r>
    </w:p>
    <w:p w14:paraId="0A6CC4F4">
      <w:pPr>
        <w:pStyle w:val="94"/>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lang w:val="en-US" w:eastAsia="zh-CN"/>
        </w:rPr>
        <w:t>1、</w:t>
      </w:r>
      <w:r>
        <w:rPr>
          <w:rFonts w:hint="default" w:ascii="Times New Roman" w:hAnsi="Times New Roman" w:cs="Times New Roman"/>
          <w:snapToGrid w:val="0"/>
          <w:color w:val="auto"/>
          <w:highlight w:val="none"/>
        </w:rPr>
        <w:t>最高排水量达标分析</w:t>
      </w:r>
    </w:p>
    <w:p w14:paraId="11FF38EC">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厂区采取雨污分流方式，雨水采用明沟排放；废水采用暗沟收集。</w:t>
      </w:r>
    </w:p>
    <w:p w14:paraId="497BD043">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本项目废水主要来源于养殖废水和生活污水，其中养殖废水包括猪尿、猪舍清洗废水、固液分离废水，其主要污染物为COD、SS、氨氮等，生活污水主要污染物为COD、氨氮等。废水总排放量为</w:t>
      </w:r>
      <w:r>
        <w:rPr>
          <w:rFonts w:hint="eastAsia" w:ascii="Times New Roman" w:hAnsi="Times New Roman" w:cs="Times New Roman"/>
          <w:snapToGrid w:val="0"/>
          <w:color w:val="auto"/>
          <w:highlight w:val="none"/>
          <w:lang w:val="en-US" w:eastAsia="zh-CN"/>
        </w:rPr>
        <w:t>9539.567</w:t>
      </w:r>
      <w:r>
        <w:rPr>
          <w:rFonts w:hint="default" w:ascii="Times New Roman" w:hAnsi="Times New Roman" w:cs="Times New Roman"/>
          <w:snapToGrid w:val="0"/>
          <w:color w:val="auto"/>
          <w:highlight w:val="none"/>
          <w:lang w:val="en-US" w:eastAsia="zh-CN"/>
        </w:rPr>
        <w:t>t/a。</w:t>
      </w:r>
    </w:p>
    <w:p w14:paraId="70518433">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sz w:val="24"/>
          <w:szCs w:val="24"/>
          <w:highlight w:val="none"/>
        </w:rPr>
        <w:t>运行期养殖废水排放量为</w:t>
      </w:r>
      <w:r>
        <w:rPr>
          <w:rFonts w:hint="eastAsia" w:ascii="Times New Roman" w:hAnsi="Times New Roman" w:cs="Times New Roman"/>
          <w:i w:val="0"/>
          <w:iCs w:val="0"/>
          <w:snapToGrid w:val="0"/>
          <w:color w:val="auto"/>
          <w:kern w:val="0"/>
          <w:sz w:val="24"/>
          <w:szCs w:val="24"/>
          <w:highlight w:val="none"/>
          <w:u w:val="none"/>
          <w:lang w:val="en-US" w:eastAsia="zh-CN" w:bidi="ar"/>
        </w:rPr>
        <w:t>25.4316</w:t>
      </w:r>
      <w:r>
        <w:rPr>
          <w:rFonts w:hint="default" w:ascii="Times New Roman" w:hAnsi="Times New Roman" w:eastAsia="宋体" w:cs="Times New Roman"/>
          <w:snapToGrid w:val="0"/>
          <w:color w:val="auto"/>
          <w:sz w:val="24"/>
          <w:szCs w:val="24"/>
          <w:highlight w:val="none"/>
        </w:rPr>
        <w:t>t/d</w:t>
      </w:r>
      <w:r>
        <w:rPr>
          <w:rFonts w:hint="default" w:ascii="Times New Roman" w:hAnsi="Times New Roman" w:eastAsia="宋体" w:cs="Times New Roman"/>
          <w:snapToGrid w:val="0"/>
          <w:color w:val="auto"/>
          <w:sz w:val="24"/>
          <w:szCs w:val="24"/>
          <w:highlight w:val="none"/>
          <w:lang w:val="zh-CN"/>
        </w:rPr>
        <w:t>，</w:t>
      </w:r>
      <w:r>
        <w:rPr>
          <w:rFonts w:hint="default" w:ascii="Times New Roman" w:hAnsi="Times New Roman" w:eastAsia="宋体" w:cs="Times New Roman"/>
          <w:snapToGrid w:val="0"/>
          <w:color w:val="auto"/>
          <w:sz w:val="24"/>
          <w:szCs w:val="24"/>
          <w:highlight w:val="none"/>
          <w:lang w:val="en-GB"/>
        </w:rPr>
        <w:t>折算为百头猪废水排放量为</w:t>
      </w:r>
      <w:r>
        <w:rPr>
          <w:rFonts w:hint="eastAsia" w:ascii="Times New Roman" w:hAnsi="Times New Roman" w:cs="Times New Roman"/>
          <w:snapToGrid w:val="0"/>
          <w:color w:val="auto"/>
          <w:sz w:val="24"/>
          <w:szCs w:val="24"/>
          <w:highlight w:val="none"/>
          <w:lang w:val="en-GB" w:eastAsia="zh-CN"/>
        </w:rPr>
        <w:t>0.32</w:t>
      </w:r>
      <w:r>
        <w:rPr>
          <w:rFonts w:hint="default" w:ascii="Times New Roman" w:hAnsi="Times New Roman" w:eastAsia="宋体" w:cs="Times New Roman"/>
          <w:snapToGrid w:val="0"/>
          <w:color w:val="auto"/>
          <w:sz w:val="24"/>
          <w:szCs w:val="24"/>
          <w:highlight w:val="none"/>
          <w:lang w:val="en-GB"/>
        </w:rPr>
        <w:t>m</w:t>
      </w:r>
      <w:r>
        <w:rPr>
          <w:rFonts w:hint="default" w:ascii="Times New Roman" w:hAnsi="Times New Roman" w:eastAsia="宋体" w:cs="Times New Roman"/>
          <w:snapToGrid w:val="0"/>
          <w:color w:val="auto"/>
          <w:sz w:val="24"/>
          <w:szCs w:val="24"/>
          <w:highlight w:val="none"/>
          <w:vertAlign w:val="superscript"/>
          <w:lang w:val="en-GB"/>
        </w:rPr>
        <w:t>3</w:t>
      </w:r>
      <w:r>
        <w:rPr>
          <w:rFonts w:hint="default" w:ascii="Times New Roman" w:hAnsi="Times New Roman" w:eastAsia="宋体" w:cs="Times New Roman"/>
          <w:snapToGrid w:val="0"/>
          <w:color w:val="auto"/>
          <w:sz w:val="24"/>
          <w:szCs w:val="24"/>
          <w:highlight w:val="none"/>
          <w:lang w:val="en-GB"/>
        </w:rPr>
        <w:t>/d，</w:t>
      </w:r>
      <w:r>
        <w:rPr>
          <w:rFonts w:hint="default" w:ascii="Times New Roman" w:hAnsi="Times New Roman" w:eastAsia="宋体" w:cs="Times New Roman"/>
          <w:snapToGrid w:val="0"/>
          <w:color w:val="auto"/>
          <w:sz w:val="24"/>
          <w:szCs w:val="24"/>
          <w:highlight w:val="none"/>
          <w:lang w:val="zh-CN"/>
        </w:rPr>
        <w:t>冬季排放量为</w:t>
      </w:r>
      <w:r>
        <w:rPr>
          <w:rFonts w:hint="eastAsia" w:ascii="Times New Roman" w:hAnsi="Times New Roman" w:cs="Times New Roman"/>
          <w:snapToGrid w:val="0"/>
          <w:color w:val="auto"/>
          <w:sz w:val="24"/>
          <w:szCs w:val="24"/>
          <w:highlight w:val="none"/>
          <w:lang w:val="zh-CN" w:eastAsia="zh-CN"/>
        </w:rPr>
        <w:t>25.4316</w:t>
      </w:r>
      <w:r>
        <w:rPr>
          <w:rFonts w:hint="default" w:ascii="Times New Roman" w:hAnsi="Times New Roman" w:eastAsia="宋体" w:cs="Times New Roman"/>
          <w:snapToGrid w:val="0"/>
          <w:color w:val="auto"/>
          <w:sz w:val="24"/>
          <w:szCs w:val="24"/>
          <w:highlight w:val="none"/>
          <w:lang w:val="zh-CN"/>
        </w:rPr>
        <w:t>t/d，</w:t>
      </w:r>
      <w:r>
        <w:rPr>
          <w:rFonts w:hint="default" w:ascii="Times New Roman" w:hAnsi="Times New Roman" w:eastAsia="宋体" w:cs="Times New Roman"/>
          <w:snapToGrid w:val="0"/>
          <w:color w:val="auto"/>
          <w:sz w:val="24"/>
          <w:szCs w:val="24"/>
          <w:highlight w:val="none"/>
          <w:lang w:val="en-GB"/>
        </w:rPr>
        <w:t>折算为百头猪废水排放量为</w:t>
      </w:r>
      <w:r>
        <w:rPr>
          <w:rFonts w:hint="eastAsia" w:ascii="Times New Roman" w:hAnsi="Times New Roman" w:cs="Times New Roman"/>
          <w:snapToGrid w:val="0"/>
          <w:color w:val="auto"/>
          <w:sz w:val="24"/>
          <w:szCs w:val="24"/>
          <w:highlight w:val="none"/>
          <w:lang w:val="en-GB" w:eastAsia="zh-CN"/>
        </w:rPr>
        <w:t>0.32</w:t>
      </w:r>
      <w:r>
        <w:rPr>
          <w:rFonts w:hint="default" w:ascii="Times New Roman" w:hAnsi="Times New Roman" w:eastAsia="宋体" w:cs="Times New Roman"/>
          <w:snapToGrid w:val="0"/>
          <w:color w:val="auto"/>
          <w:sz w:val="24"/>
          <w:szCs w:val="24"/>
          <w:highlight w:val="none"/>
          <w:lang w:val="en-GB"/>
        </w:rPr>
        <w:t>m</w:t>
      </w:r>
      <w:r>
        <w:rPr>
          <w:rFonts w:hint="default" w:ascii="Times New Roman" w:hAnsi="Times New Roman" w:eastAsia="宋体" w:cs="Times New Roman"/>
          <w:snapToGrid w:val="0"/>
          <w:color w:val="auto"/>
          <w:sz w:val="24"/>
          <w:szCs w:val="24"/>
          <w:highlight w:val="none"/>
          <w:vertAlign w:val="superscript"/>
          <w:lang w:val="en-GB"/>
        </w:rPr>
        <w:t>3</w:t>
      </w:r>
      <w:r>
        <w:rPr>
          <w:rFonts w:hint="default" w:ascii="Times New Roman" w:hAnsi="Times New Roman" w:eastAsia="宋体" w:cs="Times New Roman"/>
          <w:snapToGrid w:val="0"/>
          <w:color w:val="auto"/>
          <w:sz w:val="24"/>
          <w:szCs w:val="24"/>
          <w:highlight w:val="none"/>
          <w:lang w:val="en-GB"/>
        </w:rPr>
        <w:t>/d，</w:t>
      </w:r>
      <w:r>
        <w:rPr>
          <w:rFonts w:hint="default" w:ascii="Times New Roman" w:hAnsi="Times New Roman" w:eastAsia="宋体" w:cs="Times New Roman"/>
          <w:snapToGrid w:val="0"/>
          <w:color w:val="auto"/>
          <w:sz w:val="24"/>
          <w:szCs w:val="24"/>
          <w:highlight w:val="none"/>
        </w:rPr>
        <w:t>满足</w:t>
      </w:r>
      <w:r>
        <w:rPr>
          <w:rFonts w:hint="default" w:ascii="Times New Roman" w:hAnsi="Times New Roman" w:eastAsia="宋体" w:cs="Times New Roman"/>
          <w:snapToGrid w:val="0"/>
          <w:color w:val="auto"/>
          <w:sz w:val="24"/>
          <w:szCs w:val="24"/>
          <w:highlight w:val="none"/>
          <w:lang w:val="zh-CN"/>
        </w:rPr>
        <w:t>《畜禽养殖业污染物排放标准》（GB18596-2001）中“集约化畜禽养殖业</w:t>
      </w:r>
      <w:r>
        <w:rPr>
          <w:rFonts w:hint="eastAsia" w:ascii="Times New Roman" w:hAnsi="Times New Roman" w:cs="Times New Roman"/>
          <w:snapToGrid w:val="0"/>
          <w:color w:val="auto"/>
          <w:sz w:val="24"/>
          <w:szCs w:val="24"/>
          <w:highlight w:val="none"/>
          <w:lang w:val="zh-CN"/>
        </w:rPr>
        <w:t>干清粪</w:t>
      </w:r>
      <w:r>
        <w:rPr>
          <w:rFonts w:hint="default" w:ascii="Times New Roman" w:hAnsi="Times New Roman" w:eastAsia="宋体" w:cs="Times New Roman"/>
          <w:snapToGrid w:val="0"/>
          <w:color w:val="auto"/>
          <w:sz w:val="24"/>
          <w:szCs w:val="24"/>
          <w:highlight w:val="none"/>
          <w:lang w:val="zh-CN"/>
        </w:rPr>
        <w:t>工艺最高允许排水量标准”（</w:t>
      </w:r>
      <w:r>
        <w:rPr>
          <w:rFonts w:hint="eastAsia" w:ascii="Times New Roman" w:hAnsi="Times New Roman" w:cs="Times New Roman"/>
          <w:snapToGrid w:val="0"/>
          <w:color w:val="auto"/>
          <w:sz w:val="24"/>
          <w:szCs w:val="24"/>
          <w:highlight w:val="none"/>
          <w:lang w:eastAsia="zh-CN"/>
        </w:rPr>
        <w:t>冬季1.2m</w:t>
      </w:r>
      <w:r>
        <w:rPr>
          <w:rFonts w:hint="eastAsia" w:ascii="Times New Roman" w:hAnsi="Times New Roman" w:cs="Times New Roman"/>
          <w:snapToGrid w:val="0"/>
          <w:color w:val="auto"/>
          <w:sz w:val="24"/>
          <w:szCs w:val="24"/>
          <w:highlight w:val="none"/>
          <w:vertAlign w:val="superscript"/>
          <w:lang w:eastAsia="zh-CN"/>
        </w:rPr>
        <w:t>3</w:t>
      </w:r>
      <w:r>
        <w:rPr>
          <w:rFonts w:hint="eastAsia" w:ascii="Times New Roman" w:hAnsi="Times New Roman" w:cs="Times New Roman"/>
          <w:snapToGrid w:val="0"/>
          <w:color w:val="auto"/>
          <w:sz w:val="24"/>
          <w:szCs w:val="24"/>
          <w:highlight w:val="none"/>
          <w:lang w:eastAsia="zh-CN"/>
        </w:rPr>
        <w:t>/百头﹒天，夏季1.8m</w:t>
      </w:r>
      <w:r>
        <w:rPr>
          <w:rFonts w:hint="eastAsia" w:ascii="Times New Roman" w:hAnsi="Times New Roman" w:cs="Times New Roman"/>
          <w:snapToGrid w:val="0"/>
          <w:color w:val="auto"/>
          <w:sz w:val="24"/>
          <w:szCs w:val="24"/>
          <w:highlight w:val="none"/>
          <w:vertAlign w:val="superscript"/>
          <w:lang w:eastAsia="zh-CN"/>
        </w:rPr>
        <w:t>3</w:t>
      </w:r>
      <w:r>
        <w:rPr>
          <w:rFonts w:hint="eastAsia" w:ascii="Times New Roman" w:hAnsi="Times New Roman" w:cs="Times New Roman"/>
          <w:snapToGrid w:val="0"/>
          <w:color w:val="auto"/>
          <w:sz w:val="24"/>
          <w:szCs w:val="24"/>
          <w:highlight w:val="none"/>
          <w:lang w:eastAsia="zh-CN"/>
        </w:rPr>
        <w:t>/百头﹒天</w:t>
      </w:r>
      <w:r>
        <w:rPr>
          <w:rFonts w:hint="default" w:ascii="Times New Roman" w:hAnsi="Times New Roman" w:eastAsia="宋体" w:cs="Times New Roman"/>
          <w:snapToGrid w:val="0"/>
          <w:color w:val="auto"/>
          <w:sz w:val="24"/>
          <w:szCs w:val="24"/>
          <w:highlight w:val="none"/>
          <w:lang w:val="zh-CN"/>
        </w:rPr>
        <w:t>）。</w:t>
      </w:r>
    </w:p>
    <w:p w14:paraId="4293013B">
      <w:pPr>
        <w:pStyle w:val="94"/>
        <w:ind w:firstLine="480"/>
        <w:rPr>
          <w:rFonts w:hint="default" w:ascii="Times New Roman" w:hAnsi="Times New Roman" w:cs="Times New Roman"/>
          <w:snapToGrid w:val="0"/>
          <w:color w:val="auto"/>
          <w:highlight w:val="none"/>
          <w:lang w:val="en-GB"/>
        </w:rPr>
      </w:pPr>
      <w:r>
        <w:rPr>
          <w:rFonts w:hint="default" w:ascii="Times New Roman" w:hAnsi="Times New Roman" w:cs="Times New Roman"/>
          <w:snapToGrid w:val="0"/>
          <w:color w:val="auto"/>
          <w:highlight w:val="none"/>
          <w:lang w:val="en-GB"/>
        </w:rPr>
        <w:t>本项目采用</w:t>
      </w:r>
      <w:r>
        <w:rPr>
          <w:rFonts w:hint="eastAsia" w:ascii="Times New Roman" w:hAnsi="Times New Roman" w:cs="Times New Roman"/>
          <w:snapToGrid w:val="0"/>
          <w:color w:val="auto"/>
          <w:highlight w:val="none"/>
          <w:lang w:val="en-GB" w:eastAsia="zh-CN"/>
        </w:rPr>
        <w:t>尿泡粪—干清粪</w:t>
      </w:r>
      <w:r>
        <w:rPr>
          <w:rFonts w:hint="default" w:ascii="Times New Roman" w:hAnsi="Times New Roman" w:cs="Times New Roman"/>
          <w:snapToGrid w:val="0"/>
          <w:color w:val="auto"/>
          <w:highlight w:val="none"/>
          <w:lang w:val="en-GB"/>
        </w:rPr>
        <w:t>养殖工艺，</w:t>
      </w:r>
      <w:r>
        <w:rPr>
          <w:rFonts w:hint="default" w:ascii="Times New Roman" w:hAnsi="Times New Roman" w:cs="Times New Roman"/>
          <w:snapToGrid w:val="0"/>
          <w:color w:val="auto"/>
          <w:highlight w:val="none"/>
        </w:rPr>
        <w:t>猪粪</w:t>
      </w:r>
      <w:r>
        <w:rPr>
          <w:rFonts w:hint="eastAsia" w:ascii="Times New Roman" w:hAnsi="Times New Roman" w:cs="Times New Roman"/>
          <w:snapToGrid w:val="0"/>
          <w:color w:val="auto"/>
          <w:highlight w:val="none"/>
          <w:lang w:val="en-US" w:eastAsia="zh-CN"/>
        </w:rPr>
        <w:t>经固液分离后的干粪</w:t>
      </w:r>
      <w:r>
        <w:rPr>
          <w:rFonts w:hint="default" w:ascii="Times New Roman" w:hAnsi="Times New Roman" w:cs="Times New Roman"/>
          <w:snapToGrid w:val="0"/>
          <w:color w:val="auto"/>
          <w:highlight w:val="none"/>
        </w:rPr>
        <w:t>直接送至</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，废水经</w:t>
      </w:r>
      <w:r>
        <w:rPr>
          <w:rFonts w:hint="default" w:ascii="Times New Roman" w:hAnsi="Times New Roman" w:cs="Times New Roman"/>
          <w:snapToGrid w:val="0"/>
          <w:color w:val="auto"/>
          <w:highlight w:val="none"/>
          <w:lang w:val="en-US" w:eastAsia="zh-CN"/>
        </w:rPr>
        <w:t>黑膜厌氧池</w:t>
      </w:r>
      <w:r>
        <w:rPr>
          <w:rFonts w:hint="default" w:ascii="Times New Roman" w:hAnsi="Times New Roman" w:cs="Times New Roman"/>
          <w:snapToGrid w:val="0"/>
          <w:color w:val="auto"/>
          <w:highlight w:val="none"/>
        </w:rPr>
        <w:t>处理后</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沼液</w:t>
      </w:r>
      <w:r>
        <w:rPr>
          <w:rFonts w:hint="default" w:ascii="Times New Roman" w:hAnsi="Times New Roman" w:cs="Times New Roman"/>
          <w:snapToGrid w:val="0"/>
          <w:color w:val="auto"/>
          <w:highlight w:val="none"/>
          <w:lang w:val="en-US" w:eastAsia="zh-CN"/>
        </w:rPr>
        <w:t>冬季</w:t>
      </w:r>
      <w:r>
        <w:rPr>
          <w:rFonts w:hint="default" w:ascii="Times New Roman" w:hAnsi="Times New Roman" w:cs="Times New Roman"/>
          <w:snapToGrid w:val="0"/>
          <w:color w:val="auto"/>
          <w:highlight w:val="none"/>
        </w:rPr>
        <w:t>存于</w:t>
      </w:r>
      <w:r>
        <w:rPr>
          <w:rFonts w:hint="eastAsia" w:ascii="Times New Roman" w:hAnsi="Times New Roman" w:cs="Times New Roman"/>
          <w:snapToGrid w:val="0"/>
          <w:color w:val="auto"/>
          <w:highlight w:val="none"/>
          <w:lang w:val="en-US" w:eastAsia="zh-CN"/>
        </w:rPr>
        <w:t>沼液贮存池</w:t>
      </w:r>
      <w:r>
        <w:rPr>
          <w:rFonts w:hint="default" w:ascii="Times New Roman" w:hAnsi="Times New Roman" w:cs="Times New Roman"/>
          <w:snapToGrid w:val="0"/>
          <w:color w:val="auto"/>
          <w:highlight w:val="none"/>
        </w:rPr>
        <w:t>，</w:t>
      </w:r>
      <w:r>
        <w:rPr>
          <w:rFonts w:hint="default" w:ascii="Times New Roman" w:hAnsi="Times New Roman" w:cs="Times New Roman"/>
          <w:snapToGrid w:val="0"/>
          <w:color w:val="auto"/>
          <w:highlight w:val="none"/>
          <w:lang w:val="en-US" w:eastAsia="zh-CN"/>
        </w:rPr>
        <w:t>施肥季节还田</w:t>
      </w:r>
      <w:r>
        <w:rPr>
          <w:rFonts w:hint="eastAsia"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sz w:val="24"/>
          <w:highlight w:val="none"/>
          <w:lang w:val="en-US" w:eastAsia="zh-CN"/>
        </w:rPr>
        <w:t>满足《畜禽粪便还田技术规范》（GB/T25246-2010）</w:t>
      </w:r>
      <w:r>
        <w:rPr>
          <w:rFonts w:hint="default" w:ascii="Times New Roman" w:hAnsi="Times New Roman" w:cs="Times New Roman"/>
          <w:snapToGrid w:val="0"/>
          <w:color w:val="auto"/>
          <w:highlight w:val="none"/>
        </w:rPr>
        <w:t>。</w:t>
      </w:r>
    </w:p>
    <w:p w14:paraId="0DE0A7BA">
      <w:pPr>
        <w:adjustRightInd w:val="0"/>
        <w:snapToGrid w:val="0"/>
        <w:spacing w:line="360" w:lineRule="auto"/>
        <w:ind w:firstLine="480" w:firstLineChars="200"/>
        <w:rPr>
          <w:rStyle w:val="460"/>
          <w:rFonts w:hint="default" w:ascii="Times New Roman" w:hAnsi="Times New Roman" w:cs="Times New Roman"/>
          <w:color w:val="auto"/>
          <w:highlight w:val="none"/>
        </w:rPr>
      </w:pPr>
      <w:bookmarkStart w:id="962" w:name="OLE_LINK7"/>
      <w:r>
        <w:rPr>
          <w:rFonts w:hint="default" w:ascii="Times New Roman" w:hAnsi="Times New Roman" w:cs="Times New Roman"/>
          <w:snapToGrid w:val="0"/>
          <w:color w:val="auto"/>
          <w:sz w:val="24"/>
          <w:highlight w:val="none"/>
          <w:lang w:val="en-US" w:eastAsia="zh-CN"/>
        </w:rPr>
        <w:t>猪</w:t>
      </w:r>
      <w:r>
        <w:rPr>
          <w:rFonts w:hint="default" w:ascii="Times New Roman" w:hAnsi="Times New Roman" w:cs="Times New Roman"/>
          <w:snapToGrid w:val="0"/>
          <w:color w:val="auto"/>
          <w:sz w:val="24"/>
          <w:highlight w:val="none"/>
        </w:rPr>
        <w:t>尿、冲洗废水等排入黑膜</w:t>
      </w:r>
      <w:r>
        <w:rPr>
          <w:rFonts w:hint="default" w:ascii="Times New Roman" w:hAnsi="Times New Roman" w:cs="Times New Roman"/>
          <w:snapToGrid w:val="0"/>
          <w:color w:val="auto"/>
          <w:sz w:val="24"/>
          <w:highlight w:val="none"/>
          <w:lang w:val="en-US" w:eastAsia="zh-CN"/>
        </w:rPr>
        <w:t>厌氧池</w:t>
      </w:r>
      <w:r>
        <w:rPr>
          <w:rFonts w:hint="default" w:ascii="Times New Roman" w:hAnsi="Times New Roman" w:cs="Times New Roman"/>
          <w:snapToGrid w:val="0"/>
          <w:color w:val="auto"/>
          <w:sz w:val="24"/>
          <w:highlight w:val="none"/>
        </w:rPr>
        <w:t>处理，采用厌氧发酵工艺，夏季运行时间18</w:t>
      </w:r>
      <w:r>
        <w:rPr>
          <w:rFonts w:hint="default" w:ascii="Times New Roman" w:hAnsi="Times New Roman" w:cs="Times New Roman"/>
          <w:snapToGrid w:val="0"/>
          <w:color w:val="auto"/>
          <w:sz w:val="24"/>
          <w:highlight w:val="none"/>
          <w:lang w:val="en-US" w:eastAsia="zh-CN"/>
        </w:rPr>
        <w:t>5</w:t>
      </w:r>
      <w:r>
        <w:rPr>
          <w:rFonts w:hint="default" w:ascii="Times New Roman" w:hAnsi="Times New Roman" w:cs="Times New Roman"/>
          <w:snapToGrid w:val="0"/>
          <w:color w:val="auto"/>
          <w:sz w:val="24"/>
          <w:highlight w:val="none"/>
        </w:rPr>
        <w:t>天，容积为</w:t>
      </w:r>
      <w:r>
        <w:rPr>
          <w:rFonts w:hint="eastAsia" w:ascii="Times New Roman" w:hAnsi="Times New Roman" w:cs="Times New Roman"/>
          <w:snapToGrid w:val="0"/>
          <w:color w:val="auto"/>
          <w:sz w:val="24"/>
          <w:highlight w:val="none"/>
          <w:lang w:eastAsia="zh-CN"/>
        </w:rPr>
        <w:t>13000</w:t>
      </w:r>
      <w:r>
        <w:rPr>
          <w:rFonts w:hint="default" w:ascii="Times New Roman" w:hAnsi="Times New Roman" w:cs="Times New Roman"/>
          <w:snapToGrid w:val="0"/>
          <w:color w:val="auto"/>
          <w:sz w:val="24"/>
          <w:highlight w:val="none"/>
        </w:rPr>
        <w:t>m</w:t>
      </w:r>
      <w:r>
        <w:rPr>
          <w:rFonts w:hint="default" w:ascii="Times New Roman" w:hAnsi="Times New Roman" w:cs="Times New Roman"/>
          <w:snapToGrid w:val="0"/>
          <w:color w:val="auto"/>
          <w:sz w:val="24"/>
          <w:highlight w:val="none"/>
          <w:vertAlign w:val="superscript"/>
        </w:rPr>
        <w:t>3</w:t>
      </w:r>
      <w:r>
        <w:rPr>
          <w:rFonts w:hint="default" w:ascii="Times New Roman" w:hAnsi="Times New Roman" w:cs="Times New Roman"/>
          <w:snapToGrid w:val="0"/>
          <w:color w:val="auto"/>
          <w:sz w:val="24"/>
          <w:highlight w:val="none"/>
        </w:rPr>
        <w:t>。满足夏季废水量需求。</w:t>
      </w:r>
      <w:r>
        <w:rPr>
          <w:rFonts w:hint="default" w:ascii="Times New Roman" w:hAnsi="Times New Roman" w:cs="Times New Roman"/>
          <w:snapToGrid w:val="0"/>
          <w:color w:val="auto"/>
          <w:highlight w:val="none"/>
        </w:rPr>
        <w:t>项目所在区域利用</w:t>
      </w:r>
      <w:r>
        <w:rPr>
          <w:rFonts w:hint="default" w:ascii="Times New Roman" w:hAnsi="Times New Roman" w:cs="Times New Roman"/>
          <w:color w:val="auto"/>
          <w:kern w:val="24"/>
          <w:highlight w:val="none"/>
        </w:rPr>
        <w:t>沼液主要为春季和秋季各一次，春季</w:t>
      </w:r>
      <w:r>
        <w:rPr>
          <w:rFonts w:hint="default" w:ascii="Times New Roman" w:hAnsi="Times New Roman" w:cs="Times New Roman"/>
          <w:color w:val="auto"/>
          <w:kern w:val="24"/>
          <w:highlight w:val="none"/>
          <w:lang w:eastAsia="zh-CN"/>
        </w:rPr>
        <w:t>大约在4月份</w:t>
      </w:r>
      <w:r>
        <w:rPr>
          <w:rFonts w:hint="default" w:ascii="Times New Roman" w:hAnsi="Times New Roman" w:cs="Times New Roman"/>
          <w:color w:val="auto"/>
          <w:kern w:val="24"/>
          <w:highlight w:val="none"/>
        </w:rPr>
        <w:t>，秋季大约在9—</w:t>
      </w:r>
      <w:r>
        <w:rPr>
          <w:rFonts w:hint="default" w:ascii="Times New Roman" w:hAnsi="Times New Roman" w:cs="Times New Roman"/>
          <w:color w:val="auto"/>
          <w:kern w:val="24"/>
          <w:highlight w:val="none"/>
          <w:lang w:eastAsia="zh-CN"/>
        </w:rPr>
        <w:t>10</w:t>
      </w:r>
      <w:r>
        <w:rPr>
          <w:rFonts w:hint="default" w:ascii="Times New Roman" w:hAnsi="Times New Roman" w:cs="Times New Roman"/>
          <w:color w:val="auto"/>
          <w:kern w:val="24"/>
          <w:highlight w:val="none"/>
        </w:rPr>
        <w:t>月份（秋收结束后）</w:t>
      </w:r>
      <w:r>
        <w:rPr>
          <w:rFonts w:hint="default" w:ascii="Times New Roman" w:hAnsi="Times New Roman" w:cs="Times New Roman"/>
          <w:snapToGrid w:val="0"/>
          <w:color w:val="auto"/>
          <w:highlight w:val="none"/>
        </w:rPr>
        <w:t>。沼液施用于玉米地，</w:t>
      </w:r>
      <w:r>
        <w:rPr>
          <w:rFonts w:hint="default" w:ascii="Times New Roman" w:hAnsi="Times New Roman" w:eastAsia="宋体" w:cs="Times New Roman"/>
          <w:snapToGrid w:val="0"/>
          <w:color w:val="auto"/>
          <w:kern w:val="0"/>
          <w:sz w:val="24"/>
          <w:szCs w:val="24"/>
          <w:highlight w:val="none"/>
          <w:lang w:val="en-US" w:eastAsia="zh-CN" w:bidi="ar-SA"/>
        </w:rPr>
        <w:t>本项目</w:t>
      </w:r>
      <w:r>
        <w:rPr>
          <w:rFonts w:hint="eastAsia" w:ascii="Times New Roman" w:hAnsi="Times New Roman" w:cs="Times New Roman"/>
          <w:snapToGrid w:val="0"/>
          <w:color w:val="auto"/>
          <w:kern w:val="0"/>
          <w:sz w:val="24"/>
          <w:szCs w:val="24"/>
          <w:highlight w:val="none"/>
          <w:lang w:val="en-US" w:eastAsia="zh-CN" w:bidi="ar-SA"/>
        </w:rPr>
        <w:t>粪污与农户签订粪污消纳协议，</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固态粪污采用固体抛洒车施肥。结合当地施肥规律，建议粪污施用规律为用作基肥和底肥。</w:t>
      </w:r>
      <w:r>
        <w:rPr>
          <w:rFonts w:hint="eastAsia" w:ascii="Times New Roman" w:hAnsi="Times New Roman" w:eastAsia="宋体" w:cs="Times New Roman"/>
          <w:snapToGrid w:val="0"/>
          <w:color w:val="auto"/>
          <w:kern w:val="0"/>
          <w:sz w:val="24"/>
          <w:szCs w:val="24"/>
          <w:highlight w:val="none"/>
          <w:lang w:val="en-US" w:eastAsia="zh-CN" w:bidi="ar-SA"/>
        </w:rPr>
        <w:t>施肥期平均每天每户拉运</w:t>
      </w:r>
      <w:r>
        <w:rPr>
          <w:rFonts w:hint="eastAsia" w:ascii="Times New Roman" w:hAnsi="Times New Roman" w:cs="Times New Roman"/>
          <w:snapToGrid w:val="0"/>
          <w:color w:val="auto"/>
          <w:kern w:val="0"/>
          <w:sz w:val="24"/>
          <w:szCs w:val="24"/>
          <w:highlight w:val="none"/>
          <w:lang w:val="en-US" w:eastAsia="zh-CN" w:bidi="ar-SA"/>
        </w:rPr>
        <w:t>8</w:t>
      </w:r>
      <w:r>
        <w:rPr>
          <w:rFonts w:hint="eastAsia" w:ascii="Times New Roman" w:hAnsi="Times New Roman" w:eastAsia="宋体" w:cs="Times New Roman"/>
          <w:snapToGrid w:val="0"/>
          <w:color w:val="auto"/>
          <w:kern w:val="0"/>
          <w:sz w:val="24"/>
          <w:szCs w:val="24"/>
          <w:highlight w:val="none"/>
          <w:lang w:val="en-US" w:eastAsia="zh-CN" w:bidi="ar-SA"/>
        </w:rPr>
        <w:t>次</w:t>
      </w:r>
      <w:r>
        <w:rPr>
          <w:rFonts w:hint="default" w:ascii="Times New Roman" w:hAnsi="Times New Roman" w:eastAsia="宋体" w:cs="Times New Roman"/>
          <w:snapToGrid w:val="0"/>
          <w:color w:val="auto"/>
          <w:kern w:val="0"/>
          <w:sz w:val="24"/>
          <w:szCs w:val="24"/>
          <w:highlight w:val="none"/>
          <w:lang w:val="en-US" w:eastAsia="zh-CN" w:bidi="ar-SA"/>
        </w:rPr>
        <w:t>，抛洒施肥，约2</w:t>
      </w:r>
      <w:r>
        <w:rPr>
          <w:rFonts w:hint="eastAsia" w:ascii="Times New Roman" w:hAnsi="Times New Roman" w:cs="Times New Roman"/>
          <w:snapToGrid w:val="0"/>
          <w:color w:val="auto"/>
          <w:kern w:val="0"/>
          <w:sz w:val="24"/>
          <w:szCs w:val="24"/>
          <w:highlight w:val="none"/>
          <w:lang w:val="en-US" w:eastAsia="zh-CN" w:bidi="ar-SA"/>
        </w:rPr>
        <w:t>5</w:t>
      </w:r>
      <w:r>
        <w:rPr>
          <w:rFonts w:hint="default" w:ascii="Times New Roman" w:hAnsi="Times New Roman" w:eastAsia="宋体" w:cs="Times New Roman"/>
          <w:snapToGrid w:val="0"/>
          <w:color w:val="auto"/>
          <w:kern w:val="0"/>
          <w:sz w:val="24"/>
          <w:szCs w:val="24"/>
          <w:highlight w:val="none"/>
          <w:lang w:val="en-US" w:eastAsia="zh-CN" w:bidi="ar-SA"/>
        </w:rPr>
        <w:t>天内施用完毕</w:t>
      </w:r>
      <w:r>
        <w:rPr>
          <w:rFonts w:hint="default" w:ascii="Times New Roman" w:hAnsi="Times New Roman" w:cs="Times New Roman"/>
          <w:snapToGrid w:val="0"/>
          <w:color w:val="auto"/>
          <w:highlight w:val="none"/>
        </w:rPr>
        <w:t>。</w:t>
      </w:r>
    </w:p>
    <w:bookmarkEnd w:id="962"/>
    <w:p w14:paraId="17B97B07">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24"/>
          <w:sz w:val="24"/>
          <w:highlight w:val="none"/>
          <w:lang w:val="zh-CN"/>
        </w:rPr>
      </w:pPr>
      <w:r>
        <w:rPr>
          <w:rFonts w:hint="default" w:ascii="Times New Roman" w:hAnsi="Times New Roman" w:cs="Times New Roman"/>
          <w:snapToGrid w:val="0"/>
          <w:color w:val="auto"/>
          <w:sz w:val="24"/>
          <w:highlight w:val="none"/>
        </w:rPr>
        <w:t>生活污水和养殖废水一同经黑膜</w:t>
      </w:r>
      <w:r>
        <w:rPr>
          <w:rFonts w:hint="default" w:ascii="Times New Roman" w:hAnsi="Times New Roman" w:cs="Times New Roman"/>
          <w:snapToGrid w:val="0"/>
          <w:color w:val="auto"/>
          <w:sz w:val="24"/>
          <w:highlight w:val="none"/>
          <w:lang w:val="en-US" w:eastAsia="zh-CN"/>
        </w:rPr>
        <w:t>厌氧池</w:t>
      </w:r>
      <w:r>
        <w:rPr>
          <w:rFonts w:hint="default" w:ascii="Times New Roman" w:hAnsi="Times New Roman" w:cs="Times New Roman"/>
          <w:snapToGrid w:val="0"/>
          <w:color w:val="auto"/>
          <w:sz w:val="24"/>
          <w:highlight w:val="none"/>
        </w:rPr>
        <w:t>发酵储存，</w:t>
      </w:r>
      <w:r>
        <w:rPr>
          <w:rFonts w:hint="default" w:ascii="Times New Roman" w:hAnsi="Times New Roman" w:cs="Times New Roman"/>
          <w:snapToGrid w:val="0"/>
          <w:color w:val="auto"/>
          <w:highlight w:val="none"/>
        </w:rPr>
        <w:t>沼液</w:t>
      </w:r>
      <w:r>
        <w:rPr>
          <w:rFonts w:hint="default" w:ascii="Times New Roman" w:hAnsi="Times New Roman" w:cs="Times New Roman"/>
          <w:snapToGrid w:val="0"/>
          <w:color w:val="auto"/>
          <w:highlight w:val="none"/>
          <w:lang w:val="en-US" w:eastAsia="zh-CN"/>
        </w:rPr>
        <w:t>冬季</w:t>
      </w:r>
      <w:r>
        <w:rPr>
          <w:rFonts w:hint="default" w:ascii="Times New Roman" w:hAnsi="Times New Roman" w:cs="Times New Roman"/>
          <w:snapToGrid w:val="0"/>
          <w:color w:val="auto"/>
          <w:highlight w:val="none"/>
        </w:rPr>
        <w:t>存于</w:t>
      </w:r>
      <w:r>
        <w:rPr>
          <w:rFonts w:hint="eastAsia" w:ascii="Times New Roman" w:hAnsi="Times New Roman" w:cs="Times New Roman"/>
          <w:snapToGrid w:val="0"/>
          <w:color w:val="auto"/>
          <w:highlight w:val="none"/>
          <w:lang w:val="en-US" w:eastAsia="zh-CN"/>
        </w:rPr>
        <w:t>沼液贮存池，</w:t>
      </w:r>
      <w:r>
        <w:rPr>
          <w:rFonts w:hint="default" w:ascii="Times New Roman" w:hAnsi="Times New Roman" w:cs="Times New Roman"/>
          <w:snapToGrid w:val="0"/>
          <w:color w:val="auto"/>
          <w:sz w:val="24"/>
          <w:highlight w:val="none"/>
        </w:rPr>
        <w:t>施肥季节用于还田</w:t>
      </w:r>
      <w:r>
        <w:rPr>
          <w:rFonts w:hint="eastAsia" w:ascii="Times New Roman" w:hAnsi="Times New Roman" w:cs="Times New Roman"/>
          <w:snapToGrid w:val="0"/>
          <w:color w:val="auto"/>
          <w:sz w:val="24"/>
          <w:highlight w:val="none"/>
          <w:lang w:eastAsia="zh-CN"/>
        </w:rPr>
        <w:t>。</w:t>
      </w:r>
      <w:r>
        <w:rPr>
          <w:rFonts w:hint="default" w:ascii="Times New Roman" w:hAnsi="Times New Roman" w:cs="Times New Roman"/>
          <w:snapToGrid w:val="0"/>
          <w:color w:val="auto"/>
          <w:sz w:val="24"/>
          <w:highlight w:val="none"/>
          <w:lang w:val="en-US" w:eastAsia="zh-CN"/>
        </w:rPr>
        <w:t>本项目沼液作为液体肥料满足《畜禽粪便还田技术规范》（GB/T25246-2010）</w:t>
      </w:r>
      <w:r>
        <w:rPr>
          <w:rFonts w:hint="default" w:ascii="Times New Roman" w:hAnsi="Times New Roman" w:cs="Times New Roman"/>
          <w:snapToGrid w:val="0"/>
          <w:color w:val="auto"/>
          <w:sz w:val="24"/>
          <w:highlight w:val="none"/>
        </w:rPr>
        <w:t>。</w:t>
      </w:r>
    </w:p>
    <w:p w14:paraId="079A3955">
      <w:pPr>
        <w:pStyle w:val="94"/>
        <w:ind w:firstLine="480"/>
        <w:rPr>
          <w:rFonts w:hint="default" w:ascii="Times New Roman" w:hAnsi="Times New Roman" w:eastAsia="宋体" w:cs="Times New Roman"/>
          <w:b/>
          <w:snapToGrid w:val="0"/>
          <w:color w:val="auto"/>
          <w:kern w:val="0"/>
          <w:sz w:val="24"/>
          <w:szCs w:val="20"/>
          <w:highlight w:val="none"/>
          <w:lang w:val="zh-CN" w:eastAsia="zh-CN" w:bidi="ar-SA"/>
        </w:rPr>
      </w:pPr>
      <w:r>
        <w:rPr>
          <w:rFonts w:hint="default" w:ascii="Times New Roman" w:hAnsi="Times New Roman" w:eastAsia="宋体" w:cs="Times New Roman"/>
          <w:b/>
          <w:snapToGrid w:val="0"/>
          <w:color w:val="auto"/>
          <w:kern w:val="0"/>
          <w:sz w:val="24"/>
          <w:szCs w:val="20"/>
          <w:highlight w:val="none"/>
          <w:lang w:val="en-US" w:eastAsia="zh-CN" w:bidi="ar-SA"/>
        </w:rPr>
        <w:t>2、</w:t>
      </w:r>
      <w:r>
        <w:rPr>
          <w:rFonts w:hint="default" w:ascii="Times New Roman" w:hAnsi="Times New Roman" w:eastAsia="宋体" w:cs="Times New Roman"/>
          <w:b/>
          <w:snapToGrid w:val="0"/>
          <w:color w:val="auto"/>
          <w:kern w:val="0"/>
          <w:sz w:val="24"/>
          <w:szCs w:val="20"/>
          <w:highlight w:val="none"/>
          <w:lang w:val="zh-CN" w:eastAsia="zh-CN" w:bidi="ar-SA"/>
        </w:rPr>
        <w:t>废水处理工艺</w:t>
      </w:r>
    </w:p>
    <w:p w14:paraId="0BA5F75E">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的工作原理：</w:t>
      </w:r>
    </w:p>
    <w:p w14:paraId="647655DE">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底部铺设HDPE防渗膜，顶部覆盖HDPE顶膜，形成密闭空间，进料口均匀设置排污管，使粪污进入</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内均匀铺设，同时内部设置排气管，将产生的沼气导出。</w:t>
      </w:r>
    </w:p>
    <w:p w14:paraId="79691577">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：本项目粪便通过地下管网靠重力作用输送泵入</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，经厌氧发酵去除大部分有机物（pH为6~9，温度为18~25℃），污水出沼气池后，沼液排入沼液贮存池储存，在施肥季节根据农作物需求液态施肥，沼渣运至场内</w:t>
      </w:r>
      <w:r>
        <w:rPr>
          <w:rFonts w:hint="eastAsia" w:ascii="Times New Roman" w:hAnsi="Times New Roman" w:eastAsia="宋体" w:cs="Times New Roman"/>
          <w:color w:val="auto"/>
          <w:kern w:val="0"/>
          <w:sz w:val="24"/>
          <w:szCs w:val="24"/>
          <w:highlight w:val="none"/>
          <w:lang w:val="en-US" w:eastAsia="zh-CN" w:bidi="ar-SA"/>
        </w:rPr>
        <w:t>干粪堆积场</w:t>
      </w:r>
      <w:r>
        <w:rPr>
          <w:rFonts w:hint="default" w:ascii="Times New Roman" w:hAnsi="Times New Roman" w:eastAsia="宋体" w:cs="Times New Roman"/>
          <w:color w:val="auto"/>
          <w:kern w:val="0"/>
          <w:sz w:val="24"/>
          <w:szCs w:val="24"/>
          <w:highlight w:val="none"/>
          <w:lang w:val="en-US" w:eastAsia="zh-CN" w:bidi="ar-SA"/>
        </w:rPr>
        <w:t>进行发酵处理后回用于附近农田施肥。</w:t>
      </w:r>
    </w:p>
    <w:p w14:paraId="39718936">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集发酵、贮气采用</w:t>
      </w:r>
      <w:r>
        <w:rPr>
          <w:rFonts w:hint="default" w:ascii="Times New Roman" w:hAnsi="Times New Roman" w:eastAsia="宋体" w:cs="Times New Roman"/>
          <w:color w:val="auto"/>
          <w:kern w:val="0"/>
          <w:sz w:val="24"/>
          <w:szCs w:val="24"/>
          <w:highlight w:val="none"/>
          <w:lang w:val="en-US" w:eastAsia="zh-CN" w:bidi="ar-SA"/>
        </w:rPr>
        <w:fldChar w:fldCharType="begin"/>
      </w:r>
      <w:r>
        <w:rPr>
          <w:rFonts w:hint="default" w:ascii="Times New Roman" w:hAnsi="Times New Roman" w:eastAsia="宋体" w:cs="Times New Roman"/>
          <w:color w:val="auto"/>
          <w:kern w:val="0"/>
          <w:sz w:val="24"/>
          <w:szCs w:val="24"/>
          <w:highlight w:val="none"/>
          <w:lang w:val="en-US" w:eastAsia="zh-CN" w:bidi="ar-SA"/>
        </w:rPr>
        <w:instrText xml:space="preserve"> HYPERLINK "http://www.kuanruo.com/a/cn/products/2013/0424/437.html" </w:instrText>
      </w:r>
      <w:r>
        <w:rPr>
          <w:rFonts w:hint="default" w:ascii="Times New Roman" w:hAnsi="Times New Roman" w:eastAsia="宋体" w:cs="Times New Roman"/>
          <w:color w:val="auto"/>
          <w:kern w:val="0"/>
          <w:sz w:val="24"/>
          <w:szCs w:val="24"/>
          <w:highlight w:val="none"/>
          <w:lang w:val="en-US" w:eastAsia="zh-CN" w:bidi="ar-SA"/>
        </w:rPr>
        <w:fldChar w:fldCharType="separate"/>
      </w:r>
      <w:r>
        <w:rPr>
          <w:rFonts w:hint="default" w:ascii="Times New Roman" w:hAnsi="Times New Roman" w:eastAsia="宋体" w:cs="Times New Roman"/>
          <w:color w:val="auto"/>
          <w:kern w:val="0"/>
          <w:sz w:val="24"/>
          <w:szCs w:val="24"/>
          <w:highlight w:val="none"/>
          <w:lang w:val="en-US" w:eastAsia="zh-CN" w:bidi="ar-SA"/>
        </w:rPr>
        <w:t>HDPE防渗膜</w:t>
      </w:r>
      <w:r>
        <w:rPr>
          <w:rFonts w:hint="default" w:ascii="Times New Roman" w:hAnsi="Times New Roman" w:eastAsia="宋体" w:cs="Times New Roman"/>
          <w:color w:val="auto"/>
          <w:kern w:val="0"/>
          <w:sz w:val="24"/>
          <w:szCs w:val="24"/>
          <w:highlight w:val="none"/>
          <w:lang w:val="en-US" w:eastAsia="zh-CN" w:bidi="ar-SA"/>
        </w:rPr>
        <w:fldChar w:fldCharType="end"/>
      </w:r>
      <w:r>
        <w:rPr>
          <w:rFonts w:hint="default" w:ascii="Times New Roman" w:hAnsi="Times New Roman" w:eastAsia="宋体" w:cs="Times New Roman"/>
          <w:color w:val="auto"/>
          <w:kern w:val="0"/>
          <w:sz w:val="24"/>
          <w:szCs w:val="24"/>
          <w:highlight w:val="none"/>
          <w:lang w:val="en-US" w:eastAsia="zh-CN" w:bidi="ar-SA"/>
        </w:rPr>
        <w:t>将整个厌氧塘进行全封闭，利用黑膜（HDPE膜）吸收阳光、增温保温效果好，池底设有自动排泥装置。采用沼气技术处理养殖场污水，具有污泥量少，运行费用低等优势，同时可以控制生产过程中污染物的流向，降低农作物本身受污染的程度，控制疫病，实现污水零排放。农业废物在经厌氧消化处理和沉淀后，产生高效肥料，并最终达到粪污“零排放”，其优点如下：</w:t>
      </w:r>
    </w:p>
    <w:p w14:paraId="44DC50A7">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①</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具有优异的化学稳定性，耐高低温，耐沥青、油及焦油，耐酸、碱、盐等80多种强酸强碱化学介质腐蚀；对进水SS浓度无要求，不会造成污泥淤积，拥堵管道。</w:t>
      </w:r>
    </w:p>
    <w:p w14:paraId="7E75A5A3">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②黑膜（HDPE膜）厌氧池施工简单，建设成本低；施工简单，建设周期短；安全性高，工艺流程短，运行维护方便，广泛适用于禽畜粪便污水的处理、城市垃圾填埋场等。</w:t>
      </w:r>
    </w:p>
    <w:p w14:paraId="6C8C78D0">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③黑膜（HDPE膜）厌氧池内温度稳定，春夏秋季节均能运行：池底挖深</w:t>
      </w:r>
      <w:r>
        <w:rPr>
          <w:rFonts w:hint="eastAsia" w:ascii="Times New Roman" w:hAnsi="Times New Roman" w:eastAsia="宋体" w:cs="Times New Roman"/>
          <w:color w:val="auto"/>
          <w:kern w:val="0"/>
          <w:sz w:val="24"/>
          <w:szCs w:val="24"/>
          <w:highlight w:val="none"/>
          <w:lang w:val="en-US" w:eastAsia="zh-CN" w:bidi="ar-SA"/>
        </w:rPr>
        <w:t>7</w:t>
      </w:r>
      <w:r>
        <w:rPr>
          <w:rFonts w:hint="default" w:ascii="Times New Roman" w:hAnsi="Times New Roman" w:eastAsia="宋体" w:cs="Times New Roman"/>
          <w:color w:val="auto"/>
          <w:kern w:val="0"/>
          <w:sz w:val="24"/>
          <w:szCs w:val="24"/>
          <w:highlight w:val="none"/>
          <w:lang w:val="en-US" w:eastAsia="zh-CN" w:bidi="ar-SA"/>
        </w:rPr>
        <w:t>m，利用地温保证池内常温发酵；池壁加厚，保温效果良好；同时进料管道及收集池均采用地下结构，保证进料温度；同时黑膜材质自带吸收阳光功能，增温保温效果好</w:t>
      </w:r>
      <w:r>
        <w:rPr>
          <w:rFonts w:hint="eastAsia" w:ascii="Times New Roman" w:hAnsi="Times New Roman" w:cs="Times New Roman"/>
          <w:color w:val="auto"/>
          <w:kern w:val="0"/>
          <w:sz w:val="24"/>
          <w:szCs w:val="24"/>
          <w:highlight w:val="none"/>
          <w:lang w:val="en-US" w:eastAsia="zh-CN" w:bidi="ar-SA"/>
        </w:rPr>
        <w:t>。</w:t>
      </w:r>
    </w:p>
    <w:p w14:paraId="7B5FA67D">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④防渗系数高：池中安装的防膜具有普通防水材料所无法比拟的防渗效果，不会污染地下水，具有高强抗拉伸机械性能，优良的弹性和变形能力使其非常适用于膨胀和收缩基面，可有效克服基面的不均匀沉降。</w:t>
      </w:r>
    </w:p>
    <w:p w14:paraId="4A672E27">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⑤</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存储方便，自动水渣分离。粪污可以随时存储，存储周期可以根据施肥周期及粪污熟化期要求确定，粪便可以方便存取和使用；利用池中气压，水压将底层沼渣压出沼气池，上层沼液进入后排出系统。</w:t>
      </w:r>
    </w:p>
    <w:p w14:paraId="0DA59638">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⑥黑膜（HDPE膜）厌氧池厌氧发酵容积大、污水滞留期长、沼气产生量大、运行处理费低。</w:t>
      </w:r>
    </w:p>
    <w:p w14:paraId="17B64DDB">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⑦</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防渗膜具有优秀的抗老化、抗紫外线、抗分解，可裸露在外使用；具有优异的抗穿刺能力，可以抵抗大部分植物根系，避免对防渗膜的损害，保证防渗膜的使用年限和功能发挥；易操作，易维修。池体坚固不易塌方，薄膜破损容易修补。</w:t>
      </w:r>
    </w:p>
    <w:p w14:paraId="43A9B16F">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⑧</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发酵完全，产气量大。污水在沼气池中停留时间长，池内温度可保持20度左右，经沼气池处理的污水COD可降低89%以上。</w:t>
      </w:r>
    </w:p>
    <w:p w14:paraId="0D72D01A">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⑨</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运营成本低。沼气池常规运作费用仅为抽污耗电费用，出水，出渣，出气可通过沼气池系统自身完成。</w:t>
      </w:r>
    </w:p>
    <w:p w14:paraId="5C87E42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⑩容量大、负荷高：粪污容量大，进水水质要求不高。沼液有机物含量低，有效去除臭味，遏制了蚊虫滋生和病菌的传播。</w:t>
      </w:r>
    </w:p>
    <w:p w14:paraId="459A566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实际过程中</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底部会用沙袋固定在底部，固定底膜，避免底膜浮起。液面上会在固定区域（泵）放置漂浮物避免泵运行过程中接触底部对膜有破坏作用，同时也会防止上方的黑膜与液面接触。黑膜厌氧池平面见图3-4-3。</w:t>
      </w:r>
    </w:p>
    <w:p w14:paraId="48CF5E22">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drawing>
          <wp:inline distT="0" distB="0" distL="0" distR="0">
            <wp:extent cx="5026025" cy="2155825"/>
            <wp:effectExtent l="0" t="0" r="3175" b="158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026025" cy="2155825"/>
                    </a:xfrm>
                    <a:prstGeom prst="rect">
                      <a:avLst/>
                    </a:prstGeom>
                    <a:noFill/>
                    <a:ln>
                      <a:noFill/>
                    </a:ln>
                  </pic:spPr>
                </pic:pic>
              </a:graphicData>
            </a:graphic>
          </wp:inline>
        </w:drawing>
      </w:r>
    </w:p>
    <w:p w14:paraId="0B37F611">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  黑膜厌氧池平面布置图</w:t>
      </w:r>
    </w:p>
    <w:p w14:paraId="76301CF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kern w:val="0"/>
          <w:sz w:val="24"/>
          <w:szCs w:val="24"/>
          <w:highlight w:val="none"/>
          <w:lang w:val="en-GB"/>
        </w:rPr>
        <w:t>贮存：本项目沼液拟施用于玉米地，</w:t>
      </w:r>
      <w:r>
        <w:rPr>
          <w:rFonts w:hint="eastAsia" w:ascii="Times New Roman" w:hAnsi="Times New Roman" w:cs="Times New Roman"/>
          <w:snapToGrid w:val="0"/>
          <w:color w:val="auto"/>
          <w:kern w:val="0"/>
          <w:sz w:val="24"/>
          <w:szCs w:val="24"/>
          <w:highlight w:val="none"/>
          <w:lang w:val="en-US" w:eastAsia="zh-CN"/>
        </w:rPr>
        <w:t>冬季</w:t>
      </w:r>
      <w:r>
        <w:rPr>
          <w:rFonts w:hint="default" w:ascii="Times New Roman" w:hAnsi="Times New Roman" w:eastAsia="宋体" w:cs="Times New Roman"/>
          <w:snapToGrid w:val="0"/>
          <w:color w:val="auto"/>
          <w:kern w:val="0"/>
          <w:sz w:val="24"/>
          <w:szCs w:val="24"/>
          <w:highlight w:val="none"/>
          <w:lang w:val="en-GB"/>
        </w:rPr>
        <w:t>沼液贮存期为</w:t>
      </w:r>
      <w:r>
        <w:rPr>
          <w:rFonts w:hint="default" w:ascii="Times New Roman" w:hAnsi="Times New Roman" w:eastAsia="宋体" w:cs="Times New Roman"/>
          <w:snapToGrid w:val="0"/>
          <w:color w:val="auto"/>
          <w:kern w:val="0"/>
          <w:sz w:val="24"/>
          <w:szCs w:val="24"/>
          <w:highlight w:val="none"/>
          <w:lang w:val="en-US" w:eastAsia="zh-CN"/>
        </w:rPr>
        <w:t>180</w:t>
      </w:r>
      <w:r>
        <w:rPr>
          <w:rFonts w:hint="default" w:ascii="Times New Roman" w:hAnsi="Times New Roman" w:eastAsia="宋体" w:cs="Times New Roman"/>
          <w:snapToGrid w:val="0"/>
          <w:color w:val="auto"/>
          <w:kern w:val="0"/>
          <w:sz w:val="24"/>
          <w:szCs w:val="24"/>
          <w:highlight w:val="none"/>
          <w:lang w:val="en-GB"/>
        </w:rPr>
        <w:t>天，</w:t>
      </w:r>
      <w:r>
        <w:rPr>
          <w:rFonts w:hint="default" w:ascii="Times New Roman" w:hAnsi="Times New Roman" w:eastAsia="宋体" w:cs="Times New Roman"/>
          <w:snapToGrid w:val="0"/>
          <w:color w:val="auto"/>
          <w:kern w:val="0"/>
          <w:sz w:val="24"/>
          <w:szCs w:val="24"/>
          <w:highlight w:val="none"/>
          <w:lang w:val="en-US" w:eastAsia="zh-CN"/>
        </w:rPr>
        <w:t>本项目沼液贮存于沼液贮存池，</w:t>
      </w:r>
      <w:r>
        <w:rPr>
          <w:rFonts w:hint="default" w:ascii="Times New Roman" w:hAnsi="Times New Roman" w:eastAsia="宋体" w:cs="Times New Roman"/>
          <w:snapToGrid w:val="0"/>
          <w:color w:val="auto"/>
          <w:kern w:val="0"/>
          <w:sz w:val="24"/>
          <w:szCs w:val="24"/>
          <w:highlight w:val="none"/>
          <w:lang w:val="en-GB"/>
        </w:rPr>
        <w:t>则</w:t>
      </w:r>
      <w:r>
        <w:rPr>
          <w:rFonts w:hint="default" w:ascii="Times New Roman" w:hAnsi="Times New Roman" w:eastAsia="宋体" w:cs="Times New Roman"/>
          <w:snapToGrid w:val="0"/>
          <w:color w:val="auto"/>
          <w:kern w:val="0"/>
          <w:sz w:val="24"/>
          <w:szCs w:val="24"/>
          <w:highlight w:val="none"/>
          <w:lang w:val="en-US" w:eastAsia="zh-CN"/>
        </w:rPr>
        <w:t>沼液贮存池</w:t>
      </w:r>
      <w:r>
        <w:rPr>
          <w:rFonts w:hint="default" w:ascii="Times New Roman" w:hAnsi="Times New Roman" w:eastAsia="宋体" w:cs="Times New Roman"/>
          <w:snapToGrid w:val="0"/>
          <w:color w:val="auto"/>
          <w:kern w:val="0"/>
          <w:sz w:val="24"/>
          <w:szCs w:val="24"/>
          <w:highlight w:val="none"/>
          <w:lang w:val="en-GB"/>
        </w:rPr>
        <w:t>容量至少应储存</w:t>
      </w:r>
      <w:r>
        <w:rPr>
          <w:rFonts w:hint="default" w:ascii="Times New Roman" w:hAnsi="Times New Roman" w:eastAsia="宋体" w:cs="Times New Roman"/>
          <w:snapToGrid w:val="0"/>
          <w:color w:val="auto"/>
          <w:kern w:val="0"/>
          <w:sz w:val="24"/>
          <w:szCs w:val="24"/>
          <w:highlight w:val="none"/>
          <w:lang w:val="en-US" w:eastAsia="zh-CN"/>
        </w:rPr>
        <w:t>180</w:t>
      </w:r>
      <w:r>
        <w:rPr>
          <w:rFonts w:hint="default" w:ascii="Times New Roman" w:hAnsi="Times New Roman" w:eastAsia="宋体" w:cs="Times New Roman"/>
          <w:snapToGrid w:val="0"/>
          <w:color w:val="auto"/>
          <w:kern w:val="0"/>
          <w:sz w:val="24"/>
          <w:szCs w:val="24"/>
          <w:highlight w:val="none"/>
          <w:lang w:val="en-GB"/>
        </w:rPr>
        <w:t>天沼液。</w:t>
      </w:r>
      <w:r>
        <w:rPr>
          <w:rFonts w:hint="default" w:ascii="Times New Roman" w:hAnsi="Times New Roman" w:eastAsia="宋体" w:cs="Times New Roman"/>
          <w:color w:val="auto"/>
          <w:highlight w:val="none"/>
        </w:rPr>
        <w:t>本项目沼液产生量为</w:t>
      </w:r>
      <w:r>
        <w:rPr>
          <w:rFonts w:hint="eastAsia" w:ascii="Times New Roman" w:cs="Times New Roman"/>
          <w:color w:val="auto"/>
          <w:highlight w:val="none"/>
          <w:lang w:eastAsia="zh-CN"/>
        </w:rPr>
        <w:t>9539.567</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sz w:val="24"/>
          <w:szCs w:val="24"/>
          <w:highlight w:val="none"/>
        </w:rPr>
        <w:t>（</w:t>
      </w:r>
      <w:r>
        <w:rPr>
          <w:rFonts w:hint="eastAsia" w:ascii="Times New Roman" w:cs="Times New Roman"/>
          <w:color w:val="auto"/>
          <w:sz w:val="24"/>
          <w:szCs w:val="24"/>
          <w:highlight w:val="none"/>
          <w:lang w:val="en-US" w:eastAsia="zh-CN"/>
        </w:rPr>
        <w:t>夏季26.1358</w:t>
      </w:r>
      <w:r>
        <w:rPr>
          <w:rFonts w:hint="default" w:ascii="Times New Roman" w:hAnsi="Times New Roman" w:eastAsia="宋体" w:cs="Times New Roman"/>
          <w:color w:val="auto"/>
          <w:sz w:val="24"/>
          <w:szCs w:val="24"/>
          <w:highlight w:val="none"/>
        </w:rPr>
        <w:t>t/d</w:t>
      </w:r>
      <w:r>
        <w:rPr>
          <w:rFonts w:hint="eastAsia" w:ascii="Times New Roman" w:cs="Times New Roman"/>
          <w:color w:val="auto"/>
          <w:sz w:val="24"/>
          <w:szCs w:val="24"/>
          <w:highlight w:val="none"/>
          <w:lang w:eastAsia="zh-CN"/>
        </w:rPr>
        <w:t>，</w:t>
      </w:r>
      <w:r>
        <w:rPr>
          <w:rFonts w:hint="eastAsia" w:ascii="Times New Roman" w:cs="Times New Roman"/>
          <w:color w:val="auto"/>
          <w:sz w:val="24"/>
          <w:szCs w:val="24"/>
          <w:highlight w:val="none"/>
          <w:lang w:val="en-US" w:eastAsia="zh-CN"/>
        </w:rPr>
        <w:t>冬季26.1358</w:t>
      </w:r>
      <w:r>
        <w:rPr>
          <w:rFonts w:hint="default" w:ascii="Times New Roman" w:hAnsi="Times New Roman" w:eastAsia="宋体" w:cs="Times New Roman"/>
          <w:color w:val="auto"/>
          <w:sz w:val="24"/>
          <w:szCs w:val="24"/>
          <w:highlight w:val="none"/>
        </w:rPr>
        <w:t>t/d）</w:t>
      </w:r>
      <w:r>
        <w:rPr>
          <w:rFonts w:hint="default" w:ascii="Times New Roman" w:hAnsi="Times New Roman" w:eastAsia="宋体" w:cs="Times New Roman"/>
          <w:color w:val="auto"/>
          <w:highlight w:val="none"/>
        </w:rPr>
        <w:t>，则储存期间废水量为</w:t>
      </w:r>
      <w:r>
        <w:rPr>
          <w:rFonts w:hint="eastAsia" w:ascii="Times New Roman" w:cs="Times New Roman"/>
          <w:color w:val="auto"/>
          <w:highlight w:val="none"/>
          <w:lang w:val="en-US" w:eastAsia="zh-CN"/>
        </w:rPr>
        <w:t>4704.44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本项目需要满足</w:t>
      </w:r>
      <w:r>
        <w:rPr>
          <w:rFonts w:hint="eastAsia" w:ascii="Times New Roman" w:cs="Times New Roman"/>
          <w:color w:val="auto"/>
          <w:highlight w:val="none"/>
          <w:lang w:val="en-US" w:eastAsia="zh-CN"/>
        </w:rPr>
        <w:t>4704.44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US" w:eastAsia="zh-CN"/>
        </w:rPr>
        <w:t>的废水储存量，</w:t>
      </w:r>
      <w:r>
        <w:rPr>
          <w:rFonts w:hint="eastAsia" w:ascii="Times New Roman" w:hAnsi="Times New Roman" w:cs="Times New Roman"/>
          <w:color w:val="auto"/>
          <w:sz w:val="24"/>
          <w:szCs w:val="24"/>
          <w:highlight w:val="none"/>
          <w:lang w:val="en-US" w:eastAsia="zh-CN"/>
        </w:rPr>
        <w:t>沼液贮存池</w:t>
      </w:r>
      <w:r>
        <w:rPr>
          <w:rFonts w:hint="default" w:ascii="Times New Roman" w:hAnsi="Times New Roman" w:eastAsia="宋体" w:cs="Times New Roman"/>
          <w:color w:val="auto"/>
          <w:sz w:val="24"/>
          <w:szCs w:val="24"/>
          <w:highlight w:val="none"/>
        </w:rPr>
        <w:t>容积为</w:t>
      </w:r>
      <w:r>
        <w:rPr>
          <w:rFonts w:hint="eastAsia" w:ascii="Times New Roman" w:cs="Times New Roman"/>
          <w:color w:val="auto"/>
          <w:sz w:val="24"/>
          <w:szCs w:val="24"/>
          <w:highlight w:val="none"/>
          <w:lang w:val="en-US" w:eastAsia="zh-CN"/>
        </w:rPr>
        <w:t>5040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highlight w:val="none"/>
          <w:lang w:val="en-US" w:eastAsia="zh-CN"/>
        </w:rPr>
        <w:t>，可满足冬季</w:t>
      </w:r>
      <w:r>
        <w:rPr>
          <w:rFonts w:hint="default" w:ascii="Times New Roman" w:hAnsi="Times New Roman" w:eastAsia="宋体" w:cs="Times New Roman"/>
          <w:color w:val="auto"/>
          <w:highlight w:val="none"/>
        </w:rPr>
        <w:t>沼液</w:t>
      </w:r>
      <w:r>
        <w:rPr>
          <w:rFonts w:hint="default" w:ascii="Times New Roman" w:hAnsi="Times New Roman" w:eastAsia="宋体" w:cs="Times New Roman"/>
          <w:color w:val="auto"/>
          <w:highlight w:val="none"/>
          <w:lang w:val="en-US" w:eastAsia="zh-CN"/>
        </w:rPr>
        <w:t>储存需求。</w:t>
      </w:r>
      <w:r>
        <w:rPr>
          <w:rFonts w:hint="default" w:ascii="Times New Roman" w:hAnsi="Times New Roman" w:eastAsia="宋体" w:cs="Times New Roman"/>
          <w:snapToGrid w:val="0"/>
          <w:color w:val="auto"/>
          <w:kern w:val="0"/>
          <w:sz w:val="24"/>
          <w:szCs w:val="24"/>
          <w:highlight w:val="none"/>
        </w:rPr>
        <w:t>因此，本项目</w:t>
      </w:r>
      <w:r>
        <w:rPr>
          <w:rFonts w:hint="default" w:ascii="Times New Roman" w:hAnsi="Times New Roman" w:eastAsia="宋体" w:cs="Times New Roman"/>
          <w:snapToGrid w:val="0"/>
          <w:color w:val="auto"/>
          <w:kern w:val="0"/>
          <w:sz w:val="24"/>
          <w:szCs w:val="24"/>
          <w:highlight w:val="none"/>
          <w:lang w:val="en-US" w:eastAsia="zh-CN"/>
        </w:rPr>
        <w:t>沼液贮存池</w:t>
      </w:r>
      <w:r>
        <w:rPr>
          <w:rFonts w:hint="default" w:ascii="Times New Roman" w:hAnsi="Times New Roman" w:eastAsia="宋体" w:cs="Times New Roman"/>
          <w:snapToGrid w:val="0"/>
          <w:color w:val="auto"/>
          <w:kern w:val="0"/>
          <w:sz w:val="24"/>
          <w:szCs w:val="24"/>
          <w:highlight w:val="none"/>
        </w:rPr>
        <w:t>容积</w:t>
      </w:r>
      <w:r>
        <w:rPr>
          <w:rFonts w:hint="eastAsia" w:ascii="Times New Roman" w:hAnsi="Times New Roman" w:cs="Times New Roman"/>
          <w:snapToGrid w:val="0"/>
          <w:color w:val="auto"/>
          <w:kern w:val="0"/>
          <w:sz w:val="24"/>
          <w:szCs w:val="24"/>
          <w:highlight w:val="none"/>
          <w:lang w:val="en-US" w:eastAsia="zh-CN"/>
        </w:rPr>
        <w:t>5040</w:t>
      </w:r>
      <w:r>
        <w:rPr>
          <w:rFonts w:hint="default" w:ascii="Times New Roman" w:hAnsi="Times New Roman" w:eastAsia="宋体" w:cs="Times New Roman"/>
          <w:snapToGrid w:val="0"/>
          <w:color w:val="auto"/>
          <w:kern w:val="0"/>
          <w:sz w:val="24"/>
          <w:szCs w:val="24"/>
          <w:highlight w:val="none"/>
        </w:rPr>
        <w:t>m</w:t>
      </w:r>
      <w:r>
        <w:rPr>
          <w:rFonts w:hint="default" w:ascii="Times New Roman" w:hAnsi="Times New Roman" w:eastAsia="宋体" w:cs="Times New Roman"/>
          <w:snapToGrid w:val="0"/>
          <w:color w:val="auto"/>
          <w:kern w:val="0"/>
          <w:sz w:val="24"/>
          <w:szCs w:val="24"/>
          <w:highlight w:val="none"/>
          <w:vertAlign w:val="superscript"/>
        </w:rPr>
        <w:t>3</w:t>
      </w:r>
      <w:r>
        <w:rPr>
          <w:rFonts w:hint="default" w:ascii="Times New Roman" w:hAnsi="Times New Roman" w:eastAsia="宋体" w:cs="Times New Roman"/>
          <w:snapToGrid w:val="0"/>
          <w:color w:val="auto"/>
          <w:kern w:val="0"/>
          <w:sz w:val="24"/>
          <w:szCs w:val="24"/>
          <w:highlight w:val="none"/>
        </w:rPr>
        <w:t>，可满足</w:t>
      </w:r>
      <w:r>
        <w:rPr>
          <w:rFonts w:hint="default" w:ascii="Times New Roman" w:hAnsi="Times New Roman" w:eastAsia="宋体" w:cs="Times New Roman"/>
          <w:snapToGrid w:val="0"/>
          <w:color w:val="auto"/>
          <w:kern w:val="0"/>
          <w:sz w:val="24"/>
          <w:szCs w:val="24"/>
          <w:highlight w:val="none"/>
          <w:lang w:val="en-GB"/>
        </w:rPr>
        <w:t>至少应储存</w:t>
      </w:r>
      <w:r>
        <w:rPr>
          <w:rFonts w:hint="default" w:ascii="Times New Roman" w:hAnsi="Times New Roman" w:eastAsia="宋体" w:cs="Times New Roman"/>
          <w:snapToGrid w:val="0"/>
          <w:color w:val="auto"/>
          <w:kern w:val="0"/>
          <w:sz w:val="24"/>
          <w:szCs w:val="24"/>
          <w:highlight w:val="none"/>
          <w:lang w:val="en-US" w:eastAsia="zh-CN"/>
        </w:rPr>
        <w:t>180</w:t>
      </w:r>
      <w:r>
        <w:rPr>
          <w:rFonts w:hint="default" w:ascii="Times New Roman" w:hAnsi="Times New Roman" w:eastAsia="宋体" w:cs="Times New Roman"/>
          <w:snapToGrid w:val="0"/>
          <w:color w:val="auto"/>
          <w:kern w:val="0"/>
          <w:sz w:val="24"/>
          <w:szCs w:val="24"/>
          <w:highlight w:val="none"/>
          <w:lang w:val="en-GB"/>
        </w:rPr>
        <w:t>天废水的要求。</w:t>
      </w:r>
    </w:p>
    <w:p w14:paraId="66AA9C1C">
      <w:pPr>
        <w:spacing w:line="360" w:lineRule="auto"/>
        <w:ind w:firstLine="420"/>
        <w:jc w:val="both"/>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雨污分流：在养殖场内修建排水沟，将地面雨水统一汇至排水沟，有组织的引导排出场外；在</w:t>
      </w:r>
      <w:r>
        <w:rPr>
          <w:rFonts w:hint="default" w:ascii="Times New Roman" w:hAnsi="Times New Roman" w:cs="Times New Roman"/>
          <w:snapToGrid w:val="0"/>
          <w:color w:val="auto"/>
          <w:highlight w:val="none"/>
          <w:lang w:val="en-US" w:eastAsia="zh-CN"/>
        </w:rPr>
        <w:t>黑膜厌氧池</w:t>
      </w:r>
      <w:r>
        <w:rPr>
          <w:rFonts w:hint="default" w:ascii="Times New Roman" w:hAnsi="Times New Roman" w:eastAsia="宋体" w:cs="Times New Roman"/>
          <w:snapToGrid w:val="0"/>
          <w:color w:val="auto"/>
          <w:highlight w:val="none"/>
        </w:rPr>
        <w:t>等周围设排水沟和拦水坝，防止雨水进入造成后续处理压力增加。</w:t>
      </w:r>
    </w:p>
    <w:p w14:paraId="072F8A6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bCs/>
          <w:snapToGrid w:val="0"/>
          <w:color w:val="auto"/>
          <w:highlight w:val="none"/>
          <w:lang w:val="en-GB"/>
        </w:rPr>
        <w:t>加强环境管理，禁止废水外排</w:t>
      </w:r>
    </w:p>
    <w:p w14:paraId="08BBCC36">
      <w:pPr>
        <w:pStyle w:val="94"/>
        <w:ind w:firstLine="480"/>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snapToGrid w:val="0"/>
          <w:color w:val="auto"/>
          <w:highlight w:val="none"/>
          <w:lang w:val="en-GB"/>
        </w:rPr>
        <w:t>根据《中华人民共和国水污染防治法》第35条的规定：“禁止利用渗井、渗坑、残隙和溶洞排放、倾倒含有毒污染物的废水、含病原体的污水和其他废弃物”。因此，建设单位必须加强环保意识，加强污染物排放管理，搞好污染物的综合利用，严禁向上述所列地方排放污染物。</w:t>
      </w:r>
    </w:p>
    <w:p w14:paraId="161D9836">
      <w:pPr>
        <w:pStyle w:val="94"/>
        <w:ind w:firstLine="480" w:firstLineChars="200"/>
        <w:rPr>
          <w:rFonts w:hint="default" w:ascii="Times New Roman" w:hAnsi="Times New Roman" w:eastAsia="宋体" w:cs="Times New Roman"/>
          <w:snapToGrid w:val="0"/>
          <w:color w:val="auto"/>
          <w:sz w:val="24"/>
          <w:szCs w:val="24"/>
          <w:highlight w:val="none"/>
          <w:lang w:val="en-GB"/>
        </w:rPr>
      </w:pPr>
      <w:r>
        <w:rPr>
          <w:rFonts w:hint="default" w:ascii="Times New Roman" w:hAnsi="Times New Roman" w:eastAsia="宋体" w:cs="Times New Roman"/>
          <w:snapToGrid w:val="0"/>
          <w:color w:val="auto"/>
          <w:sz w:val="24"/>
          <w:szCs w:val="24"/>
          <w:highlight w:val="none"/>
          <w:lang w:val="en-GB"/>
        </w:rPr>
        <w:t>（</w:t>
      </w:r>
      <w:r>
        <w:rPr>
          <w:rFonts w:hint="default" w:ascii="Times New Roman" w:hAnsi="Times New Roman" w:cs="Times New Roman"/>
          <w:snapToGrid w:val="0"/>
          <w:color w:val="auto"/>
          <w:sz w:val="24"/>
          <w:szCs w:val="24"/>
          <w:highlight w:val="none"/>
          <w:lang w:val="en-US" w:eastAsia="zh-CN"/>
        </w:rPr>
        <w:t>3</w:t>
      </w:r>
      <w:r>
        <w:rPr>
          <w:rFonts w:hint="default" w:ascii="Times New Roman" w:hAnsi="Times New Roman" w:eastAsia="宋体" w:cs="Times New Roman"/>
          <w:snapToGrid w:val="0"/>
          <w:color w:val="auto"/>
          <w:sz w:val="24"/>
          <w:szCs w:val="24"/>
          <w:highlight w:val="none"/>
          <w:lang w:val="en-GB"/>
        </w:rPr>
        <w:t>）废水施肥可行性分析</w:t>
      </w:r>
    </w:p>
    <w:p w14:paraId="08B0B692">
      <w:pPr>
        <w:pStyle w:val="94"/>
        <w:ind w:firstLine="480" w:firstLineChars="200"/>
        <w:rPr>
          <w:rFonts w:hint="default" w:ascii="Times New Roman" w:hAnsi="Times New Roman" w:eastAsia="宋体" w:cs="Times New Roman"/>
          <w:snapToGrid w:val="0"/>
          <w:color w:val="auto"/>
          <w:sz w:val="24"/>
          <w:szCs w:val="24"/>
          <w:highlight w:val="none"/>
          <w:lang w:val="en-GB"/>
        </w:rPr>
      </w:pPr>
      <w:r>
        <w:rPr>
          <w:rFonts w:hint="default" w:ascii="Times New Roman" w:hAnsi="Times New Roman" w:eastAsia="宋体" w:cs="Times New Roman"/>
          <w:snapToGrid w:val="0"/>
          <w:color w:val="auto"/>
          <w:sz w:val="24"/>
          <w:szCs w:val="24"/>
          <w:highlight w:val="none"/>
          <w:lang w:val="en-GB"/>
        </w:rPr>
        <w:t>由于项目地处北方地区，冬季寒冷不能施肥，因此冬季</w:t>
      </w:r>
      <w:r>
        <w:rPr>
          <w:rFonts w:hint="default" w:ascii="Times New Roman" w:hAnsi="Times New Roman" w:cs="Times New Roman"/>
          <w:snapToGrid w:val="0"/>
          <w:color w:val="auto"/>
          <w:sz w:val="24"/>
          <w:szCs w:val="24"/>
          <w:highlight w:val="none"/>
          <w:lang w:val="en-US" w:eastAsia="zh-CN"/>
        </w:rPr>
        <w:t>废水贮存于沼液贮存池</w:t>
      </w:r>
      <w:r>
        <w:rPr>
          <w:rFonts w:hint="default" w:ascii="Times New Roman" w:hAnsi="Times New Roman" w:cs="Times New Roman"/>
          <w:snapToGrid w:val="0"/>
          <w:color w:val="auto"/>
          <w:sz w:val="24"/>
          <w:szCs w:val="24"/>
          <w:highlight w:val="none"/>
          <w:lang w:val="en-GB" w:eastAsia="zh-CN"/>
        </w:rPr>
        <w:t>，</w:t>
      </w:r>
      <w:r>
        <w:rPr>
          <w:rFonts w:hint="default" w:ascii="Times New Roman" w:hAnsi="Times New Roman" w:eastAsia="宋体" w:cs="Times New Roman"/>
          <w:snapToGrid w:val="0"/>
          <w:color w:val="auto"/>
          <w:sz w:val="24"/>
          <w:szCs w:val="24"/>
          <w:highlight w:val="none"/>
          <w:lang w:val="en-GB"/>
        </w:rPr>
        <w:t>养殖场夏季所排污水经黑膜</w:t>
      </w:r>
      <w:r>
        <w:rPr>
          <w:rFonts w:hint="default" w:ascii="Times New Roman" w:hAnsi="Times New Roman" w:cs="Times New Roman"/>
          <w:snapToGrid w:val="0"/>
          <w:color w:val="auto"/>
          <w:sz w:val="24"/>
          <w:szCs w:val="24"/>
          <w:highlight w:val="none"/>
          <w:lang w:val="en-US" w:eastAsia="zh-CN"/>
        </w:rPr>
        <w:t>厌氧</w:t>
      </w:r>
      <w:r>
        <w:rPr>
          <w:rFonts w:hint="default" w:ascii="Times New Roman" w:hAnsi="Times New Roman" w:eastAsia="宋体" w:cs="Times New Roman"/>
          <w:snapToGrid w:val="0"/>
          <w:color w:val="auto"/>
          <w:sz w:val="24"/>
          <w:szCs w:val="24"/>
          <w:highlight w:val="none"/>
          <w:lang w:val="en-GB"/>
        </w:rPr>
        <w:t>池处理用于施肥。</w:t>
      </w:r>
    </w:p>
    <w:p w14:paraId="483D4448">
      <w:pPr>
        <w:pStyle w:val="94"/>
        <w:ind w:firstLine="480" w:firstLineChars="200"/>
        <w:rPr>
          <w:rFonts w:hint="default" w:ascii="Times New Roman" w:hAnsi="Times New Roman" w:eastAsia="宋体" w:cs="Times New Roman"/>
          <w:snapToGrid w:val="0"/>
          <w:color w:val="auto"/>
          <w:sz w:val="24"/>
          <w:szCs w:val="24"/>
          <w:highlight w:val="none"/>
          <w:lang w:val="en-US" w:eastAsia="zh-CN"/>
        </w:rPr>
      </w:pPr>
      <w:r>
        <w:rPr>
          <w:rFonts w:hint="default" w:ascii="Times New Roman" w:hAnsi="Times New Roman" w:eastAsia="宋体" w:cs="Times New Roman"/>
          <w:snapToGrid w:val="0"/>
          <w:color w:val="auto"/>
          <w:sz w:val="24"/>
          <w:szCs w:val="24"/>
          <w:highlight w:val="none"/>
          <w:lang w:val="en-GB"/>
        </w:rPr>
        <w:t>根据《畜禽养殖业污染治理工程技术规范》（HJ497-2009）和《畜禽养殖业污染防治技术规范》（HJ/T81-2001）的有关规定，畜禽养殖过程产生的污水应坚持种养结合的原则，经无害化处理后尽量充分还田，实现污水资源化利用。本项目从环境保护角度出发，结合当地农业生产实</w:t>
      </w:r>
      <w:r>
        <w:rPr>
          <w:rFonts w:hint="default" w:ascii="Times New Roman" w:hAnsi="Times New Roman" w:eastAsia="宋体" w:cs="Times New Roman"/>
          <w:snapToGrid w:val="0"/>
          <w:color w:val="auto"/>
          <w:sz w:val="24"/>
          <w:szCs w:val="24"/>
          <w:highlight w:val="none"/>
        </w:rPr>
        <w:t>际，本项目粪污消纳需耕地约</w:t>
      </w:r>
      <w:r>
        <w:rPr>
          <w:rFonts w:hint="eastAsia" w:ascii="Times New Roman" w:hAnsi="Times New Roman" w:cs="Times New Roman"/>
          <w:color w:val="auto"/>
          <w:sz w:val="24"/>
          <w:szCs w:val="24"/>
          <w:highlight w:val="none"/>
          <w:lang w:val="en-US" w:eastAsia="zh-CN"/>
        </w:rPr>
        <w:t>13914</w:t>
      </w:r>
      <w:r>
        <w:rPr>
          <w:rFonts w:hint="default" w:ascii="Times New Roman" w:hAnsi="Times New Roman" w:eastAsia="宋体" w:cs="Times New Roman"/>
          <w:snapToGrid w:val="0"/>
          <w:color w:val="auto"/>
          <w:sz w:val="24"/>
          <w:szCs w:val="24"/>
          <w:highlight w:val="none"/>
        </w:rPr>
        <w:t>亩，有足量的土地消纳本项目所排粪污。</w:t>
      </w:r>
      <w:r>
        <w:rPr>
          <w:rFonts w:hint="default" w:ascii="Times New Roman" w:hAnsi="Times New Roman" w:eastAsia="宋体" w:cs="Times New Roman"/>
          <w:snapToGrid w:val="0"/>
          <w:color w:val="auto"/>
          <w:sz w:val="24"/>
          <w:szCs w:val="24"/>
          <w:highlight w:val="none"/>
          <w:lang w:val="en-US" w:eastAsia="zh-CN"/>
        </w:rPr>
        <w:t>本项目粪污与农户签订粪污消纳协议，</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w:t>
      </w:r>
      <w:r>
        <w:rPr>
          <w:rFonts w:hint="default" w:ascii="Times New Roman" w:hAnsi="Times New Roman" w:eastAsia="宋体" w:cs="Times New Roman"/>
          <w:snapToGrid w:val="0"/>
          <w:color w:val="auto"/>
          <w:sz w:val="24"/>
          <w:szCs w:val="24"/>
          <w:highlight w:val="none"/>
          <w:lang w:val="en-US" w:eastAsia="zh-CN"/>
        </w:rPr>
        <w:t>。结合当地施肥规律，建议粪污施用规律为用作基肥和底肥。</w:t>
      </w:r>
      <w:r>
        <w:rPr>
          <w:rFonts w:hint="eastAsia" w:ascii="Times New Roman" w:hAnsi="Times New Roman" w:cs="Times New Roman"/>
          <w:snapToGrid w:val="0"/>
          <w:color w:val="auto"/>
          <w:sz w:val="24"/>
          <w:szCs w:val="24"/>
          <w:highlight w:val="none"/>
          <w:lang w:val="en-US" w:eastAsia="zh-CN"/>
        </w:rPr>
        <w:t>施肥期平均每天每户拉运8次</w:t>
      </w:r>
      <w:r>
        <w:rPr>
          <w:rFonts w:hint="default" w:ascii="Times New Roman" w:hAnsi="Times New Roman" w:eastAsia="宋体" w:cs="Times New Roman"/>
          <w:snapToGrid w:val="0"/>
          <w:color w:val="auto"/>
          <w:sz w:val="24"/>
          <w:szCs w:val="24"/>
          <w:highlight w:val="none"/>
          <w:lang w:val="en-US" w:eastAsia="zh-CN"/>
        </w:rPr>
        <w:t>，抛洒施肥，约2</w:t>
      </w:r>
      <w:r>
        <w:rPr>
          <w:rFonts w:hint="eastAsia" w:ascii="Times New Roman" w:hAnsi="Times New Roman" w:cs="Times New Roman"/>
          <w:snapToGrid w:val="0"/>
          <w:color w:val="auto"/>
          <w:sz w:val="24"/>
          <w:szCs w:val="24"/>
          <w:highlight w:val="none"/>
          <w:lang w:val="en-US" w:eastAsia="zh-CN"/>
        </w:rPr>
        <w:t>5</w:t>
      </w:r>
      <w:r>
        <w:rPr>
          <w:rFonts w:hint="default" w:ascii="Times New Roman" w:hAnsi="Times New Roman" w:eastAsia="宋体" w:cs="Times New Roman"/>
          <w:snapToGrid w:val="0"/>
          <w:color w:val="auto"/>
          <w:sz w:val="24"/>
          <w:szCs w:val="24"/>
          <w:highlight w:val="none"/>
          <w:lang w:val="en-US" w:eastAsia="zh-CN"/>
        </w:rPr>
        <w:t>天内施用完毕。</w:t>
      </w:r>
    </w:p>
    <w:p w14:paraId="060CEB9A">
      <w:pPr>
        <w:pStyle w:val="94"/>
        <w:ind w:left="0" w:leftChars="0" w:firstLine="0" w:firstLineChars="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lang w:val="en-GB"/>
        </w:rPr>
        <w:t>本项目废水经处理后回用，即符合《畜禽规模养殖污染防治条例》的要求，</w:t>
      </w:r>
      <w:r>
        <w:rPr>
          <w:rFonts w:hint="default" w:ascii="Times New Roman" w:hAnsi="Times New Roman" w:eastAsia="宋体" w:cs="Times New Roman"/>
          <w:snapToGrid w:val="0"/>
          <w:color w:val="auto"/>
          <w:sz w:val="24"/>
          <w:szCs w:val="24"/>
          <w:highlight w:val="none"/>
        </w:rPr>
        <w:t>又做到资源的循环利用。符合《畜禽规模养殖场粪污资源化利用设施建设规范（试行）》</w:t>
      </w:r>
      <w:r>
        <w:rPr>
          <w:rFonts w:hint="default" w:ascii="Times New Roman" w:hAnsi="Times New Roman" w:eastAsia="宋体" w:cs="Times New Roman"/>
          <w:snapToGrid w:val="0"/>
          <w:color w:val="auto"/>
          <w:sz w:val="24"/>
          <w:szCs w:val="24"/>
          <w:highlight w:val="none"/>
          <w:lang w:val="zh-CN"/>
        </w:rPr>
        <w:t>（农办牧〔2018〕2号）</w:t>
      </w:r>
      <w:r>
        <w:rPr>
          <w:rFonts w:hint="default" w:ascii="Times New Roman" w:hAnsi="Times New Roman" w:eastAsia="宋体" w:cs="Times New Roman"/>
          <w:snapToGrid w:val="0"/>
          <w:color w:val="auto"/>
          <w:sz w:val="24"/>
          <w:szCs w:val="24"/>
          <w:highlight w:val="none"/>
        </w:rPr>
        <w:t>相关要求。</w:t>
      </w:r>
    </w:p>
    <w:p w14:paraId="59C0C443">
      <w:pPr>
        <w:pStyle w:val="94"/>
        <w:ind w:firstLine="480"/>
        <w:rPr>
          <w:rFonts w:hint="default" w:ascii="Times New Roman" w:hAnsi="Times New Roman" w:cs="Times New Roman"/>
          <w:color w:val="auto"/>
          <w:highlight w:val="none"/>
        </w:rPr>
      </w:pPr>
      <w:r>
        <w:rPr>
          <w:rFonts w:hint="default" w:ascii="Times New Roman" w:hAnsi="Times New Roman" w:cs="Times New Roman"/>
          <w:snapToGrid w:val="0"/>
          <w:color w:val="auto"/>
          <w:highlight w:val="none"/>
        </w:rPr>
        <w:t>本次环评提出粪污消纳区域应远离饮用水井，避免生物肥淋溶入地下水对饮用水造成污染。通过对照《排污许可证申请与核发技术规范 畜禽养殖业》（HJ 1029-2019）表6可行技术可知本项目废水不排放，</w:t>
      </w:r>
      <w:r>
        <w:rPr>
          <w:rFonts w:hint="default" w:ascii="Times New Roman" w:hAnsi="Times New Roman" w:cs="Times New Roman"/>
          <w:snapToGrid w:val="0"/>
          <w:color w:val="auto"/>
          <w:highlight w:val="none"/>
          <w:lang w:val="en-US" w:eastAsia="zh-CN"/>
        </w:rPr>
        <w:t>对环境影响很小。</w:t>
      </w:r>
      <w:r>
        <w:rPr>
          <w:rFonts w:hint="default" w:ascii="Times New Roman" w:hAnsi="Times New Roman" w:cs="Times New Roman"/>
          <w:snapToGrid w:val="0"/>
          <w:color w:val="auto"/>
          <w:highlight w:val="none"/>
        </w:rPr>
        <w:t>规范中未对不排放废水可行技术进行说明</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通过对照《黑龙江省畜禽养殖废弃物资源化利用工作方案》（黑政办规[2017]77号）中技术模式，本项目水处理技术属于“粪污全量收集还田利用”模式，因此水处理技术可行。</w:t>
      </w:r>
    </w:p>
    <w:p w14:paraId="60207E9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
          <w:bCs/>
          <w:i w:val="0"/>
          <w:iCs w:val="0"/>
          <w:snapToGrid w:val="0"/>
          <w:color w:val="auto"/>
          <w:highlight w:val="none"/>
          <w:lang w:val="en-US" w:eastAsia="zh-CN"/>
        </w:rPr>
        <w:t>3、黑膜厌氧池</w:t>
      </w:r>
      <w:r>
        <w:rPr>
          <w:rFonts w:hint="eastAsia" w:ascii="Times New Roman" w:hAnsi="Times New Roman" w:cs="Times New Roman"/>
          <w:b/>
          <w:bCs/>
          <w:i w:val="0"/>
          <w:iCs w:val="0"/>
          <w:snapToGrid w:val="0"/>
          <w:color w:val="auto"/>
          <w:highlight w:val="none"/>
          <w:lang w:val="en-US" w:eastAsia="zh-CN"/>
        </w:rPr>
        <w:t>和沼液贮存池建设可</w:t>
      </w:r>
      <w:r>
        <w:rPr>
          <w:rFonts w:hint="default" w:ascii="Times New Roman" w:hAnsi="Times New Roman" w:eastAsia="宋体" w:cs="Times New Roman"/>
          <w:b/>
          <w:bCs/>
          <w:i w:val="0"/>
          <w:iCs w:val="0"/>
          <w:snapToGrid w:val="0"/>
          <w:color w:val="auto"/>
          <w:highlight w:val="none"/>
          <w:lang w:val="en-US" w:eastAsia="zh-CN"/>
        </w:rPr>
        <w:t>行性</w:t>
      </w:r>
    </w:p>
    <w:p w14:paraId="55927EBF">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eastAsia" w:ascii="Times New Roman" w:hAnsi="Times New Roman" w:cs="Times New Roman"/>
          <w:color w:val="auto"/>
          <w:sz w:val="24"/>
          <w:highlight w:val="none"/>
          <w:lang w:val="en-US" w:eastAsia="zh-CN"/>
        </w:rPr>
        <w:t>建成</w:t>
      </w:r>
      <w:r>
        <w:rPr>
          <w:rFonts w:hint="default" w:ascii="Times New Roman" w:hAnsi="Times New Roman" w:eastAsia="宋体" w:cs="Times New Roman"/>
          <w:color w:val="auto"/>
          <w:sz w:val="24"/>
          <w:highlight w:val="none"/>
          <w:lang w:val="en-US" w:eastAsia="zh-CN"/>
        </w:rPr>
        <w:t>后</w:t>
      </w:r>
      <w:r>
        <w:rPr>
          <w:rFonts w:hint="default" w:ascii="Times New Roman" w:hAnsi="Times New Roman" w:eastAsia="宋体" w:cs="Times New Roman"/>
          <w:color w:val="auto"/>
          <w:sz w:val="24"/>
          <w:highlight w:val="none"/>
        </w:rPr>
        <w:t>排入</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的废水量为</w:t>
      </w:r>
      <w:r>
        <w:rPr>
          <w:rFonts w:hint="eastAsia" w:ascii="Times New Roman" w:hAnsi="Times New Roman" w:cs="Times New Roman"/>
          <w:snapToGrid w:val="0"/>
          <w:color w:val="auto"/>
          <w:highlight w:val="none"/>
          <w:lang w:val="en-US" w:eastAsia="zh-CN"/>
        </w:rPr>
        <w:t>9539.567</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sz w:val="24"/>
          <w:szCs w:val="24"/>
          <w:highlight w:val="none"/>
          <w:lang w:val="en-US" w:eastAsia="zh-CN"/>
        </w:rPr>
        <w:t>冬季</w:t>
      </w:r>
      <w:r>
        <w:rPr>
          <w:rFonts w:hint="default" w:ascii="Times New Roman" w:hAnsi="Times New Roman" w:eastAsia="宋体" w:cs="Times New Roman"/>
          <w:color w:val="auto"/>
          <w:sz w:val="24"/>
          <w:szCs w:val="24"/>
          <w:highlight w:val="none"/>
        </w:rPr>
        <w:t>为</w:t>
      </w:r>
      <w:r>
        <w:rPr>
          <w:rFonts w:hint="eastAsia" w:ascii="Times New Roman" w:cs="Times New Roman"/>
          <w:snapToGrid w:val="0"/>
          <w:color w:val="auto"/>
          <w:sz w:val="24"/>
          <w:szCs w:val="24"/>
          <w:highlight w:val="none"/>
          <w:lang w:val="en-US" w:eastAsia="zh-CN"/>
        </w:rPr>
        <w:t>26.1358</w:t>
      </w:r>
      <w:r>
        <w:rPr>
          <w:rFonts w:hint="default" w:ascii="Times New Roman" w:hAnsi="Times New Roman" w:eastAsia="宋体" w:cs="Times New Roman"/>
          <w:color w:val="auto"/>
          <w:sz w:val="24"/>
          <w:szCs w:val="24"/>
          <w:highlight w:val="none"/>
        </w:rPr>
        <w:t>t/d</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lang w:val="en-US" w:eastAsia="zh-CN"/>
        </w:rPr>
        <w:t>发酵后，沼液进入沼液贮存池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snapToGrid w:val="0"/>
          <w:color w:val="auto"/>
          <w:highlight w:val="none"/>
        </w:rPr>
        <w:t>本项目沼液拟施用于玉米地，本项目沼液</w:t>
      </w:r>
      <w:r>
        <w:rPr>
          <w:rFonts w:hint="eastAsia" w:ascii="Times New Roman" w:hAnsi="Times New Roman" w:cs="Times New Roman"/>
          <w:snapToGrid w:val="0"/>
          <w:color w:val="auto"/>
          <w:highlight w:val="none"/>
          <w:lang w:val="en-US" w:eastAsia="zh-CN"/>
        </w:rPr>
        <w:t>利用</w:t>
      </w:r>
      <w:r>
        <w:rPr>
          <w:rFonts w:hint="default" w:ascii="Times New Roman" w:hAnsi="Times New Roman" w:eastAsia="宋体" w:cs="Times New Roman"/>
          <w:snapToGrid w:val="0"/>
          <w:color w:val="auto"/>
          <w:highlight w:val="none"/>
        </w:rPr>
        <w:t>主要为春季和秋季各一次，春季</w:t>
      </w:r>
      <w:r>
        <w:rPr>
          <w:rFonts w:hint="default" w:ascii="Times New Roman" w:hAnsi="Times New Roman" w:eastAsia="宋体" w:cs="Times New Roman"/>
          <w:snapToGrid w:val="0"/>
          <w:color w:val="auto"/>
          <w:highlight w:val="none"/>
          <w:lang w:eastAsia="zh-CN"/>
        </w:rPr>
        <w:t>大约在4月份</w:t>
      </w:r>
      <w:r>
        <w:rPr>
          <w:rFonts w:hint="default" w:ascii="Times New Roman" w:hAnsi="Times New Roman" w:eastAsia="宋体" w:cs="Times New Roman"/>
          <w:snapToGrid w:val="0"/>
          <w:color w:val="auto"/>
          <w:highlight w:val="none"/>
        </w:rPr>
        <w:t>，秋季大约在9—</w:t>
      </w:r>
      <w:r>
        <w:rPr>
          <w:rFonts w:hint="default" w:ascii="Times New Roman" w:hAnsi="Times New Roman" w:eastAsia="宋体" w:cs="Times New Roman"/>
          <w:snapToGrid w:val="0"/>
          <w:color w:val="auto"/>
          <w:highlight w:val="none"/>
          <w:lang w:eastAsia="zh-CN"/>
        </w:rPr>
        <w:t>10</w:t>
      </w:r>
      <w:r>
        <w:rPr>
          <w:rFonts w:hint="default" w:ascii="Times New Roman" w:hAnsi="Times New Roman" w:eastAsia="宋体" w:cs="Times New Roman"/>
          <w:snapToGrid w:val="0"/>
          <w:color w:val="auto"/>
          <w:highlight w:val="none"/>
        </w:rPr>
        <w:t>月份（秋收结束后）。则本项目</w:t>
      </w:r>
      <w:r>
        <w:rPr>
          <w:rFonts w:hint="default" w:ascii="Times New Roman" w:hAnsi="Times New Roman" w:eastAsia="宋体" w:cs="Times New Roman"/>
          <w:snapToGrid w:val="0"/>
          <w:color w:val="auto"/>
          <w:highlight w:val="none"/>
          <w:lang w:val="en-US" w:eastAsia="zh-CN"/>
        </w:rPr>
        <w:t>沼液贮存池</w:t>
      </w:r>
      <w:r>
        <w:rPr>
          <w:rFonts w:hint="default" w:ascii="Times New Roman" w:hAnsi="Times New Roman" w:eastAsia="宋体" w:cs="Times New Roman"/>
          <w:snapToGrid w:val="0"/>
          <w:color w:val="auto"/>
          <w:highlight w:val="none"/>
        </w:rPr>
        <w:t>容量至少应储存</w:t>
      </w:r>
      <w:r>
        <w:rPr>
          <w:rFonts w:hint="eastAsia" w:ascii="Times New Roman" w:hAnsi="Times New Roman" w:cs="Times New Roman"/>
          <w:snapToGrid w:val="0"/>
          <w:color w:val="auto"/>
          <w:highlight w:val="none"/>
          <w:lang w:val="en-US" w:eastAsia="zh-CN"/>
        </w:rPr>
        <w:t>180天</w:t>
      </w:r>
      <w:r>
        <w:rPr>
          <w:rFonts w:hint="default" w:ascii="Times New Roman" w:hAnsi="Times New Roman" w:eastAsia="宋体" w:cs="Times New Roman"/>
          <w:snapToGrid w:val="0"/>
          <w:color w:val="auto"/>
          <w:highlight w:val="none"/>
        </w:rPr>
        <w:t>沼液</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本项目沼液产生量为</w:t>
      </w:r>
      <w:r>
        <w:rPr>
          <w:rFonts w:hint="eastAsia" w:ascii="Times New Roman" w:hAnsi="Times New Roman" w:cs="Times New Roman"/>
          <w:color w:val="auto"/>
          <w:highlight w:val="none"/>
          <w:lang w:eastAsia="zh-CN"/>
        </w:rPr>
        <w:t>9539.567</w:t>
      </w:r>
      <w:r>
        <w:rPr>
          <w:rFonts w:hint="default" w:ascii="Times New Roman" w:hAnsi="Times New Roman" w:eastAsia="宋体" w:cs="Times New Roman"/>
          <w:color w:val="auto"/>
          <w:highlight w:val="none"/>
        </w:rPr>
        <w:t>t/a，储存期间废水量为</w:t>
      </w:r>
      <w:r>
        <w:rPr>
          <w:rFonts w:hint="eastAsia" w:ascii="Times New Roman" w:hAnsi="Times New Roman" w:cs="Times New Roman"/>
          <w:color w:val="auto"/>
          <w:highlight w:val="none"/>
          <w:lang w:val="en-US" w:eastAsia="zh-CN"/>
        </w:rPr>
        <w:t>4704.44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本项目需要满足</w:t>
      </w:r>
      <w:r>
        <w:rPr>
          <w:rFonts w:hint="eastAsia" w:ascii="Times New Roman" w:hAnsi="Times New Roman" w:cs="Times New Roman"/>
          <w:color w:val="auto"/>
          <w:highlight w:val="none"/>
          <w:lang w:val="en-US" w:eastAsia="zh-CN"/>
        </w:rPr>
        <w:t>4704.44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US" w:eastAsia="zh-CN"/>
        </w:rPr>
        <w:t>的废水储存量，</w:t>
      </w:r>
      <w:r>
        <w:rPr>
          <w:rFonts w:hint="default" w:ascii="Times New Roman" w:hAnsi="Times New Roman" w:eastAsia="宋体" w:cs="Times New Roman"/>
          <w:snapToGrid w:val="0"/>
          <w:color w:val="auto"/>
          <w:highlight w:val="none"/>
          <w:lang w:val="en-US" w:eastAsia="zh-CN"/>
        </w:rPr>
        <w:t>沼液贮存池</w:t>
      </w:r>
      <w:r>
        <w:rPr>
          <w:rFonts w:hint="default" w:ascii="Times New Roman" w:hAnsi="Times New Roman" w:eastAsia="宋体" w:cs="Times New Roman"/>
          <w:color w:val="auto"/>
          <w:sz w:val="24"/>
          <w:szCs w:val="24"/>
          <w:highlight w:val="none"/>
        </w:rPr>
        <w:t>最大容积为</w:t>
      </w:r>
      <w:r>
        <w:rPr>
          <w:rFonts w:hint="eastAsia" w:ascii="Times New Roman" w:hAnsi="Times New Roman" w:cs="Times New Roman"/>
          <w:color w:val="auto"/>
          <w:sz w:val="24"/>
          <w:szCs w:val="24"/>
          <w:highlight w:val="none"/>
          <w:lang w:val="en-US" w:eastAsia="zh-CN"/>
        </w:rPr>
        <w:t>5040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highlight w:val="none"/>
          <w:lang w:val="en-US" w:eastAsia="zh-CN"/>
        </w:rPr>
        <w:t>，可满足冬季</w:t>
      </w:r>
      <w:r>
        <w:rPr>
          <w:rFonts w:hint="default" w:ascii="Times New Roman" w:hAnsi="Times New Roman" w:eastAsia="宋体" w:cs="Times New Roman"/>
          <w:color w:val="auto"/>
          <w:highlight w:val="none"/>
        </w:rPr>
        <w:t>沼液</w:t>
      </w:r>
      <w:r>
        <w:rPr>
          <w:rFonts w:hint="default" w:ascii="Times New Roman" w:hAnsi="Times New Roman" w:eastAsia="宋体" w:cs="Times New Roman"/>
          <w:color w:val="auto"/>
          <w:highlight w:val="none"/>
          <w:lang w:val="en-US" w:eastAsia="zh-CN"/>
        </w:rPr>
        <w:t>储存需求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因此从水量角度，</w:t>
      </w:r>
      <w:r>
        <w:rPr>
          <w:rFonts w:hint="default" w:ascii="Times New Roman" w:hAnsi="Times New Roman" w:eastAsia="宋体" w:cs="Times New Roman"/>
          <w:color w:val="auto"/>
          <w:sz w:val="24"/>
          <w:highlight w:val="none"/>
          <w:lang w:val="en-US" w:eastAsia="zh-CN"/>
        </w:rPr>
        <w:t>沼液贮存池</w:t>
      </w:r>
      <w:r>
        <w:rPr>
          <w:rFonts w:hint="eastAsia" w:ascii="Times New Roman" w:hAnsi="Times New Roman" w:cs="Times New Roman"/>
          <w:color w:val="auto"/>
          <w:sz w:val="24"/>
          <w:highlight w:val="none"/>
          <w:lang w:val="en-US" w:eastAsia="zh-CN"/>
        </w:rPr>
        <w:t>设计</w:t>
      </w:r>
      <w:r>
        <w:rPr>
          <w:rFonts w:hint="default" w:ascii="Times New Roman" w:hAnsi="Times New Roman" w:eastAsia="宋体" w:cs="Times New Roman"/>
          <w:color w:val="auto"/>
          <w:sz w:val="24"/>
          <w:highlight w:val="none"/>
        </w:rPr>
        <w:t>可行</w:t>
      </w:r>
      <w:r>
        <w:rPr>
          <w:rFonts w:hint="default" w:ascii="Times New Roman" w:hAnsi="Times New Roman" w:eastAsia="宋体" w:cs="Times New Roman"/>
          <w:snapToGrid w:val="0"/>
          <w:color w:val="auto"/>
          <w:highlight w:val="none"/>
          <w:lang w:val="en-GB"/>
        </w:rPr>
        <w:t>。</w:t>
      </w:r>
    </w:p>
    <w:p w14:paraId="5AA900EC">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经黑膜厌氧池发酵的废水可去除大部分有机物，根据黑龙江省星科环境监测有限公司于2022年9月1日—2022年9月2日对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富锦市天野牧业有限责任公司养牛项目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现有</w:t>
      </w:r>
      <w:r>
        <w:rPr>
          <w:rFonts w:hint="default" w:ascii="Times New Roman" w:hAnsi="Times New Roman" w:cs="Times New Roman"/>
          <w:color w:val="auto"/>
          <w:sz w:val="24"/>
          <w:highlight w:val="none"/>
          <w:lang w:eastAsia="zh-CN"/>
        </w:rPr>
        <w:t>黑膜</w:t>
      </w:r>
      <w:r>
        <w:rPr>
          <w:rFonts w:hint="default" w:ascii="Times New Roman" w:hAnsi="Times New Roman" w:eastAsia="宋体" w:cs="Times New Roman"/>
          <w:color w:val="auto"/>
          <w:sz w:val="24"/>
          <w:highlight w:val="none"/>
        </w:rPr>
        <w:t>厌氧池出水口沼液进行监测结果可知，出水口沼液具有一定的肥力且可满足《畜禽粪便无害化处理技术规范》（GB/T36195-2018）中表2液体畜禽粪便厌氧处理卫生学要求。</w:t>
      </w:r>
      <w:r>
        <w:rPr>
          <w:rFonts w:hint="default" w:ascii="Times New Roman" w:hAnsi="Times New Roman" w:eastAsia="宋体" w:cs="Times New Roman"/>
          <w:color w:val="auto"/>
          <w:sz w:val="24"/>
          <w:highlight w:val="none"/>
          <w:lang w:val="en-US" w:eastAsia="zh-CN"/>
        </w:rPr>
        <w:t>本项目与其皆为畜禽养殖业，废水治理措施相同，且同时属于</w:t>
      </w:r>
      <w:r>
        <w:rPr>
          <w:rFonts w:hint="eastAsia" w:ascii="Times New Roman" w:hAnsi="Times New Roman" w:cs="Times New Roman"/>
          <w:color w:val="auto"/>
          <w:sz w:val="24"/>
          <w:highlight w:val="none"/>
          <w:lang w:val="en-US" w:eastAsia="zh-CN"/>
        </w:rPr>
        <w:t>黑龙江</w:t>
      </w:r>
      <w:r>
        <w:rPr>
          <w:rFonts w:hint="default" w:ascii="Times New Roman" w:hAnsi="Times New Roman" w:eastAsia="宋体" w:cs="Times New Roman"/>
          <w:color w:val="auto"/>
          <w:sz w:val="24"/>
          <w:highlight w:val="none"/>
          <w:lang w:val="en-US" w:eastAsia="zh-CN"/>
        </w:rPr>
        <w:t>地区，</w:t>
      </w:r>
      <w:r>
        <w:rPr>
          <w:rFonts w:hint="default" w:ascii="Times New Roman" w:hAnsi="Times New Roman" w:eastAsia="宋体" w:cs="Times New Roman"/>
          <w:color w:val="auto"/>
          <w:sz w:val="24"/>
          <w:highlight w:val="none"/>
        </w:rPr>
        <w:t>因此从水质角度，</w:t>
      </w:r>
      <w:r>
        <w:rPr>
          <w:rFonts w:hint="default" w:ascii="Times New Roman" w:hAnsi="Times New Roman" w:eastAsia="宋体" w:cs="Times New Roman"/>
          <w:color w:val="auto"/>
          <w:sz w:val="24"/>
          <w:highlight w:val="none"/>
          <w:lang w:eastAsia="zh-CN"/>
        </w:rPr>
        <w:t>黑膜厌氧池</w:t>
      </w:r>
      <w:r>
        <w:rPr>
          <w:rFonts w:hint="eastAsia" w:ascii="Times New Roman" w:hAnsi="Times New Roman" w:cs="Times New Roman"/>
          <w:color w:val="auto"/>
          <w:sz w:val="24"/>
          <w:highlight w:val="none"/>
          <w:lang w:val="en-US" w:eastAsia="zh-CN"/>
        </w:rPr>
        <w:t>设计</w:t>
      </w:r>
      <w:r>
        <w:rPr>
          <w:rFonts w:hint="default" w:ascii="Times New Roman" w:hAnsi="Times New Roman" w:eastAsia="宋体" w:cs="Times New Roman"/>
          <w:color w:val="auto"/>
          <w:sz w:val="24"/>
          <w:highlight w:val="none"/>
        </w:rPr>
        <w:t>可行。</w:t>
      </w:r>
    </w:p>
    <w:p w14:paraId="64843C38">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通过对照《排污许可证申请与核发技术规范 畜禽养殖业》（HJ 1029-2019）表6可行技术可知本项目废水不排放，规范中未对不排放废水可行技术进行说明。通过对照《黑龙江省畜禽养殖废弃物资源化利用工作方案》（黑政办规[2017]77号）中技术模式，本项目水处理技术属于“粪污全量收集还田利用”模式，因此水处理技术可行。</w:t>
      </w:r>
    </w:p>
    <w:p w14:paraId="2B50B65B">
      <w:pPr>
        <w:pStyle w:val="94"/>
        <w:ind w:firstLine="48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rPr>
        <w:t>综上，本项目从水量及水质的角度考虑，</w:t>
      </w:r>
      <w:r>
        <w:rPr>
          <w:rFonts w:hint="eastAsia" w:ascii="Times New Roman" w:hAnsi="Times New Roman" w:cs="Times New Roman"/>
          <w:color w:val="auto"/>
          <w:sz w:val="24"/>
          <w:highlight w:val="none"/>
          <w:lang w:val="en-US" w:eastAsia="zh-CN"/>
        </w:rPr>
        <w:t>采用</w:t>
      </w:r>
      <w:r>
        <w:rPr>
          <w:rFonts w:hint="default" w:ascii="Times New Roman" w:hAnsi="Times New Roman" w:cs="Times New Roman"/>
          <w:color w:val="auto"/>
          <w:sz w:val="24"/>
          <w:highlight w:val="none"/>
          <w:lang w:val="en-US" w:eastAsia="zh-CN"/>
        </w:rPr>
        <w:t>黑膜</w:t>
      </w:r>
      <w:r>
        <w:rPr>
          <w:rFonts w:hint="default" w:ascii="Times New Roman" w:hAnsi="Times New Roman" w:eastAsia="宋体" w:cs="Times New Roman"/>
          <w:color w:val="auto"/>
          <w:sz w:val="24"/>
          <w:highlight w:val="none"/>
          <w:lang w:val="en-US" w:eastAsia="zh-CN"/>
        </w:rPr>
        <w:t>厌氧池及</w:t>
      </w:r>
      <w:r>
        <w:rPr>
          <w:rFonts w:hint="eastAsia" w:ascii="Times New Roman" w:hAnsi="Times New Roman"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可行</w:t>
      </w:r>
      <w:r>
        <w:rPr>
          <w:rFonts w:hint="default" w:ascii="Times New Roman" w:hAnsi="Times New Roman" w:eastAsia="宋体" w:cs="Times New Roman"/>
          <w:color w:val="auto"/>
          <w:sz w:val="24"/>
          <w:highlight w:val="none"/>
          <w:lang w:val="en-GB"/>
        </w:rPr>
        <w:t>。</w:t>
      </w:r>
    </w:p>
    <w:p w14:paraId="39843BFF">
      <w:pPr>
        <w:adjustRightInd w:val="0"/>
        <w:snapToGrid w:val="0"/>
        <w:spacing w:line="360" w:lineRule="auto"/>
        <w:ind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、沼液综合利用可行性分析</w:t>
      </w:r>
    </w:p>
    <w:p w14:paraId="2762EB27">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畜禽养殖业污染治理工程技术规范》（HJ/497-2009）和《畜禽养殖业污染防治技术规范》（HJT81-2001）的有关规定，畜禽养殖过程产生的污水应坚持种养结合的原则，经无害化处理后尽量充分还田，实现污水资源化利用。</w:t>
      </w:r>
    </w:p>
    <w:p w14:paraId="50726A7A">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沼液是经过厌氧发酵后的残留液体，仍属高浓度有机废水，主要包括发酵过程中产生的有机、无机盐类，如铵盐、钾盐、磷酸盐等可溶性物质。鉴于沼液含有较高的养分，且能有效抑制病原菌和虫害的传播感染，所以处理养殖业沼液的最好方式就是还田利用。同时《畜禽养殖业污染物排放标准》中要求“畜禽养殖业应积极通过废水和粪便的还田或其他措施对所排放的污水进行综合利用，实现污染的资源化”。所以粪便及沼液还田的作法也符合国家相关标准要求。</w:t>
      </w:r>
    </w:p>
    <w:p w14:paraId="7FE9EBDB">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目前沼液在种植业中已经得到了广泛应用。沼液在种植业中的应用包括沼液浸种、沼液叶面喷洒、沼液水培蔬菜、果园沼液滴灌等。农田施用沼液，不仅能显著改良土壤、增加作物产量、确保农作物生长所需要的良好微生态系统，还有利于增强其抗冻、抗旱、抗虫能力。因此沼液是一种非常理想的液态肥料，将沼液进行农田利用总体是可行的。根据黑龙江省星科环境监测有限公司于2022年9月1日—2022年9月2日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富锦市天野牧业有限责任公司养牛项目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现有</w:t>
      </w:r>
      <w:r>
        <w:rPr>
          <w:rFonts w:hint="default" w:ascii="Times New Roman" w:hAnsi="Times New Roman" w:cs="Times New Roman"/>
          <w:color w:val="auto"/>
          <w:sz w:val="24"/>
          <w:highlight w:val="none"/>
          <w:lang w:eastAsia="zh-CN"/>
        </w:rPr>
        <w:t>黑膜</w:t>
      </w:r>
      <w:r>
        <w:rPr>
          <w:rFonts w:hint="default" w:ascii="Times New Roman" w:hAnsi="Times New Roman" w:eastAsia="宋体" w:cs="Times New Roman"/>
          <w:color w:val="auto"/>
          <w:sz w:val="24"/>
          <w:highlight w:val="none"/>
        </w:rPr>
        <w:t>厌氧池出水口沼液进行监测结果可知，黑膜厌氧池运行较稳定，出水口沼液具有一定的肥力，较适合用于农田施肥。</w:t>
      </w:r>
    </w:p>
    <w:p w14:paraId="7D91D5AC">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因此本项目产生的沼液拟用做液体肥料，主要用于项目周边农田施用。沼渣运至</w:t>
      </w:r>
      <w:r>
        <w:rPr>
          <w:rFonts w:hint="eastAsia" w:ascii="Times New Roman" w:hAnsi="Times New Roman" w:cs="Times New Roman"/>
          <w:color w:val="auto"/>
          <w:sz w:val="24"/>
          <w:highlight w:val="none"/>
          <w:lang w:eastAsia="zh-CN"/>
        </w:rPr>
        <w:t>干粪堆积场</w:t>
      </w:r>
      <w:r>
        <w:rPr>
          <w:rFonts w:hint="default" w:ascii="Times New Roman" w:hAnsi="Times New Roman" w:eastAsia="宋体" w:cs="Times New Roman"/>
          <w:color w:val="auto"/>
          <w:sz w:val="24"/>
          <w:highlight w:val="none"/>
        </w:rPr>
        <w:t>腐熟后，夏季用于农田施肥。项目废水不外排，对地表水环境影响较小。</w:t>
      </w:r>
    </w:p>
    <w:p w14:paraId="77CA9B6F">
      <w:pPr>
        <w:adjustRightInd w:val="0"/>
        <w:snapToGrid w:val="0"/>
        <w:spacing w:line="360" w:lineRule="auto"/>
        <w:ind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、土地消纳可行性分析</w:t>
      </w:r>
    </w:p>
    <w:p w14:paraId="68D3F369">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1）配套</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消纳土地核实</w:t>
      </w:r>
    </w:p>
    <w:p w14:paraId="5547DED7">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根据《畜禽粪污土地承载力测算技术指南》计算可知，本项目养殖基地所需配套土地面积为</w:t>
      </w:r>
      <w:r>
        <w:rPr>
          <w:rFonts w:hint="eastAsia" w:ascii="Times New Roman" w:hAnsi="Times New Roman" w:cs="Times New Roman"/>
          <w:color w:val="auto"/>
          <w:sz w:val="24"/>
          <w:highlight w:val="none"/>
          <w:lang w:eastAsia="zh-CN"/>
        </w:rPr>
        <w:t>13914</w:t>
      </w:r>
      <w:r>
        <w:rPr>
          <w:rFonts w:hint="default" w:ascii="Times New Roman" w:hAnsi="Times New Roman" w:eastAsia="宋体" w:cs="Times New Roman"/>
          <w:color w:val="auto"/>
          <w:sz w:val="24"/>
          <w:highlight w:val="none"/>
        </w:rPr>
        <w:t>亩。项目与</w:t>
      </w:r>
      <w:r>
        <w:rPr>
          <w:rFonts w:hint="eastAsia" w:ascii="Times New Roman" w:hAnsi="Times New Roman" w:cs="Times New Roman"/>
          <w:color w:val="auto"/>
          <w:sz w:val="24"/>
          <w:highlight w:val="none"/>
          <w:lang w:val="en-US" w:eastAsia="zh-CN"/>
        </w:rPr>
        <w:t>村委会</w:t>
      </w:r>
      <w:r>
        <w:rPr>
          <w:rFonts w:hint="default" w:ascii="Times New Roman" w:hAnsi="Times New Roman" w:eastAsia="宋体" w:cs="Times New Roman"/>
          <w:color w:val="auto"/>
          <w:sz w:val="24"/>
          <w:highlight w:val="none"/>
        </w:rPr>
        <w:t>签订</w:t>
      </w:r>
      <w:r>
        <w:rPr>
          <w:rFonts w:hint="default" w:ascii="Times New Roman" w:hAnsi="Times New Roman" w:eastAsia="宋体" w:cs="Times New Roman"/>
          <w:color w:val="auto"/>
          <w:sz w:val="24"/>
          <w:highlight w:val="none"/>
          <w:lang w:val="en-US" w:eastAsia="zh-CN"/>
        </w:rPr>
        <w:t>的</w:t>
      </w:r>
      <w:r>
        <w:rPr>
          <w:rFonts w:hint="eastAsia" w:ascii="Times New Roman" w:hAnsi="Times New Roman" w:cs="Times New Roman"/>
          <w:color w:val="auto"/>
          <w:sz w:val="24"/>
          <w:highlight w:val="none"/>
          <w:lang w:eastAsia="zh-CN"/>
        </w:rPr>
        <w:t>15130亩</w:t>
      </w:r>
      <w:r>
        <w:rPr>
          <w:rFonts w:hint="default" w:ascii="Times New Roman" w:hAnsi="Times New Roman" w:eastAsia="宋体" w:cs="Times New Roman"/>
          <w:color w:val="auto"/>
          <w:sz w:val="24"/>
          <w:highlight w:val="none"/>
        </w:rPr>
        <w:t>农田</w:t>
      </w:r>
      <w:r>
        <w:rPr>
          <w:rFonts w:hint="default" w:ascii="Times New Roman" w:hAnsi="Times New Roman" w:eastAsia="宋体" w:cs="Times New Roman"/>
          <w:color w:val="auto"/>
          <w:sz w:val="24"/>
          <w:highlight w:val="none"/>
          <w:lang w:val="en-US" w:eastAsia="zh-CN"/>
        </w:rPr>
        <w:t>完全具备本项目产生的</w:t>
      </w:r>
      <w:r>
        <w:rPr>
          <w:rFonts w:hint="default" w:ascii="Times New Roman" w:hAnsi="Times New Roman" w:eastAsia="宋体" w:cs="Times New Roman"/>
          <w:color w:val="auto"/>
          <w:sz w:val="24"/>
          <w:highlight w:val="none"/>
        </w:rPr>
        <w:t>畜禽粪污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沼液和</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rPr>
        <w:t>承载力，故可以消纳项目产生的</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，且具有一定的轮作能力，可见受纳土地容量足够。从土地消纳容量角度分析，项目运营产生的沼液、</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用于农田施肥，具有土地消纳可行性。</w:t>
      </w:r>
      <w:r>
        <w:rPr>
          <w:rFonts w:hint="default" w:ascii="Times New Roman" w:hAnsi="Times New Roman" w:cs="Times New Roman"/>
          <w:color w:val="auto"/>
          <w:kern w:val="24"/>
          <w:highlight w:val="none"/>
        </w:rPr>
        <w:t>沼液施用于玉米地</w:t>
      </w:r>
      <w:r>
        <w:rPr>
          <w:rFonts w:hint="eastAsia" w:ascii="Times New Roman" w:hAnsi="Times New Roman" w:cs="Times New Roman"/>
          <w:color w:val="auto"/>
          <w:kern w:val="24"/>
          <w:highlight w:val="none"/>
          <w:lang w:eastAsia="zh-CN"/>
        </w:rPr>
        <w:t>，</w:t>
      </w:r>
      <w:r>
        <w:rPr>
          <w:rFonts w:hint="default" w:ascii="Times New Roman" w:hAnsi="Times New Roman" w:eastAsia="宋体" w:cs="Times New Roman"/>
          <w:color w:val="auto"/>
          <w:sz w:val="24"/>
          <w:highlight w:val="none"/>
        </w:rPr>
        <w:t>本项目施肥季节</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w:t>
      </w:r>
      <w:r>
        <w:rPr>
          <w:rFonts w:hint="default" w:ascii="Times New Roman" w:hAnsi="Times New Roman" w:eastAsia="宋体" w:cs="Times New Roman"/>
          <w:color w:val="auto"/>
          <w:sz w:val="24"/>
          <w:highlight w:val="none"/>
        </w:rPr>
        <w:t>。本次环评提出粪污消纳区域应远离饮用水井，避免生物肥淋溶入地下水对饮用水造成污染。</w:t>
      </w:r>
    </w:p>
    <w:p w14:paraId="1DFB0651">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rPr>
        <w:t>本项目拟定</w:t>
      </w:r>
      <w:r>
        <w:rPr>
          <w:rFonts w:hint="default" w:ascii="Times New Roman" w:hAnsi="Times New Roman" w:eastAsia="宋体" w:cs="Times New Roman"/>
          <w:color w:val="auto"/>
          <w:sz w:val="24"/>
          <w:highlight w:val="none"/>
          <w:lang w:val="en-US" w:eastAsia="zh-CN"/>
        </w:rPr>
        <w:t>沼液和固体粪污</w:t>
      </w:r>
      <w:r>
        <w:rPr>
          <w:rFonts w:hint="default" w:ascii="Times New Roman" w:hAnsi="Times New Roman" w:eastAsia="宋体" w:cs="Times New Roman"/>
          <w:color w:val="auto"/>
          <w:sz w:val="24"/>
          <w:highlight w:val="none"/>
        </w:rPr>
        <w:t>消纳土地位于项目厂界</w:t>
      </w:r>
      <w:r>
        <w:rPr>
          <w:rFonts w:hint="default" w:ascii="Times New Roman" w:hAnsi="Times New Roman" w:eastAsia="宋体" w:cs="Times New Roman"/>
          <w:color w:val="auto"/>
          <w:sz w:val="24"/>
          <w:highlight w:val="none"/>
          <w:lang w:val="en-US" w:eastAsia="zh-CN"/>
        </w:rPr>
        <w:t>四周</w:t>
      </w:r>
      <w:r>
        <w:rPr>
          <w:rFonts w:hint="eastAsia" w:ascii="Times New Roman" w:hAnsi="Times New Roman" w:cs="Times New Roman"/>
          <w:color w:val="auto"/>
          <w:sz w:val="24"/>
          <w:highlight w:val="none"/>
          <w:lang w:val="en-US" w:eastAsia="zh-CN"/>
        </w:rPr>
        <w:t>最远距离本厂区直线距离3.7km</w:t>
      </w:r>
      <w:r>
        <w:rPr>
          <w:rFonts w:hint="default" w:ascii="Times New Roman" w:hAnsi="Times New Roman" w:eastAsia="宋体" w:cs="Times New Roman"/>
          <w:color w:val="auto"/>
          <w:sz w:val="24"/>
          <w:highlight w:val="none"/>
        </w:rPr>
        <w:t>，均为旱田，主要种植玉米作物，消纳区域200m范围内无地表水体。</w:t>
      </w:r>
      <w:r>
        <w:rPr>
          <w:rFonts w:hint="default" w:ascii="Times New Roman" w:hAnsi="Times New Roman" w:eastAsia="宋体" w:cs="Times New Roman"/>
          <w:color w:val="auto"/>
          <w:sz w:val="24"/>
          <w:highlight w:val="none"/>
          <w:lang w:val="en-US" w:eastAsia="zh-CN"/>
        </w:rPr>
        <w:t>还田单位周边无水坑、地表径流，粪污不会进入地表水体。</w:t>
      </w:r>
      <w:r>
        <w:rPr>
          <w:rFonts w:hint="default" w:ascii="Times New Roman" w:hAnsi="Times New Roman" w:eastAsia="宋体" w:cs="Times New Roman"/>
          <w:color w:val="auto"/>
          <w:sz w:val="24"/>
          <w:highlight w:val="none"/>
        </w:rPr>
        <w:t>周边有足够轮作土地面积，从土地消纳容量角度分析，项目营运期产生的沼液施用于农田，具有土地消纳可行性。</w:t>
      </w:r>
      <w:r>
        <w:rPr>
          <w:rFonts w:hint="default" w:ascii="Times New Roman" w:hAnsi="Times New Roman" w:eastAsia="宋体" w:cs="Times New Roman"/>
          <w:color w:val="auto"/>
          <w:sz w:val="24"/>
          <w:highlight w:val="none"/>
          <w:lang w:val="en-US" w:eastAsia="zh-CN"/>
        </w:rPr>
        <w:t>沼液和固体粪污还田位置范围</w:t>
      </w:r>
      <w:r>
        <w:rPr>
          <w:rFonts w:hint="eastAsia" w:ascii="Times New Roman" w:hAnsi="Times New Roman" w:cs="Times New Roman"/>
          <w:color w:val="auto"/>
          <w:sz w:val="24"/>
          <w:highlight w:val="none"/>
          <w:lang w:val="en-US" w:eastAsia="zh-CN"/>
        </w:rPr>
        <w:t>见下图。</w:t>
      </w:r>
    </w:p>
    <w:p w14:paraId="18E501AA">
      <w:pPr>
        <w:pStyle w:val="2"/>
        <w:rPr>
          <w:highlight w:val="none"/>
        </w:rPr>
      </w:pPr>
      <w:r>
        <w:rPr>
          <w:sz w:val="24"/>
          <w:highlight w:val="none"/>
        </w:rPr>
        <mc:AlternateContent>
          <mc:Choice Requires="wps">
            <w:drawing>
              <wp:anchor distT="0" distB="0" distL="114300" distR="114300" simplePos="0" relativeHeight="251716608" behindDoc="0" locked="0" layoutInCell="1" allowOverlap="1">
                <wp:simplePos x="0" y="0"/>
                <wp:positionH relativeFrom="column">
                  <wp:posOffset>4023995</wp:posOffset>
                </wp:positionH>
                <wp:positionV relativeFrom="paragraph">
                  <wp:posOffset>3138170</wp:posOffset>
                </wp:positionV>
                <wp:extent cx="285750" cy="151130"/>
                <wp:effectExtent l="6350" t="6350" r="12700" b="13970"/>
                <wp:wrapNone/>
                <wp:docPr id="157" name="矩形 157"/>
                <wp:cNvGraphicFramePr/>
                <a:graphic xmlns:a="http://schemas.openxmlformats.org/drawingml/2006/main">
                  <a:graphicData uri="http://schemas.microsoft.com/office/word/2010/wordprocessingShape">
                    <wps:wsp>
                      <wps:cNvSpPr/>
                      <wps:spPr>
                        <a:xfrm>
                          <a:off x="0" y="0"/>
                          <a:ext cx="285750" cy="151130"/>
                        </a:xfrm>
                        <a:prstGeom prst="rect">
                          <a:avLst/>
                        </a:prstGeom>
                        <a:solidFill>
                          <a:srgbClr val="4D77B2">
                            <a:alpha val="30000"/>
                          </a:srgbClr>
                        </a:solidFill>
                        <a:ln w="12700" cmpd="sng">
                          <a:solidFill>
                            <a:srgbClr val="4B77B5"/>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6.85pt;margin-top:247.1pt;height:11.9pt;width:22.5pt;z-index:251716608;v-text-anchor:middle;mso-width-relative:page;mso-height-relative:page;" fillcolor="#4D77B2" filled="t" stroked="t" coordsize="21600,21600" o:gfxdata="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hIwEi9sAAAALAQAADwAAAAAAAAABACAAAAAiAAAA&#10;ZHJzL2Rvd25yZXYueG1sUEsBAhQAFAAAAAgAh07iQGkTEBZ2AgAAAQUAAA4AAAAAAAAAAQAgAAAA&#10;KgEAAGRycy9lMm9Eb2MueG1sUEsFBgAAAAAGAAYAWQEAABIGAAAAAA==&#10;">
                <v:fill on="t" opacity="19660f" focussize="0,0"/>
                <v:stroke weight="1pt" color="#4B77B5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715584" behindDoc="0" locked="0" layoutInCell="1" allowOverlap="1">
                <wp:simplePos x="0" y="0"/>
                <wp:positionH relativeFrom="column">
                  <wp:posOffset>4020185</wp:posOffset>
                </wp:positionH>
                <wp:positionV relativeFrom="paragraph">
                  <wp:posOffset>2931795</wp:posOffset>
                </wp:positionV>
                <wp:extent cx="285750" cy="151130"/>
                <wp:effectExtent l="6350" t="6350" r="12700" b="13970"/>
                <wp:wrapNone/>
                <wp:docPr id="156" name="矩形 156"/>
                <wp:cNvGraphicFramePr/>
                <a:graphic xmlns:a="http://schemas.openxmlformats.org/drawingml/2006/main">
                  <a:graphicData uri="http://schemas.microsoft.com/office/word/2010/wordprocessingShape">
                    <wps:wsp>
                      <wps:cNvSpPr/>
                      <wps:spPr>
                        <a:xfrm>
                          <a:off x="5161280" y="3846195"/>
                          <a:ext cx="285750" cy="15113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6.55pt;margin-top:230.85pt;height:11.9pt;width:22.5pt;z-index:251715584;v-text-anchor:middle;mso-width-relative:page;mso-height-relative:page;" filled="f" stroked="t" coordsize="21600,21600" o:gfxdata="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32yFq1wAAAAsBAAAPAAAAAAAAAAEAIAAAACIAAABkcnMvZG93bnJldi54&#10;bWxQSwECFAAUAAAACACHTuJAwPdImm0CAADDBAAADgAAAAAAAAABACAAAAAmAQAAZHJzL2Uyb0Rv&#10;Yy54bWxQSwUGAAAAAAYABgBZAQAABQYAAAAA&#10;">
                <v:fill on="f" focussize="0,0"/>
                <v:stroke weight="1pt" color="#FF0000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714560" behindDoc="0" locked="0" layoutInCell="1" allowOverlap="1">
                <wp:simplePos x="0" y="0"/>
                <wp:positionH relativeFrom="column">
                  <wp:posOffset>3940810</wp:posOffset>
                </wp:positionH>
                <wp:positionV relativeFrom="paragraph">
                  <wp:posOffset>2670175</wp:posOffset>
                </wp:positionV>
                <wp:extent cx="1310005" cy="762635"/>
                <wp:effectExtent l="4445" t="4445" r="19050" b="13970"/>
                <wp:wrapNone/>
                <wp:docPr id="148" name="文本框 148"/>
                <wp:cNvGraphicFramePr/>
                <a:graphic xmlns:a="http://schemas.openxmlformats.org/drawingml/2006/main">
                  <a:graphicData uri="http://schemas.microsoft.com/office/word/2010/wordprocessingShape">
                    <wps:wsp>
                      <wps:cNvSpPr txBox="1"/>
                      <wps:spPr>
                        <a:xfrm>
                          <a:off x="4994275" y="3267075"/>
                          <a:ext cx="1310005" cy="7626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4B9D530">
                            <w:pPr>
                              <w:keepNext w:val="0"/>
                              <w:keepLines w:val="0"/>
                              <w:pageBreakBefore w:val="0"/>
                              <w:widowControl/>
                              <w:kinsoku/>
                              <w:wordWrap/>
                              <w:overflowPunct/>
                              <w:topLinePunct w:val="0"/>
                              <w:bidi w:val="0"/>
                              <w:adjustRightInd/>
                              <w:snapToGrid/>
                              <w:jc w:val="center"/>
                              <w:textAlignment w:val="auto"/>
                              <w:rPr>
                                <w:rFonts w:hint="eastAsia"/>
                                <w:sz w:val="21"/>
                                <w:szCs w:val="21"/>
                                <w:lang w:val="en-US" w:eastAsia="zh-CN"/>
                              </w:rPr>
                            </w:pPr>
                            <w:r>
                              <w:rPr>
                                <w:rFonts w:hint="eastAsia"/>
                                <w:sz w:val="21"/>
                                <w:szCs w:val="21"/>
                                <w:lang w:val="en-US" w:eastAsia="zh-CN"/>
                              </w:rPr>
                              <w:t>图 例</w:t>
                            </w:r>
                          </w:p>
                          <w:p w14:paraId="1D2F8517">
                            <w:pPr>
                              <w:pStyle w:val="2"/>
                              <w:ind w:leftChars="200"/>
                              <w:jc w:val="center"/>
                              <w:rPr>
                                <w:rFonts w:hint="eastAsia"/>
                                <w:sz w:val="21"/>
                                <w:szCs w:val="21"/>
                                <w:lang w:val="en-US" w:eastAsia="zh-CN"/>
                              </w:rPr>
                            </w:pPr>
                            <w:r>
                              <w:rPr>
                                <w:rFonts w:hint="eastAsia"/>
                                <w:sz w:val="21"/>
                                <w:szCs w:val="21"/>
                                <w:lang w:val="en-US" w:eastAsia="zh-CN"/>
                              </w:rPr>
                              <w:t>厂区位置</w:t>
                            </w:r>
                          </w:p>
                          <w:p w14:paraId="7D97B361">
                            <w:pPr>
                              <w:ind w:leftChars="200"/>
                              <w:jc w:val="center"/>
                              <w:rPr>
                                <w:rFonts w:hint="default" w:ascii="宋体" w:hAnsi="Times New Roman" w:eastAsia="宋体" w:cs="宋体"/>
                                <w:color w:val="000000"/>
                                <w:kern w:val="0"/>
                                <w:sz w:val="21"/>
                                <w:szCs w:val="21"/>
                                <w:lang w:val="en-US" w:eastAsia="zh-CN" w:bidi="ar-SA"/>
                              </w:rPr>
                            </w:pPr>
                            <w:r>
                              <w:rPr>
                                <w:rFonts w:hint="default" w:ascii="宋体" w:hAnsi="Times New Roman" w:eastAsia="宋体" w:cs="宋体"/>
                                <w:color w:val="000000"/>
                                <w:kern w:val="0"/>
                                <w:sz w:val="21"/>
                                <w:szCs w:val="21"/>
                                <w:lang w:val="en-US" w:eastAsia="zh-CN" w:bidi="ar-SA"/>
                              </w:rPr>
                              <w:t>还田位置范围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3pt;margin-top:210.25pt;height:60.05pt;width:103.15pt;z-index:251714560;mso-width-relative:page;mso-height-relative:page;" fillcolor="#FFFFFF [3201]" filled="t" stroked="t" coordsize="21600,21600" o:gfxdata="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l39LDXAAAACwEAAA8AAAAAAAAAAQAgAAAAIgAAAGRycy9kb3ducmV2LnhtbFBLAQIU&#10;ABQAAAAIAIdO4kAwbrbzZgIAAMcEAAAOAAAAAAAAAAEAIAAAACYBAABkcnMvZTJvRG9jLnhtbFBL&#10;BQYAAAAABgAGAFkBAAD+BQAAAAA=&#10;">
                <v:fill on="t" focussize="0,0"/>
                <v:stroke weight="0.5pt" color="#000000 [3204]" joinstyle="round"/>
                <v:imagedata o:title=""/>
                <o:lock v:ext="edit" aspectratio="f"/>
                <v:textbox>
                  <w:txbxContent>
                    <w:p w14:paraId="44B9D530">
                      <w:pPr>
                        <w:keepNext w:val="0"/>
                        <w:keepLines w:val="0"/>
                        <w:pageBreakBefore w:val="0"/>
                        <w:widowControl/>
                        <w:kinsoku/>
                        <w:wordWrap/>
                        <w:overflowPunct/>
                        <w:topLinePunct w:val="0"/>
                        <w:bidi w:val="0"/>
                        <w:adjustRightInd/>
                        <w:snapToGrid/>
                        <w:jc w:val="center"/>
                        <w:textAlignment w:val="auto"/>
                        <w:rPr>
                          <w:rFonts w:hint="eastAsia"/>
                          <w:sz w:val="21"/>
                          <w:szCs w:val="21"/>
                          <w:lang w:val="en-US" w:eastAsia="zh-CN"/>
                        </w:rPr>
                      </w:pPr>
                      <w:r>
                        <w:rPr>
                          <w:rFonts w:hint="eastAsia"/>
                          <w:sz w:val="21"/>
                          <w:szCs w:val="21"/>
                          <w:lang w:val="en-US" w:eastAsia="zh-CN"/>
                        </w:rPr>
                        <w:t>图 例</w:t>
                      </w:r>
                    </w:p>
                    <w:p w14:paraId="1D2F8517">
                      <w:pPr>
                        <w:pStyle w:val="2"/>
                        <w:ind w:leftChars="200"/>
                        <w:jc w:val="center"/>
                        <w:rPr>
                          <w:rFonts w:hint="eastAsia"/>
                          <w:sz w:val="21"/>
                          <w:szCs w:val="21"/>
                          <w:lang w:val="en-US" w:eastAsia="zh-CN"/>
                        </w:rPr>
                      </w:pPr>
                      <w:r>
                        <w:rPr>
                          <w:rFonts w:hint="eastAsia"/>
                          <w:sz w:val="21"/>
                          <w:szCs w:val="21"/>
                          <w:lang w:val="en-US" w:eastAsia="zh-CN"/>
                        </w:rPr>
                        <w:t>厂区位置</w:t>
                      </w:r>
                    </w:p>
                    <w:p w14:paraId="7D97B361">
                      <w:pPr>
                        <w:ind w:leftChars="200"/>
                        <w:jc w:val="center"/>
                        <w:rPr>
                          <w:rFonts w:hint="default" w:ascii="宋体" w:hAnsi="Times New Roman" w:eastAsia="宋体" w:cs="宋体"/>
                          <w:color w:val="000000"/>
                          <w:kern w:val="0"/>
                          <w:sz w:val="21"/>
                          <w:szCs w:val="21"/>
                          <w:lang w:val="en-US" w:eastAsia="zh-CN" w:bidi="ar-SA"/>
                        </w:rPr>
                      </w:pPr>
                      <w:r>
                        <w:rPr>
                          <w:rFonts w:hint="default" w:ascii="宋体" w:hAnsi="Times New Roman" w:eastAsia="宋体" w:cs="宋体"/>
                          <w:color w:val="000000"/>
                          <w:kern w:val="0"/>
                          <w:sz w:val="21"/>
                          <w:szCs w:val="21"/>
                          <w:lang w:val="en-US" w:eastAsia="zh-CN" w:bidi="ar-SA"/>
                        </w:rPr>
                        <w:t>还田位置范围</w:t>
                      </w:r>
                    </w:p>
                  </w:txbxContent>
                </v:textbox>
              </v:shape>
            </w:pict>
          </mc:Fallback>
        </mc:AlternateContent>
      </w:r>
      <w:r>
        <w:rPr>
          <w:highlight w:val="none"/>
        </w:rPr>
        <w:drawing>
          <wp:inline distT="0" distB="0" distL="114300" distR="114300">
            <wp:extent cx="5275580" cy="3325495"/>
            <wp:effectExtent l="0" t="0" r="1270" b="825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110"/>
                    <a:stretch>
                      <a:fillRect/>
                    </a:stretch>
                  </pic:blipFill>
                  <pic:spPr>
                    <a:xfrm>
                      <a:off x="0" y="0"/>
                      <a:ext cx="5275580" cy="3325495"/>
                    </a:xfrm>
                    <a:prstGeom prst="rect">
                      <a:avLst/>
                    </a:prstGeom>
                    <a:noFill/>
                    <a:ln>
                      <a:noFill/>
                    </a:ln>
                  </pic:spPr>
                </pic:pic>
              </a:graphicData>
            </a:graphic>
          </wp:inline>
        </w:drawing>
      </w:r>
    </w:p>
    <w:p w14:paraId="6F24770B">
      <w:pPr>
        <w:pStyle w:val="216"/>
        <w:rPr>
          <w:rFonts w:hint="default"/>
          <w:highlight w:val="none"/>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沼液和固体粪污还田位置范围图</w:t>
      </w:r>
    </w:p>
    <w:p w14:paraId="1A0386CA">
      <w:pPr>
        <w:spacing w:line="360" w:lineRule="auto"/>
        <w:ind w:firstLine="42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2）农田施肥规律</w:t>
      </w:r>
    </w:p>
    <w:p w14:paraId="152B2E5B">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1、由于土地利用存在季节性，需贮存</w:t>
      </w:r>
      <w:r>
        <w:rPr>
          <w:rFonts w:hint="eastAsia" w:ascii="Times New Roman" w:hAnsi="Times New Roman" w:cs="Times New Roman"/>
          <w:sz w:val="24"/>
          <w:highlight w:val="none"/>
          <w:lang w:eastAsia="zh-CN"/>
        </w:rPr>
        <w:t>180天</w:t>
      </w:r>
      <w:r>
        <w:rPr>
          <w:rFonts w:hint="default" w:ascii="Times New Roman" w:hAnsi="Times New Roman" w:cs="Times New Roman"/>
          <w:sz w:val="24"/>
          <w:highlight w:val="none"/>
        </w:rPr>
        <w:t>以上的沼液。在施肥季节</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w:t>
      </w:r>
      <w:r>
        <w:rPr>
          <w:rFonts w:hint="default" w:ascii="Times New Roman" w:hAnsi="Times New Roman" w:cs="Times New Roman"/>
          <w:sz w:val="24"/>
          <w:highlight w:val="none"/>
        </w:rPr>
        <w:t>。</w:t>
      </w:r>
    </w:p>
    <w:p w14:paraId="176C8817">
      <w:pPr>
        <w:adjustRightInd w:val="0"/>
        <w:snapToGrid w:val="0"/>
        <w:spacing w:line="360" w:lineRule="auto"/>
        <w:ind w:firstLine="480" w:firstLineChars="200"/>
        <w:rPr>
          <w:sz w:val="24"/>
          <w:highlight w:val="none"/>
        </w:rPr>
      </w:pPr>
      <w:r>
        <w:rPr>
          <w:rFonts w:hint="default" w:ascii="Times New Roman" w:hAnsi="Times New Roman" w:cs="Times New Roman"/>
          <w:sz w:val="24"/>
          <w:highlight w:val="none"/>
        </w:rPr>
        <w:t>2、粪肥施用后，应立即</w:t>
      </w:r>
      <w:r>
        <w:rPr>
          <w:sz w:val="24"/>
          <w:highlight w:val="none"/>
        </w:rPr>
        <w:t>混入土壤。畜禽粪肥属迟效型有机肥，应作为农田基肥翻耕入土，谨防撒施在土壤表面，以免污染水体。</w:t>
      </w:r>
    </w:p>
    <w:p w14:paraId="264D1DDD">
      <w:pPr>
        <w:adjustRightInd w:val="0"/>
        <w:snapToGrid w:val="0"/>
        <w:spacing w:line="360" w:lineRule="auto"/>
        <w:ind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、废水综合利用的管理措施</w:t>
      </w:r>
    </w:p>
    <w:p w14:paraId="22D46AD2">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一、施肥期管理措施</w:t>
      </w:r>
    </w:p>
    <w:p w14:paraId="7E6C471F">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项目运营产生的沼液用于农田，具体使用方法及要求如下：</w:t>
      </w:r>
    </w:p>
    <w:p w14:paraId="5E67224A">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1、由于土地利用存在季节性，需贮存</w:t>
      </w:r>
      <w:r>
        <w:rPr>
          <w:rFonts w:hint="eastAsia" w:ascii="Times New Roman" w:hAnsi="Times New Roman" w:cs="Times New Roman"/>
          <w:color w:val="auto"/>
          <w:sz w:val="24"/>
          <w:highlight w:val="none"/>
          <w:lang w:val="en-US" w:eastAsia="zh-CN"/>
        </w:rPr>
        <w:t>180天</w:t>
      </w:r>
      <w:r>
        <w:rPr>
          <w:rFonts w:hint="default" w:ascii="Times New Roman" w:hAnsi="Times New Roman" w:eastAsia="宋体" w:cs="Times New Roman"/>
          <w:color w:val="auto"/>
          <w:sz w:val="24"/>
          <w:highlight w:val="none"/>
        </w:rPr>
        <w:t>的沼液。在施肥季节（</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w:t>
      </w:r>
      <w:r>
        <w:rPr>
          <w:rFonts w:hint="default" w:ascii="Times New Roman" w:hAnsi="Times New Roman" w:eastAsia="宋体" w:cs="Times New Roman"/>
          <w:color w:val="auto"/>
          <w:sz w:val="24"/>
          <w:highlight w:val="none"/>
        </w:rPr>
        <w:t>。</w:t>
      </w:r>
    </w:p>
    <w:p w14:paraId="7ED7BD9F">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施用后，应立即混入土壤。畜禽</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属迟效型有机肥，应作为农田基肥翻耕入土，谨防撒施在土壤表面，以免污染水体。</w:t>
      </w:r>
    </w:p>
    <w:p w14:paraId="4AF95760">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3、合理安排施用时间，避免雨天施用。</w:t>
      </w:r>
    </w:p>
    <w:p w14:paraId="68CCA168">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cs="Times New Roman"/>
          <w:color w:val="auto"/>
          <w:sz w:val="24"/>
          <w:highlight w:val="none"/>
          <w:lang w:val="en-US" w:eastAsia="zh-CN"/>
        </w:rPr>
        <w:t>4、</w:t>
      </w:r>
      <w:r>
        <w:rPr>
          <w:rFonts w:hint="default" w:ascii="Times New Roman" w:hAnsi="Times New Roman" w:eastAsia="宋体" w:cs="Times New Roman"/>
          <w:color w:val="auto"/>
          <w:kern w:val="24"/>
          <w:sz w:val="24"/>
          <w:szCs w:val="24"/>
          <w:highlight w:val="none"/>
          <w:lang w:val="en-US" w:eastAsia="zh-CN"/>
        </w:rPr>
        <w:t>沼液</w:t>
      </w:r>
      <w:r>
        <w:rPr>
          <w:rFonts w:hint="default" w:ascii="Times New Roman" w:hAnsi="Times New Roman" w:eastAsia="宋体" w:cs="Times New Roman"/>
          <w:snapToGrid w:val="0"/>
          <w:color w:val="auto"/>
          <w:kern w:val="0"/>
          <w:sz w:val="24"/>
          <w:szCs w:val="24"/>
          <w:highlight w:val="none"/>
          <w:lang w:val="en-US" w:eastAsia="zh-CN" w:bidi="ar-SA"/>
        </w:rPr>
        <w:t>使用封闭式罐车进行猪粪粪肥料的运输，在清运养殖粪污过程中不得发生二次污染，严禁弃、撇、抛。在选择猪粪肥料的运输路线时，选择宽敞平坦的道路，避免坡度陡峭、弯道急转等不利于运输的路段。尽量避免经过居民区、水源地和敏感点，以减少对环境和人群的影响。在运输过程中，应定期检查罐车的密封性能和运输工具的安全性能。定期检查猪粪粪肥料的温度和湿度，避免过高的温度导致自燃的风险。</w:t>
      </w:r>
    </w:p>
    <w:p w14:paraId="5340DF08">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eastAsia="宋体"/>
          <w:highlight w:val="none"/>
          <w:lang w:val="en-US" w:eastAsia="zh-CN"/>
        </w:rPr>
      </w:pPr>
      <w:r>
        <w:rPr>
          <w:rFonts w:hint="eastAsia" w:ascii="Times New Roman" w:hAnsi="Times New Roman" w:eastAsia="宋体" w:cs="Times New Roman"/>
          <w:snapToGrid w:val="0"/>
          <w:color w:val="auto"/>
          <w:kern w:val="0"/>
          <w:sz w:val="24"/>
          <w:szCs w:val="24"/>
          <w:highlight w:val="none"/>
          <w:lang w:val="en-US" w:eastAsia="zh-CN" w:bidi="ar-SA"/>
        </w:rPr>
        <w:t>5、</w:t>
      </w:r>
      <w:r>
        <w:rPr>
          <w:rFonts w:hint="default" w:ascii="Times New Roman" w:hAnsi="Times New Roman" w:eastAsia="宋体" w:cs="Times New Roman"/>
          <w:snapToGrid w:val="0"/>
          <w:color w:val="auto"/>
          <w:kern w:val="0"/>
          <w:sz w:val="24"/>
          <w:szCs w:val="24"/>
          <w:highlight w:val="none"/>
          <w:lang w:val="en-US" w:eastAsia="zh-CN" w:bidi="ar-SA"/>
        </w:rPr>
        <w:t>使用封闭式罐车拉运沼液</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固态粪污固体抛洒车至田间地头，均利用原有乡村道路，罐车发生翻车事故导致废水散逸的可能性很小。在天气状况不良的情况下，禁止运输罐车进入道路，对相关人员进行培训，同时要对运输车辆进行车况安全检查，对有安全隐患的车辆在未排除隐患前不许参与运输。</w:t>
      </w:r>
    </w:p>
    <w:p w14:paraId="78AB3960">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二、非施肥期废水存储可行性分析</w:t>
      </w:r>
    </w:p>
    <w:p w14:paraId="42E10BB3">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highlight w:val="none"/>
        </w:rPr>
        <w:t>则本项目</w:t>
      </w:r>
      <w:r>
        <w:rPr>
          <w:rFonts w:hint="default" w:ascii="Times New Roman" w:hAnsi="Times New Roman" w:eastAsia="宋体" w:cs="Times New Roman"/>
          <w:snapToGrid w:val="0"/>
          <w:color w:val="auto"/>
          <w:highlight w:val="none"/>
          <w:lang w:val="en-US" w:eastAsia="zh-CN"/>
        </w:rPr>
        <w:t>沼液贮存池</w:t>
      </w:r>
      <w:r>
        <w:rPr>
          <w:rFonts w:hint="default" w:ascii="Times New Roman" w:hAnsi="Times New Roman" w:eastAsia="宋体" w:cs="Times New Roman"/>
          <w:snapToGrid w:val="0"/>
          <w:color w:val="auto"/>
          <w:highlight w:val="none"/>
        </w:rPr>
        <w:t>容量至少应储存</w:t>
      </w:r>
      <w:r>
        <w:rPr>
          <w:rFonts w:hint="eastAsia" w:ascii="Times New Roman" w:hAnsi="Times New Roman" w:cs="Times New Roman"/>
          <w:snapToGrid w:val="0"/>
          <w:color w:val="auto"/>
          <w:highlight w:val="none"/>
          <w:lang w:val="en-US" w:eastAsia="zh-CN"/>
        </w:rPr>
        <w:t>180天</w:t>
      </w:r>
      <w:r>
        <w:rPr>
          <w:rFonts w:hint="default" w:ascii="Times New Roman" w:hAnsi="Times New Roman" w:eastAsia="宋体" w:cs="Times New Roman"/>
          <w:snapToGrid w:val="0"/>
          <w:color w:val="auto"/>
          <w:highlight w:val="none"/>
        </w:rPr>
        <w:t>沼液</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本项目沼液产生量为</w:t>
      </w:r>
      <w:r>
        <w:rPr>
          <w:rFonts w:hint="eastAsia" w:ascii="Times New Roman" w:hAnsi="Times New Roman" w:cs="Times New Roman"/>
          <w:color w:val="auto"/>
          <w:highlight w:val="none"/>
          <w:lang w:eastAsia="zh-CN"/>
        </w:rPr>
        <w:t>9539.567</w:t>
      </w:r>
      <w:r>
        <w:rPr>
          <w:rFonts w:hint="default" w:ascii="Times New Roman" w:hAnsi="Times New Roman" w:eastAsia="宋体" w:cs="Times New Roman"/>
          <w:color w:val="auto"/>
          <w:highlight w:val="none"/>
        </w:rPr>
        <w:t>t/a，储存期间废水量为</w:t>
      </w:r>
      <w:r>
        <w:rPr>
          <w:rFonts w:hint="eastAsia" w:ascii="Times New Roman" w:hAnsi="Times New Roman" w:cs="Times New Roman"/>
          <w:color w:val="auto"/>
          <w:highlight w:val="none"/>
          <w:lang w:val="en-US" w:eastAsia="zh-CN"/>
        </w:rPr>
        <w:t>4704.44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本项目需要满足</w:t>
      </w:r>
      <w:r>
        <w:rPr>
          <w:rFonts w:hint="eastAsia" w:ascii="Times New Roman" w:hAnsi="Times New Roman" w:cs="Times New Roman"/>
          <w:color w:val="auto"/>
          <w:highlight w:val="none"/>
          <w:lang w:val="en-US" w:eastAsia="zh-CN"/>
        </w:rPr>
        <w:t>4704.44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US" w:eastAsia="zh-CN"/>
        </w:rPr>
        <w:t>的废水储存量，</w:t>
      </w:r>
      <w:r>
        <w:rPr>
          <w:rFonts w:hint="default" w:ascii="Times New Roman" w:hAnsi="Times New Roman" w:eastAsia="宋体" w:cs="Times New Roman"/>
          <w:snapToGrid w:val="0"/>
          <w:color w:val="auto"/>
          <w:highlight w:val="none"/>
          <w:lang w:val="en-US" w:eastAsia="zh-CN"/>
        </w:rPr>
        <w:t>沼液贮存池</w:t>
      </w:r>
      <w:r>
        <w:rPr>
          <w:rFonts w:hint="default" w:ascii="Times New Roman" w:hAnsi="Times New Roman" w:eastAsia="宋体" w:cs="Times New Roman"/>
          <w:color w:val="auto"/>
          <w:sz w:val="24"/>
          <w:szCs w:val="24"/>
          <w:highlight w:val="none"/>
        </w:rPr>
        <w:t>最大容积为</w:t>
      </w:r>
      <w:r>
        <w:rPr>
          <w:rFonts w:hint="eastAsia" w:ascii="Times New Roman" w:hAnsi="Times New Roman" w:cs="Times New Roman"/>
          <w:color w:val="auto"/>
          <w:sz w:val="24"/>
          <w:szCs w:val="24"/>
          <w:highlight w:val="none"/>
          <w:lang w:val="en-US" w:eastAsia="zh-CN"/>
        </w:rPr>
        <w:t>5040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highlight w:val="none"/>
          <w:lang w:val="en-US" w:eastAsia="zh-CN"/>
        </w:rPr>
        <w:t>，可满足冬季</w:t>
      </w:r>
      <w:r>
        <w:rPr>
          <w:rFonts w:hint="default" w:ascii="Times New Roman" w:hAnsi="Times New Roman" w:eastAsia="宋体" w:cs="Times New Roman"/>
          <w:color w:val="auto"/>
          <w:highlight w:val="none"/>
        </w:rPr>
        <w:t>沼液</w:t>
      </w:r>
      <w:r>
        <w:rPr>
          <w:rFonts w:hint="default" w:ascii="Times New Roman" w:hAnsi="Times New Roman" w:eastAsia="宋体" w:cs="Times New Roman"/>
          <w:color w:val="auto"/>
          <w:highlight w:val="none"/>
          <w:lang w:val="en-US" w:eastAsia="zh-CN"/>
        </w:rPr>
        <w:t>储存需求</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已进行防渗，可有效防止对地下水造成污染，并设置警示标志，警示工作人员不要在</w:t>
      </w:r>
      <w:r>
        <w:rPr>
          <w:rFonts w:hint="default" w:ascii="Times New Roman" w:hAnsi="Times New Roman" w:eastAsia="宋体" w:cs="Times New Roman"/>
          <w:color w:val="auto"/>
          <w:sz w:val="24"/>
          <w:highlight w:val="none"/>
          <w:lang w:val="en-US" w:eastAsia="zh-CN"/>
        </w:rPr>
        <w:t>沼液贮存池</w:t>
      </w:r>
      <w:r>
        <w:rPr>
          <w:rFonts w:hint="default" w:ascii="Times New Roman" w:hAnsi="Times New Roman" w:eastAsia="宋体" w:cs="Times New Roman"/>
          <w:color w:val="auto"/>
          <w:sz w:val="24"/>
          <w:highlight w:val="none"/>
        </w:rPr>
        <w:t>旁边活动，防止意外发生。同时，已选用防冻胀效果更好的混凝土材料，合理确定基础深度，在基础底部设置砂垫层，池体和池壁基础外侧夯填炉渣或混砂等材料，有效防止了冬季冻胀现象发生。</w:t>
      </w:r>
    </w:p>
    <w:p w14:paraId="11CE512F">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采取上述模式，可实现项目评价区域养殖与农业生产系统的生物质能循环利用，达到即可净化养殖区域环境，又可改善农业生态环境的目的。因此，从污染治理角度分析，本项目所采取的工程措施符合《畜禽养殖业污染治理工程技术规范》（HJ497-2009）要求，技术上是可行的。</w:t>
      </w:r>
    </w:p>
    <w:p w14:paraId="57DC21E7">
      <w:pPr>
        <w:spacing w:line="360" w:lineRule="auto"/>
        <w:ind w:firstLine="420"/>
        <w:jc w:val="both"/>
        <w:rPr>
          <w:rFonts w:hint="default"/>
          <w:highlight w:val="none"/>
          <w:lang w:val="en-GB"/>
        </w:rPr>
      </w:pPr>
      <w:r>
        <w:rPr>
          <w:rFonts w:hint="default" w:ascii="Times New Roman" w:hAnsi="Times New Roman" w:eastAsia="宋体" w:cs="Times New Roman"/>
          <w:color w:val="auto"/>
          <w:sz w:val="24"/>
          <w:highlight w:val="none"/>
        </w:rPr>
        <w:t>综上所述，本项目禁止向地表水排放废水，废水不会对项目附近的地表水体产生影响</w:t>
      </w:r>
      <w:r>
        <w:rPr>
          <w:rFonts w:hint="default" w:ascii="Times New Roman" w:hAnsi="Times New Roman" w:eastAsia="宋体" w:cs="Times New Roman"/>
          <w:snapToGrid w:val="0"/>
          <w:color w:val="auto"/>
          <w:highlight w:val="none"/>
        </w:rPr>
        <w:t>。</w:t>
      </w:r>
    </w:p>
    <w:p w14:paraId="6ECDD6E6">
      <w:pPr>
        <w:pStyle w:val="7"/>
        <w:bidi w:val="0"/>
        <w:rPr>
          <w:rFonts w:hint="default"/>
          <w:highlight w:val="none"/>
        </w:rPr>
      </w:pPr>
      <w:bookmarkStart w:id="963" w:name="_Toc6046"/>
      <w:bookmarkStart w:id="964" w:name="_Toc7447"/>
      <w:bookmarkStart w:id="965" w:name="_Toc3822"/>
      <w:bookmarkStart w:id="966" w:name="_Toc25166"/>
      <w:r>
        <w:rPr>
          <w:rFonts w:hint="default"/>
          <w:highlight w:val="none"/>
        </w:rPr>
        <w:t>6.2.3地下水污染防治措施及其可行性分析</w:t>
      </w:r>
      <w:bookmarkEnd w:id="963"/>
      <w:bookmarkEnd w:id="964"/>
      <w:bookmarkEnd w:id="965"/>
      <w:bookmarkEnd w:id="966"/>
    </w:p>
    <w:p w14:paraId="48877DB1">
      <w:pPr>
        <w:pStyle w:val="8"/>
        <w:bidi w:val="0"/>
        <w:rPr>
          <w:rFonts w:hint="default"/>
          <w:highlight w:val="none"/>
        </w:rPr>
      </w:pPr>
      <w:bookmarkStart w:id="967" w:name="_Toc1746"/>
      <w:bookmarkStart w:id="968" w:name="_Toc22781"/>
      <w:r>
        <w:rPr>
          <w:rFonts w:hint="default"/>
          <w:highlight w:val="none"/>
        </w:rPr>
        <w:t>6.2.3.1地下水污染防治原则</w:t>
      </w:r>
      <w:bookmarkEnd w:id="967"/>
      <w:bookmarkEnd w:id="968"/>
    </w:p>
    <w:p w14:paraId="3304BE6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按地下水环境影响评价导则提出的“源头控制、末端防治、污染监控、应急响应”的地下水污染防治要求，结合本项目工程类型及污染源分布，提出以下防治原则：</w:t>
      </w:r>
    </w:p>
    <w:p w14:paraId="606CEE7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①主动控制原则</w:t>
      </w:r>
    </w:p>
    <w:p w14:paraId="36B3CA4A">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主动控制，即从源头控制措施，主要包括在工艺、管道、设备、污水贮存及处理构筑物采取相应措施，降低和防止污染物跑、冒、滴、漏，将污染物泄漏的环境风险事故降到最低程度</w:t>
      </w:r>
      <w:r>
        <w:rPr>
          <w:rFonts w:hint="default" w:ascii="Times New Roman" w:hAnsi="Times New Roman" w:eastAsia="宋体" w:cs="Times New Roman"/>
          <w:snapToGrid w:val="0"/>
          <w:color w:val="auto"/>
          <w:highlight w:val="none"/>
          <w:lang w:eastAsia="zh-CN"/>
        </w:rPr>
        <w:t>。</w:t>
      </w:r>
    </w:p>
    <w:p w14:paraId="5AFCD25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②被动控制原则</w:t>
      </w:r>
    </w:p>
    <w:p w14:paraId="646D9954">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被动控制，即末端控制措施，主要包括项目区内污染区地面的防渗措施和泄漏、渗漏污染物收集措施，即在污染区地面进行防渗处理，防止洒落地面的污染物渗入地下，并把滞留在地面的污染物收集起来，集中送至黑膜厌氧池进行处理</w:t>
      </w:r>
      <w:r>
        <w:rPr>
          <w:rFonts w:hint="default" w:ascii="Times New Roman" w:hAnsi="Times New Roman" w:eastAsia="宋体" w:cs="Times New Roman"/>
          <w:snapToGrid w:val="0"/>
          <w:color w:val="auto"/>
          <w:highlight w:val="none"/>
          <w:lang w:eastAsia="zh-CN"/>
        </w:rPr>
        <w:t>。</w:t>
      </w:r>
    </w:p>
    <w:p w14:paraId="48C942F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③坚持“可视化”原则</w:t>
      </w:r>
    </w:p>
    <w:p w14:paraId="7AC7C2A6">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坚持“可视化”原则，在满足工程和防渗层结构标准要求的前提下，尽量在地表面实施防渗措施，便于泄漏物质就地收集和及时发现破损的防渗层</w:t>
      </w:r>
      <w:r>
        <w:rPr>
          <w:rFonts w:hint="default" w:ascii="Times New Roman" w:hAnsi="Times New Roman" w:eastAsia="宋体" w:cs="Times New Roman"/>
          <w:snapToGrid w:val="0"/>
          <w:color w:val="auto"/>
          <w:highlight w:val="none"/>
          <w:lang w:eastAsia="zh-CN"/>
        </w:rPr>
        <w:t>。</w:t>
      </w:r>
    </w:p>
    <w:p w14:paraId="7A3F2AB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④工程措施与污染监控相结合的原则</w:t>
      </w:r>
    </w:p>
    <w:p w14:paraId="73E1B0A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采用先进的防渗材料、技术和实施手段，最大限度的强化防渗防污能力；同时实施覆盖饲养区及周边一定范围的地下水污染监控系统，包括建立完善的监测报告制度，配备先进的检漏检测分析仪器设备，科学合理布设地下水污染监控井，及时发现污染，及时采取措施，及早消除不良影响。</w:t>
      </w:r>
    </w:p>
    <w:p w14:paraId="36C061F0">
      <w:pPr>
        <w:pStyle w:val="8"/>
        <w:bidi w:val="0"/>
        <w:rPr>
          <w:rFonts w:hint="default"/>
          <w:highlight w:val="none"/>
        </w:rPr>
      </w:pPr>
      <w:bookmarkStart w:id="969" w:name="_Toc21788"/>
      <w:bookmarkStart w:id="970" w:name="_Toc19865"/>
      <w:r>
        <w:rPr>
          <w:rFonts w:hint="default"/>
          <w:highlight w:val="none"/>
        </w:rPr>
        <w:t>6.2.3.2地下水污染分区染防治措施</w:t>
      </w:r>
      <w:bookmarkEnd w:id="969"/>
      <w:bookmarkEnd w:id="970"/>
    </w:p>
    <w:p w14:paraId="61CE565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为了进一步保护地下水资源，本工程在设计上对猪舍、</w:t>
      </w:r>
      <w:bookmarkStart w:id="971" w:name="_Hlk480414634"/>
      <w:r>
        <w:rPr>
          <w:rFonts w:hint="default" w:ascii="Times New Roman" w:hAnsi="Times New Roman" w:eastAsia="宋体" w:cs="Times New Roman"/>
          <w:snapToGrid w:val="0"/>
          <w:color w:val="auto"/>
          <w:highlight w:val="none"/>
        </w:rPr>
        <w:t>固液分离间、</w:t>
      </w:r>
      <w:bookmarkEnd w:id="971"/>
      <w:r>
        <w:rPr>
          <w:rFonts w:hint="default" w:ascii="Times New Roman" w:hAnsi="Times New Roman" w:eastAsia="宋体"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沼液贮存池</w:t>
      </w:r>
      <w:r>
        <w:rPr>
          <w:rFonts w:hint="eastAsia" w:ascii="Times New Roman" w:hAnsi="Times New Roman" w:cs="Times New Roman"/>
          <w:snapToGrid w:val="0"/>
          <w:color w:val="auto"/>
          <w:highlight w:val="none"/>
          <w:lang w:val="en-US" w:eastAsia="zh-CN"/>
        </w:rPr>
        <w:t>、</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、医疗废物暂存间等防渗处理措施。</w:t>
      </w:r>
    </w:p>
    <w:p w14:paraId="4014C1B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本项目地下水防渗分区情况见表6-2-</w:t>
      </w:r>
      <w:r>
        <w:rPr>
          <w:rFonts w:hint="default"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w:t>
      </w:r>
    </w:p>
    <w:p w14:paraId="72D08E18">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2-2  本项目地下水防渗分区情况</w:t>
      </w:r>
    </w:p>
    <w:tbl>
      <w:tblPr>
        <w:tblStyle w:val="4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1776"/>
        <w:gridCol w:w="1261"/>
        <w:gridCol w:w="1264"/>
        <w:gridCol w:w="725"/>
        <w:gridCol w:w="2540"/>
      </w:tblGrid>
      <w:tr w14:paraId="09E3C5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noWrap w:val="0"/>
            <w:vAlign w:val="center"/>
          </w:tcPr>
          <w:p w14:paraId="34A4B915">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防渗</w:t>
            </w:r>
          </w:p>
          <w:p w14:paraId="6680E198">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分区</w:t>
            </w:r>
          </w:p>
        </w:tc>
        <w:tc>
          <w:tcPr>
            <w:tcW w:w="1041" w:type="pct"/>
            <w:noWrap w:val="0"/>
            <w:vAlign w:val="center"/>
          </w:tcPr>
          <w:p w14:paraId="6DE06E88">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构筑物</w:t>
            </w:r>
          </w:p>
        </w:tc>
        <w:tc>
          <w:tcPr>
            <w:tcW w:w="739" w:type="pct"/>
            <w:noWrap w:val="0"/>
            <w:vAlign w:val="center"/>
          </w:tcPr>
          <w:p w14:paraId="4A436781">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天然包气带防污性能</w:t>
            </w:r>
          </w:p>
        </w:tc>
        <w:tc>
          <w:tcPr>
            <w:tcW w:w="741" w:type="pct"/>
            <w:noWrap w:val="0"/>
            <w:vAlign w:val="center"/>
          </w:tcPr>
          <w:p w14:paraId="760CB61C">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污染控制难易程度</w:t>
            </w:r>
          </w:p>
        </w:tc>
        <w:tc>
          <w:tcPr>
            <w:tcW w:w="425" w:type="pct"/>
            <w:noWrap w:val="0"/>
            <w:vAlign w:val="center"/>
          </w:tcPr>
          <w:p w14:paraId="7304B04C">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污染物类型</w:t>
            </w:r>
          </w:p>
        </w:tc>
        <w:tc>
          <w:tcPr>
            <w:tcW w:w="1488" w:type="pct"/>
            <w:noWrap w:val="0"/>
            <w:vAlign w:val="center"/>
          </w:tcPr>
          <w:p w14:paraId="21EDAD96">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本项目防渗措施</w:t>
            </w:r>
          </w:p>
        </w:tc>
      </w:tr>
      <w:tr w14:paraId="49E44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5" w:hRule="atLeast"/>
        </w:trPr>
        <w:tc>
          <w:tcPr>
            <w:tcW w:w="564" w:type="pct"/>
            <w:vMerge w:val="restart"/>
            <w:noWrap w:val="0"/>
            <w:vAlign w:val="center"/>
          </w:tcPr>
          <w:p w14:paraId="6BB5A4A9">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重点防渗区</w:t>
            </w:r>
          </w:p>
        </w:tc>
        <w:tc>
          <w:tcPr>
            <w:tcW w:w="1041" w:type="pct"/>
            <w:noWrap w:val="0"/>
            <w:vAlign w:val="center"/>
          </w:tcPr>
          <w:p w14:paraId="32B4D2E7">
            <w:pPr>
              <w:pStyle w:val="152"/>
              <w:adjustRightInd w:val="0"/>
              <w:snapToGrid w:val="0"/>
              <w:rPr>
                <w:rFonts w:hint="eastAsia"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rPr>
              <w:t>黑膜</w:t>
            </w:r>
            <w:r>
              <w:rPr>
                <w:rFonts w:hint="default" w:ascii="Times New Roman" w:hAnsi="Times New Roman" w:cs="Times New Roman"/>
                <w:snapToGrid w:val="0"/>
                <w:color w:val="auto"/>
                <w:szCs w:val="21"/>
                <w:highlight w:val="none"/>
                <w:lang w:val="en-US"/>
              </w:rPr>
              <w:t>厌氧池</w:t>
            </w:r>
            <w:r>
              <w:rPr>
                <w:rFonts w:hint="eastAsia" w:ascii="Times New Roman" w:hAnsi="Times New Roman" w:cs="Times New Roman"/>
                <w:snapToGrid w:val="0"/>
                <w:color w:val="auto"/>
                <w:szCs w:val="21"/>
                <w:highlight w:val="none"/>
                <w:lang w:val="en-US" w:eastAsia="zh-CN"/>
              </w:rPr>
              <w:t>、沼液贮存池</w:t>
            </w:r>
          </w:p>
        </w:tc>
        <w:tc>
          <w:tcPr>
            <w:tcW w:w="739" w:type="pct"/>
            <w:noWrap w:val="0"/>
            <w:vAlign w:val="center"/>
          </w:tcPr>
          <w:p w14:paraId="54FCBB0C">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中-强</w:t>
            </w:r>
          </w:p>
        </w:tc>
        <w:tc>
          <w:tcPr>
            <w:tcW w:w="741" w:type="pct"/>
            <w:noWrap w:val="0"/>
            <w:vAlign w:val="center"/>
          </w:tcPr>
          <w:p w14:paraId="3FAAF786">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难</w:t>
            </w:r>
          </w:p>
        </w:tc>
        <w:tc>
          <w:tcPr>
            <w:tcW w:w="425" w:type="pct"/>
            <w:noWrap w:val="0"/>
            <w:vAlign w:val="center"/>
          </w:tcPr>
          <w:p w14:paraId="5A3B82B4">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持久性有机物污染物</w:t>
            </w:r>
          </w:p>
        </w:tc>
        <w:tc>
          <w:tcPr>
            <w:tcW w:w="1488" w:type="pct"/>
            <w:vMerge w:val="restart"/>
            <w:noWrap w:val="0"/>
            <w:vAlign w:val="center"/>
          </w:tcPr>
          <w:p w14:paraId="3943E7E3">
            <w:pPr>
              <w:pStyle w:val="152"/>
              <w:adjustRightInd w:val="0"/>
              <w:snapToGrid w:val="0"/>
              <w:jc w:val="left"/>
              <w:rPr>
                <w:rFonts w:hint="default" w:ascii="Times New Roman" w:hAnsi="Times New Roman" w:cs="Times New Roman"/>
                <w:snapToGrid w:val="0"/>
                <w:color w:val="auto"/>
                <w:sz w:val="21"/>
                <w:szCs w:val="21"/>
                <w:highlight w:val="none"/>
                <w:lang w:val="en-US" w:bidi="ar"/>
              </w:rPr>
            </w:pPr>
            <w:r>
              <w:rPr>
                <w:rFonts w:hint="default" w:ascii="Times New Roman" w:hAnsi="Times New Roman" w:cs="Times New Roman"/>
                <w:snapToGrid w:val="0"/>
                <w:color w:val="auto"/>
                <w:szCs w:val="21"/>
                <w:highlight w:val="none"/>
              </w:rPr>
              <w:t>黑膜</w:t>
            </w:r>
            <w:r>
              <w:rPr>
                <w:rFonts w:hint="default" w:ascii="Times New Roman" w:hAnsi="Times New Roman" w:cs="Times New Roman"/>
                <w:snapToGrid w:val="0"/>
                <w:color w:val="auto"/>
                <w:szCs w:val="21"/>
                <w:highlight w:val="none"/>
                <w:lang w:val="en-US"/>
              </w:rPr>
              <w:t>厌氧池</w:t>
            </w:r>
            <w:r>
              <w:rPr>
                <w:rFonts w:hint="eastAsia" w:ascii="Times New Roman" w:hAnsi="Times New Roman" w:cs="Times New Roman"/>
                <w:snapToGrid w:val="0"/>
                <w:color w:val="auto"/>
                <w:szCs w:val="21"/>
                <w:highlight w:val="none"/>
                <w:lang w:val="en-US" w:eastAsia="zh-CN"/>
              </w:rPr>
              <w:t>、沼液贮存池、</w:t>
            </w:r>
            <w:r>
              <w:rPr>
                <w:rFonts w:hint="default" w:ascii="Times New Roman" w:hAnsi="Times New Roman" w:cs="Times New Roman"/>
                <w:snapToGrid w:val="0"/>
                <w:color w:val="auto"/>
                <w:szCs w:val="21"/>
                <w:highlight w:val="none"/>
              </w:rPr>
              <w:t>医疗废物暂存间</w:t>
            </w:r>
            <w:r>
              <w:rPr>
                <w:rFonts w:hint="default" w:ascii="Times New Roman" w:hAnsi="Times New Roman" w:cs="Times New Roman"/>
                <w:snapToGrid w:val="0"/>
                <w:color w:val="auto"/>
                <w:sz w:val="21"/>
                <w:szCs w:val="21"/>
                <w:highlight w:val="none"/>
                <w:lang w:val="en-US" w:eastAsia="zh-CN" w:bidi="ar"/>
              </w:rPr>
              <w:t>防渗措施为高密度</w:t>
            </w:r>
            <w:r>
              <w:rPr>
                <w:rFonts w:hint="default" w:ascii="Times New Roman" w:hAnsi="Times New Roman" w:cs="Times New Roman"/>
                <w:snapToGrid w:val="0"/>
                <w:color w:val="auto"/>
                <w:sz w:val="21"/>
                <w:szCs w:val="21"/>
                <w:highlight w:val="none"/>
                <w:lang w:val="en-US" w:bidi="ar"/>
              </w:rPr>
              <w:t>聚乙烯（HDPE）防渗膜（渗透系数K≤10</w:t>
            </w:r>
            <w:r>
              <w:rPr>
                <w:rFonts w:hint="default" w:ascii="Times New Roman" w:hAnsi="Times New Roman" w:cs="Times New Roman"/>
                <w:snapToGrid w:val="0"/>
                <w:color w:val="auto"/>
                <w:sz w:val="21"/>
                <w:szCs w:val="21"/>
                <w:highlight w:val="none"/>
                <w:vertAlign w:val="superscript"/>
                <w:lang w:val="en-US" w:bidi="ar"/>
              </w:rPr>
              <w:t>-12</w:t>
            </w:r>
            <w:r>
              <w:rPr>
                <w:rFonts w:hint="default" w:ascii="Times New Roman" w:hAnsi="Times New Roman" w:cs="Times New Roman"/>
                <w:snapToGrid w:val="0"/>
                <w:color w:val="auto"/>
                <w:sz w:val="21"/>
                <w:szCs w:val="21"/>
                <w:highlight w:val="none"/>
                <w:lang w:val="en-US" w:bidi="ar"/>
              </w:rPr>
              <w:t>cm/s</w:t>
            </w:r>
            <w:r>
              <w:rPr>
                <w:rFonts w:hint="eastAsia" w:ascii="Times New Roman" w:hAnsi="Times New Roman" w:cs="Times New Roman"/>
                <w:snapToGrid w:val="0"/>
                <w:color w:val="auto"/>
                <w:sz w:val="21"/>
                <w:szCs w:val="21"/>
                <w:highlight w:val="none"/>
                <w:lang w:val="en-US" w:eastAsia="zh-CN" w:bidi="ar"/>
              </w:rPr>
              <w:t>，等效黏土防渗层Mb≥6.0m</w:t>
            </w:r>
            <w:r>
              <w:rPr>
                <w:rFonts w:hint="default" w:ascii="Times New Roman" w:hAnsi="Times New Roman" w:cs="Times New Roman"/>
                <w:snapToGrid w:val="0"/>
                <w:color w:val="auto"/>
                <w:sz w:val="21"/>
                <w:szCs w:val="21"/>
                <w:highlight w:val="none"/>
                <w:lang w:val="en-US" w:bidi="ar"/>
              </w:rPr>
              <w:t>），</w:t>
            </w:r>
            <w:r>
              <w:rPr>
                <w:rFonts w:hint="default" w:ascii="Times New Roman" w:hAnsi="Times New Roman" w:cs="Times New Roman"/>
                <w:snapToGrid w:val="0"/>
                <w:color w:val="auto"/>
                <w:sz w:val="21"/>
                <w:szCs w:val="21"/>
                <w:highlight w:val="none"/>
                <w:lang w:val="en-US" w:eastAsia="zh-CN" w:bidi="ar"/>
              </w:rPr>
              <w:t>满足《环境影响评价技术导则 地下水环境》（HJ610-2016）的防渗要求。</w:t>
            </w:r>
          </w:p>
          <w:p w14:paraId="711BAF62">
            <w:pPr>
              <w:pStyle w:val="152"/>
              <w:adjustRightInd w:val="0"/>
              <w:snapToGrid w:val="0"/>
              <w:jc w:val="left"/>
              <w:rPr>
                <w:rFonts w:hint="eastAsia" w:ascii="Times New Roman" w:hAnsi="Times New Roman" w:eastAsia="宋体" w:cs="Times New Roman"/>
                <w:snapToGrid w:val="0"/>
                <w:color w:val="auto"/>
                <w:szCs w:val="21"/>
                <w:highlight w:val="none"/>
                <w:lang w:val="en-US" w:eastAsia="zh-CN" w:bidi="ar"/>
              </w:rPr>
            </w:pPr>
            <w:r>
              <w:rPr>
                <w:rFonts w:hint="default" w:ascii="Times New Roman" w:hAnsi="Times New Roman" w:cs="Times New Roman"/>
                <w:snapToGrid w:val="0"/>
                <w:color w:val="auto"/>
                <w:highlight w:val="none"/>
              </w:rPr>
              <w:t>医疗废物暂存间应采取防风、防雨、防晒、防渗、防漏和防止危险废物流失、扬散等措施</w:t>
            </w:r>
            <w:r>
              <w:rPr>
                <w:rFonts w:hint="eastAsia" w:ascii="Times New Roman" w:hAnsi="Times New Roman" w:cs="Times New Roman"/>
                <w:snapToGrid w:val="0"/>
                <w:color w:val="auto"/>
                <w:highlight w:val="none"/>
                <w:lang w:eastAsia="zh-CN"/>
              </w:rPr>
              <w:t>。</w:t>
            </w:r>
          </w:p>
        </w:tc>
      </w:tr>
      <w:tr w14:paraId="26C34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continue"/>
            <w:noWrap w:val="0"/>
            <w:vAlign w:val="center"/>
          </w:tcPr>
          <w:p w14:paraId="5D5E551C">
            <w:pPr>
              <w:pStyle w:val="152"/>
              <w:adjustRightInd w:val="0"/>
              <w:snapToGrid w:val="0"/>
              <w:rPr>
                <w:rFonts w:hint="default" w:ascii="Times New Roman" w:hAnsi="Times New Roman" w:cs="Times New Roman"/>
                <w:snapToGrid w:val="0"/>
                <w:color w:val="auto"/>
                <w:szCs w:val="21"/>
                <w:highlight w:val="none"/>
              </w:rPr>
            </w:pPr>
          </w:p>
        </w:tc>
        <w:tc>
          <w:tcPr>
            <w:tcW w:w="1041" w:type="pct"/>
            <w:noWrap w:val="0"/>
            <w:vAlign w:val="center"/>
          </w:tcPr>
          <w:p w14:paraId="396AF417">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医疗废物暂存间</w:t>
            </w:r>
          </w:p>
        </w:tc>
        <w:tc>
          <w:tcPr>
            <w:tcW w:w="739" w:type="pct"/>
            <w:noWrap w:val="0"/>
            <w:vAlign w:val="center"/>
          </w:tcPr>
          <w:p w14:paraId="3ABAA908">
            <w:pPr>
              <w:pStyle w:val="152"/>
              <w:adjustRightInd w:val="0"/>
              <w:snapToGrid w:val="0"/>
              <w:rPr>
                <w:rFonts w:hint="eastAsia"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rPr>
              <w:t>中-</w:t>
            </w:r>
            <w:r>
              <w:rPr>
                <w:rFonts w:hint="eastAsia" w:ascii="Times New Roman" w:hAnsi="Times New Roman" w:cs="Times New Roman"/>
                <w:snapToGrid w:val="0"/>
                <w:color w:val="auto"/>
                <w:szCs w:val="21"/>
                <w:highlight w:val="none"/>
                <w:lang w:val="en-US" w:eastAsia="zh-CN"/>
              </w:rPr>
              <w:t>弱</w:t>
            </w:r>
          </w:p>
        </w:tc>
        <w:tc>
          <w:tcPr>
            <w:tcW w:w="741" w:type="pct"/>
            <w:noWrap w:val="0"/>
            <w:vAlign w:val="center"/>
          </w:tcPr>
          <w:p w14:paraId="19830DC7">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易</w:t>
            </w:r>
          </w:p>
        </w:tc>
        <w:tc>
          <w:tcPr>
            <w:tcW w:w="425" w:type="pct"/>
            <w:noWrap w:val="0"/>
            <w:vAlign w:val="center"/>
          </w:tcPr>
          <w:p w14:paraId="46878CB7">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危险废物</w:t>
            </w:r>
          </w:p>
        </w:tc>
        <w:tc>
          <w:tcPr>
            <w:tcW w:w="1488" w:type="pct"/>
            <w:vMerge w:val="continue"/>
            <w:noWrap w:val="0"/>
            <w:vAlign w:val="center"/>
          </w:tcPr>
          <w:p w14:paraId="34988D5D">
            <w:pPr>
              <w:pStyle w:val="152"/>
              <w:adjustRightInd w:val="0"/>
              <w:snapToGrid w:val="0"/>
              <w:jc w:val="left"/>
              <w:rPr>
                <w:rFonts w:hint="default" w:ascii="Times New Roman" w:hAnsi="Times New Roman" w:cs="Times New Roman"/>
                <w:snapToGrid w:val="0"/>
                <w:color w:val="auto"/>
                <w:szCs w:val="21"/>
                <w:highlight w:val="none"/>
                <w:lang w:val="en-US" w:eastAsia="zh-CN" w:bidi="ar"/>
              </w:rPr>
            </w:pPr>
          </w:p>
        </w:tc>
      </w:tr>
      <w:tr w14:paraId="352D07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noWrap w:val="0"/>
            <w:vAlign w:val="center"/>
          </w:tcPr>
          <w:p w14:paraId="186D5E49">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一般防渗区</w:t>
            </w:r>
          </w:p>
        </w:tc>
        <w:tc>
          <w:tcPr>
            <w:tcW w:w="1041" w:type="pct"/>
            <w:noWrap w:val="0"/>
            <w:vAlign w:val="center"/>
          </w:tcPr>
          <w:p w14:paraId="29DC1D69">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bidi="ar"/>
              </w:rPr>
              <w:t>猪舍、</w:t>
            </w:r>
            <w:r>
              <w:rPr>
                <w:rFonts w:hint="eastAsia" w:ascii="Times New Roman" w:hAnsi="Times New Roman" w:cs="Times New Roman"/>
                <w:snapToGrid w:val="0"/>
                <w:color w:val="auto"/>
                <w:szCs w:val="21"/>
                <w:highlight w:val="none"/>
                <w:lang w:val="en-US" w:eastAsia="zh-CN" w:bidi="ar"/>
              </w:rPr>
              <w:t>干粪堆积场</w:t>
            </w:r>
            <w:r>
              <w:rPr>
                <w:rFonts w:hint="default" w:ascii="Times New Roman" w:hAnsi="Times New Roman" w:cs="Times New Roman"/>
                <w:snapToGrid w:val="0"/>
                <w:color w:val="auto"/>
                <w:szCs w:val="21"/>
                <w:highlight w:val="none"/>
                <w:lang w:val="en-US" w:eastAsia="zh-CN" w:bidi="ar"/>
              </w:rPr>
              <w:t>、固液分离间</w:t>
            </w:r>
          </w:p>
        </w:tc>
        <w:tc>
          <w:tcPr>
            <w:tcW w:w="739" w:type="pct"/>
            <w:noWrap w:val="0"/>
            <w:vAlign w:val="center"/>
          </w:tcPr>
          <w:p w14:paraId="53412860">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中-强</w:t>
            </w:r>
          </w:p>
        </w:tc>
        <w:tc>
          <w:tcPr>
            <w:tcW w:w="741" w:type="pct"/>
            <w:noWrap w:val="0"/>
            <w:vAlign w:val="center"/>
          </w:tcPr>
          <w:p w14:paraId="118AE1FB">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难</w:t>
            </w:r>
          </w:p>
        </w:tc>
        <w:tc>
          <w:tcPr>
            <w:tcW w:w="425" w:type="pct"/>
            <w:noWrap w:val="0"/>
            <w:vAlign w:val="center"/>
          </w:tcPr>
          <w:p w14:paraId="20398A58">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其他类型</w:t>
            </w:r>
          </w:p>
        </w:tc>
        <w:tc>
          <w:tcPr>
            <w:tcW w:w="1488" w:type="pct"/>
            <w:noWrap w:val="0"/>
            <w:vAlign w:val="center"/>
          </w:tcPr>
          <w:p w14:paraId="1BD64BE1">
            <w:pPr>
              <w:pStyle w:val="152"/>
              <w:adjustRightInd w:val="0"/>
              <w:snapToGrid w:val="0"/>
              <w:jc w:val="left"/>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bidi="ar"/>
              </w:rPr>
              <w:t>地面及墙面采用水泥混凝土防渗，等效黏土防渗层Mb≥1.5m，K≤1.0×10</w:t>
            </w:r>
            <w:r>
              <w:rPr>
                <w:rFonts w:hint="default" w:ascii="Times New Roman" w:hAnsi="Times New Roman" w:cs="Times New Roman"/>
                <w:snapToGrid w:val="0"/>
                <w:color w:val="auto"/>
                <w:szCs w:val="21"/>
                <w:highlight w:val="none"/>
                <w:vertAlign w:val="superscript"/>
                <w:lang w:val="en-US" w:eastAsia="zh-CN" w:bidi="ar"/>
              </w:rPr>
              <w:t>-7</w:t>
            </w:r>
            <w:r>
              <w:rPr>
                <w:rFonts w:hint="default" w:ascii="Times New Roman" w:hAnsi="Times New Roman" w:cs="Times New Roman"/>
                <w:snapToGrid w:val="0"/>
                <w:color w:val="auto"/>
                <w:szCs w:val="21"/>
                <w:highlight w:val="none"/>
                <w:lang w:val="en-US" w:eastAsia="zh-CN" w:bidi="ar"/>
              </w:rPr>
              <w:t>cm/s满足《环境影响评价技术导则 地下水环境》（HJ610-2016）的防渗要求。</w:t>
            </w:r>
          </w:p>
        </w:tc>
      </w:tr>
      <w:tr w14:paraId="17AD53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noWrap w:val="0"/>
            <w:vAlign w:val="center"/>
          </w:tcPr>
          <w:p w14:paraId="185A7F85">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简单防渗区</w:t>
            </w:r>
          </w:p>
        </w:tc>
        <w:tc>
          <w:tcPr>
            <w:tcW w:w="1041" w:type="pct"/>
            <w:noWrap w:val="0"/>
            <w:vAlign w:val="center"/>
          </w:tcPr>
          <w:p w14:paraId="2BF776D2">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办公室等其他建筑物</w:t>
            </w:r>
          </w:p>
        </w:tc>
        <w:tc>
          <w:tcPr>
            <w:tcW w:w="739" w:type="pct"/>
            <w:noWrap w:val="0"/>
            <w:vAlign w:val="center"/>
          </w:tcPr>
          <w:p w14:paraId="7A39772E">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中-强</w:t>
            </w:r>
          </w:p>
        </w:tc>
        <w:tc>
          <w:tcPr>
            <w:tcW w:w="741" w:type="pct"/>
            <w:noWrap w:val="0"/>
            <w:vAlign w:val="center"/>
          </w:tcPr>
          <w:p w14:paraId="703E1EBA">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易</w:t>
            </w:r>
          </w:p>
        </w:tc>
        <w:tc>
          <w:tcPr>
            <w:tcW w:w="425" w:type="pct"/>
            <w:noWrap w:val="0"/>
            <w:vAlign w:val="center"/>
          </w:tcPr>
          <w:p w14:paraId="1A310AF0">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其他类型</w:t>
            </w:r>
          </w:p>
        </w:tc>
        <w:tc>
          <w:tcPr>
            <w:tcW w:w="1488" w:type="pct"/>
            <w:noWrap w:val="0"/>
            <w:vAlign w:val="center"/>
          </w:tcPr>
          <w:p w14:paraId="1B7B4F96">
            <w:pPr>
              <w:pStyle w:val="152"/>
              <w:adjustRightInd w:val="0"/>
              <w:snapToGrid w:val="0"/>
              <w:jc w:val="both"/>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bidi="ar"/>
              </w:rPr>
              <w:t>地面</w:t>
            </w:r>
            <w:r>
              <w:rPr>
                <w:rFonts w:hint="default" w:ascii="Times New Roman" w:hAnsi="Times New Roman" w:cs="Times New Roman"/>
                <w:snapToGrid w:val="0"/>
                <w:color w:val="auto"/>
                <w:szCs w:val="21"/>
                <w:highlight w:val="none"/>
                <w:lang w:val="en-US" w:eastAsia="zh-CN" w:bidi="ar"/>
              </w:rPr>
              <w:t>均用水泥进行一般地面硬化。</w:t>
            </w:r>
          </w:p>
        </w:tc>
      </w:tr>
    </w:tbl>
    <w:p w14:paraId="79C57C46">
      <w:pPr>
        <w:pStyle w:val="392"/>
        <w:spacing w:before="0" w:after="0" w:line="360" w:lineRule="auto"/>
        <w:ind w:firstLine="480" w:firstLineChars="200"/>
        <w:jc w:val="both"/>
        <w:rPr>
          <w:rFonts w:hint="default" w:ascii="Times New Roman" w:hAnsi="Times New Roman" w:eastAsia="宋体" w:cs="Times New Roman"/>
          <w:color w:val="auto"/>
          <w:szCs w:val="22"/>
          <w:highlight w:val="none"/>
        </w:rPr>
      </w:pPr>
      <w:r>
        <w:rPr>
          <w:rFonts w:hint="default" w:ascii="Times New Roman" w:hAnsi="Times New Roman" w:eastAsia="宋体" w:cs="Times New Roman"/>
          <w:color w:val="auto"/>
          <w:szCs w:val="22"/>
          <w:highlight w:val="none"/>
        </w:rPr>
        <w:fldChar w:fldCharType="begin"/>
      </w:r>
      <w:r>
        <w:rPr>
          <w:rFonts w:hint="default" w:ascii="Times New Roman" w:hAnsi="Times New Roman" w:eastAsia="宋体" w:cs="Times New Roman"/>
          <w:color w:val="auto"/>
          <w:szCs w:val="22"/>
          <w:highlight w:val="none"/>
        </w:rPr>
        <w:instrText xml:space="preserve"> = 1 \* GB3 </w:instrText>
      </w:r>
      <w:r>
        <w:rPr>
          <w:rFonts w:hint="default" w:ascii="Times New Roman" w:hAnsi="Times New Roman" w:eastAsia="宋体" w:cs="Times New Roman"/>
          <w:color w:val="auto"/>
          <w:szCs w:val="22"/>
          <w:highlight w:val="none"/>
        </w:rPr>
        <w:fldChar w:fldCharType="separate"/>
      </w:r>
      <w:r>
        <w:rPr>
          <w:rFonts w:hint="default" w:ascii="Times New Roman" w:hAnsi="Times New Roman" w:eastAsia="宋体" w:cs="Times New Roman"/>
          <w:color w:val="auto"/>
          <w:szCs w:val="22"/>
          <w:highlight w:val="none"/>
        </w:rPr>
        <w:t>①</w:t>
      </w:r>
      <w:r>
        <w:rPr>
          <w:rFonts w:hint="default" w:ascii="Times New Roman" w:hAnsi="Times New Roman" w:eastAsia="宋体" w:cs="Times New Roman"/>
          <w:color w:val="auto"/>
          <w:szCs w:val="22"/>
          <w:highlight w:val="none"/>
        </w:rPr>
        <w:fldChar w:fldCharType="end"/>
      </w:r>
      <w:r>
        <w:rPr>
          <w:rFonts w:hint="default" w:ascii="Times New Roman" w:hAnsi="Times New Roman" w:eastAsia="宋体" w:cs="Times New Roman"/>
          <w:color w:val="auto"/>
          <w:szCs w:val="22"/>
          <w:highlight w:val="none"/>
        </w:rPr>
        <w:t>平时注意黑膜厌氧池等的维护，确保系统正常运行。</w:t>
      </w:r>
    </w:p>
    <w:p w14:paraId="37D75EF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确保污水管道质量，应用质量良好的管材，增加管段长度，减少管道接口，避免废水的跑、冒、滴、漏现象的发生。</w:t>
      </w:r>
    </w:p>
    <w:p w14:paraId="3F53E36C">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加强管理，建立巡逻制度，定期检查，及时发现问题，查找隐患，杜绝污染物的外排。</w:t>
      </w:r>
    </w:p>
    <w:p w14:paraId="1607671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、黑膜</w:t>
      </w:r>
      <w:r>
        <w:rPr>
          <w:rFonts w:hint="default" w:ascii="Times New Roman" w:hAnsi="Times New Roman" w:eastAsia="宋体" w:cs="Times New Roman"/>
          <w:snapToGrid w:val="0"/>
          <w:color w:val="auto"/>
          <w:highlight w:val="none"/>
          <w:lang w:val="en-US"/>
        </w:rPr>
        <w:t>厌氧池</w:t>
      </w:r>
      <w:r>
        <w:rPr>
          <w:rFonts w:hint="default" w:ascii="Times New Roman" w:hAnsi="Times New Roman" w:eastAsia="宋体" w:cs="Times New Roman"/>
          <w:snapToGrid w:val="0"/>
          <w:color w:val="auto"/>
          <w:highlight w:val="none"/>
          <w:lang w:val="en-US" w:eastAsia="zh-CN"/>
        </w:rPr>
        <w:t>、沼液贮存池</w:t>
      </w:r>
      <w:r>
        <w:rPr>
          <w:rFonts w:hint="default" w:ascii="Times New Roman" w:hAnsi="Times New Roman" w:eastAsia="宋体" w:cs="Times New Roman"/>
          <w:snapToGrid w:val="0"/>
          <w:color w:val="auto"/>
          <w:highlight w:val="none"/>
        </w:rPr>
        <w:t>等构筑物四周分别设置0.5m高围堰，防止夏季雨水汇入，导致污水溢流。</w:t>
      </w:r>
    </w:p>
    <w:p w14:paraId="496E373D">
      <w:pPr>
        <w:pStyle w:val="94"/>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fldChar w:fldCharType="begin"/>
      </w:r>
      <w:r>
        <w:rPr>
          <w:rFonts w:hint="default" w:ascii="Times New Roman" w:hAnsi="Times New Roman" w:cs="Times New Roman"/>
          <w:snapToGrid w:val="0"/>
          <w:color w:val="auto"/>
          <w:highlight w:val="none"/>
        </w:rPr>
        <w:instrText xml:space="preserve"> = 5 \* GB3 </w:instrText>
      </w:r>
      <w:r>
        <w:rPr>
          <w:rFonts w:hint="default" w:ascii="Times New Roman" w:hAnsi="Times New Roman" w:cs="Times New Roman"/>
          <w:snapToGrid w:val="0"/>
          <w:color w:val="auto"/>
          <w:highlight w:val="none"/>
        </w:rPr>
        <w:fldChar w:fldCharType="separate"/>
      </w:r>
      <w:r>
        <w:rPr>
          <w:rFonts w:hint="default" w:ascii="Times New Roman" w:hAnsi="Times New Roman" w:cs="Times New Roman"/>
          <w:snapToGrid w:val="0"/>
          <w:color w:val="auto"/>
          <w:highlight w:val="none"/>
        </w:rPr>
        <w:t>⑤</w:t>
      </w:r>
      <w:r>
        <w:rPr>
          <w:rFonts w:hint="default" w:ascii="Times New Roman" w:hAnsi="Times New Roman" w:cs="Times New Roman"/>
          <w:snapToGrid w:val="0"/>
          <w:color w:val="auto"/>
          <w:highlight w:val="none"/>
        </w:rPr>
        <w:fldChar w:fldCharType="end"/>
      </w:r>
      <w:r>
        <w:rPr>
          <w:rFonts w:hint="default" w:ascii="Times New Roman" w:hAnsi="Times New Roman" w:cs="Times New Roman"/>
          <w:snapToGrid w:val="0"/>
          <w:color w:val="auto"/>
          <w:highlight w:val="none"/>
        </w:rPr>
        <w:t>根据《关于做好畜禽规模养殖项目环境影响评价管理工作的通知》（环办环评</w:t>
      </w:r>
      <w:r>
        <w:rPr>
          <w:rFonts w:hint="default" w:ascii="Times New Roman" w:hAnsi="Times New Roman" w:cs="Times New Roman"/>
          <w:color w:val="auto"/>
          <w:highlight w:val="none"/>
        </w:rPr>
        <w:t>[</w:t>
      </w:r>
      <w:r>
        <w:rPr>
          <w:rFonts w:hint="default" w:ascii="Times New Roman" w:hAnsi="Times New Roman" w:cs="Times New Roman"/>
          <w:snapToGrid w:val="0"/>
          <w:color w:val="auto"/>
          <w:highlight w:val="none"/>
        </w:rPr>
        <w:t>2018</w:t>
      </w:r>
      <w:r>
        <w:rPr>
          <w:rFonts w:hint="default" w:ascii="Times New Roman" w:hAnsi="Times New Roman" w:cs="Times New Roman"/>
          <w:color w:val="auto"/>
          <w:highlight w:val="none"/>
        </w:rPr>
        <w:t>]</w:t>
      </w:r>
      <w:r>
        <w:rPr>
          <w:rFonts w:hint="default" w:ascii="Times New Roman" w:hAnsi="Times New Roman" w:cs="Times New Roman"/>
          <w:snapToGrid w:val="0"/>
          <w:color w:val="auto"/>
          <w:highlight w:val="none"/>
        </w:rPr>
        <w:t>31号）中要求，贮存池应采取有效的防雨、防渗和防溢流措施，故本项目黑膜厌氧池需加盖，可有效的防止夏季雨水汇入，导致污水溢流。</w:t>
      </w:r>
    </w:p>
    <w:p w14:paraId="09484502">
      <w:pPr>
        <w:spacing w:line="360" w:lineRule="auto"/>
        <w:ind w:firstLine="42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6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⑥</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黑膜</w:t>
      </w:r>
      <w:r>
        <w:rPr>
          <w:rFonts w:hint="default" w:ascii="Times New Roman" w:hAnsi="Times New Roman" w:eastAsia="宋体" w:cs="Times New Roman"/>
          <w:color w:val="auto"/>
          <w:highlight w:val="none"/>
          <w:lang w:val="en-US"/>
        </w:rPr>
        <w:t>厌氧池</w:t>
      </w:r>
      <w:r>
        <w:rPr>
          <w:rFonts w:hint="default" w:ascii="Times New Roman" w:hAnsi="Times New Roman" w:eastAsia="宋体" w:cs="Times New Roman"/>
          <w:color w:val="auto"/>
          <w:highlight w:val="none"/>
          <w:lang w:val="en-US" w:eastAsia="zh-CN"/>
        </w:rPr>
        <w:t>、沼液贮存池</w:t>
      </w:r>
      <w:r>
        <w:rPr>
          <w:rFonts w:hint="default" w:ascii="Times New Roman" w:hAnsi="Times New Roman" w:cs="Times New Roman"/>
          <w:color w:val="auto"/>
          <w:highlight w:val="none"/>
        </w:rPr>
        <w:t>等各池体安装泄漏监测装置</w:t>
      </w:r>
      <w:r>
        <w:rPr>
          <w:rFonts w:hint="default" w:ascii="Times New Roman" w:hAnsi="Times New Roman" w:cs="Times New Roman"/>
          <w:color w:val="auto"/>
          <w:highlight w:val="none"/>
          <w:lang w:eastAsia="zh-CN"/>
        </w:rPr>
        <w:t>。</w:t>
      </w:r>
    </w:p>
    <w:p w14:paraId="0E6BB2CD">
      <w:pPr>
        <w:spacing w:line="360" w:lineRule="auto"/>
        <w:ind w:firstLine="420"/>
        <w:jc w:val="left"/>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val="en-US" w:eastAsia="zh-CN"/>
        </w:rPr>
        <w:t>⑦</w:t>
      </w:r>
      <w:r>
        <w:rPr>
          <w:rFonts w:hint="default" w:ascii="Times New Roman" w:hAnsi="Times New Roman" w:eastAsia="宋体" w:cs="Times New Roman"/>
          <w:color w:val="auto"/>
          <w:highlight w:val="none"/>
        </w:rPr>
        <w:t>养殖场</w:t>
      </w:r>
      <w:r>
        <w:rPr>
          <w:rFonts w:hint="default"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highlight w:val="none"/>
        </w:rPr>
        <w:t>下游设置地下水跟踪监控井，及时监控地下水环境。</w:t>
      </w:r>
    </w:p>
    <w:p w14:paraId="0C4F0A8C">
      <w:pPr>
        <w:spacing w:line="360" w:lineRule="auto"/>
        <w:ind w:firstLine="420"/>
        <w:jc w:val="left"/>
        <w:rPr>
          <w:rFonts w:hint="default" w:ascii="Times New Roman" w:hAnsi="Times New Roman" w:eastAsia="宋体"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color w:val="auto"/>
          <w:highlight w:val="none"/>
        </w:rPr>
        <w:t>本项目对地下水的主要污染途径为废水渗透，</w:t>
      </w:r>
      <w:r>
        <w:rPr>
          <w:rFonts w:hint="eastAsia" w:ascii="Times New Roman" w:hAnsi="Times New Roman" w:cs="Times New Roman"/>
          <w:color w:val="auto"/>
          <w:highlight w:val="none"/>
          <w:lang w:val="en-US" w:eastAsia="zh-CN"/>
        </w:rPr>
        <w:t>现有防渗标准能够满足环评设计要求并</w:t>
      </w:r>
      <w:r>
        <w:rPr>
          <w:rFonts w:hint="default" w:ascii="Times New Roman" w:hAnsi="Times New Roman" w:eastAsia="宋体" w:cs="Times New Roman"/>
          <w:color w:val="auto"/>
          <w:highlight w:val="none"/>
        </w:rPr>
        <w:t>在认真采取以上措施的基础上，一旦水泥硬化层发生断裂，由于防渗层的保护作用，废水不会对地下水源造成影响。</w:t>
      </w:r>
    </w:p>
    <w:p w14:paraId="1E984B09">
      <w:pPr>
        <w:pStyle w:val="216"/>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highlight w:val="none"/>
        </w:rPr>
        <w:drawing>
          <wp:inline distT="0" distB="0" distL="114300" distR="114300">
            <wp:extent cx="8853170" cy="4653915"/>
            <wp:effectExtent l="0" t="0" r="5080" b="13335"/>
            <wp:docPr id="2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5"/>
                    <pic:cNvPicPr>
                      <a:picLocks noChangeAspect="1"/>
                    </pic:cNvPicPr>
                  </pic:nvPicPr>
                  <pic:blipFill>
                    <a:blip r:embed="rId111"/>
                    <a:stretch>
                      <a:fillRect/>
                    </a:stretch>
                  </pic:blipFill>
                  <pic:spPr>
                    <a:xfrm>
                      <a:off x="0" y="0"/>
                      <a:ext cx="8853170" cy="4653915"/>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730944" behindDoc="0" locked="0" layoutInCell="1" allowOverlap="1">
                <wp:simplePos x="0" y="0"/>
                <wp:positionH relativeFrom="column">
                  <wp:posOffset>2434590</wp:posOffset>
                </wp:positionH>
                <wp:positionV relativeFrom="paragraph">
                  <wp:posOffset>2562225</wp:posOffset>
                </wp:positionV>
                <wp:extent cx="874395" cy="494665"/>
                <wp:effectExtent l="0" t="0" r="1905" b="635"/>
                <wp:wrapNone/>
                <wp:docPr id="246" name="矩形 246"/>
                <wp:cNvGraphicFramePr/>
                <a:graphic xmlns:a="http://schemas.openxmlformats.org/drawingml/2006/main">
                  <a:graphicData uri="http://schemas.microsoft.com/office/word/2010/wordprocessingShape">
                    <wps:wsp>
                      <wps:cNvSpPr/>
                      <wps:spPr>
                        <a:xfrm>
                          <a:off x="3355975" y="3696335"/>
                          <a:ext cx="874395" cy="494665"/>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1.7pt;margin-top:201.75pt;height:38.95pt;width:68.85pt;z-index:251730944;v-text-anchor:middle;mso-width-relative:page;mso-height-relative:page;" fillcolor="#FFC000" filled="t" stroked="f" coordsize="21600,21600" o:gfxdata="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C66KnzaAAAACwEAAA8AAAAAAAAAAQAgAAAA&#10;IgAAAGRycy9kb3ducmV2LnhtbFBLAQIUABQAAAAIAIdO4kCV24iKewIAAOQEAAAOAAAAAAAAAAEA&#10;IAAAACkBAABkcnMvZTJvRG9jLnhtbFBLBQYAAAAABgAGAFkBAAAWBg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42208" behindDoc="0" locked="0" layoutInCell="1" allowOverlap="1">
                <wp:simplePos x="0" y="0"/>
                <wp:positionH relativeFrom="column">
                  <wp:posOffset>7324725</wp:posOffset>
                </wp:positionH>
                <wp:positionV relativeFrom="paragraph">
                  <wp:posOffset>4166235</wp:posOffset>
                </wp:positionV>
                <wp:extent cx="1453515" cy="79375"/>
                <wp:effectExtent l="0" t="0" r="13335" b="15875"/>
                <wp:wrapNone/>
                <wp:docPr id="257" name="文本框 257"/>
                <wp:cNvGraphicFramePr/>
                <a:graphic xmlns:a="http://schemas.openxmlformats.org/drawingml/2006/main">
                  <a:graphicData uri="http://schemas.microsoft.com/office/word/2010/wordprocessingShape">
                    <wps:wsp>
                      <wps:cNvSpPr txBox="1"/>
                      <wps:spPr>
                        <a:xfrm>
                          <a:off x="8249285" y="5314315"/>
                          <a:ext cx="1453515" cy="793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8426CB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6.75pt;margin-top:328.05pt;height:6.25pt;width:114.45pt;z-index:251742208;mso-width-relative:page;mso-height-relative:page;" fillcolor="#FFFFFF [3201]" filled="t" stroked="f" coordsize="21600,21600" o:gfxdata="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FhZi9cAAAANAQAADwAAAAAAAAABACAAAAAiAAAAZHJzL2Rvd25yZXYueG1sUEsBAhQAFAAAAAgA&#10;h07iQHajEutfAgAAngQAAA4AAAAAAAAAAQAgAAAAJgEAAGRycy9lMm9Eb2MueG1sUEsFBgAAAAAG&#10;AAYAWQEAAPcFAAAAAA==&#10;">
                <v:fill on="t" focussize="0,0"/>
                <v:stroke on="f" weight="0.5pt"/>
                <v:imagedata o:title=""/>
                <o:lock v:ext="edit" aspectratio="f"/>
                <v:textbox>
                  <w:txbxContent>
                    <w:p w14:paraId="18426CB9"/>
                  </w:txbxContent>
                </v:textbox>
              </v:shape>
            </w:pict>
          </mc:Fallback>
        </mc:AlternateContent>
      </w:r>
      <w:r>
        <w:rPr>
          <w:sz w:val="21"/>
          <w:highlight w:val="none"/>
        </w:rPr>
        <mc:AlternateContent>
          <mc:Choice Requires="wps">
            <w:drawing>
              <wp:anchor distT="0" distB="0" distL="114300" distR="114300" simplePos="0" relativeHeight="251723776" behindDoc="0" locked="0" layoutInCell="1" allowOverlap="1">
                <wp:simplePos x="0" y="0"/>
                <wp:positionH relativeFrom="column">
                  <wp:posOffset>7307580</wp:posOffset>
                </wp:positionH>
                <wp:positionV relativeFrom="paragraph">
                  <wp:posOffset>4208780</wp:posOffset>
                </wp:positionV>
                <wp:extent cx="1477010" cy="693420"/>
                <wp:effectExtent l="4445" t="5080" r="23495" b="6350"/>
                <wp:wrapNone/>
                <wp:docPr id="236" name="文本框 236"/>
                <wp:cNvGraphicFramePr/>
                <a:graphic xmlns:a="http://schemas.openxmlformats.org/drawingml/2006/main">
                  <a:graphicData uri="http://schemas.microsoft.com/office/word/2010/wordprocessingShape">
                    <wps:wsp>
                      <wps:cNvSpPr txBox="1"/>
                      <wps:spPr>
                        <a:xfrm>
                          <a:off x="5836285" y="3132455"/>
                          <a:ext cx="1477010" cy="693420"/>
                        </a:xfrm>
                        <a:prstGeom prst="rect">
                          <a:avLst/>
                        </a:prstGeom>
                        <a:solidFill>
                          <a:schemeClr val="lt1"/>
                        </a:solidFill>
                        <a:ln w="9525">
                          <a:solidFill>
                            <a:srgbClr val="474747"/>
                          </a:solidFill>
                        </a:ln>
                      </wps:spPr>
                      <wps:style>
                        <a:lnRef idx="0">
                          <a:schemeClr val="accent1"/>
                        </a:lnRef>
                        <a:fillRef idx="0">
                          <a:schemeClr val="accent1"/>
                        </a:fillRef>
                        <a:effectRef idx="0">
                          <a:schemeClr val="accent1"/>
                        </a:effectRef>
                        <a:fontRef idx="minor">
                          <a:schemeClr val="dk1"/>
                        </a:fontRef>
                      </wps:style>
                      <wps:txbx>
                        <w:txbxContent>
                          <w:p w14:paraId="2BAD5A3D">
                            <w:pPr>
                              <w:pStyle w:val="2"/>
                              <w:jc w:val="right"/>
                              <w:rPr>
                                <w:rFonts w:hint="eastAsia"/>
                                <w:sz w:val="21"/>
                                <w:szCs w:val="21"/>
                                <w:lang w:val="en-US" w:eastAsia="zh-CN"/>
                              </w:rPr>
                            </w:pPr>
                            <w:r>
                              <w:rPr>
                                <w:rFonts w:hint="eastAsia"/>
                                <w:sz w:val="21"/>
                                <w:szCs w:val="21"/>
                                <w:lang w:val="en-US" w:eastAsia="zh-CN"/>
                              </w:rPr>
                              <w:t>重点防渗区</w:t>
                            </w:r>
                          </w:p>
                          <w:p w14:paraId="1DF3DFE2">
                            <w:pPr>
                              <w:jc w:val="right"/>
                              <w:rPr>
                                <w:rFonts w:hint="eastAsia"/>
                                <w:sz w:val="21"/>
                                <w:szCs w:val="21"/>
                                <w:lang w:val="en-US" w:eastAsia="zh-CN"/>
                              </w:rPr>
                            </w:pPr>
                            <w:r>
                              <w:rPr>
                                <w:rFonts w:hint="eastAsia"/>
                                <w:sz w:val="21"/>
                                <w:szCs w:val="21"/>
                                <w:lang w:val="en-US" w:eastAsia="zh-CN"/>
                              </w:rPr>
                              <w:t>一般防渗区</w:t>
                            </w:r>
                          </w:p>
                          <w:p w14:paraId="2935C136">
                            <w:pPr>
                              <w:pStyle w:val="2"/>
                              <w:jc w:val="right"/>
                              <w:rPr>
                                <w:rFonts w:hint="default"/>
                                <w:lang w:val="en-US" w:eastAsia="zh-CN"/>
                              </w:rPr>
                            </w:pPr>
                            <w:r>
                              <w:rPr>
                                <w:rFonts w:hint="eastAsia"/>
                                <w:sz w:val="21"/>
                                <w:szCs w:val="21"/>
                                <w:lang w:val="en-US" w:eastAsia="zh-CN"/>
                              </w:rPr>
                              <w:t>简单防渗区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4pt;margin-top:331.4pt;height:54.6pt;width:116.3pt;z-index:251723776;mso-width-relative:page;mso-height-relative:page;" fillcolor="#FFFFFF [3201]" filled="t" stroked="t" coordsize="21600,21600" o:gfxdata="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aTKJNwAAAANAQAADwAAAAAAAAABACAAAAAiAAAAZHJzL2Rvd25yZXYu&#10;eG1sUEsBAhQAFAAAAAgAh07iQGlndkJpAgAAyAQAAA4AAAAAAAAAAQAgAAAAKwEAAGRycy9lMm9E&#10;b2MueG1sUEsFBgAAAAAGAAYAWQEAAAYGAAAAAA==&#10;">
                <v:fill on="t" focussize="0,0"/>
                <v:stroke color="#474747 [3204]" joinstyle="round"/>
                <v:imagedata o:title=""/>
                <o:lock v:ext="edit" aspectratio="f"/>
                <v:textbox>
                  <w:txbxContent>
                    <w:p w14:paraId="2BAD5A3D">
                      <w:pPr>
                        <w:pStyle w:val="2"/>
                        <w:jc w:val="right"/>
                        <w:rPr>
                          <w:rFonts w:hint="eastAsia"/>
                          <w:sz w:val="21"/>
                          <w:szCs w:val="21"/>
                          <w:lang w:val="en-US" w:eastAsia="zh-CN"/>
                        </w:rPr>
                      </w:pPr>
                      <w:r>
                        <w:rPr>
                          <w:rFonts w:hint="eastAsia"/>
                          <w:sz w:val="21"/>
                          <w:szCs w:val="21"/>
                          <w:lang w:val="en-US" w:eastAsia="zh-CN"/>
                        </w:rPr>
                        <w:t>重点防渗区</w:t>
                      </w:r>
                    </w:p>
                    <w:p w14:paraId="1DF3DFE2">
                      <w:pPr>
                        <w:jc w:val="right"/>
                        <w:rPr>
                          <w:rFonts w:hint="eastAsia"/>
                          <w:sz w:val="21"/>
                          <w:szCs w:val="21"/>
                          <w:lang w:val="en-US" w:eastAsia="zh-CN"/>
                        </w:rPr>
                      </w:pPr>
                      <w:r>
                        <w:rPr>
                          <w:rFonts w:hint="eastAsia"/>
                          <w:sz w:val="21"/>
                          <w:szCs w:val="21"/>
                          <w:lang w:val="en-US" w:eastAsia="zh-CN"/>
                        </w:rPr>
                        <w:t>一般防渗区</w:t>
                      </w:r>
                    </w:p>
                    <w:p w14:paraId="2935C136">
                      <w:pPr>
                        <w:pStyle w:val="2"/>
                        <w:jc w:val="right"/>
                        <w:rPr>
                          <w:rFonts w:hint="default"/>
                          <w:lang w:val="en-US" w:eastAsia="zh-CN"/>
                        </w:rPr>
                      </w:pPr>
                      <w:r>
                        <w:rPr>
                          <w:rFonts w:hint="eastAsia"/>
                          <w:sz w:val="21"/>
                          <w:szCs w:val="21"/>
                          <w:lang w:val="en-US" w:eastAsia="zh-CN"/>
                        </w:rPr>
                        <w:t>简单防渗区</w:t>
                      </w:r>
                    </w:p>
                  </w:txbxContent>
                </v:textbox>
              </v:shape>
            </w:pict>
          </mc:Fallback>
        </mc:AlternateContent>
      </w:r>
      <w:r>
        <w:rPr>
          <w:sz w:val="21"/>
          <w:highlight w:val="none"/>
        </w:rPr>
        <mc:AlternateContent>
          <mc:Choice Requires="wps">
            <w:drawing>
              <wp:anchor distT="0" distB="0" distL="114300" distR="114300" simplePos="0" relativeHeight="251741184" behindDoc="0" locked="0" layoutInCell="1" allowOverlap="1">
                <wp:simplePos x="0" y="0"/>
                <wp:positionH relativeFrom="column">
                  <wp:posOffset>7454265</wp:posOffset>
                </wp:positionH>
                <wp:positionV relativeFrom="paragraph">
                  <wp:posOffset>4495800</wp:posOffset>
                </wp:positionV>
                <wp:extent cx="245110" cy="131445"/>
                <wp:effectExtent l="0" t="0" r="2540" b="1905"/>
                <wp:wrapNone/>
                <wp:docPr id="256" name="矩形 256"/>
                <wp:cNvGraphicFramePr/>
                <a:graphic xmlns:a="http://schemas.openxmlformats.org/drawingml/2006/main">
                  <a:graphicData uri="http://schemas.microsoft.com/office/word/2010/wordprocessingShape">
                    <wps:wsp>
                      <wps:cNvSpPr/>
                      <wps:spPr>
                        <a:xfrm>
                          <a:off x="0" y="0"/>
                          <a:ext cx="245110" cy="131445"/>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6.95pt;margin-top:354pt;height:10.35pt;width:19.3pt;z-index:251741184;v-text-anchor:middle;mso-width-relative:page;mso-height-relative:page;" fillcolor="#FFC000" filled="t" stroked="f" coordsize="21600,21600" o:gfxdata="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FmPLE2wAAAA0BAAAPAAAAAAAAAAEAIAAAACIAAABkcnMvZG93bnJl&#10;di54bWxQSwECFAAUAAAACACHTuJAeNDZCWwCAADYBAAADgAAAAAAAAABACAAAAAqAQAAZHJzL2Uy&#10;b0RvYy54bWxQSwUGAAAAAAYABgBZAQAACAY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40160" behindDoc="0" locked="0" layoutInCell="1" allowOverlap="1">
                <wp:simplePos x="0" y="0"/>
                <wp:positionH relativeFrom="column">
                  <wp:posOffset>7454900</wp:posOffset>
                </wp:positionH>
                <wp:positionV relativeFrom="paragraph">
                  <wp:posOffset>4714240</wp:posOffset>
                </wp:positionV>
                <wp:extent cx="254000" cy="131445"/>
                <wp:effectExtent l="0" t="0" r="12700" b="1905"/>
                <wp:wrapNone/>
                <wp:docPr id="255" name="矩形 255"/>
                <wp:cNvGraphicFramePr/>
                <a:graphic xmlns:a="http://schemas.openxmlformats.org/drawingml/2006/main">
                  <a:graphicData uri="http://schemas.microsoft.com/office/word/2010/wordprocessingShape">
                    <wps:wsp>
                      <wps:cNvSpPr/>
                      <wps:spPr>
                        <a:xfrm>
                          <a:off x="0" y="0"/>
                          <a:ext cx="254000" cy="131445"/>
                        </a:xfrm>
                        <a:prstGeom prst="rect">
                          <a:avLst/>
                        </a:prstGeom>
                        <a:solidFill>
                          <a:srgbClr val="92D05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7pt;margin-top:371.2pt;height:10.35pt;width:20pt;z-index:251740160;v-text-anchor:middle;mso-width-relative:page;mso-height-relative:page;" fillcolor="#92D050" filled="t" stroked="f" coordsize="21600,21600" o:gfxdata="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7Y6BTbAAAADQEAAA8AAAAAAAAAAQAgAAAAIgAAAGRycy9kb3ducmV2&#10;LnhtbFBLAQIUABQAAAAIAIdO4kBQjitcawIAANgEAAAOAAAAAAAAAAEAIAAAACoBAABkcnMvZTJv&#10;RG9jLnhtbFBLBQYAAAAABgAGAFkBAAAHBg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39136" behindDoc="0" locked="0" layoutInCell="1" allowOverlap="1">
                <wp:simplePos x="0" y="0"/>
                <wp:positionH relativeFrom="column">
                  <wp:posOffset>227965</wp:posOffset>
                </wp:positionH>
                <wp:positionV relativeFrom="paragraph">
                  <wp:posOffset>3858260</wp:posOffset>
                </wp:positionV>
                <wp:extent cx="269875" cy="191135"/>
                <wp:effectExtent l="0" t="0" r="15875" b="18415"/>
                <wp:wrapNone/>
                <wp:docPr id="254" name="矩形 254"/>
                <wp:cNvGraphicFramePr/>
                <a:graphic xmlns:a="http://schemas.openxmlformats.org/drawingml/2006/main">
                  <a:graphicData uri="http://schemas.microsoft.com/office/word/2010/wordprocessingShape">
                    <wps:wsp>
                      <wps:cNvSpPr/>
                      <wps:spPr>
                        <a:xfrm>
                          <a:off x="0" y="0"/>
                          <a:ext cx="269875" cy="191135"/>
                        </a:xfrm>
                        <a:prstGeom prst="rect">
                          <a:avLst/>
                        </a:prstGeom>
                        <a:solidFill>
                          <a:srgbClr val="92D05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95pt;margin-top:303.8pt;height:15.05pt;width:21.25pt;z-index:251739136;v-text-anchor:middle;mso-width-relative:page;mso-height-relative:page;" fillcolor="#92D050" filled="t" stroked="f" coordsize="21600,21600" o:gfxdata="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8PLFPaAAAACQEAAA8AAAAAAAAAAQAgAAAAIgAAAGRycy9kb3du&#10;cmV2LnhtbFBLAQIUABQAAAAIAIdO4kB9Dpy5bwIAANgEAAAOAAAAAAAAAAEAIAAAACkBAABkcnMv&#10;ZTJvRG9jLnhtbFBLBQYAAAAABgAGAFkBAAAKBg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38112" behindDoc="0" locked="0" layoutInCell="1" allowOverlap="1">
                <wp:simplePos x="0" y="0"/>
                <wp:positionH relativeFrom="column">
                  <wp:posOffset>6116320</wp:posOffset>
                </wp:positionH>
                <wp:positionV relativeFrom="paragraph">
                  <wp:posOffset>3618865</wp:posOffset>
                </wp:positionV>
                <wp:extent cx="1031875" cy="182880"/>
                <wp:effectExtent l="0" t="0" r="15875" b="7620"/>
                <wp:wrapNone/>
                <wp:docPr id="253" name="矩形 253"/>
                <wp:cNvGraphicFramePr/>
                <a:graphic xmlns:a="http://schemas.openxmlformats.org/drawingml/2006/main">
                  <a:graphicData uri="http://schemas.microsoft.com/office/word/2010/wordprocessingShape">
                    <wps:wsp>
                      <wps:cNvSpPr/>
                      <wps:spPr>
                        <a:xfrm>
                          <a:off x="7030720" y="4791710"/>
                          <a:ext cx="1031875" cy="182880"/>
                        </a:xfrm>
                        <a:prstGeom prst="rect">
                          <a:avLst/>
                        </a:prstGeom>
                        <a:solidFill>
                          <a:srgbClr val="92D05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1.6pt;margin-top:284.95pt;height:14.4pt;width:81.25pt;z-index:251738112;v-text-anchor:middle;mso-width-relative:page;mso-height-relative:page;" fillcolor="#92D050" filled="t" stroked="f" coordsize="21600,21600" o:gfxdata="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YI/xu3QAAAAwBAAAPAAAAAAAAAAEA&#10;IAAAACIAAABkcnMvZG93bnJldi54bWxQSwECFAAUAAAACACHTuJAVODajHwCAADlBAAADgAAAAAA&#10;AAABACAAAAAsAQAAZHJzL2Uyb0RvYy54bWxQSwUGAAAAAAYABgBZAQAAGgY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37088" behindDoc="0" locked="0" layoutInCell="1" allowOverlap="1">
                <wp:simplePos x="0" y="0"/>
                <wp:positionH relativeFrom="column">
                  <wp:posOffset>6664325</wp:posOffset>
                </wp:positionH>
                <wp:positionV relativeFrom="paragraph">
                  <wp:posOffset>2769870</wp:posOffset>
                </wp:positionV>
                <wp:extent cx="158750" cy="269875"/>
                <wp:effectExtent l="0" t="0" r="12700" b="15875"/>
                <wp:wrapNone/>
                <wp:docPr id="252" name="矩形 252"/>
                <wp:cNvGraphicFramePr/>
                <a:graphic xmlns:a="http://schemas.openxmlformats.org/drawingml/2006/main">
                  <a:graphicData uri="http://schemas.microsoft.com/office/word/2010/wordprocessingShape">
                    <wps:wsp>
                      <wps:cNvSpPr/>
                      <wps:spPr>
                        <a:xfrm>
                          <a:off x="7578725" y="3910965"/>
                          <a:ext cx="158750" cy="269875"/>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4.75pt;margin-top:218.1pt;height:21.25pt;width:12.5pt;z-index:251737088;v-text-anchor:middle;mso-width-relative:page;mso-height-relative:page;" fillcolor="#FFC000" filled="t" stroked="f" coordsize="21600,21600" o:gfxdata="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G8DGGdsAAAANAQAADwAAAAAAAAABACAA&#10;AAAiAAAAZHJzL2Rvd25yZXYueG1sUEsBAhQAFAAAAAgAh07iQEBplhN8AgAA5AQAAA4AAAAAAAAA&#10;AQAgAAAAKgEAAGRycy9lMm9Eb2MueG1sUEsFBgAAAAAGAAYAWQEAABgGA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36064" behindDoc="0" locked="0" layoutInCell="1" allowOverlap="1">
                <wp:simplePos x="0" y="0"/>
                <wp:positionH relativeFrom="column">
                  <wp:posOffset>6211570</wp:posOffset>
                </wp:positionH>
                <wp:positionV relativeFrom="paragraph">
                  <wp:posOffset>2745740</wp:posOffset>
                </wp:positionV>
                <wp:extent cx="217805" cy="417195"/>
                <wp:effectExtent l="0" t="0" r="10795" b="1905"/>
                <wp:wrapNone/>
                <wp:docPr id="251" name="矩形 251"/>
                <wp:cNvGraphicFramePr/>
                <a:graphic xmlns:a="http://schemas.openxmlformats.org/drawingml/2006/main">
                  <a:graphicData uri="http://schemas.microsoft.com/office/word/2010/wordprocessingShape">
                    <wps:wsp>
                      <wps:cNvSpPr/>
                      <wps:spPr>
                        <a:xfrm>
                          <a:off x="7125970" y="3886835"/>
                          <a:ext cx="217805" cy="417195"/>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9.1pt;margin-top:216.2pt;height:32.85pt;width:17.15pt;z-index:251736064;v-text-anchor:middle;mso-width-relative:page;mso-height-relative:page;" fillcolor="#FFC000" filled="t" stroked="f" coordsize="21600,21600" o:gfxdata="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IBywwzbAAAADAEAAA8AAAAAAAAAAQAg&#10;AAAAIgAAAGRycy9kb3ducmV2LnhtbFBLAQIUABQAAAAIAIdO4kBrxn/ffQIAAOQEAAAOAAAAAAAA&#10;AAEAIAAAACoBAABkcnMvZTJvRG9jLnhtbFBLBQYAAAAABgAGAFkBAAAZBg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35040" behindDoc="0" locked="0" layoutInCell="1" allowOverlap="1">
                <wp:simplePos x="0" y="0"/>
                <wp:positionH relativeFrom="column">
                  <wp:posOffset>6211570</wp:posOffset>
                </wp:positionH>
                <wp:positionV relativeFrom="paragraph">
                  <wp:posOffset>2555240</wp:posOffset>
                </wp:positionV>
                <wp:extent cx="607060" cy="114935"/>
                <wp:effectExtent l="0" t="0" r="2540" b="18415"/>
                <wp:wrapNone/>
                <wp:docPr id="250" name="矩形 250"/>
                <wp:cNvGraphicFramePr/>
                <a:graphic xmlns:a="http://schemas.openxmlformats.org/drawingml/2006/main">
                  <a:graphicData uri="http://schemas.microsoft.com/office/word/2010/wordprocessingShape">
                    <wps:wsp>
                      <wps:cNvSpPr/>
                      <wps:spPr>
                        <a:xfrm>
                          <a:off x="7125970" y="3696335"/>
                          <a:ext cx="607060" cy="114935"/>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9.1pt;margin-top:201.2pt;height:9.05pt;width:47.8pt;z-index:251735040;v-text-anchor:middle;mso-width-relative:page;mso-height-relative:page;" fillcolor="#FFC000" filled="t" stroked="f" coordsize="21600,21600" o:gfxdata="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WOCo7NsAAAAMAQAADwAAAAAAAAABACAAAAAi&#10;AAAAZHJzL2Rvd25yZXYueG1sUEsBAhQAFAAAAAgAh07iQLKsTOB5AgAA5AQAAA4AAAAAAAAAAQAg&#10;AAAAKgEAAGRycy9lMm9Eb2MueG1sUEsFBgAAAAAGAAYAWQEAABUGA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34016" behindDoc="0" locked="0" layoutInCell="1" allowOverlap="1">
                <wp:simplePos x="0" y="0"/>
                <wp:positionH relativeFrom="column">
                  <wp:posOffset>4179570</wp:posOffset>
                </wp:positionH>
                <wp:positionV relativeFrom="paragraph">
                  <wp:posOffset>2706370</wp:posOffset>
                </wp:positionV>
                <wp:extent cx="468630" cy="365125"/>
                <wp:effectExtent l="0" t="0" r="7620" b="15875"/>
                <wp:wrapNone/>
                <wp:docPr id="249" name="矩形 249"/>
                <wp:cNvGraphicFramePr/>
                <a:graphic xmlns:a="http://schemas.openxmlformats.org/drawingml/2006/main">
                  <a:graphicData uri="http://schemas.microsoft.com/office/word/2010/wordprocessingShape">
                    <wps:wsp>
                      <wps:cNvSpPr/>
                      <wps:spPr>
                        <a:xfrm>
                          <a:off x="5093970" y="3847465"/>
                          <a:ext cx="468630" cy="365125"/>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1pt;margin-top:213.1pt;height:28.75pt;width:36.9pt;z-index:251734016;v-text-anchor:middle;mso-width-relative:page;mso-height-relative:page;" fillcolor="#FFC000" filled="t" stroked="f" coordsize="21600,21600" o:gfxdata="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SyP+UNoAAAALAQAADwAAAAAAAAABACAA&#10;AAAiAAAAZHJzL2Rvd25yZXYueG1sUEsBAhQAFAAAAAgAh07iQFHvwAl9AgAA5AQAAA4AAAAAAAAA&#10;AQAgAAAAKQEAAGRycy9lMm9Eb2MueG1sUEsFBgAAAAAGAAYAWQEAABgGA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32992" behindDoc="0" locked="0" layoutInCell="1" allowOverlap="1">
                <wp:simplePos x="0" y="0"/>
                <wp:positionH relativeFrom="column">
                  <wp:posOffset>3322320</wp:posOffset>
                </wp:positionH>
                <wp:positionV relativeFrom="paragraph">
                  <wp:posOffset>2809240</wp:posOffset>
                </wp:positionV>
                <wp:extent cx="857250" cy="269875"/>
                <wp:effectExtent l="0" t="0" r="0" b="15875"/>
                <wp:wrapNone/>
                <wp:docPr id="248" name="矩形 248"/>
                <wp:cNvGraphicFramePr/>
                <a:graphic xmlns:a="http://schemas.openxmlformats.org/drawingml/2006/main">
                  <a:graphicData uri="http://schemas.microsoft.com/office/word/2010/wordprocessingShape">
                    <wps:wsp>
                      <wps:cNvSpPr/>
                      <wps:spPr>
                        <a:xfrm>
                          <a:off x="4236720" y="3950335"/>
                          <a:ext cx="857250" cy="269875"/>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1.6pt;margin-top:221.2pt;height:21.25pt;width:67.5pt;z-index:251732992;v-text-anchor:middle;mso-width-relative:page;mso-height-relative:page;" fillcolor="#FFC000" filled="t" stroked="f" coordsize="21600,21600" o:gfxdata="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mu8Lm2gAAAAsBAAAPAAAAAAAAAAEAIAAA&#10;ACIAAABkcnMvZG93bnJldi54bWxQSwECFAAUAAAACACHTuJANqc+AHwCAADkBAAADgAAAAAAAAAB&#10;ACAAAAApAQAAZHJzL2Uyb0RvYy54bWxQSwUGAAAAAAYABgBZAQAAFwY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31968" behindDoc="0" locked="0" layoutInCell="1" allowOverlap="1">
                <wp:simplePos x="0" y="0"/>
                <wp:positionH relativeFrom="column">
                  <wp:posOffset>4671695</wp:posOffset>
                </wp:positionH>
                <wp:positionV relativeFrom="paragraph">
                  <wp:posOffset>2753995</wp:posOffset>
                </wp:positionV>
                <wp:extent cx="1119505" cy="309245"/>
                <wp:effectExtent l="0" t="0" r="4445" b="14605"/>
                <wp:wrapNone/>
                <wp:docPr id="247" name="矩形 247"/>
                <wp:cNvGraphicFramePr/>
                <a:graphic xmlns:a="http://schemas.openxmlformats.org/drawingml/2006/main">
                  <a:graphicData uri="http://schemas.microsoft.com/office/word/2010/wordprocessingShape">
                    <wps:wsp>
                      <wps:cNvSpPr/>
                      <wps:spPr>
                        <a:xfrm>
                          <a:off x="5586095" y="3895090"/>
                          <a:ext cx="1119505" cy="309245"/>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7.85pt;margin-top:216.85pt;height:24.35pt;width:88.15pt;z-index:251731968;v-text-anchor:middle;mso-width-relative:page;mso-height-relative:page;" fillcolor="#FFC000" filled="t" stroked="f" coordsize="21600,21600" o:gfxdata="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CXn13rbAAAACwEAAA8AAAAAAAAAAQAgAAAA&#10;IgAAAGRycy9kb3ducmV2LnhtbFBLAQIUABQAAAAIAIdO4kBri6odegIAAOUEAAAOAAAAAAAAAAEA&#10;IAAAACoBAABkcnMvZTJvRG9jLnhtbFBLBQYAAAAABgAGAFkBAAAWBg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29920" behindDoc="0" locked="0" layoutInCell="1" allowOverlap="1">
                <wp:simplePos x="0" y="0"/>
                <wp:positionH relativeFrom="column">
                  <wp:posOffset>1750695</wp:posOffset>
                </wp:positionH>
                <wp:positionV relativeFrom="paragraph">
                  <wp:posOffset>3286125</wp:posOffset>
                </wp:positionV>
                <wp:extent cx="2533650" cy="501650"/>
                <wp:effectExtent l="0" t="0" r="0" b="12700"/>
                <wp:wrapNone/>
                <wp:docPr id="245" name="矩形 245"/>
                <wp:cNvGraphicFramePr/>
                <a:graphic xmlns:a="http://schemas.openxmlformats.org/drawingml/2006/main">
                  <a:graphicData uri="http://schemas.microsoft.com/office/word/2010/wordprocessingShape">
                    <wps:wsp>
                      <wps:cNvSpPr/>
                      <wps:spPr>
                        <a:xfrm>
                          <a:off x="2665095" y="4427220"/>
                          <a:ext cx="2533650" cy="501650"/>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7.85pt;margin-top:258.75pt;height:39.5pt;width:199.5pt;z-index:251729920;v-text-anchor:middle;mso-width-relative:page;mso-height-relative:page;" fillcolor="#FFC000" filled="t" stroked="f" coordsize="21600,21600" o:gfxdata="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PKkk7LaAAAACwEAAA8AAAAAAAAAAQAgAAAAIgAA&#10;AGRycy9kb3ducmV2LnhtbFBLAQIUABQAAAAIAIdO4kDQmwcmeAIAAOUEAAAOAAAAAAAAAAEAIAAA&#10;ACkBAABkcnMvZTJvRG9jLnhtbFBLBQYAAAAABgAGAFkBAAATBg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28896" behindDoc="0" locked="0" layoutInCell="1" allowOverlap="1">
                <wp:simplePos x="0" y="0"/>
                <wp:positionH relativeFrom="column">
                  <wp:posOffset>2482215</wp:posOffset>
                </wp:positionH>
                <wp:positionV relativeFrom="paragraph">
                  <wp:posOffset>2188210</wp:posOffset>
                </wp:positionV>
                <wp:extent cx="1741170" cy="334645"/>
                <wp:effectExtent l="0" t="0" r="11430" b="8255"/>
                <wp:wrapNone/>
                <wp:docPr id="244" name="矩形 244"/>
                <wp:cNvGraphicFramePr/>
                <a:graphic xmlns:a="http://schemas.openxmlformats.org/drawingml/2006/main">
                  <a:graphicData uri="http://schemas.microsoft.com/office/word/2010/wordprocessingShape">
                    <wps:wsp>
                      <wps:cNvSpPr/>
                      <wps:spPr>
                        <a:xfrm>
                          <a:off x="3396615" y="3329305"/>
                          <a:ext cx="1741170" cy="334645"/>
                        </a:xfrm>
                        <a:prstGeom prst="rect">
                          <a:avLst/>
                        </a:prstGeom>
                        <a:solidFill>
                          <a:srgbClr val="FFC000">
                            <a:alpha val="4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45pt;margin-top:172.3pt;height:26.35pt;width:137.1pt;z-index:251728896;v-text-anchor:middle;mso-width-relative:page;mso-height-relative:page;" fillcolor="#FFC000" filled="t" stroked="f" coordsize="21600,21600" o:gfxdata="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UNqj/aAAAACwEAAA8AAAAAAAAAAQAgAAAA&#10;IgAAAGRycy9kb3ducmV2LnhtbFBLAQIUABQAAAAIAIdO4kBXXYi8ewIAAOUEAAAOAAAAAAAAAAEA&#10;IAAAACkBAABkcnMvZTJvRG9jLnhtbFBLBQYAAAAABgAGAFkBAAAWBg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27872" behindDoc="0" locked="0" layoutInCell="1" allowOverlap="1">
                <wp:simplePos x="0" y="0"/>
                <wp:positionH relativeFrom="column">
                  <wp:posOffset>7449185</wp:posOffset>
                </wp:positionH>
                <wp:positionV relativeFrom="paragraph">
                  <wp:posOffset>4292600</wp:posOffset>
                </wp:positionV>
                <wp:extent cx="245110" cy="131445"/>
                <wp:effectExtent l="0" t="0" r="2540" b="1905"/>
                <wp:wrapNone/>
                <wp:docPr id="243" name="矩形 243"/>
                <wp:cNvGraphicFramePr/>
                <a:graphic xmlns:a="http://schemas.openxmlformats.org/drawingml/2006/main">
                  <a:graphicData uri="http://schemas.microsoft.com/office/word/2010/wordprocessingShape">
                    <wps:wsp>
                      <wps:cNvSpPr/>
                      <wps:spPr>
                        <a:xfrm>
                          <a:off x="8355965" y="5426075"/>
                          <a:ext cx="245110" cy="131445"/>
                        </a:xfrm>
                        <a:prstGeom prst="rect">
                          <a:avLst/>
                        </a:prstGeom>
                        <a:solidFill>
                          <a:schemeClr val="accent2">
                            <a:lumMod val="40000"/>
                            <a:lumOff val="60000"/>
                            <a:alpha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6.55pt;margin-top:338pt;height:10.35pt;width:19.3pt;z-index:251727872;v-text-anchor:middle;mso-width-relative:page;mso-height-relative:page;" fillcolor="#E6B9B8 [1301]" filled="t" stroked="f" coordsize="21600,21600" o:gfxdata="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D3r74NcAAAAN&#10;AQAADwAAAAAAAAABACAAAAAiAAAAZHJzL2Rvd25yZXYueG1sUEsBAhQAFAAAAAgAh07iQIGgINqP&#10;AgAAEgUAAA4AAAAAAAAAAQAgAAAAJgEAAGRycy9lMm9Eb2MueG1sUEsFBgAAAAAGAAYAWQEAACcG&#10;AAAAAA==&#10;">
                <v:fill on="t" opacity="26214f"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26848" behindDoc="0" locked="0" layoutInCell="1" allowOverlap="1">
                <wp:simplePos x="0" y="0"/>
                <wp:positionH relativeFrom="column">
                  <wp:posOffset>6823710</wp:posOffset>
                </wp:positionH>
                <wp:positionV relativeFrom="paragraph">
                  <wp:posOffset>3582670</wp:posOffset>
                </wp:positionV>
                <wp:extent cx="76835" cy="61595"/>
                <wp:effectExtent l="0" t="0" r="18415" b="14605"/>
                <wp:wrapNone/>
                <wp:docPr id="242" name="任意多边形 242"/>
                <wp:cNvGraphicFramePr/>
                <a:graphic xmlns:a="http://schemas.openxmlformats.org/drawingml/2006/main">
                  <a:graphicData uri="http://schemas.microsoft.com/office/word/2010/wordprocessingShape">
                    <wps:wsp>
                      <wps:cNvSpPr/>
                      <wps:spPr>
                        <a:xfrm>
                          <a:off x="7738110" y="4723765"/>
                          <a:ext cx="76835" cy="61595"/>
                        </a:xfrm>
                        <a:custGeom>
                          <a:avLst/>
                          <a:gdLst>
                            <a:gd name="connisteX0" fmla="*/ 33020 w 76835"/>
                            <a:gd name="connsiteY0" fmla="*/ 0 h 61595"/>
                            <a:gd name="connisteX1" fmla="*/ 0 w 76835"/>
                            <a:gd name="connsiteY1" fmla="*/ 57785 h 61595"/>
                            <a:gd name="connisteX2" fmla="*/ 76835 w 76835"/>
                            <a:gd name="connsiteY2" fmla="*/ 61595 h 61595"/>
                            <a:gd name="connisteX3" fmla="*/ 33020 w 76835"/>
                            <a:gd name="connsiteY3" fmla="*/ 0 h 61595"/>
                          </a:gdLst>
                          <a:ahLst/>
                          <a:cxnLst>
                            <a:cxn ang="0">
                              <a:pos x="connisteX0" y="connsiteY0"/>
                            </a:cxn>
                            <a:cxn ang="0">
                              <a:pos x="connisteX1" y="connsiteY1"/>
                            </a:cxn>
                            <a:cxn ang="0">
                              <a:pos x="connisteX2" y="connsiteY2"/>
                            </a:cxn>
                            <a:cxn ang="0">
                              <a:pos x="connisteX3" y="connsiteY3"/>
                            </a:cxn>
                          </a:cxnLst>
                          <a:rect l="l" t="t" r="r" b="b"/>
                          <a:pathLst>
                            <a:path w="76835" h="61595">
                              <a:moveTo>
                                <a:pt x="33020" y="0"/>
                              </a:moveTo>
                              <a:lnTo>
                                <a:pt x="0" y="57785"/>
                              </a:lnTo>
                              <a:lnTo>
                                <a:pt x="76835" y="61595"/>
                              </a:lnTo>
                              <a:lnTo>
                                <a:pt x="33020" y="0"/>
                              </a:lnTo>
                              <a:close/>
                            </a:path>
                          </a:pathLst>
                        </a:custGeom>
                        <a:solidFill>
                          <a:schemeClr val="accent2">
                            <a:lumMod val="40000"/>
                            <a:lumOff val="60000"/>
                            <a:alpha val="3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37.3pt;margin-top:282.1pt;height:4.85pt;width:6.05pt;z-index:251726848;mso-width-relative:page;mso-height-relative:page;" fillcolor="#E6B9B8 [1301]" filled="t" stroked="f" coordsize="76835,61595" o:gfxdata="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n0xmUdkAAAANAQAADwAAAAAAAAABACAAAAAiAAAAZHJzL2Rvd25yZXYueG1sUEsBAhQA&#10;FAAAAAgAh07iQKIaaWsOAwAAoQcAAA4AAAAAAAAAAQAgAAAAKAEAAGRycy9lMm9Eb2MueG1sUEsF&#10;BgAAAAAGAAYAWQEAAKgGAAAAAA==&#10;" path="m33020,0l0,57785,76835,61595,33020,0xe">
                <v:path o:connectlocs="33020,0;0,57785;76835,61595;33020,0" o:connectangles="0,0,0,0"/>
                <v:fill on="t" opacity="19660f"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725824" behindDoc="0" locked="0" layoutInCell="1" allowOverlap="1">
                <wp:simplePos x="0" y="0"/>
                <wp:positionH relativeFrom="column">
                  <wp:posOffset>5561330</wp:posOffset>
                </wp:positionH>
                <wp:positionV relativeFrom="paragraph">
                  <wp:posOffset>1227455</wp:posOffset>
                </wp:positionV>
                <wp:extent cx="1480185" cy="637540"/>
                <wp:effectExtent l="0" t="0" r="5715" b="10160"/>
                <wp:wrapNone/>
                <wp:docPr id="241" name="任意多边形 241"/>
                <wp:cNvGraphicFramePr/>
                <a:graphic xmlns:a="http://schemas.openxmlformats.org/drawingml/2006/main">
                  <a:graphicData uri="http://schemas.microsoft.com/office/word/2010/wordprocessingShape">
                    <wps:wsp>
                      <wps:cNvSpPr/>
                      <wps:spPr>
                        <a:xfrm>
                          <a:off x="6475730" y="2368550"/>
                          <a:ext cx="1480185" cy="637540"/>
                        </a:xfrm>
                        <a:custGeom>
                          <a:avLst/>
                          <a:gdLst>
                            <a:gd name="connisteX0" fmla="*/ 0 w 1480185"/>
                            <a:gd name="connsiteY0" fmla="*/ 175260 h 637540"/>
                            <a:gd name="connisteX1" fmla="*/ 88265 w 1480185"/>
                            <a:gd name="connsiteY1" fmla="*/ 132080 h 637540"/>
                            <a:gd name="connisteX2" fmla="*/ 110490 w 1480185"/>
                            <a:gd name="connsiteY2" fmla="*/ 0 h 637540"/>
                            <a:gd name="connisteX3" fmla="*/ 1480185 w 1480185"/>
                            <a:gd name="connsiteY3" fmla="*/ 98425 h 637540"/>
                            <a:gd name="connisteX4" fmla="*/ 1407160 w 1480185"/>
                            <a:gd name="connsiteY4" fmla="*/ 637540 h 637540"/>
                            <a:gd name="connisteX5" fmla="*/ 285750 w 1480185"/>
                            <a:gd name="connsiteY5" fmla="*/ 619125 h 637540"/>
                            <a:gd name="connisteX6" fmla="*/ 0 w 1480185"/>
                            <a:gd name="connsiteY6" fmla="*/ 175260 h 6375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80185" h="637540">
                              <a:moveTo>
                                <a:pt x="0" y="175260"/>
                              </a:moveTo>
                              <a:lnTo>
                                <a:pt x="88265" y="132080"/>
                              </a:lnTo>
                              <a:lnTo>
                                <a:pt x="110490" y="0"/>
                              </a:lnTo>
                              <a:lnTo>
                                <a:pt x="1480185" y="98425"/>
                              </a:lnTo>
                              <a:lnTo>
                                <a:pt x="1407160" y="637540"/>
                              </a:lnTo>
                              <a:lnTo>
                                <a:pt x="285750" y="619125"/>
                              </a:lnTo>
                              <a:lnTo>
                                <a:pt x="0" y="175260"/>
                              </a:lnTo>
                              <a:close/>
                            </a:path>
                          </a:pathLst>
                        </a:custGeom>
                        <a:solidFill>
                          <a:schemeClr val="accent2">
                            <a:lumMod val="40000"/>
                            <a:lumOff val="60000"/>
                            <a:alpha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37.9pt;margin-top:96.65pt;height:50.2pt;width:116.55pt;z-index:251725824;mso-width-relative:page;mso-height-relative:page;" fillcolor="#E6B9B8 [1301]" filled="t" stroked="f" coordsize="1480185,637540" o:gfxdata="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" path="m0,175260l88265,132080,110490,0,1480185,98425,1407160,637540,285750,619125,0,175260xe">
                <v:path o:connectlocs="0,175260;88265,132080;110490,0;1480185,98425;1407160,637540;285750,619125;0,175260" o:connectangles="0,0,0,0,0,0,0"/>
                <v:fill on="t" opacity="26214f"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724800" behindDoc="0" locked="0" layoutInCell="1" allowOverlap="1">
                <wp:simplePos x="0" y="0"/>
                <wp:positionH relativeFrom="column">
                  <wp:posOffset>5972175</wp:posOffset>
                </wp:positionH>
                <wp:positionV relativeFrom="paragraph">
                  <wp:posOffset>872490</wp:posOffset>
                </wp:positionV>
                <wp:extent cx="988695" cy="377190"/>
                <wp:effectExtent l="0" t="0" r="1905" b="3810"/>
                <wp:wrapNone/>
                <wp:docPr id="240" name="任意多边形 240"/>
                <wp:cNvGraphicFramePr/>
                <a:graphic xmlns:a="http://schemas.openxmlformats.org/drawingml/2006/main">
                  <a:graphicData uri="http://schemas.microsoft.com/office/word/2010/wordprocessingShape">
                    <wps:wsp>
                      <wps:cNvSpPr/>
                      <wps:spPr>
                        <a:xfrm>
                          <a:off x="6886575" y="2013585"/>
                          <a:ext cx="988695" cy="377190"/>
                        </a:xfrm>
                        <a:custGeom>
                          <a:avLst/>
                          <a:gdLst>
                            <a:gd name="connisteX0" fmla="*/ 0 w 988695"/>
                            <a:gd name="connsiteY0" fmla="*/ 0 h 377190"/>
                            <a:gd name="connisteX1" fmla="*/ 87630 w 988695"/>
                            <a:gd name="connsiteY1" fmla="*/ 212090 h 377190"/>
                            <a:gd name="connisteX2" fmla="*/ 321945 w 988695"/>
                            <a:gd name="connsiteY2" fmla="*/ 340995 h 377190"/>
                            <a:gd name="connisteX3" fmla="*/ 955675 w 988695"/>
                            <a:gd name="connsiteY3" fmla="*/ 377190 h 377190"/>
                            <a:gd name="connisteX4" fmla="*/ 988695 w 988695"/>
                            <a:gd name="connsiteY4" fmla="*/ 84455 h 377190"/>
                            <a:gd name="connisteX5" fmla="*/ 0 w 988695"/>
                            <a:gd name="connsiteY5" fmla="*/ 0 h 3771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988695" h="377190">
                              <a:moveTo>
                                <a:pt x="0" y="0"/>
                              </a:moveTo>
                              <a:lnTo>
                                <a:pt x="87630" y="212090"/>
                              </a:lnTo>
                              <a:lnTo>
                                <a:pt x="321945" y="340995"/>
                              </a:lnTo>
                              <a:lnTo>
                                <a:pt x="955675" y="377190"/>
                              </a:lnTo>
                              <a:lnTo>
                                <a:pt x="988695" y="84455"/>
                              </a:lnTo>
                              <a:lnTo>
                                <a:pt x="0" y="0"/>
                              </a:lnTo>
                              <a:close/>
                            </a:path>
                          </a:pathLst>
                        </a:custGeom>
                        <a:solidFill>
                          <a:schemeClr val="accent2">
                            <a:lumMod val="40000"/>
                            <a:lumOff val="60000"/>
                            <a:alpha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0.25pt;margin-top:68.7pt;height:29.7pt;width:77.85pt;z-index:251724800;mso-width-relative:page;mso-height-relative:page;" fillcolor="#E6B9B8 [1301]" filled="t" stroked="f" coordsize="988695,377190" o:gfxdata="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A15pr81wAAAAwBAAAPAAAAAAAAAAEAIAAAACIAAABkcnMvZG93bnJldi54&#10;bWxQSwECFAAUAAAACACHTuJAcM+KIVEDAABLCQAADgAAAAAAAAABACAAAAAmAQAAZHJzL2Uyb0Rv&#10;Yy54bWxQSwUGAAAAAAYABgBZAQAA6QYAAAAA&#10;" path="m0,0l87630,212090,321945,340995,955675,377190,988695,84455,0,0xe">
                <v:path o:connectlocs="0,0;87630,212090;321945,340995;955675,377190;988695,84455;0,0" o:connectangles="0,0,0,0,0,0"/>
                <v:fill on="t" opacity="26214f" focussize="0,0"/>
                <v:stroke on="f" weight="2pt"/>
                <v:imagedata o:title=""/>
                <o:lock v:ext="edit" aspectratio="f"/>
              </v:shape>
            </w:pict>
          </mc:Fallback>
        </mc:AlternateContent>
      </w:r>
    </w:p>
    <w:p w14:paraId="61ED6451">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color w:val="auto"/>
          <w:kern w:val="2"/>
          <w:sz w:val="21"/>
          <w:szCs w:val="24"/>
          <w:highlight w:val="none"/>
          <w:lang w:val="en-US" w:eastAsia="zh-CN" w:bidi="ar-SA"/>
        </w:rPr>
        <w:t>地下水防渗分区</w:t>
      </w:r>
      <w:r>
        <w:rPr>
          <w:rFonts w:hint="default" w:ascii="Times New Roman" w:hAnsi="Times New Roman" w:eastAsia="黑体" w:cs="Times New Roman"/>
          <w:b w:val="0"/>
          <w:bCs/>
          <w:smallCaps w:val="0"/>
          <w:snapToGrid/>
          <w:color w:val="auto"/>
          <w:kern w:val="2"/>
          <w:sz w:val="21"/>
          <w:szCs w:val="24"/>
          <w:highlight w:val="none"/>
          <w:lang w:val="en-US" w:eastAsia="zh-CN" w:bidi="ar-SA"/>
        </w:rPr>
        <w:t>图</w:t>
      </w:r>
    </w:p>
    <w:p w14:paraId="2C100EB9">
      <w:pPr>
        <w:pStyle w:val="8"/>
        <w:bidi w:val="0"/>
        <w:rPr>
          <w:rFonts w:hint="default"/>
          <w:highlight w:val="none"/>
        </w:rPr>
      </w:pPr>
      <w:bookmarkStart w:id="972" w:name="_Toc24258"/>
      <w:bookmarkStart w:id="973" w:name="_Toc2955"/>
      <w:r>
        <w:rPr>
          <w:rFonts w:hint="default"/>
          <w:highlight w:val="none"/>
        </w:rPr>
        <w:t>6.2.3.3跟踪监测</w:t>
      </w:r>
      <w:bookmarkEnd w:id="972"/>
      <w:bookmarkEnd w:id="973"/>
    </w:p>
    <w:p w14:paraId="0E1E77A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4"/>
          <w:highlight w:val="none"/>
        </w:rPr>
        <w:t>定期对地下水环境进行监测，委托具有资质的单位进行，监测报告应包括建设项目所在地及其影响区地下水环境跟踪监测数据，各生产设施及污染防控措施等设施的运行状况、维护记录，同时对监测结果进行信息公开，每年公开一次</w:t>
      </w:r>
      <w:r>
        <w:rPr>
          <w:rFonts w:hint="default" w:ascii="Times New Roman" w:hAnsi="Times New Roman" w:eastAsia="宋体" w:cs="Times New Roman"/>
          <w:snapToGrid w:val="0"/>
          <w:color w:val="auto"/>
          <w:highlight w:val="none"/>
        </w:rPr>
        <w:t>。跟踪监测计划见表6</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default"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p w14:paraId="093526E3">
      <w:pPr>
        <w:pStyle w:val="216"/>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3  </w:t>
      </w:r>
      <w:r>
        <w:rPr>
          <w:rFonts w:hint="default" w:ascii="Times New Roman" w:hAnsi="Times New Roman" w:eastAsia="黑体" w:cs="Times New Roman"/>
          <w:b w:val="0"/>
          <w:bCs/>
          <w:smallCaps w:val="0"/>
          <w:snapToGrid/>
          <w:color w:val="auto"/>
          <w:kern w:val="2"/>
          <w:sz w:val="21"/>
          <w:szCs w:val="24"/>
          <w:highlight w:val="none"/>
          <w:lang w:val="zh-CN" w:eastAsia="zh-CN" w:bidi="ar-SA"/>
        </w:rPr>
        <w:t>地下水环境监测计划表</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3"/>
        <w:gridCol w:w="1014"/>
        <w:gridCol w:w="1109"/>
        <w:gridCol w:w="877"/>
        <w:gridCol w:w="2181"/>
        <w:gridCol w:w="961"/>
        <w:gridCol w:w="1063"/>
      </w:tblGrid>
      <w:tr w14:paraId="12B1BE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75" w:type="pct"/>
            <w:vAlign w:val="center"/>
          </w:tcPr>
          <w:p w14:paraId="0046707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点位</w:t>
            </w:r>
          </w:p>
        </w:tc>
        <w:tc>
          <w:tcPr>
            <w:tcW w:w="594" w:type="pct"/>
            <w:vAlign w:val="center"/>
          </w:tcPr>
          <w:p w14:paraId="55556A2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功能</w:t>
            </w:r>
          </w:p>
        </w:tc>
        <w:tc>
          <w:tcPr>
            <w:tcW w:w="650" w:type="pct"/>
            <w:vAlign w:val="center"/>
          </w:tcPr>
          <w:p w14:paraId="7569273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监测因子</w:t>
            </w:r>
          </w:p>
        </w:tc>
        <w:tc>
          <w:tcPr>
            <w:tcW w:w="514" w:type="pct"/>
            <w:vAlign w:val="center"/>
          </w:tcPr>
          <w:p w14:paraId="778AB64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井深</w:t>
            </w:r>
          </w:p>
        </w:tc>
        <w:tc>
          <w:tcPr>
            <w:tcW w:w="1278" w:type="pct"/>
            <w:vAlign w:val="center"/>
          </w:tcPr>
          <w:p w14:paraId="32D5DAB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坐标</w:t>
            </w:r>
          </w:p>
        </w:tc>
        <w:tc>
          <w:tcPr>
            <w:tcW w:w="563" w:type="pct"/>
            <w:vAlign w:val="center"/>
          </w:tcPr>
          <w:p w14:paraId="2E65D28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监测层位</w:t>
            </w:r>
          </w:p>
        </w:tc>
        <w:tc>
          <w:tcPr>
            <w:tcW w:w="623" w:type="pct"/>
            <w:vAlign w:val="center"/>
          </w:tcPr>
          <w:p w14:paraId="36BD5E4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监测频次</w:t>
            </w:r>
          </w:p>
        </w:tc>
      </w:tr>
      <w:tr w14:paraId="148B6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75" w:type="pct"/>
            <w:vAlign w:val="center"/>
          </w:tcPr>
          <w:p w14:paraId="29F0FE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1"/>
                <w:szCs w:val="21"/>
                <w:highlight w:val="none"/>
              </w:rPr>
              <w:t>场界内</w:t>
            </w:r>
            <w:r>
              <w:rPr>
                <w:rFonts w:hint="default" w:ascii="Times New Roman" w:hAnsi="Times New Roman" w:eastAsia="宋体" w:cs="Times New Roman"/>
                <w:snapToGrid w:val="0"/>
                <w:color w:val="auto"/>
                <w:kern w:val="0"/>
                <w:sz w:val="21"/>
                <w:szCs w:val="21"/>
                <w:highlight w:val="none"/>
                <w:lang w:val="en-US" w:eastAsia="zh-CN" w:bidi="ar-SA"/>
              </w:rPr>
              <w:t>黑膜厌氧池</w:t>
            </w:r>
            <w:r>
              <w:rPr>
                <w:rFonts w:hint="default" w:ascii="Times New Roman" w:hAnsi="Times New Roman" w:eastAsia="宋体" w:cs="Times New Roman"/>
                <w:snapToGrid w:val="0"/>
                <w:color w:val="auto"/>
                <w:sz w:val="21"/>
                <w:szCs w:val="21"/>
                <w:highlight w:val="none"/>
              </w:rPr>
              <w:t>下游</w:t>
            </w:r>
          </w:p>
        </w:tc>
        <w:tc>
          <w:tcPr>
            <w:tcW w:w="594" w:type="pct"/>
            <w:vAlign w:val="center"/>
          </w:tcPr>
          <w:p w14:paraId="220591E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跟踪监测井</w:t>
            </w:r>
          </w:p>
        </w:tc>
        <w:tc>
          <w:tcPr>
            <w:tcW w:w="650" w:type="pct"/>
            <w:vAlign w:val="center"/>
          </w:tcPr>
          <w:p w14:paraId="1A75B1F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氨氮、COD</w:t>
            </w:r>
          </w:p>
        </w:tc>
        <w:tc>
          <w:tcPr>
            <w:tcW w:w="514" w:type="pct"/>
            <w:vAlign w:val="center"/>
          </w:tcPr>
          <w:p w14:paraId="2BD73183">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45</w:t>
            </w:r>
            <w:r>
              <w:rPr>
                <w:rFonts w:hint="default" w:ascii="Times New Roman" w:hAnsi="Times New Roman" w:eastAsia="宋体" w:cs="Times New Roman"/>
                <w:snapToGrid w:val="0"/>
                <w:color w:val="auto"/>
                <w:highlight w:val="none"/>
              </w:rPr>
              <w:t>m</w:t>
            </w:r>
          </w:p>
        </w:tc>
        <w:tc>
          <w:tcPr>
            <w:tcW w:w="1278" w:type="pct"/>
            <w:vAlign w:val="center"/>
          </w:tcPr>
          <w:p w14:paraId="2745193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经度</w:t>
            </w:r>
            <w:r>
              <w:rPr>
                <w:rFonts w:hint="default" w:ascii="Times New Roman" w:hAnsi="Times New Roman" w:eastAsia="宋体" w:cs="Times New Roman"/>
                <w:snapToGrid w:val="0"/>
                <w:sz w:val="21"/>
                <w:szCs w:val="21"/>
                <w:highlight w:val="none"/>
              </w:rPr>
              <w:t>132.177941</w:t>
            </w:r>
            <w:r>
              <w:rPr>
                <w:rFonts w:hint="default" w:ascii="Times New Roman" w:hAnsi="Times New Roman" w:cs="Times New Roman"/>
                <w:snapToGrid w:val="0"/>
                <w:color w:val="auto"/>
                <w:szCs w:val="21"/>
                <w:highlight w:val="none"/>
                <w:lang w:val="en-US" w:eastAsia="zh-CN" w:bidi="ar"/>
              </w:rPr>
              <w:t>°</w:t>
            </w:r>
            <w:r>
              <w:rPr>
                <w:rFonts w:hint="eastAsia" w:ascii="Times New Roman" w:hAnsi="Times New Roman" w:cs="Times New Roman"/>
                <w:snapToGrid w:val="0"/>
                <w:sz w:val="21"/>
                <w:szCs w:val="21"/>
                <w:highlight w:val="none"/>
                <w:lang w:eastAsia="zh-CN"/>
              </w:rPr>
              <w:t>，</w:t>
            </w:r>
          </w:p>
          <w:p w14:paraId="49AFF90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纬度</w:t>
            </w:r>
            <w:r>
              <w:rPr>
                <w:rFonts w:hint="default" w:ascii="Times New Roman" w:hAnsi="Times New Roman" w:eastAsia="宋体" w:cs="Times New Roman"/>
                <w:snapToGrid w:val="0"/>
                <w:sz w:val="21"/>
                <w:szCs w:val="21"/>
                <w:highlight w:val="none"/>
              </w:rPr>
              <w:t>45.568638</w:t>
            </w:r>
            <w:r>
              <w:rPr>
                <w:rFonts w:hint="default" w:ascii="Times New Roman" w:hAnsi="Times New Roman" w:cs="Times New Roman"/>
                <w:snapToGrid w:val="0"/>
                <w:color w:val="auto"/>
                <w:szCs w:val="21"/>
                <w:highlight w:val="none"/>
                <w:lang w:val="en-US" w:eastAsia="zh-CN" w:bidi="ar"/>
              </w:rPr>
              <w:t>°</w:t>
            </w:r>
          </w:p>
        </w:tc>
        <w:tc>
          <w:tcPr>
            <w:tcW w:w="563" w:type="pct"/>
            <w:vAlign w:val="center"/>
          </w:tcPr>
          <w:p w14:paraId="26E6390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潜水</w:t>
            </w:r>
          </w:p>
        </w:tc>
        <w:tc>
          <w:tcPr>
            <w:tcW w:w="623" w:type="pct"/>
            <w:vAlign w:val="center"/>
          </w:tcPr>
          <w:p w14:paraId="64F0BF8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1次/季度</w:t>
            </w:r>
          </w:p>
        </w:tc>
      </w:tr>
    </w:tbl>
    <w:p w14:paraId="3D23BA48">
      <w:pPr>
        <w:bidi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本项目地下水跟踪监测井设置在黑膜厌氧池地下水下游区，在黑膜厌氧池</w:t>
      </w:r>
      <w:r>
        <w:rPr>
          <w:rFonts w:hint="eastAsia" w:ascii="Times New Roman" w:hAnsi="Times New Roman" w:cs="Times New Roman"/>
          <w:color w:val="auto"/>
          <w:kern w:val="0"/>
          <w:sz w:val="24"/>
          <w:szCs w:val="24"/>
          <w:highlight w:val="none"/>
          <w:lang w:val="en-US" w:eastAsia="zh-CN" w:bidi="ar-SA"/>
        </w:rPr>
        <w:t>东南</w:t>
      </w:r>
      <w:r>
        <w:rPr>
          <w:rFonts w:hint="default" w:ascii="Times New Roman" w:hAnsi="Times New Roman" w:eastAsia="宋体" w:cs="Times New Roman"/>
          <w:color w:val="auto"/>
          <w:kern w:val="0"/>
          <w:sz w:val="24"/>
          <w:szCs w:val="24"/>
          <w:highlight w:val="none"/>
          <w:lang w:val="en-US" w:eastAsia="zh-CN" w:bidi="ar-SA"/>
        </w:rPr>
        <w:t>侧设置跟踪监测井。企业在运营过程中应认真落实跟踪监测的工作，专职人员应编写地下水环境跟踪监测报告，报告中的内容应包括：地下水跟踪监测的数据（污染物种类、数量、浓度），生产设备、管线、贮存和运输装置的运行情况，跑冒滴漏记录和维护记录</w:t>
      </w:r>
      <w:r>
        <w:rPr>
          <w:rFonts w:hint="default" w:ascii="Times New Roman" w:hAnsi="Times New Roman" w:eastAsia="宋体" w:cs="Times New Roman"/>
          <w:snapToGrid w:val="0"/>
          <w:color w:val="auto"/>
          <w:highlight w:val="none"/>
        </w:rPr>
        <w:t>。</w:t>
      </w:r>
    </w:p>
    <w:p w14:paraId="5593B3A2">
      <w:pPr>
        <w:pStyle w:val="8"/>
        <w:bidi w:val="0"/>
        <w:rPr>
          <w:rFonts w:hint="default"/>
          <w:highlight w:val="none"/>
        </w:rPr>
      </w:pPr>
      <w:bookmarkStart w:id="974" w:name="_Toc27794"/>
      <w:bookmarkStart w:id="975" w:name="_Toc24433"/>
      <w:r>
        <w:rPr>
          <w:rFonts w:hint="default"/>
          <w:highlight w:val="none"/>
        </w:rPr>
        <w:t>6.2.3.4信息公开</w:t>
      </w:r>
      <w:bookmarkEnd w:id="974"/>
      <w:bookmarkEnd w:id="975"/>
    </w:p>
    <w:p w14:paraId="00DDBE5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单位在开展地下水跟踪监测的同时要进行地下水跟踪监测信息公开工作，每一期的地下水跟踪监测的数据结果要以公告的形式在场区内张贴出来，公告版应展示近3期的地下水跟踪监测结果，包括污染物的名称、监测数值和监测日期等信息。信息公开的主体是本项目的建设单位，需要对公示的监测数据负责。</w:t>
      </w:r>
    </w:p>
    <w:p w14:paraId="64D3EBC0">
      <w:pPr>
        <w:pStyle w:val="8"/>
        <w:bidi w:val="0"/>
        <w:rPr>
          <w:rFonts w:hint="default"/>
          <w:highlight w:val="none"/>
        </w:rPr>
      </w:pPr>
      <w:bookmarkStart w:id="976" w:name="_Toc28242"/>
      <w:bookmarkStart w:id="977" w:name="_Toc21233"/>
      <w:r>
        <w:rPr>
          <w:rFonts w:hint="default"/>
          <w:highlight w:val="none"/>
        </w:rPr>
        <w:t>6.2.3.5应急响应措施</w:t>
      </w:r>
      <w:bookmarkEnd w:id="976"/>
      <w:bookmarkEnd w:id="977"/>
    </w:p>
    <w:p w14:paraId="61E7E724">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由于污水泄漏事故发生具有隐蔽性，建设单位应认真落实每季度1次的地下水跟踪监测职责，运营期的地下水保护目标应定为氨氮监测浓度≤0.5mg/L、COD监测浓度≤20mg/L。如果在跟踪监测的过程氨氮检出浓度大于0.5mg/L，COD检出浓度大于20mg/L则有可能说明污水发生泄漏。建设单位应组织开展检查工作确定是否发生污水泄漏事故。当明确发生污水泄漏事故时，应根据泄漏位置将泄漏单元的污水排入</w:t>
      </w:r>
      <w:r>
        <w:rPr>
          <w:rFonts w:hint="default" w:ascii="Times New Roman" w:hAnsi="Times New Roman" w:cs="Times New Roman"/>
          <w:snapToGrid w:val="0"/>
          <w:color w:val="auto"/>
          <w:highlight w:val="none"/>
          <w:lang w:val="en-US" w:eastAsia="zh-CN"/>
        </w:rPr>
        <w:t>黑膜厌氧池</w:t>
      </w:r>
      <w:r>
        <w:rPr>
          <w:rFonts w:hint="default" w:ascii="Times New Roman" w:hAnsi="Times New Roman" w:eastAsia="宋体" w:cs="Times New Roman"/>
          <w:snapToGrid w:val="0"/>
          <w:color w:val="auto"/>
          <w:highlight w:val="none"/>
        </w:rPr>
        <w:t>，若</w:t>
      </w:r>
      <w:r>
        <w:rPr>
          <w:rFonts w:hint="eastAsia" w:ascii="Times New Roman" w:hAnsi="Times New Roman"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泄漏应立即用罐车将污水抽空，同时应委托具有专业资质的环境监测单位进行更全面的地下水污染跟踪监测，以便明确泄漏事故的范围和程度。建设单位应将泄漏事故上报给环境主管部门。同时应并委托有专业技术能力的机构进行地下水影响的修复工作。</w:t>
      </w:r>
    </w:p>
    <w:p w14:paraId="0B5FB06B">
      <w:pPr>
        <w:pStyle w:val="7"/>
        <w:bidi w:val="0"/>
        <w:rPr>
          <w:rFonts w:hint="default"/>
          <w:highlight w:val="none"/>
        </w:rPr>
      </w:pPr>
      <w:bookmarkStart w:id="978" w:name="_Toc83525152"/>
      <w:bookmarkStart w:id="979" w:name="_Toc98920179"/>
      <w:bookmarkStart w:id="980" w:name="_Toc74537251"/>
      <w:bookmarkStart w:id="981" w:name="_Toc25430"/>
      <w:bookmarkStart w:id="982" w:name="_Toc7730"/>
      <w:bookmarkStart w:id="983" w:name="_Toc23111"/>
      <w:bookmarkStart w:id="984" w:name="_Toc27770"/>
      <w:r>
        <w:rPr>
          <w:rFonts w:hint="default"/>
          <w:highlight w:val="none"/>
        </w:rPr>
        <w:t>6.2.4噪声污染防治措施</w:t>
      </w:r>
      <w:bookmarkEnd w:id="978"/>
      <w:bookmarkEnd w:id="979"/>
      <w:bookmarkEnd w:id="980"/>
      <w:bookmarkStart w:id="985" w:name="_Hlt83525200"/>
      <w:bookmarkEnd w:id="985"/>
      <w:r>
        <w:rPr>
          <w:rFonts w:hint="default"/>
          <w:highlight w:val="none"/>
        </w:rPr>
        <w:t>及其可行性分析</w:t>
      </w:r>
      <w:bookmarkEnd w:id="981"/>
      <w:bookmarkEnd w:id="982"/>
      <w:bookmarkEnd w:id="983"/>
      <w:bookmarkEnd w:id="984"/>
    </w:p>
    <w:p w14:paraId="6BB61F93">
      <w:pPr>
        <w:widowControl/>
        <w:spacing w:line="360" w:lineRule="auto"/>
        <w:ind w:firstLine="480"/>
        <w:jc w:val="both"/>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highlight w:val="none"/>
        </w:rPr>
        <w:t>本项目噪声源主要为水泵、风机、</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叫声等，为降低噪声对外环境的影响，应采取以下措施：</w:t>
      </w:r>
    </w:p>
    <w:p w14:paraId="5523D9C4">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1、设备选型时尽量选用低噪声设备，订货采购时，要求设备生产厂家提供符合噪声允许标准的产品；</w:t>
      </w:r>
    </w:p>
    <w:p w14:paraId="6E805007">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2、在噪声设备放置的生产车间，应安装隔声窗、加装吸声材料，避免露天布置；</w:t>
      </w:r>
    </w:p>
    <w:p w14:paraId="7497F77E">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3、发声设备应安装高效消声器，机座应设减振垫；消声器需加强维修或更换；加强设备的维护，确保设备处于良好的运转状态，杜绝因设备不正常运转时产生的高噪声现象；</w:t>
      </w:r>
    </w:p>
    <w:p w14:paraId="65005572">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4、给</w:t>
      </w:r>
      <w:r>
        <w:rPr>
          <w:rFonts w:hint="default" w:ascii="Times New Roman" w:hAnsi="Times New Roman" w:eastAsia="宋体" w:cs="Times New Roman"/>
          <w:color w:val="auto"/>
          <w:sz w:val="24"/>
          <w:highlight w:val="none"/>
          <w:lang w:val="en-US" w:eastAsia="zh-CN"/>
        </w:rPr>
        <w:t>猪</w:t>
      </w:r>
      <w:r>
        <w:rPr>
          <w:rFonts w:hint="default" w:ascii="Times New Roman" w:hAnsi="Times New Roman" w:eastAsia="宋体" w:cs="Times New Roman"/>
          <w:color w:val="auto"/>
          <w:sz w:val="24"/>
          <w:highlight w:val="none"/>
        </w:rPr>
        <w:t>喂足饲料和水，避免饥渴及突发性噪声</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猪舍密闭且墙壁加装吸声材料</w:t>
      </w:r>
      <w:r>
        <w:rPr>
          <w:rFonts w:hint="default" w:ascii="Times New Roman" w:hAnsi="Times New Roman" w:eastAsia="宋体" w:cs="Times New Roman"/>
          <w:color w:val="auto"/>
          <w:sz w:val="24"/>
          <w:highlight w:val="none"/>
        </w:rPr>
        <w:t>等。</w:t>
      </w:r>
    </w:p>
    <w:p w14:paraId="7D52B5C5">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本项目的噪声设备属于常见的噪声源，采用的控制措施均为目前国内普遍采用的经济、实用、有效手段，是成熟和定型的，因此，本项目对其噪声源所采取的控制措施从技术角度是可靠的。</w:t>
      </w:r>
    </w:p>
    <w:p w14:paraId="560316E6">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综上所述，本项目采取上述防噪措施后，噪声对周围环境影响较小，厂界可达到《工业企业厂界环境噪声排放标准》（GB12348-2008）中</w:t>
      </w:r>
      <w:r>
        <w:rPr>
          <w:rFonts w:hint="eastAsia" w:ascii="Times New Roman" w:hAnsi="Times New Roman" w:cs="Times New Roman"/>
          <w:color w:val="auto"/>
          <w:sz w:val="24"/>
          <w:highlight w:val="none"/>
          <w:lang w:val="en-US" w:eastAsia="zh-CN"/>
        </w:rPr>
        <w:t>1类</w:t>
      </w:r>
      <w:r>
        <w:rPr>
          <w:rFonts w:hint="default" w:ascii="Times New Roman" w:hAnsi="Times New Roman" w:eastAsia="宋体" w:cs="Times New Roman"/>
          <w:color w:val="auto"/>
          <w:sz w:val="24"/>
          <w:highlight w:val="none"/>
        </w:rPr>
        <w:t>标准要求。</w:t>
      </w:r>
    </w:p>
    <w:p w14:paraId="552F4A18">
      <w:pPr>
        <w:pStyle w:val="7"/>
        <w:bidi w:val="0"/>
        <w:rPr>
          <w:rFonts w:hint="default"/>
          <w:highlight w:val="none"/>
        </w:rPr>
      </w:pPr>
      <w:bookmarkStart w:id="986" w:name="_Toc22620"/>
      <w:bookmarkStart w:id="987" w:name="_Toc25533"/>
      <w:bookmarkStart w:id="988" w:name="_Toc1463"/>
      <w:bookmarkStart w:id="989" w:name="_Toc18644"/>
      <w:r>
        <w:rPr>
          <w:rFonts w:hint="default"/>
          <w:highlight w:val="none"/>
        </w:rPr>
        <w:t>6.2.5固废污染防治措施及其可行性分析</w:t>
      </w:r>
      <w:bookmarkEnd w:id="986"/>
      <w:bookmarkEnd w:id="987"/>
      <w:bookmarkEnd w:id="988"/>
      <w:bookmarkEnd w:id="989"/>
    </w:p>
    <w:p w14:paraId="2ABA0431">
      <w:pPr>
        <w:pStyle w:val="8"/>
        <w:bidi w:val="0"/>
        <w:rPr>
          <w:rFonts w:hint="default"/>
          <w:highlight w:val="none"/>
          <w:lang w:val="en-US" w:eastAsia="zh-CN"/>
        </w:rPr>
      </w:pPr>
      <w:bookmarkStart w:id="990" w:name="_Toc493058990"/>
      <w:bookmarkStart w:id="991" w:name="_Toc490466776"/>
      <w:bookmarkStart w:id="992" w:name="_Toc490466527"/>
      <w:bookmarkStart w:id="993" w:name="_Toc29001"/>
      <w:bookmarkStart w:id="994" w:name="_Toc677"/>
      <w:bookmarkStart w:id="995" w:name="_Toc15500"/>
      <w:r>
        <w:rPr>
          <w:rFonts w:hint="default"/>
          <w:highlight w:val="none"/>
          <w:lang w:val="en-US" w:eastAsia="zh-CN"/>
        </w:rPr>
        <w:t>6.2.5.1</w:t>
      </w:r>
      <w:bookmarkEnd w:id="990"/>
      <w:bookmarkEnd w:id="991"/>
      <w:bookmarkEnd w:id="992"/>
      <w:bookmarkEnd w:id="993"/>
      <w:r>
        <w:rPr>
          <w:rFonts w:hint="default"/>
          <w:highlight w:val="none"/>
          <w:lang w:val="en-US" w:eastAsia="zh-CN"/>
        </w:rPr>
        <w:t>粪便污染防治措施</w:t>
      </w:r>
      <w:bookmarkEnd w:id="994"/>
      <w:bookmarkEnd w:id="995"/>
    </w:p>
    <w:p w14:paraId="29B5F6A8">
      <w:pPr>
        <w:adjustRightInd w:val="0"/>
        <w:snapToGrid w:val="0"/>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 w:val="0"/>
          <w:snapToGrid w:val="0"/>
          <w:color w:val="auto"/>
          <w:kern w:val="0"/>
          <w:sz w:val="24"/>
          <w:szCs w:val="24"/>
          <w:highlight w:val="none"/>
          <w:lang w:val="en-US" w:eastAsia="zh-CN" w:bidi="ar-SA"/>
        </w:rPr>
        <w:t>1、发酵堆肥处理工程可行性分析</w:t>
      </w:r>
    </w:p>
    <w:p w14:paraId="0E25CE27">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项目采取</w:t>
      </w:r>
      <w:r>
        <w:rPr>
          <w:rFonts w:hint="eastAsia" w:ascii="Times New Roman" w:hAnsi="Times New Roman" w:cs="Times New Roman"/>
          <w:snapToGrid w:val="0"/>
          <w:color w:val="auto"/>
          <w:kern w:val="0"/>
          <w:sz w:val="24"/>
          <w:szCs w:val="24"/>
          <w:highlight w:val="none"/>
          <w:lang w:val="en-US" w:eastAsia="zh-CN" w:bidi="ar-SA"/>
        </w:rPr>
        <w:t>尿泡粪—干清粪</w:t>
      </w:r>
      <w:r>
        <w:rPr>
          <w:rFonts w:hint="default" w:ascii="Times New Roman" w:hAnsi="Times New Roman" w:eastAsia="宋体" w:cs="Times New Roman"/>
          <w:snapToGrid w:val="0"/>
          <w:color w:val="auto"/>
          <w:kern w:val="0"/>
          <w:sz w:val="24"/>
          <w:szCs w:val="24"/>
          <w:highlight w:val="none"/>
          <w:lang w:val="en-US" w:eastAsia="zh-CN" w:bidi="ar-SA"/>
        </w:rPr>
        <w:t>方式进行清粪，</w:t>
      </w:r>
      <w:r>
        <w:rPr>
          <w:rFonts w:hint="eastAsia" w:ascii="Times New Roman" w:hAnsi="Times New Roman" w:cs="Times New Roman"/>
          <w:snapToGrid w:val="0"/>
          <w:color w:val="auto"/>
          <w:kern w:val="0"/>
          <w:sz w:val="24"/>
          <w:szCs w:val="24"/>
          <w:highlight w:val="none"/>
          <w:lang w:val="en-US" w:eastAsia="zh-CN" w:bidi="ar-SA"/>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w:t>
      </w:r>
      <w:r>
        <w:rPr>
          <w:rFonts w:hint="eastAsia" w:ascii="Times New Roman" w:hAnsi="Times New Roman" w:eastAsia="宋体" w:cs="Times New Roman"/>
          <w:snapToGrid w:val="0"/>
          <w:color w:val="auto"/>
          <w:kern w:val="0"/>
          <w:sz w:val="24"/>
          <w:szCs w:val="24"/>
          <w:highlight w:val="none"/>
          <w:lang w:val="en-US" w:eastAsia="zh-CN" w:bidi="ar-SA"/>
        </w:rPr>
        <w:t>。根据《畜禽养殖业污染治理工程技术规范》的资料性附录 A“畜禽养殖废水水质和粪污产生量”猪粪量为398kg/头▪a，本项目常年存栏量8000头，产粪量总计8.723t/d、3184t/a。</w:t>
      </w:r>
    </w:p>
    <w:p w14:paraId="52BE1312">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则干粪</w:t>
      </w:r>
      <w:r>
        <w:rPr>
          <w:rFonts w:hint="default" w:ascii="Times New Roman" w:hAnsi="Times New Roman" w:eastAsia="宋体" w:cs="Times New Roman"/>
          <w:snapToGrid w:val="0"/>
          <w:color w:val="auto"/>
          <w:kern w:val="0"/>
          <w:sz w:val="24"/>
          <w:szCs w:val="24"/>
          <w:highlight w:val="none"/>
          <w:lang w:val="en-US" w:eastAsia="zh-CN" w:bidi="ar-SA"/>
        </w:rPr>
        <w:t>产生量为</w:t>
      </w:r>
      <w:r>
        <w:rPr>
          <w:rFonts w:hint="eastAsia" w:ascii="Times New Roman" w:hAnsi="Times New Roman" w:eastAsia="宋体" w:cs="Times New Roman"/>
          <w:snapToGrid w:val="0"/>
          <w:color w:val="auto"/>
          <w:kern w:val="0"/>
          <w:sz w:val="24"/>
          <w:szCs w:val="24"/>
          <w:highlight w:val="none"/>
          <w:lang w:val="en-US" w:eastAsia="zh-CN" w:bidi="ar-SA"/>
        </w:rPr>
        <w:t>1.7446t/d、636.779t/a</w:t>
      </w:r>
      <w:r>
        <w:rPr>
          <w:rFonts w:hint="default" w:ascii="Times New Roman" w:hAnsi="Times New Roman" w:eastAsia="宋体" w:cs="Times New Roman"/>
          <w:snapToGrid w:val="0"/>
          <w:color w:val="auto"/>
          <w:kern w:val="0"/>
          <w:sz w:val="24"/>
          <w:szCs w:val="24"/>
          <w:highlight w:val="none"/>
          <w:lang w:val="en-US" w:eastAsia="zh-CN" w:bidi="ar-SA"/>
        </w:rPr>
        <w:t>。可作为肥料施用于项目周边区域的农田。</w:t>
      </w:r>
      <w:r>
        <w:rPr>
          <w:rFonts w:hint="default" w:ascii="Times New Roman" w:hAnsi="Times New Roman" w:eastAsia="宋体" w:cs="Times New Roman"/>
          <w:color w:val="auto"/>
          <w:kern w:val="0"/>
          <w:sz w:val="24"/>
          <w:szCs w:val="24"/>
          <w:highlight w:val="none"/>
          <w:lang w:val="en-US" w:eastAsia="zh-CN" w:bidi="ar-SA"/>
        </w:rPr>
        <w:t>本项目</w:t>
      </w:r>
      <w:r>
        <w:rPr>
          <w:rFonts w:hint="eastAsia" w:ascii="Times New Roman" w:hAnsi="Times New Roman" w:cs="Times New Roman"/>
          <w:color w:val="auto"/>
          <w:kern w:val="0"/>
          <w:sz w:val="24"/>
          <w:szCs w:val="24"/>
          <w:highlight w:val="none"/>
          <w:lang w:val="en-US" w:eastAsia="zh-CN" w:bidi="ar-SA"/>
        </w:rPr>
        <w:t>尿泡粪—干清粪</w:t>
      </w:r>
      <w:r>
        <w:rPr>
          <w:rFonts w:hint="default" w:ascii="Times New Roman" w:hAnsi="Times New Roman" w:eastAsia="宋体" w:cs="Times New Roman"/>
          <w:color w:val="auto"/>
          <w:kern w:val="0"/>
          <w:sz w:val="24"/>
          <w:szCs w:val="24"/>
          <w:highlight w:val="none"/>
          <w:lang w:val="en-US" w:eastAsia="zh-CN" w:bidi="ar-SA"/>
        </w:rPr>
        <w:t>后猪粪（</w:t>
      </w:r>
      <w:r>
        <w:rPr>
          <w:rFonts w:hint="eastAsia" w:ascii="Times New Roman" w:hAnsi="Times New Roman" w:eastAsia="宋体" w:cs="Times New Roman"/>
          <w:color w:val="auto"/>
          <w:kern w:val="0"/>
          <w:sz w:val="24"/>
          <w:szCs w:val="24"/>
          <w:highlight w:val="none"/>
          <w:lang w:val="en-US" w:eastAsia="zh-CN" w:bidi="ar-SA"/>
        </w:rPr>
        <w:t>3184</w:t>
      </w:r>
      <w:r>
        <w:rPr>
          <w:rFonts w:hint="default" w:ascii="Times New Roman" w:hAnsi="Times New Roman" w:eastAsia="宋体" w:cs="Times New Roman"/>
          <w:color w:val="auto"/>
          <w:kern w:val="0"/>
          <w:sz w:val="24"/>
          <w:szCs w:val="24"/>
          <w:highlight w:val="none"/>
          <w:lang w:val="en-US" w:eastAsia="zh-CN" w:bidi="ar-SA"/>
        </w:rPr>
        <w:t>t/a）随尿液进入固液分离间，粪便和废水经固液分离后的干物质（</w:t>
      </w:r>
      <w:r>
        <w:rPr>
          <w:rFonts w:hint="eastAsia" w:ascii="Times New Roman" w:hAnsi="Times New Roman" w:eastAsia="宋体" w:cs="Times New Roman"/>
          <w:color w:val="auto"/>
          <w:kern w:val="0"/>
          <w:sz w:val="24"/>
          <w:szCs w:val="24"/>
          <w:highlight w:val="none"/>
          <w:lang w:val="en-US" w:eastAsia="zh-CN" w:bidi="ar-SA"/>
        </w:rPr>
        <w:t>636.779t/a</w:t>
      </w:r>
      <w:r>
        <w:rPr>
          <w:rFonts w:hint="default" w:ascii="Times New Roman" w:hAnsi="Times New Roman" w:eastAsia="宋体" w:cs="Times New Roman"/>
          <w:color w:val="auto"/>
          <w:kern w:val="0"/>
          <w:sz w:val="24"/>
          <w:szCs w:val="24"/>
          <w:highlight w:val="none"/>
          <w:lang w:val="en-US" w:eastAsia="zh-CN" w:bidi="ar-SA"/>
        </w:rPr>
        <w:t>）被分离出来变成</w:t>
      </w:r>
      <w:r>
        <w:rPr>
          <w:rFonts w:hint="eastAsia" w:ascii="Times New Roman" w:hAnsi="Times New Roman" w:eastAsia="宋体" w:cs="Times New Roman"/>
          <w:color w:val="auto"/>
          <w:kern w:val="0"/>
          <w:sz w:val="24"/>
          <w:szCs w:val="24"/>
          <w:highlight w:val="none"/>
          <w:lang w:val="en-US" w:eastAsia="zh-CN" w:bidi="ar-SA"/>
        </w:rPr>
        <w:t>干粪</w:t>
      </w:r>
      <w:r>
        <w:rPr>
          <w:rFonts w:hint="default" w:ascii="Times New Roman" w:hAnsi="Times New Roman" w:eastAsia="宋体" w:cs="Times New Roman"/>
          <w:color w:val="auto"/>
          <w:kern w:val="0"/>
          <w:sz w:val="24"/>
          <w:szCs w:val="24"/>
          <w:highlight w:val="none"/>
          <w:lang w:val="en-US" w:eastAsia="zh-CN" w:bidi="ar-SA"/>
        </w:rPr>
        <w:t>，剩余物质（</w:t>
      </w:r>
      <w:r>
        <w:rPr>
          <w:rFonts w:hint="eastAsia" w:ascii="Times New Roman" w:hAnsi="Times New Roman" w:eastAsia="宋体" w:cs="Times New Roman"/>
          <w:snapToGrid w:val="0"/>
          <w:color w:val="auto"/>
          <w:kern w:val="0"/>
          <w:sz w:val="24"/>
          <w:szCs w:val="24"/>
          <w:highlight w:val="none"/>
          <w:lang w:val="en-US" w:eastAsia="zh-CN" w:bidi="ar-SA"/>
        </w:rPr>
        <w:t>2547.2</w:t>
      </w:r>
      <w:r>
        <w:rPr>
          <w:rFonts w:hint="default" w:ascii="Times New Roman" w:hAnsi="Times New Roman" w:eastAsia="宋体" w:cs="Times New Roman"/>
          <w:color w:val="auto"/>
          <w:kern w:val="0"/>
          <w:sz w:val="24"/>
          <w:szCs w:val="24"/>
          <w:highlight w:val="none"/>
          <w:lang w:val="en-US" w:eastAsia="zh-CN" w:bidi="ar-SA"/>
        </w:rPr>
        <w:t>t/a）进入黑膜厌氧反应池进行厌氧反应，经过厌氧发酵后，60%的干物质被分解，40%的干物质生成沼渣。沼渣含水率为65%，则沼渣产生量约为</w:t>
      </w:r>
      <w:r>
        <w:rPr>
          <w:rFonts w:hint="eastAsia" w:ascii="Times New Roman" w:hAnsi="Times New Roman" w:eastAsia="宋体" w:cs="Times New Roman"/>
          <w:color w:val="auto"/>
          <w:kern w:val="0"/>
          <w:sz w:val="24"/>
          <w:szCs w:val="24"/>
          <w:highlight w:val="none"/>
          <w:lang w:val="en-US" w:eastAsia="zh-CN" w:bidi="ar-SA"/>
        </w:rPr>
        <w:t>0.977</w:t>
      </w:r>
      <w:r>
        <w:rPr>
          <w:rFonts w:hint="default" w:ascii="Times New Roman" w:hAnsi="Times New Roman" w:eastAsia="宋体" w:cs="Times New Roman"/>
          <w:color w:val="auto"/>
          <w:kern w:val="0"/>
          <w:sz w:val="24"/>
          <w:szCs w:val="24"/>
          <w:highlight w:val="none"/>
          <w:lang w:val="en-US" w:eastAsia="zh-CN" w:bidi="ar-SA"/>
        </w:rPr>
        <w:t>t/d（即</w:t>
      </w:r>
      <w:r>
        <w:rPr>
          <w:rFonts w:hint="eastAsia" w:ascii="Times New Roman" w:hAnsi="Times New Roman" w:eastAsia="宋体" w:cs="Times New Roman"/>
          <w:color w:val="auto"/>
          <w:kern w:val="0"/>
          <w:sz w:val="24"/>
          <w:szCs w:val="24"/>
          <w:highlight w:val="none"/>
          <w:lang w:val="en-US" w:eastAsia="zh-CN" w:bidi="ar-SA"/>
        </w:rPr>
        <w:t>356.608</w:t>
      </w:r>
      <w:r>
        <w:rPr>
          <w:rFonts w:hint="default" w:ascii="Times New Roman" w:hAnsi="Times New Roman" w:eastAsia="宋体" w:cs="Times New Roman"/>
          <w:color w:val="auto"/>
          <w:kern w:val="0"/>
          <w:sz w:val="24"/>
          <w:szCs w:val="24"/>
          <w:highlight w:val="none"/>
          <w:lang w:val="en-US" w:eastAsia="zh-CN" w:bidi="ar-SA"/>
        </w:rPr>
        <w:t>t/a）。产生的沼渣运至</w:t>
      </w:r>
      <w:r>
        <w:rPr>
          <w:rFonts w:hint="eastAsia" w:ascii="Times New Roman" w:hAnsi="Times New Roman" w:eastAsia="宋体" w:cs="Times New Roman"/>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发酵后还田</w:t>
      </w:r>
      <w:r>
        <w:rPr>
          <w:rFonts w:hint="default" w:ascii="Times New Roman" w:hAnsi="Times New Roman" w:eastAsia="宋体" w:cs="Times New Roman"/>
          <w:color w:val="auto"/>
          <w:kern w:val="0"/>
          <w:sz w:val="24"/>
          <w:szCs w:val="24"/>
          <w:highlight w:val="none"/>
          <w:lang w:val="en-US" w:eastAsia="zh-CN" w:bidi="ar-SA"/>
        </w:rPr>
        <w:t>。</w:t>
      </w:r>
    </w:p>
    <w:p w14:paraId="763C92C5">
      <w:pPr>
        <w:tabs>
          <w:tab w:val="center" w:pos="4383"/>
        </w:tabs>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粪污堆肥发酵后还田，由于土地利用存在季节性，需贮存约</w:t>
      </w:r>
      <w:r>
        <w:rPr>
          <w:rFonts w:hint="eastAsia" w:ascii="Times New Roman" w:hAnsi="Times New Roman" w:cs="Times New Roman"/>
          <w:color w:val="auto"/>
          <w:sz w:val="24"/>
          <w:highlight w:val="none"/>
          <w:lang w:val="en-US" w:eastAsia="zh-CN"/>
        </w:rPr>
        <w:t>180天</w:t>
      </w:r>
      <w:r>
        <w:rPr>
          <w:rFonts w:hint="default" w:ascii="Times New Roman" w:hAnsi="Times New Roman" w:eastAsia="宋体" w:cs="Times New Roman"/>
          <w:color w:val="auto"/>
          <w:sz w:val="24"/>
          <w:highlight w:val="none"/>
        </w:rPr>
        <w:t>，在施肥季节（</w:t>
      </w:r>
      <w:r>
        <w:rPr>
          <w:rFonts w:hint="eastAsia" w:ascii="Times New Roman" w:hAnsi="Times New Roman" w:cs="Times New Roman"/>
          <w:color w:val="auto"/>
          <w:sz w:val="24"/>
          <w:highlight w:val="none"/>
          <w:lang w:eastAsia="zh-CN"/>
        </w:rPr>
        <w:t>4月及10月</w:t>
      </w:r>
      <w:r>
        <w:rPr>
          <w:rFonts w:hint="default" w:ascii="Times New Roman" w:hAnsi="Times New Roman" w:eastAsia="宋体" w:cs="Times New Roman"/>
          <w:color w:val="auto"/>
          <w:sz w:val="24"/>
          <w:highlight w:val="none"/>
        </w:rPr>
        <w:t>）采用固体抛洒车施肥。</w:t>
      </w:r>
      <w:r>
        <w:rPr>
          <w:rFonts w:hint="eastAsia" w:ascii="Times New Roman" w:hAnsi="Times New Roman" w:cs="Times New Roman"/>
          <w:color w:val="auto"/>
          <w:sz w:val="24"/>
          <w:highlight w:val="none"/>
          <w:lang w:val="en-US" w:eastAsia="zh-CN"/>
        </w:rPr>
        <w:t>180天</w:t>
      </w:r>
      <w:r>
        <w:rPr>
          <w:rFonts w:hint="default" w:ascii="Times New Roman" w:hAnsi="Times New Roman" w:eastAsia="宋体" w:cs="Times New Roman"/>
          <w:color w:val="auto"/>
          <w:sz w:val="24"/>
          <w:highlight w:val="none"/>
        </w:rPr>
        <w:t>产生的粪污量为</w:t>
      </w:r>
      <w:r>
        <w:rPr>
          <w:rFonts w:hint="eastAsia" w:ascii="Times New Roman" w:hAnsi="Times New Roman" w:cs="Times New Roman"/>
          <w:color w:val="auto"/>
          <w:sz w:val="24"/>
          <w:highlight w:val="none"/>
          <w:lang w:val="en-US" w:eastAsia="zh-CN"/>
        </w:rPr>
        <w:t>205.17</w:t>
      </w:r>
      <w:r>
        <w:rPr>
          <w:rFonts w:hint="default" w:ascii="Times New Roman" w:hAnsi="Times New Roman" w:eastAsia="宋体" w:cs="Times New Roman"/>
          <w:color w:val="auto"/>
          <w:sz w:val="24"/>
          <w:highlight w:val="none"/>
        </w:rPr>
        <w:t>t，</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color w:val="auto"/>
          <w:sz w:val="24"/>
          <w:highlight w:val="none"/>
        </w:rPr>
        <w:t>最大处理能力为</w:t>
      </w:r>
      <w:r>
        <w:rPr>
          <w:rFonts w:hint="eastAsia" w:ascii="Times New Roman" w:hAnsi="Times New Roman" w:cs="Times New Roman"/>
          <w:color w:val="auto"/>
          <w:sz w:val="24"/>
          <w:highlight w:val="none"/>
          <w:lang w:val="en-US" w:eastAsia="zh-CN"/>
        </w:rPr>
        <w:t>900m</w:t>
      </w:r>
      <w:r>
        <w:rPr>
          <w:rFonts w:hint="eastAsia" w:ascii="Times New Roman" w:hAnsi="Times New Roman"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约为900t，</w:t>
      </w:r>
      <w:r>
        <w:rPr>
          <w:rFonts w:hint="default" w:ascii="Times New Roman" w:hAnsi="Times New Roman" w:eastAsia="宋体" w:cs="Times New Roman"/>
          <w:color w:val="auto"/>
          <w:sz w:val="24"/>
          <w:highlight w:val="none"/>
          <w:lang w:val="en-US" w:eastAsia="zh-CN"/>
        </w:rPr>
        <w:t>大于</w:t>
      </w:r>
      <w:r>
        <w:rPr>
          <w:rFonts w:hint="eastAsia" w:ascii="Times New Roman" w:hAnsi="Times New Roman" w:cs="Times New Roman"/>
          <w:color w:val="auto"/>
          <w:sz w:val="24"/>
          <w:highlight w:val="none"/>
          <w:lang w:val="en-US" w:eastAsia="zh-CN"/>
        </w:rPr>
        <w:t>205.17</w:t>
      </w:r>
      <w:r>
        <w:rPr>
          <w:rFonts w:hint="default" w:ascii="Times New Roman" w:hAnsi="Times New Roman" w:eastAsia="宋体" w:cs="Times New Roman"/>
          <w:color w:val="auto"/>
          <w:sz w:val="24"/>
          <w:highlight w:val="none"/>
        </w:rPr>
        <w:t>t，可满足本项目所需。</w:t>
      </w:r>
    </w:p>
    <w:p w14:paraId="72E3103B">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粪污无害化处理指利用高温、好氧或厌氧等工艺杀灭粪污中病原菌、寄生虫和杂草种子的过程。无害化处理应满足《粪便无害化卫生标准》（GB7959-</w:t>
      </w:r>
      <w:r>
        <w:rPr>
          <w:rFonts w:hint="eastAsia" w:ascii="Times New Roman" w:hAnsi="Times New Roman" w:cs="Times New Roman"/>
          <w:color w:val="auto"/>
          <w:sz w:val="24"/>
          <w:highlight w:val="none"/>
          <w:lang w:val="en-US" w:eastAsia="zh-CN"/>
        </w:rPr>
        <w:t>2012</w:t>
      </w:r>
      <w:r>
        <w:rPr>
          <w:rFonts w:hint="default" w:ascii="Times New Roman" w:hAnsi="Times New Roman" w:eastAsia="宋体" w:cs="Times New Roman"/>
          <w:color w:val="auto"/>
          <w:sz w:val="24"/>
          <w:highlight w:val="none"/>
        </w:rPr>
        <w:t>）要求，详见表6</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2-</w:t>
      </w: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14:paraId="39A059F0">
      <w:pPr>
        <w:pStyle w:val="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4</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高温堆粪的卫生标准</w:t>
      </w:r>
    </w:p>
    <w:tbl>
      <w:tblPr>
        <w:tblStyle w:val="48"/>
        <w:tblW w:w="4909" w:type="pct"/>
        <w:jc w:val="center"/>
        <w:tblLayout w:type="autofit"/>
        <w:tblCellMar>
          <w:top w:w="0" w:type="dxa"/>
          <w:left w:w="108" w:type="dxa"/>
          <w:bottom w:w="0" w:type="dxa"/>
          <w:right w:w="108" w:type="dxa"/>
        </w:tblCellMar>
      </w:tblPr>
      <w:tblGrid>
        <w:gridCol w:w="697"/>
        <w:gridCol w:w="1677"/>
        <w:gridCol w:w="5999"/>
      </w:tblGrid>
      <w:tr w14:paraId="425D4800">
        <w:tblPrEx>
          <w:tblCellMar>
            <w:top w:w="0" w:type="dxa"/>
            <w:left w:w="108" w:type="dxa"/>
            <w:bottom w:w="0" w:type="dxa"/>
            <w:right w:w="108" w:type="dxa"/>
          </w:tblCellMar>
        </w:tblPrEx>
        <w:trPr>
          <w:trHeight w:val="397" w:hRule="atLeast"/>
          <w:jc w:val="center"/>
        </w:trPr>
        <w:tc>
          <w:tcPr>
            <w:tcW w:w="416" w:type="pct"/>
            <w:tcBorders>
              <w:top w:val="single" w:color="auto" w:sz="12" w:space="0"/>
              <w:bottom w:val="single" w:color="auto" w:sz="6" w:space="0"/>
              <w:right w:val="single" w:color="auto" w:sz="6" w:space="0"/>
            </w:tcBorders>
            <w:noWrap w:val="0"/>
            <w:vAlign w:val="center"/>
          </w:tcPr>
          <w:p w14:paraId="56A6D15F">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编号</w:t>
            </w:r>
          </w:p>
        </w:tc>
        <w:tc>
          <w:tcPr>
            <w:tcW w:w="1001" w:type="pct"/>
            <w:tcBorders>
              <w:top w:val="single" w:color="auto" w:sz="12" w:space="0"/>
              <w:left w:val="single" w:color="auto" w:sz="6" w:space="0"/>
              <w:bottom w:val="single" w:color="auto" w:sz="6" w:space="0"/>
              <w:right w:val="single" w:color="auto" w:sz="6" w:space="0"/>
            </w:tcBorders>
            <w:noWrap w:val="0"/>
            <w:vAlign w:val="center"/>
          </w:tcPr>
          <w:p w14:paraId="250798E8">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项目</w:t>
            </w:r>
          </w:p>
        </w:tc>
        <w:tc>
          <w:tcPr>
            <w:tcW w:w="3581" w:type="pct"/>
            <w:tcBorders>
              <w:top w:val="single" w:color="auto" w:sz="12" w:space="0"/>
              <w:left w:val="single" w:color="auto" w:sz="6" w:space="0"/>
              <w:bottom w:val="single" w:color="auto" w:sz="6" w:space="0"/>
            </w:tcBorders>
            <w:noWrap w:val="0"/>
            <w:vAlign w:val="center"/>
          </w:tcPr>
          <w:p w14:paraId="2F87F755">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卫生标准</w:t>
            </w:r>
          </w:p>
        </w:tc>
      </w:tr>
      <w:tr w14:paraId="753ED573">
        <w:tblPrEx>
          <w:tblCellMar>
            <w:top w:w="0" w:type="dxa"/>
            <w:left w:w="108" w:type="dxa"/>
            <w:bottom w:w="0" w:type="dxa"/>
            <w:right w:w="108" w:type="dxa"/>
          </w:tblCellMar>
        </w:tblPrEx>
        <w:trPr>
          <w:trHeight w:val="397" w:hRule="atLeast"/>
          <w:jc w:val="center"/>
        </w:trPr>
        <w:tc>
          <w:tcPr>
            <w:tcW w:w="416" w:type="pct"/>
            <w:tcBorders>
              <w:top w:val="single" w:color="auto" w:sz="6" w:space="0"/>
              <w:bottom w:val="single" w:color="auto" w:sz="6" w:space="0"/>
              <w:right w:val="single" w:color="auto" w:sz="6" w:space="0"/>
            </w:tcBorders>
            <w:noWrap w:val="0"/>
            <w:vAlign w:val="center"/>
          </w:tcPr>
          <w:p w14:paraId="4633E7AC">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1</w:t>
            </w:r>
          </w:p>
        </w:tc>
        <w:tc>
          <w:tcPr>
            <w:tcW w:w="1001" w:type="pct"/>
            <w:tcBorders>
              <w:top w:val="single" w:color="auto" w:sz="6" w:space="0"/>
              <w:left w:val="single" w:color="auto" w:sz="6" w:space="0"/>
              <w:bottom w:val="single" w:color="auto" w:sz="6" w:space="0"/>
              <w:right w:val="single" w:color="auto" w:sz="6" w:space="0"/>
            </w:tcBorders>
            <w:noWrap w:val="0"/>
            <w:vAlign w:val="center"/>
          </w:tcPr>
          <w:p w14:paraId="5F2900FD">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堆肥温度</w:t>
            </w:r>
          </w:p>
        </w:tc>
        <w:tc>
          <w:tcPr>
            <w:tcW w:w="3581" w:type="pct"/>
            <w:tcBorders>
              <w:top w:val="single" w:color="auto" w:sz="6" w:space="0"/>
              <w:left w:val="single" w:color="auto" w:sz="6" w:space="0"/>
              <w:bottom w:val="single" w:color="auto" w:sz="6" w:space="0"/>
            </w:tcBorders>
            <w:noWrap w:val="0"/>
            <w:vAlign w:val="center"/>
          </w:tcPr>
          <w:p w14:paraId="22237025">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最高堆肥温度达50-55℃上</w:t>
            </w:r>
          </w:p>
        </w:tc>
      </w:tr>
      <w:tr w14:paraId="123AEADB">
        <w:tblPrEx>
          <w:tblCellMar>
            <w:top w:w="0" w:type="dxa"/>
            <w:left w:w="108" w:type="dxa"/>
            <w:bottom w:w="0" w:type="dxa"/>
            <w:right w:w="108" w:type="dxa"/>
          </w:tblCellMar>
        </w:tblPrEx>
        <w:trPr>
          <w:trHeight w:val="397" w:hRule="atLeast"/>
          <w:jc w:val="center"/>
        </w:trPr>
        <w:tc>
          <w:tcPr>
            <w:tcW w:w="416" w:type="pct"/>
            <w:tcBorders>
              <w:top w:val="single" w:color="auto" w:sz="6" w:space="0"/>
              <w:bottom w:val="single" w:color="auto" w:sz="6" w:space="0"/>
              <w:right w:val="single" w:color="auto" w:sz="6" w:space="0"/>
            </w:tcBorders>
            <w:noWrap w:val="0"/>
            <w:vAlign w:val="center"/>
          </w:tcPr>
          <w:p w14:paraId="2795E9D5">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2</w:t>
            </w:r>
          </w:p>
        </w:tc>
        <w:tc>
          <w:tcPr>
            <w:tcW w:w="1001" w:type="pct"/>
            <w:tcBorders>
              <w:top w:val="single" w:color="auto" w:sz="6" w:space="0"/>
              <w:left w:val="single" w:color="auto" w:sz="6" w:space="0"/>
              <w:bottom w:val="single" w:color="auto" w:sz="6" w:space="0"/>
              <w:right w:val="single" w:color="auto" w:sz="6" w:space="0"/>
            </w:tcBorders>
            <w:noWrap w:val="0"/>
            <w:vAlign w:val="center"/>
          </w:tcPr>
          <w:p w14:paraId="2781A769">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蛔虫卵死亡率</w:t>
            </w:r>
          </w:p>
        </w:tc>
        <w:tc>
          <w:tcPr>
            <w:tcW w:w="3581" w:type="pct"/>
            <w:tcBorders>
              <w:top w:val="single" w:color="auto" w:sz="6" w:space="0"/>
              <w:left w:val="single" w:color="auto" w:sz="6" w:space="0"/>
              <w:bottom w:val="single" w:color="auto" w:sz="6" w:space="0"/>
            </w:tcBorders>
            <w:noWrap w:val="0"/>
            <w:vAlign w:val="center"/>
          </w:tcPr>
          <w:p w14:paraId="38F29E21">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95-100%</w:t>
            </w:r>
          </w:p>
        </w:tc>
      </w:tr>
      <w:tr w14:paraId="7682F83D">
        <w:tblPrEx>
          <w:tblCellMar>
            <w:top w:w="0" w:type="dxa"/>
            <w:left w:w="108" w:type="dxa"/>
            <w:bottom w:w="0" w:type="dxa"/>
            <w:right w:w="108" w:type="dxa"/>
          </w:tblCellMar>
        </w:tblPrEx>
        <w:trPr>
          <w:trHeight w:val="397" w:hRule="atLeast"/>
          <w:jc w:val="center"/>
        </w:trPr>
        <w:tc>
          <w:tcPr>
            <w:tcW w:w="416" w:type="pct"/>
            <w:tcBorders>
              <w:top w:val="single" w:color="auto" w:sz="6" w:space="0"/>
              <w:bottom w:val="single" w:color="auto" w:sz="6" w:space="0"/>
              <w:right w:val="single" w:color="auto" w:sz="6" w:space="0"/>
            </w:tcBorders>
            <w:noWrap w:val="0"/>
            <w:vAlign w:val="center"/>
          </w:tcPr>
          <w:p w14:paraId="2FDD6A2A">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3</w:t>
            </w:r>
          </w:p>
        </w:tc>
        <w:tc>
          <w:tcPr>
            <w:tcW w:w="1001" w:type="pct"/>
            <w:tcBorders>
              <w:top w:val="single" w:color="auto" w:sz="6" w:space="0"/>
              <w:left w:val="single" w:color="auto" w:sz="6" w:space="0"/>
              <w:bottom w:val="single" w:color="auto" w:sz="6" w:space="0"/>
              <w:right w:val="single" w:color="auto" w:sz="6" w:space="0"/>
            </w:tcBorders>
            <w:noWrap w:val="0"/>
            <w:vAlign w:val="center"/>
          </w:tcPr>
          <w:p w14:paraId="1C463557">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粪大肠菌群值</w:t>
            </w:r>
          </w:p>
        </w:tc>
        <w:tc>
          <w:tcPr>
            <w:tcW w:w="3581" w:type="pct"/>
            <w:tcBorders>
              <w:top w:val="single" w:color="auto" w:sz="6" w:space="0"/>
              <w:left w:val="single" w:color="auto" w:sz="6" w:space="0"/>
              <w:bottom w:val="single" w:color="auto" w:sz="6" w:space="0"/>
            </w:tcBorders>
            <w:noWrap w:val="0"/>
            <w:vAlign w:val="center"/>
          </w:tcPr>
          <w:p w14:paraId="1A22DCCD">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10</w:t>
            </w:r>
            <w:r>
              <w:rPr>
                <w:rFonts w:hint="default" w:ascii="Times New Roman" w:hAnsi="Times New Roman" w:eastAsia="宋体" w:cs="Times New Roman"/>
                <w:color w:val="auto"/>
                <w:sz w:val="21"/>
                <w:highlight w:val="none"/>
                <w:vertAlign w:val="superscript"/>
              </w:rPr>
              <w:t>-1</w:t>
            </w:r>
            <w:r>
              <w:rPr>
                <w:rFonts w:hint="default" w:ascii="Times New Roman" w:hAnsi="Times New Roman" w:eastAsia="宋体" w:cs="Times New Roman"/>
                <w:color w:val="auto"/>
                <w:sz w:val="21"/>
                <w:highlight w:val="none"/>
              </w:rPr>
              <w:t>-10</w:t>
            </w:r>
            <w:r>
              <w:rPr>
                <w:rFonts w:hint="default" w:ascii="Times New Roman" w:hAnsi="Times New Roman" w:eastAsia="宋体" w:cs="Times New Roman"/>
                <w:color w:val="auto"/>
                <w:sz w:val="21"/>
                <w:highlight w:val="none"/>
                <w:vertAlign w:val="superscript"/>
              </w:rPr>
              <w:t>-2</w:t>
            </w:r>
          </w:p>
        </w:tc>
      </w:tr>
      <w:tr w14:paraId="43162E0E">
        <w:tblPrEx>
          <w:tblCellMar>
            <w:top w:w="0" w:type="dxa"/>
            <w:left w:w="108" w:type="dxa"/>
            <w:bottom w:w="0" w:type="dxa"/>
            <w:right w:w="108" w:type="dxa"/>
          </w:tblCellMar>
        </w:tblPrEx>
        <w:trPr>
          <w:trHeight w:val="397" w:hRule="atLeast"/>
          <w:jc w:val="center"/>
        </w:trPr>
        <w:tc>
          <w:tcPr>
            <w:tcW w:w="416" w:type="pct"/>
            <w:tcBorders>
              <w:top w:val="single" w:color="auto" w:sz="6" w:space="0"/>
              <w:bottom w:val="single" w:color="auto" w:sz="12" w:space="0"/>
              <w:right w:val="single" w:color="auto" w:sz="6" w:space="0"/>
            </w:tcBorders>
            <w:noWrap w:val="0"/>
            <w:vAlign w:val="center"/>
          </w:tcPr>
          <w:p w14:paraId="740849A6">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4</w:t>
            </w:r>
          </w:p>
        </w:tc>
        <w:tc>
          <w:tcPr>
            <w:tcW w:w="1001" w:type="pct"/>
            <w:tcBorders>
              <w:top w:val="single" w:color="auto" w:sz="6" w:space="0"/>
              <w:left w:val="single" w:color="auto" w:sz="6" w:space="0"/>
              <w:bottom w:val="single" w:color="auto" w:sz="12" w:space="0"/>
              <w:right w:val="single" w:color="auto" w:sz="6" w:space="0"/>
            </w:tcBorders>
            <w:noWrap w:val="0"/>
            <w:vAlign w:val="center"/>
          </w:tcPr>
          <w:p w14:paraId="28FF7FE2">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苍蝇</w:t>
            </w:r>
          </w:p>
        </w:tc>
        <w:tc>
          <w:tcPr>
            <w:tcW w:w="3581" w:type="pct"/>
            <w:tcBorders>
              <w:top w:val="single" w:color="auto" w:sz="6" w:space="0"/>
              <w:left w:val="single" w:color="auto" w:sz="6" w:space="0"/>
              <w:bottom w:val="single" w:color="auto" w:sz="12" w:space="0"/>
            </w:tcBorders>
            <w:noWrap w:val="0"/>
            <w:vAlign w:val="center"/>
          </w:tcPr>
          <w:p w14:paraId="3F43817C">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有效地控制苍蝇孳生，肥堆周围没有活的蛆、蛹或新羽化的成蝇</w:t>
            </w:r>
          </w:p>
        </w:tc>
      </w:tr>
    </w:tbl>
    <w:p w14:paraId="22F0FC60">
      <w:pPr>
        <w:pStyle w:val="455"/>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根据《规模畜禽养殖厂污染防治最佳可行技术指南（试行）》（HJ-BAT-10），堆肥处理最佳可行技术指标见表6</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rPr>
        <w:t>2-</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w:t>
      </w:r>
    </w:p>
    <w:p w14:paraId="3BB4CC35">
      <w:pPr>
        <w:pStyle w:val="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粪污堆肥处理最佳可行技术指标</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3138"/>
        <w:gridCol w:w="3665"/>
      </w:tblGrid>
      <w:tr w14:paraId="54EF2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tcBorders>
              <w:tl2br w:val="nil"/>
              <w:tr2bl w:val="nil"/>
            </w:tcBorders>
            <w:noWrap w:val="0"/>
            <w:vAlign w:val="center"/>
          </w:tcPr>
          <w:p w14:paraId="456A7DC6">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处理工艺</w:t>
            </w:r>
          </w:p>
        </w:tc>
        <w:tc>
          <w:tcPr>
            <w:tcW w:w="1839" w:type="pct"/>
            <w:tcBorders>
              <w:tl2br w:val="nil"/>
              <w:tr2bl w:val="nil"/>
            </w:tcBorders>
            <w:noWrap w:val="0"/>
            <w:vAlign w:val="center"/>
          </w:tcPr>
          <w:p w14:paraId="37E9C233">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技术环节</w:t>
            </w:r>
          </w:p>
        </w:tc>
        <w:tc>
          <w:tcPr>
            <w:tcW w:w="2148" w:type="pct"/>
            <w:tcBorders>
              <w:tl2br w:val="nil"/>
              <w:tr2bl w:val="nil"/>
            </w:tcBorders>
            <w:noWrap w:val="0"/>
            <w:vAlign w:val="center"/>
          </w:tcPr>
          <w:p w14:paraId="3C83EA7C">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最佳可行技术指标</w:t>
            </w:r>
          </w:p>
        </w:tc>
      </w:tr>
      <w:tr w14:paraId="22ED06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restart"/>
            <w:tcBorders>
              <w:tl2br w:val="nil"/>
              <w:tr2bl w:val="nil"/>
            </w:tcBorders>
            <w:noWrap w:val="0"/>
            <w:vAlign w:val="center"/>
          </w:tcPr>
          <w:p w14:paraId="731167D5">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粪污堆肥处理</w:t>
            </w:r>
          </w:p>
        </w:tc>
        <w:tc>
          <w:tcPr>
            <w:tcW w:w="1839" w:type="pct"/>
            <w:tcBorders>
              <w:tl2br w:val="nil"/>
              <w:tr2bl w:val="nil"/>
            </w:tcBorders>
            <w:noWrap w:val="0"/>
            <w:vAlign w:val="center"/>
          </w:tcPr>
          <w:p w14:paraId="33E6A7BA">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初始有机物含量</w:t>
            </w:r>
          </w:p>
        </w:tc>
        <w:tc>
          <w:tcPr>
            <w:tcW w:w="2148" w:type="pct"/>
            <w:tcBorders>
              <w:tl2br w:val="nil"/>
              <w:tr2bl w:val="nil"/>
            </w:tcBorders>
            <w:noWrap w:val="0"/>
            <w:vAlign w:val="center"/>
          </w:tcPr>
          <w:p w14:paraId="1730E2EB">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20%～60%</w:t>
            </w:r>
          </w:p>
        </w:tc>
      </w:tr>
      <w:tr w14:paraId="6C7F2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50261EB7">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1F0CEC61">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初始含水率</w:t>
            </w:r>
          </w:p>
        </w:tc>
        <w:tc>
          <w:tcPr>
            <w:tcW w:w="2148" w:type="pct"/>
            <w:tcBorders>
              <w:tl2br w:val="nil"/>
              <w:tr2bl w:val="nil"/>
            </w:tcBorders>
            <w:noWrap w:val="0"/>
            <w:vAlign w:val="center"/>
          </w:tcPr>
          <w:p w14:paraId="117C8577">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40%～65%</w:t>
            </w:r>
          </w:p>
        </w:tc>
      </w:tr>
      <w:tr w14:paraId="27110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1E6D448E">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6DDACB47">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发酵温度</w:t>
            </w:r>
          </w:p>
        </w:tc>
        <w:tc>
          <w:tcPr>
            <w:tcW w:w="2148" w:type="pct"/>
            <w:tcBorders>
              <w:tl2br w:val="nil"/>
              <w:tr2bl w:val="nil"/>
            </w:tcBorders>
            <w:noWrap w:val="0"/>
            <w:vAlign w:val="center"/>
          </w:tcPr>
          <w:p w14:paraId="65845F1B">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50～70℃</w:t>
            </w:r>
          </w:p>
        </w:tc>
      </w:tr>
      <w:tr w14:paraId="476C1B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3FC19631">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2473F248">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初始碳氮比</w:t>
            </w:r>
          </w:p>
        </w:tc>
        <w:tc>
          <w:tcPr>
            <w:tcW w:w="2148" w:type="pct"/>
            <w:tcBorders>
              <w:tl2br w:val="nil"/>
              <w:tr2bl w:val="nil"/>
            </w:tcBorders>
            <w:noWrap w:val="0"/>
            <w:vAlign w:val="center"/>
          </w:tcPr>
          <w:p w14:paraId="62815134">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20～40：1</w:t>
            </w:r>
          </w:p>
        </w:tc>
      </w:tr>
      <w:tr w14:paraId="74589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7D3B673D">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36CF2BB4">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初始pH</w:t>
            </w:r>
          </w:p>
        </w:tc>
        <w:tc>
          <w:tcPr>
            <w:tcW w:w="2148" w:type="pct"/>
            <w:tcBorders>
              <w:tl2br w:val="nil"/>
              <w:tr2bl w:val="nil"/>
            </w:tcBorders>
            <w:noWrap w:val="0"/>
            <w:vAlign w:val="center"/>
          </w:tcPr>
          <w:p w14:paraId="77973F6C">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中性或弱碱性</w:t>
            </w:r>
          </w:p>
        </w:tc>
      </w:tr>
      <w:tr w14:paraId="47291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0C2DC5D1">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0B63444B">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翻堆频率</w:t>
            </w:r>
          </w:p>
        </w:tc>
        <w:tc>
          <w:tcPr>
            <w:tcW w:w="2148" w:type="pct"/>
            <w:tcBorders>
              <w:tl2br w:val="nil"/>
              <w:tr2bl w:val="nil"/>
            </w:tcBorders>
            <w:noWrap w:val="0"/>
            <w:vAlign w:val="center"/>
          </w:tcPr>
          <w:p w14:paraId="19216E2E">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发酵过程不少于7次</w:t>
            </w:r>
          </w:p>
        </w:tc>
      </w:tr>
    </w:tbl>
    <w:p w14:paraId="514D34BE">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发酵堆肥是指在有氧条件下，微生物通过自身的生物代谢活动，对一部分有机物进行分解代谢，以获得生物生长、活动所需要的能量，把另一部分有机物转化合成新的细胞物质，使微生物生长繁殖，产生更多的生物体；同时好氧反应释放的生物热形成高温（＞55℃）杀灭肠道寄生虫卵及病原微生物，从而实现畜禽粪便减量化、稳定化和无害化的过程，满足粪便无害化、资源化再利用的技术要求。</w:t>
      </w:r>
    </w:p>
    <w:p w14:paraId="064BA0CD">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畜禽粪便堆肥无害化处理的关键是微生物的分解作用；畜禽肠道中有大量的微生物存在，随粪便排出体外，成为堆肥的主要土著微生物群。在堆肥过程中，细菌、真菌、放线菌等协同作用，并且随着堆肥的不同阶段而其含量也随之变化。据科研资料表明，畜禽粪便堆肥处理前所含有害细菌种类较多，主要以大肠杆菌居首位；在发酵堆肥后期以芽胞杆菌属（Bacillussp.）和球菌为优势种群。发酵堆肥前期，曲霉属（Aspergillussp.）的真菌为优势种群，中期逐渐演替为青霉属（Penicillussp.）、根霉属（Rhizopussp.）和木霉属（Trichodermasp.），到发酵结束时堆肥中的优势种演替为毛霉属（Mucorsp.）。而堆肥中的放线菌都为链霉菌属（Streptomycessp.），并且一直呈下降趋势。在堆肥过程中随肥堆温度逐渐升高，高霉菌的总数在25-35℃之间迅速增高，而在30-50℃之间却逐渐下降，直到达到高温时完全消失。</w:t>
      </w:r>
    </w:p>
    <w:p w14:paraId="5A567D7E">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添加微生物菌剂以促进畜禽粪便堆肥腐熟与提高堆肥产品品质，综合效益最好的是假单胞杆菌属（Pseudomomassp.）组合，其次分别为青霉属（Penicilliumsp-2）、彩色云芝（polystictusversicolor（L.）Fr）、细黄链霉菌（Streptomycesmicroflavus）和蜡样芽孢杆菌（BacilluscereusFrankland＆Frankland）4种组合。在畜禽粪便堆肥初期，细菌、放线菌、真菌总数分别达到10</w:t>
      </w:r>
      <w:r>
        <w:rPr>
          <w:rFonts w:hint="default" w:ascii="Times New Roman" w:hAnsi="Times New Roman" w:eastAsia="宋体" w:cs="Times New Roman"/>
          <w:color w:val="auto"/>
          <w:sz w:val="24"/>
          <w:szCs w:val="24"/>
          <w:highlight w:val="none"/>
          <w:vertAlign w:val="superscript"/>
        </w:rPr>
        <w:t>10</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8</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8</w:t>
      </w:r>
      <w:r>
        <w:rPr>
          <w:rFonts w:hint="default" w:ascii="Times New Roman" w:hAnsi="Times New Roman" w:eastAsia="宋体" w:cs="Times New Roman"/>
          <w:color w:val="auto"/>
          <w:sz w:val="24"/>
          <w:szCs w:val="24"/>
          <w:highlight w:val="none"/>
        </w:rPr>
        <w:t>的数量级，且细菌在整个堆肥过程始终占优势地位，但有害菌及寄生虫卵在高温条件下将被杀灭。</w:t>
      </w:r>
    </w:p>
    <w:p w14:paraId="77480010">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根据项目</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粪堆肥工艺过程及堆肥技术特点，为保证堆肥过程满足无害化处理要求，本次环评提出以下</w:t>
      </w:r>
      <w:r>
        <w:rPr>
          <w:rFonts w:hint="eastAsia" w:ascii="Times New Roman" w:hAnsi="Times New Roman" w:cs="Times New Roman"/>
          <w:color w:val="auto"/>
          <w:sz w:val="24"/>
          <w:szCs w:val="24"/>
          <w:highlight w:val="none"/>
          <w:lang w:val="en-US" w:eastAsia="zh-CN"/>
        </w:rPr>
        <w:t>干粪堆积场</w:t>
      </w:r>
      <w:r>
        <w:rPr>
          <w:rFonts w:hint="default" w:ascii="Times New Roman" w:hAnsi="Times New Roman" w:eastAsia="宋体" w:cs="Times New Roman"/>
          <w:color w:val="auto"/>
          <w:sz w:val="24"/>
          <w:szCs w:val="24"/>
          <w:highlight w:val="none"/>
        </w:rPr>
        <w:t>运行管理对策与措施：</w:t>
      </w:r>
    </w:p>
    <w:p w14:paraId="44CF321C">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（1）应根据</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粪污堆肥工艺技术要求及批次粪污的实际条件，适时调整、控制发酵各阶段主要技术参数。</w:t>
      </w:r>
    </w:p>
    <w:p w14:paraId="3A1E81C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（2）堆肥物料时应保证物料均匀，防止出现物料层厚度不等、含水率不均等情况。</w:t>
      </w:r>
    </w:p>
    <w:p w14:paraId="0D058949">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（3）应特别注意观测发酵过程中气味的变化，当有腐烂气味时应通过调整供氧量或含水量等方式及时进行调解，确保肥堆处于微好氧状态，防止肥堆处于厌氧状况下产生臭气。</w:t>
      </w:r>
    </w:p>
    <w:p w14:paraId="7FBD3A19">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（4）发酵堆肥过程应适时通过污水回喷、或添加物料、或通风散热等措施调节堆肥物料水分含量。</w:t>
      </w:r>
    </w:p>
    <w:p w14:paraId="4E954AED">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（5）发酵堆肥过程中应对氧气浓度进行跟踪测定，及时调整氧含量，使堆肥氧含量控制在5%-15%比较适宜，氧含量低于5%将出现厌氧状况。</w:t>
      </w:r>
    </w:p>
    <w:p w14:paraId="1408891F">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（6）发酵堆肥过程中应定期测试堆层温度的变化情况，测温点应根据升温变化规律分层、分区设置，防止肥堆温度过高出现烧堆状况。</w:t>
      </w:r>
    </w:p>
    <w:p w14:paraId="111CFDB0">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（7）发酵堆肥腐熟阶段应适时控制堆高、通风及翻堆作业，以满足物料进一步发酵的适宜条件。发酵堆肥腐熟阶段不得再次向物料中添加污泥、沼肥、粪便等新鲜可堆肥原料。</w:t>
      </w:r>
    </w:p>
    <w:p w14:paraId="0476A0C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（8）堆肥过程中各工艺参数的变化应以日为单位进行跟踪检测，内容包括含水率的变化、碳氮比（C/N）的变化、堆层温度的变化、堆层氧浓度和耗氧速率变化。</w:t>
      </w:r>
    </w:p>
    <w:p w14:paraId="5F113BEA">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发酵是无害化的处理环节，通过高温（55～65℃）发酵（堆肥过程产热，温度可升至75℃），冬春季每4天翻料1次、夏秋季每2天翻料1次，采用翻堆机进行翻料，使物料发酵温度控制在55～70℃之间为宜。发酵温度可用棒式数显温度计测控。</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粪如在夏秋季节发酵，时间控制在20天左右，冬春季节为</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天左右，发酵周期大约为</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天。经上述发酵过程，</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粪已基本腐熟，然后出发酵槽，在</w:t>
      </w:r>
      <w:r>
        <w:rPr>
          <w:rFonts w:hint="eastAsia" w:ascii="Times New Roman" w:hAnsi="Times New Roman" w:cs="Times New Roman"/>
          <w:color w:val="auto"/>
          <w:sz w:val="24"/>
          <w:szCs w:val="24"/>
          <w:highlight w:val="none"/>
          <w:lang w:eastAsia="zh-CN"/>
        </w:rPr>
        <w:t>干粪堆积场</w:t>
      </w:r>
      <w:r>
        <w:rPr>
          <w:rFonts w:hint="default" w:ascii="Times New Roman" w:hAnsi="Times New Roman" w:eastAsia="宋体" w:cs="Times New Roman"/>
          <w:color w:val="auto"/>
          <w:sz w:val="24"/>
          <w:szCs w:val="24"/>
          <w:highlight w:val="none"/>
        </w:rPr>
        <w:t>内堆置10天左右完成后熟。</w:t>
      </w:r>
    </w:p>
    <w:p w14:paraId="1CD0A88A">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本项目通过翻堆对</w:t>
      </w:r>
      <w:r>
        <w:rPr>
          <w:rFonts w:hint="default" w:ascii="Times New Roman" w:hAnsi="Times New Roman" w:eastAsia="宋体" w:cs="Times New Roman"/>
          <w:snapToGrid w:val="0"/>
          <w:color w:val="auto"/>
          <w:sz w:val="24"/>
          <w:szCs w:val="24"/>
          <w:highlight w:val="none"/>
          <w:lang w:eastAsia="zh-CN"/>
        </w:rPr>
        <w:t>猪</w:t>
      </w:r>
      <w:r>
        <w:rPr>
          <w:rFonts w:hint="default" w:ascii="Times New Roman" w:hAnsi="Times New Roman" w:eastAsia="宋体" w:cs="Times New Roman"/>
          <w:snapToGrid w:val="0"/>
          <w:color w:val="auto"/>
          <w:sz w:val="24"/>
          <w:szCs w:val="24"/>
          <w:highlight w:val="none"/>
        </w:rPr>
        <w:t>粪进行通风排湿，使粪污均匀接触空气，堆肥物料利用好氧菌进行发酵，并使堆肥物料迅速分解，以减少或防止肥堆厌氧条件下的臭气产生。本项目采用好氧堆肥技术，无可燃废气产生，无爆炸风险。</w:t>
      </w:r>
    </w:p>
    <w:p w14:paraId="26BCCF93">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2、</w:t>
      </w:r>
      <w:r>
        <w:rPr>
          <w:rFonts w:hint="eastAsia" w:ascii="Times New Roman" w:hAnsi="Times New Roman" w:cs="Times New Roman"/>
          <w:snapToGrid w:val="0"/>
          <w:color w:val="auto"/>
          <w:sz w:val="24"/>
          <w:szCs w:val="24"/>
          <w:highlight w:val="none"/>
          <w:lang w:eastAsia="zh-CN"/>
        </w:rPr>
        <w:t>粪污</w:t>
      </w:r>
      <w:r>
        <w:rPr>
          <w:rFonts w:hint="default" w:ascii="Times New Roman" w:hAnsi="Times New Roman" w:eastAsia="宋体" w:cs="Times New Roman"/>
          <w:snapToGrid w:val="0"/>
          <w:color w:val="auto"/>
          <w:sz w:val="24"/>
          <w:szCs w:val="24"/>
          <w:highlight w:val="none"/>
        </w:rPr>
        <w:t>储存设施相关要求</w:t>
      </w:r>
    </w:p>
    <w:p w14:paraId="75392E38">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本项目</w:t>
      </w:r>
      <w:r>
        <w:rPr>
          <w:rFonts w:hint="default" w:ascii="Times New Roman" w:hAnsi="Times New Roman" w:eastAsia="宋体" w:cs="Times New Roman"/>
          <w:snapToGrid w:val="0"/>
          <w:color w:val="auto"/>
          <w:sz w:val="24"/>
          <w:szCs w:val="24"/>
          <w:highlight w:val="none"/>
          <w:lang w:eastAsia="zh-CN"/>
        </w:rPr>
        <w:t>猪</w:t>
      </w:r>
      <w:r>
        <w:rPr>
          <w:rFonts w:hint="default" w:ascii="Times New Roman" w:hAnsi="Times New Roman" w:eastAsia="宋体" w:cs="Times New Roman"/>
          <w:snapToGrid w:val="0"/>
          <w:color w:val="auto"/>
          <w:sz w:val="24"/>
          <w:szCs w:val="24"/>
          <w:highlight w:val="none"/>
        </w:rPr>
        <w:t>粪及沼渣运至</w:t>
      </w:r>
      <w:r>
        <w:rPr>
          <w:rFonts w:hint="eastAsia" w:ascii="Times New Roman" w:hAnsi="Times New Roman" w:cs="Times New Roman"/>
          <w:snapToGrid w:val="0"/>
          <w:color w:val="auto"/>
          <w:sz w:val="24"/>
          <w:szCs w:val="24"/>
          <w:highlight w:val="none"/>
          <w:lang w:eastAsia="zh-CN"/>
        </w:rPr>
        <w:t>干粪堆积场</w:t>
      </w:r>
      <w:r>
        <w:rPr>
          <w:rFonts w:hint="default" w:ascii="Times New Roman" w:hAnsi="Times New Roman" w:eastAsia="宋体" w:cs="Times New Roman"/>
          <w:snapToGrid w:val="0"/>
          <w:color w:val="auto"/>
          <w:sz w:val="24"/>
          <w:szCs w:val="24"/>
          <w:highlight w:val="none"/>
        </w:rPr>
        <w:t>堆肥发酵后还田，设置全封闭</w:t>
      </w:r>
      <w:r>
        <w:rPr>
          <w:rFonts w:hint="eastAsia" w:ascii="Times New Roman" w:hAnsi="Times New Roman" w:cs="Times New Roman"/>
          <w:snapToGrid w:val="0"/>
          <w:color w:val="auto"/>
          <w:sz w:val="24"/>
          <w:szCs w:val="24"/>
          <w:highlight w:val="none"/>
          <w:lang w:eastAsia="zh-CN"/>
        </w:rPr>
        <w:t>干粪堆积场</w:t>
      </w:r>
      <w:r>
        <w:rPr>
          <w:rFonts w:hint="default" w:ascii="Times New Roman" w:hAnsi="Times New Roman" w:eastAsia="宋体" w:cs="Times New Roman"/>
          <w:snapToGrid w:val="0"/>
          <w:color w:val="auto"/>
          <w:sz w:val="24"/>
          <w:szCs w:val="24"/>
          <w:highlight w:val="none"/>
        </w:rPr>
        <w:t>，避免</w:t>
      </w:r>
      <w:r>
        <w:rPr>
          <w:rFonts w:hint="eastAsia" w:ascii="Times New Roman" w:hAnsi="Times New Roman" w:cs="Times New Roman"/>
          <w:snapToGrid w:val="0"/>
          <w:color w:val="auto"/>
          <w:sz w:val="24"/>
          <w:szCs w:val="24"/>
          <w:highlight w:val="none"/>
          <w:lang w:eastAsia="zh-CN"/>
        </w:rPr>
        <w:t>粪污</w:t>
      </w:r>
      <w:r>
        <w:rPr>
          <w:rFonts w:hint="default" w:ascii="Times New Roman" w:hAnsi="Times New Roman" w:eastAsia="宋体" w:cs="Times New Roman"/>
          <w:snapToGrid w:val="0"/>
          <w:color w:val="auto"/>
          <w:sz w:val="24"/>
          <w:szCs w:val="24"/>
          <w:highlight w:val="none"/>
        </w:rPr>
        <w:t>经雨水冲刷后渗入地下，对地下水造成污染。</w:t>
      </w:r>
    </w:p>
    <w:p w14:paraId="68D5F748">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3、粪污无害化处理肥料土地消纳可行性分析</w:t>
      </w:r>
    </w:p>
    <w:p w14:paraId="424D4BD0">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畜禽养殖业污染防治技术规范》提出了原则性规定：畜禽养殖厂的建设应坚持“农牧结合、种养平衡”的原则，根据本项目区域土地（包括与其他土地经营者签约承诺消纳本厂区产生粪便污水的土地）对畜禽粪便的消纳能力，确定新建畜禽养殖厂的养殖规模。对于无相应消纳土地的养殖场，必须配套建立具有相应加工（处理）能力的粪便污水处理设施或处理（处置）机制。</w:t>
      </w:r>
    </w:p>
    <w:p w14:paraId="40D995F9">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lang w:val="en-US" w:eastAsia="zh-CN"/>
        </w:rPr>
      </w:pPr>
      <w:r>
        <w:rPr>
          <w:rFonts w:hint="default" w:ascii="Times New Roman" w:hAnsi="Times New Roman" w:eastAsia="宋体" w:cs="Times New Roman"/>
          <w:snapToGrid w:val="0"/>
          <w:color w:val="auto"/>
          <w:sz w:val="24"/>
          <w:szCs w:val="24"/>
          <w:highlight w:val="none"/>
        </w:rPr>
        <w:t>根据《畜禽粪污土地承载力测算技术指南》计算可知，本项目</w:t>
      </w:r>
      <w:r>
        <w:rPr>
          <w:rFonts w:hint="default" w:ascii="Times New Roman" w:hAnsi="Times New Roman" w:eastAsia="宋体" w:cs="Times New Roman"/>
          <w:snapToGrid w:val="0"/>
          <w:color w:val="auto"/>
          <w:sz w:val="24"/>
          <w:szCs w:val="24"/>
          <w:highlight w:val="none"/>
          <w:lang w:val="en-US" w:eastAsia="zh-CN"/>
        </w:rPr>
        <w:t>猪</w:t>
      </w:r>
      <w:r>
        <w:rPr>
          <w:rFonts w:hint="default" w:ascii="Times New Roman" w:hAnsi="Times New Roman" w:eastAsia="宋体" w:cs="Times New Roman"/>
          <w:snapToGrid w:val="0"/>
          <w:color w:val="auto"/>
          <w:sz w:val="24"/>
          <w:szCs w:val="24"/>
          <w:highlight w:val="none"/>
        </w:rPr>
        <w:t>养殖基地所需配套土地面积为</w:t>
      </w:r>
      <w:r>
        <w:rPr>
          <w:rFonts w:hint="eastAsia" w:ascii="Times New Roman" w:hAnsi="Times New Roman" w:cs="Times New Roman"/>
          <w:snapToGrid w:val="0"/>
          <w:color w:val="auto"/>
          <w:sz w:val="24"/>
          <w:szCs w:val="24"/>
          <w:highlight w:val="none"/>
          <w:lang w:val="en-US" w:eastAsia="zh-CN"/>
        </w:rPr>
        <w:t>13914</w:t>
      </w:r>
      <w:r>
        <w:rPr>
          <w:rFonts w:hint="default" w:ascii="Times New Roman" w:hAnsi="Times New Roman" w:eastAsia="宋体" w:cs="Times New Roman"/>
          <w:snapToGrid w:val="0"/>
          <w:color w:val="auto"/>
          <w:sz w:val="24"/>
          <w:szCs w:val="24"/>
          <w:highlight w:val="none"/>
        </w:rPr>
        <w:t>亩。</w:t>
      </w:r>
      <w:r>
        <w:rPr>
          <w:rFonts w:hint="default" w:ascii="Times New Roman" w:hAnsi="Times New Roman" w:eastAsia="宋体" w:cs="Times New Roman"/>
          <w:snapToGrid w:val="0"/>
          <w:color w:val="auto"/>
          <w:sz w:val="24"/>
          <w:szCs w:val="24"/>
          <w:highlight w:val="none"/>
          <w:lang w:val="en-US" w:eastAsia="zh-CN"/>
        </w:rPr>
        <w:t>企业签订粪污消纳土地协议，粪污消纳土地面积</w:t>
      </w:r>
      <w:r>
        <w:rPr>
          <w:rFonts w:hint="eastAsia" w:ascii="Times New Roman" w:hAnsi="Times New Roman" w:cs="Times New Roman"/>
          <w:snapToGrid w:val="0"/>
          <w:color w:val="auto"/>
          <w:sz w:val="24"/>
          <w:szCs w:val="24"/>
          <w:highlight w:val="none"/>
          <w:lang w:val="en-US" w:eastAsia="zh-CN"/>
        </w:rPr>
        <w:t>15130亩</w:t>
      </w:r>
      <w:r>
        <w:rPr>
          <w:rFonts w:hint="default" w:ascii="Times New Roman" w:hAnsi="Times New Roman" w:eastAsia="宋体"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lang w:val="en-US" w:eastAsia="zh-CN"/>
        </w:rPr>
        <w:t>能够满足本项目粪污消纳需求。</w:t>
      </w:r>
      <w:r>
        <w:rPr>
          <w:rFonts w:hint="default" w:ascii="Times New Roman" w:hAnsi="Times New Roman" w:eastAsia="宋体" w:cs="Times New Roman"/>
          <w:snapToGrid w:val="0"/>
          <w:color w:val="auto"/>
          <w:sz w:val="24"/>
          <w:szCs w:val="24"/>
          <w:highlight w:val="none"/>
        </w:rPr>
        <w:t>从土地消纳容量角度分析，项目运营产生的</w:t>
      </w:r>
      <w:r>
        <w:rPr>
          <w:rFonts w:hint="eastAsia" w:ascii="Times New Roman" w:hAnsi="Times New Roman" w:cs="Times New Roman"/>
          <w:snapToGrid w:val="0"/>
          <w:color w:val="auto"/>
          <w:sz w:val="24"/>
          <w:szCs w:val="24"/>
          <w:highlight w:val="none"/>
          <w:lang w:eastAsia="zh-CN"/>
        </w:rPr>
        <w:t>粪污</w:t>
      </w:r>
      <w:r>
        <w:rPr>
          <w:rFonts w:hint="default" w:ascii="Times New Roman" w:hAnsi="Times New Roman" w:eastAsia="宋体" w:cs="Times New Roman"/>
          <w:snapToGrid w:val="0"/>
          <w:color w:val="auto"/>
          <w:sz w:val="24"/>
          <w:szCs w:val="24"/>
          <w:highlight w:val="none"/>
        </w:rPr>
        <w:t>用于农田施肥，具有土地消纳可行性。固肥在施肥季节（</w:t>
      </w:r>
      <w:r>
        <w:rPr>
          <w:rFonts w:hint="eastAsia" w:ascii="Times New Roman" w:hAnsi="Times New Roman" w:cs="Times New Roman"/>
          <w:snapToGrid w:val="0"/>
          <w:color w:val="auto"/>
          <w:sz w:val="24"/>
          <w:szCs w:val="24"/>
          <w:highlight w:val="none"/>
          <w:lang w:eastAsia="zh-CN"/>
        </w:rPr>
        <w:t>4月及10月</w:t>
      </w:r>
      <w:r>
        <w:rPr>
          <w:rFonts w:hint="default" w:ascii="Times New Roman" w:hAnsi="Times New Roman" w:eastAsia="宋体" w:cs="Times New Roman"/>
          <w:snapToGrid w:val="0"/>
          <w:color w:val="auto"/>
          <w:sz w:val="24"/>
          <w:szCs w:val="24"/>
          <w:highlight w:val="none"/>
        </w:rPr>
        <w:t>）采用固体抛洒车施肥。</w:t>
      </w:r>
      <w:r>
        <w:rPr>
          <w:rFonts w:hint="default" w:ascii="Times New Roman" w:hAnsi="Times New Roman" w:eastAsia="宋体" w:cs="Times New Roman"/>
          <w:snapToGrid w:val="0"/>
          <w:color w:val="auto"/>
          <w:sz w:val="24"/>
          <w:szCs w:val="24"/>
          <w:highlight w:val="none"/>
          <w:lang w:val="en-US" w:eastAsia="zh-CN"/>
        </w:rPr>
        <w:t>消纳土地分布在</w:t>
      </w:r>
      <w:r>
        <w:rPr>
          <w:rFonts w:hint="eastAsia" w:ascii="Times New Roman" w:hAnsi="Times New Roman" w:cs="Times New Roman"/>
          <w:snapToGrid w:val="0"/>
          <w:color w:val="auto"/>
          <w:highlight w:val="none"/>
          <w:lang w:eastAsia="zh-CN"/>
        </w:rPr>
        <w:t>团结村</w:t>
      </w:r>
      <w:r>
        <w:rPr>
          <w:rFonts w:hint="default" w:ascii="Times New Roman" w:hAnsi="Times New Roman" w:eastAsia="宋体" w:cs="Times New Roman"/>
          <w:snapToGrid w:val="0"/>
          <w:color w:val="auto"/>
          <w:highlight w:val="none"/>
          <w:lang w:val="en-US" w:eastAsia="zh-CN"/>
        </w:rPr>
        <w:t>周围，</w:t>
      </w:r>
      <w:r>
        <w:rPr>
          <w:rFonts w:hint="default" w:ascii="Times New Roman" w:hAnsi="Times New Roman" w:eastAsia="宋体" w:cs="Times New Roman"/>
          <w:snapToGrid w:val="0"/>
          <w:color w:val="auto"/>
          <w:sz w:val="24"/>
          <w:szCs w:val="24"/>
          <w:highlight w:val="none"/>
        </w:rPr>
        <w:t>粪污消纳区域远离饮用水井和保护区，避免生物肥淋溶入地下水对饮用水造成污染，远离地表水体，避免对周边环境造成影响。</w:t>
      </w:r>
    </w:p>
    <w:p w14:paraId="0CA1DC00">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利用及实施方案</w:t>
      </w:r>
    </w:p>
    <w:p w14:paraId="08BBC17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项目所处地，常年以玉米为主。本项目四周紧邻大面积耕地作为本项目消纳土地。</w:t>
      </w:r>
      <w:r>
        <w:rPr>
          <w:rFonts w:hint="default" w:ascii="Times New Roman" w:hAnsi="Times New Roman" w:eastAsia="宋体" w:cs="Times New Roman"/>
          <w:color w:val="auto"/>
          <w:sz w:val="24"/>
          <w:szCs w:val="24"/>
          <w:highlight w:val="none"/>
          <w:lang w:val="en-US" w:eastAsia="zh-CN"/>
        </w:rPr>
        <w:t>本项目粪污与农户签订粪污消纳协议，</w:t>
      </w:r>
      <w:r>
        <w:rPr>
          <w:rFonts w:hint="eastAsia" w:ascii="Times New Roman" w:hAnsi="Times New Roman" w:cs="Times New Roman"/>
          <w:color w:val="auto"/>
          <w:kern w:val="24"/>
          <w:highlight w:val="none"/>
          <w:lang w:val="en-US" w:eastAsia="zh-CN"/>
        </w:rPr>
        <w:t>沼液和固体粪污由企业定期安排</w:t>
      </w:r>
      <w:r>
        <w:rPr>
          <w:rFonts w:hint="default" w:ascii="Times New Roman" w:hAnsi="Times New Roman" w:cs="Times New Roman"/>
          <w:color w:val="auto"/>
          <w:kern w:val="24"/>
          <w:highlight w:val="none"/>
        </w:rPr>
        <w:t>罐车</w:t>
      </w:r>
      <w:r>
        <w:rPr>
          <w:rFonts w:hint="eastAsia" w:ascii="Times New Roman" w:hAnsi="Times New Roman" w:cs="Times New Roman"/>
          <w:color w:val="auto"/>
          <w:kern w:val="24"/>
          <w:highlight w:val="none"/>
          <w:lang w:val="en-US" w:eastAsia="zh-CN"/>
        </w:rPr>
        <w:t>及固体抛洒车进行拉运，施肥期罐车</w:t>
      </w:r>
      <w:r>
        <w:rPr>
          <w:rFonts w:hint="default" w:ascii="Times New Roman" w:hAnsi="Times New Roman" w:cs="Times New Roman"/>
          <w:color w:val="auto"/>
          <w:kern w:val="24"/>
          <w:highlight w:val="none"/>
        </w:rPr>
        <w:t>将沼液运至农田，用临时管线施肥，施肥完毕后将临时管线收回。</w:t>
      </w:r>
      <w:r>
        <w:rPr>
          <w:rFonts w:hint="default" w:ascii="Times New Roman" w:hAnsi="Times New Roman" w:eastAsia="宋体" w:cs="Times New Roman"/>
          <w:snapToGrid w:val="0"/>
          <w:color w:val="auto"/>
          <w:kern w:val="0"/>
          <w:sz w:val="24"/>
          <w:szCs w:val="24"/>
          <w:highlight w:val="none"/>
          <w:lang w:val="en-US" w:eastAsia="zh-CN" w:bidi="ar-SA"/>
        </w:rPr>
        <w:t>固态粪污采用固体抛洒车施肥</w:t>
      </w:r>
      <w:r>
        <w:rPr>
          <w:rFonts w:hint="default" w:ascii="Times New Roman" w:hAnsi="Times New Roman" w:eastAsia="宋体" w:cs="Times New Roman"/>
          <w:color w:val="auto"/>
          <w:sz w:val="24"/>
          <w:szCs w:val="24"/>
          <w:highlight w:val="none"/>
          <w:lang w:val="en-US" w:eastAsia="zh-CN"/>
        </w:rPr>
        <w:t>。结合当地施肥规律，建议粪污施用规律为用作基肥和底肥。</w:t>
      </w:r>
      <w:r>
        <w:rPr>
          <w:rFonts w:hint="eastAsia" w:ascii="Times New Roman" w:hAnsi="Times New Roman" w:cs="Times New Roman"/>
          <w:color w:val="auto"/>
          <w:sz w:val="24"/>
          <w:szCs w:val="24"/>
          <w:highlight w:val="none"/>
          <w:lang w:val="en-US" w:eastAsia="zh-CN"/>
        </w:rPr>
        <w:t>施肥期平均每天每户拉运8次</w:t>
      </w:r>
      <w:r>
        <w:rPr>
          <w:rFonts w:hint="default" w:ascii="Times New Roman" w:hAnsi="Times New Roman" w:eastAsia="宋体" w:cs="Times New Roman"/>
          <w:color w:val="auto"/>
          <w:sz w:val="24"/>
          <w:szCs w:val="24"/>
          <w:highlight w:val="none"/>
          <w:lang w:val="en-US" w:eastAsia="zh-CN"/>
        </w:rPr>
        <w:t>，抛洒施肥，约2</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天内施用完毕</w:t>
      </w:r>
      <w:r>
        <w:rPr>
          <w:rFonts w:hint="default" w:ascii="Times New Roman" w:hAnsi="Times New Roman" w:eastAsia="宋体" w:cs="Times New Roman"/>
          <w:color w:val="auto"/>
          <w:sz w:val="24"/>
          <w:szCs w:val="24"/>
          <w:highlight w:val="none"/>
        </w:rPr>
        <w:t>。</w:t>
      </w:r>
    </w:p>
    <w:p w14:paraId="64395078">
      <w:pPr>
        <w:pStyle w:val="8"/>
        <w:bidi w:val="0"/>
        <w:rPr>
          <w:rFonts w:hint="default"/>
          <w:highlight w:val="none"/>
        </w:rPr>
      </w:pPr>
      <w:bookmarkStart w:id="996" w:name="_Toc31488"/>
      <w:bookmarkStart w:id="997" w:name="_Toc859"/>
      <w:r>
        <w:rPr>
          <w:rFonts w:hint="default"/>
          <w:highlight w:val="none"/>
        </w:rPr>
        <w:t>6.2.5.2病死</w:t>
      </w:r>
      <w:r>
        <w:rPr>
          <w:rFonts w:hint="default"/>
          <w:highlight w:val="none"/>
          <w:lang w:eastAsia="zh-CN"/>
        </w:rPr>
        <w:t>猪及胎盘</w:t>
      </w:r>
      <w:bookmarkEnd w:id="996"/>
      <w:bookmarkEnd w:id="997"/>
    </w:p>
    <w:p w14:paraId="56442597">
      <w:pPr>
        <w:pStyle w:val="94"/>
        <w:ind w:firstLine="480"/>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val="en-US" w:eastAsia="zh-CN" w:bidi="ar"/>
        </w:rPr>
        <w:t>在项目营运期间产生的病死猪只分正常死亡和意外死亡两种，对于不同死亡方式产生的猪只，应严格按照《黑龙江省动物防疫条例》采取不同的对策及时处理</w:t>
      </w:r>
      <w:r>
        <w:rPr>
          <w:rFonts w:hint="eastAsia" w:ascii="Times New Roman" w:hAnsi="Times New Roman" w:cs="Times New Roman"/>
          <w:color w:val="auto"/>
          <w:sz w:val="24"/>
          <w:highlight w:val="none"/>
          <w:lang w:val="en-US" w:eastAsia="zh-CN" w:bidi="ar"/>
        </w:rPr>
        <w:t>冷冻（冰箱）</w:t>
      </w:r>
      <w:r>
        <w:rPr>
          <w:rFonts w:hint="default" w:ascii="Times New Roman" w:hAnsi="Times New Roman" w:eastAsia="宋体" w:cs="Times New Roman"/>
          <w:color w:val="auto"/>
          <w:sz w:val="24"/>
          <w:highlight w:val="none"/>
          <w:lang w:val="en-US" w:eastAsia="zh-CN" w:bidi="ar"/>
        </w:rPr>
        <w:t>，严禁随意丢弃。根据《畜禽养殖业污染治理工程技术规范》（HJ497-2009）和《畜禽养殖业污染防治技术规范》（HJ/T81-2001）要求，病死尸体要及时处理，严禁随意丢弃，严禁出售或者作为饲料利用。</w:t>
      </w:r>
    </w:p>
    <w:p w14:paraId="54BE1495">
      <w:pPr>
        <w:pStyle w:val="94"/>
        <w:ind w:firstLine="480"/>
        <w:rPr>
          <w:rFonts w:hint="default" w:ascii="Times New Roman" w:hAnsi="Times New Roman" w:eastAsia="宋体" w:cs="Times New Roman"/>
          <w:color w:val="auto"/>
          <w:sz w:val="24"/>
          <w:highlight w:val="none"/>
          <w:lang w:val="en-US" w:eastAsia="zh-CN" w:bidi="ar"/>
        </w:rPr>
      </w:pPr>
      <w:r>
        <w:rPr>
          <w:rFonts w:hint="default" w:ascii="Times New Roman" w:hAnsi="Times New Roman" w:eastAsia="宋体" w:cs="Times New Roman"/>
          <w:color w:val="auto"/>
          <w:sz w:val="24"/>
          <w:highlight w:val="none"/>
          <w:lang w:val="en-US" w:eastAsia="zh-CN" w:bidi="ar"/>
        </w:rPr>
        <w:t>本项目严格按照病死猪的管理安全要求进行全过程管理。一旦发生疫情，应立即组成防疫小组，尽快做出确切诊断，迅速向有关上级部门报告疫情。迅速隔离病猪，对危害较重的传染病应及时划区封锁，建立封锁带，出入人员和车辆要严格消毒，同时严格消毒污染环境。解除封锁的条件是在最后一只病猪痊愈再无新病例出现，经过全面大消毒，报上级主管部门批准，方可解除封锁。</w:t>
      </w:r>
    </w:p>
    <w:p w14:paraId="190E9AF7">
      <w:pPr>
        <w:pStyle w:val="94"/>
        <w:ind w:firstLine="480"/>
        <w:rPr>
          <w:rFonts w:hint="default" w:ascii="Times New Roman" w:hAnsi="Times New Roman" w:cs="Times New Roman"/>
          <w:color w:val="auto"/>
          <w:sz w:val="24"/>
          <w:highlight w:val="none"/>
          <w:lang w:val="en-US" w:eastAsia="zh-CN" w:bidi="ar"/>
        </w:rPr>
      </w:pPr>
      <w:r>
        <w:rPr>
          <w:rFonts w:hint="eastAsia" w:ascii="Times New Roman" w:hAnsi="Times New Roman" w:cs="Times New Roman"/>
          <w:color w:val="auto"/>
          <w:sz w:val="24"/>
          <w:highlight w:val="none"/>
          <w:lang w:val="en-US" w:eastAsia="zh-CN" w:bidi="ar"/>
        </w:rPr>
        <w:t>鸡西市境域内</w:t>
      </w:r>
      <w:r>
        <w:rPr>
          <w:rFonts w:hint="default" w:ascii="Times New Roman" w:hAnsi="Times New Roman" w:cs="Times New Roman"/>
          <w:color w:val="auto"/>
          <w:sz w:val="24"/>
          <w:highlight w:val="none"/>
          <w:lang w:val="en-US" w:eastAsia="zh-CN" w:bidi="ar"/>
        </w:rPr>
        <w:t>病死畜禽均委托</w:t>
      </w:r>
      <w:r>
        <w:rPr>
          <w:rFonts w:hint="eastAsia" w:ascii="Times New Roman" w:hAnsi="Times New Roman" w:cs="Times New Roman"/>
          <w:color w:val="auto"/>
          <w:sz w:val="24"/>
          <w:highlight w:val="none"/>
          <w:lang w:val="en-US" w:eastAsia="zh-CN" w:bidi="ar"/>
        </w:rPr>
        <w:t>鸡西市鑫农源固废处理有限公司</w:t>
      </w:r>
      <w:r>
        <w:rPr>
          <w:rFonts w:hint="default" w:ascii="Times New Roman" w:hAnsi="Times New Roman" w:eastAsia="宋体" w:cs="Times New Roman"/>
          <w:color w:val="auto"/>
          <w:sz w:val="24"/>
          <w:highlight w:val="none"/>
          <w:lang w:val="en-US" w:eastAsia="zh-CN" w:bidi="ar"/>
        </w:rPr>
        <w:t>进行无害化处理</w:t>
      </w:r>
      <w:r>
        <w:rPr>
          <w:rFonts w:hint="default" w:ascii="Times New Roman" w:hAnsi="Times New Roman" w:cs="Times New Roman"/>
          <w:color w:val="auto"/>
          <w:sz w:val="24"/>
          <w:highlight w:val="none"/>
          <w:lang w:val="en-US" w:eastAsia="zh-CN" w:bidi="ar"/>
        </w:rPr>
        <w:t>。本项目一旦发现病死猪直接拉运走，不在场内暂存。病死猪及胎盘委托</w:t>
      </w:r>
      <w:r>
        <w:rPr>
          <w:rFonts w:hint="eastAsia" w:ascii="Times New Roman" w:hAnsi="Times New Roman" w:cs="Times New Roman"/>
          <w:color w:val="auto"/>
          <w:sz w:val="24"/>
          <w:highlight w:val="none"/>
          <w:lang w:val="en-US" w:eastAsia="zh-CN" w:bidi="ar"/>
        </w:rPr>
        <w:t>鸡西市鑫农源固废处理有限公司进行无害化集中处理</w:t>
      </w:r>
      <w:r>
        <w:rPr>
          <w:rFonts w:hint="default" w:ascii="Times New Roman" w:hAnsi="Times New Roman" w:cs="Times New Roman"/>
          <w:color w:val="auto"/>
          <w:sz w:val="24"/>
          <w:highlight w:val="none"/>
          <w:lang w:val="en-US" w:eastAsia="zh-CN" w:bidi="ar"/>
        </w:rPr>
        <w:t>（具体协议见附件）。</w:t>
      </w:r>
    </w:p>
    <w:p w14:paraId="31F921B4">
      <w:pPr>
        <w:pStyle w:val="94"/>
        <w:ind w:firstLine="480"/>
        <w:rPr>
          <w:rFonts w:hint="default" w:ascii="Times New Roman" w:hAnsi="Times New Roman" w:cs="Times New Roman"/>
          <w:color w:val="auto"/>
          <w:sz w:val="24"/>
          <w:highlight w:val="none"/>
          <w:lang w:val="en-US" w:eastAsia="zh-CN" w:bidi="ar"/>
        </w:rPr>
      </w:pPr>
      <w:r>
        <w:rPr>
          <w:rFonts w:hint="default" w:ascii="Times New Roman" w:hAnsi="Times New Roman" w:cs="Times New Roman"/>
          <w:color w:val="auto"/>
          <w:sz w:val="24"/>
          <w:highlight w:val="none"/>
          <w:lang w:val="en-US" w:eastAsia="zh-CN" w:bidi="ar"/>
        </w:rPr>
        <w:t>依托可行性：</w:t>
      </w:r>
      <w:r>
        <w:rPr>
          <w:rFonts w:hint="eastAsia" w:ascii="Times New Roman" w:hAnsi="Times New Roman" w:cs="Times New Roman"/>
          <w:color w:val="auto"/>
          <w:sz w:val="24"/>
          <w:highlight w:val="none"/>
          <w:lang w:val="en-US" w:eastAsia="zh-CN" w:bidi="ar"/>
        </w:rPr>
        <w:t>鸡西市鑫农源固废处理有限公司</w:t>
      </w:r>
      <w:r>
        <w:rPr>
          <w:rFonts w:hint="default" w:ascii="Times New Roman" w:hAnsi="Times New Roman" w:cs="Times New Roman"/>
          <w:color w:val="auto"/>
          <w:sz w:val="24"/>
          <w:highlight w:val="none"/>
          <w:lang w:val="en-US" w:eastAsia="zh-CN" w:bidi="ar"/>
        </w:rPr>
        <w:t>投资</w:t>
      </w:r>
      <w:r>
        <w:rPr>
          <w:rFonts w:hint="eastAsia" w:ascii="Times New Roman" w:hAnsi="Times New Roman" w:cs="Times New Roman"/>
          <w:color w:val="auto"/>
          <w:sz w:val="24"/>
          <w:highlight w:val="none"/>
          <w:lang w:val="en-US" w:eastAsia="zh-CN" w:bidi="ar"/>
        </w:rPr>
        <w:t>10</w:t>
      </w:r>
      <w:r>
        <w:rPr>
          <w:rFonts w:hint="default" w:ascii="Times New Roman" w:hAnsi="Times New Roman" w:cs="Times New Roman"/>
          <w:color w:val="auto"/>
          <w:sz w:val="24"/>
          <w:highlight w:val="none"/>
          <w:lang w:val="en-US" w:eastAsia="zh-CN" w:bidi="ar"/>
        </w:rPr>
        <w:t>00万元在</w:t>
      </w:r>
      <w:r>
        <w:rPr>
          <w:rFonts w:hint="eastAsia" w:ascii="Times New Roman" w:hAnsi="Times New Roman" w:cs="Times New Roman"/>
          <w:color w:val="auto"/>
          <w:sz w:val="24"/>
          <w:highlight w:val="none"/>
          <w:lang w:val="en-US" w:eastAsia="zh-CN" w:bidi="ar"/>
        </w:rPr>
        <w:t>鸡西市恒山区</w:t>
      </w:r>
      <w:r>
        <w:rPr>
          <w:rFonts w:hint="default" w:ascii="Times New Roman" w:hAnsi="Times New Roman" w:cs="Times New Roman"/>
          <w:color w:val="auto"/>
          <w:sz w:val="24"/>
          <w:highlight w:val="none"/>
          <w:lang w:val="en-US" w:eastAsia="zh-CN" w:bidi="ar"/>
        </w:rPr>
        <w:t>建设1个病死畜禽无害化处理中心，设计处理病死动物量为</w:t>
      </w:r>
      <w:r>
        <w:rPr>
          <w:rFonts w:hint="eastAsia" w:ascii="Times New Roman" w:hAnsi="Times New Roman" w:cs="Times New Roman"/>
          <w:color w:val="auto"/>
          <w:sz w:val="24"/>
          <w:highlight w:val="none"/>
          <w:lang w:val="en-US" w:eastAsia="zh-CN" w:bidi="ar"/>
        </w:rPr>
        <w:t>8</w:t>
      </w:r>
      <w:r>
        <w:rPr>
          <w:rFonts w:hint="default" w:ascii="Times New Roman" w:hAnsi="Times New Roman" w:cs="Times New Roman"/>
          <w:color w:val="auto"/>
          <w:sz w:val="24"/>
          <w:highlight w:val="none"/>
          <w:lang w:val="en-US" w:eastAsia="zh-CN" w:bidi="ar"/>
        </w:rPr>
        <w:t>t/d，该项目采用“高温化制灭菌脱水”干化工艺，此工艺具有自动化程度高、防疫等级高、应急处理能力强、收集体系信息化、资源利用率高等特点。后续产生的“肉骨粉”可作为有机肥料或宠物饲料；动物油脂可用于制作生物质燃油或工业润滑油。该项目位于</w:t>
      </w:r>
      <w:r>
        <w:rPr>
          <w:rFonts w:hint="eastAsia" w:ascii="Times New Roman" w:hAnsi="Times New Roman" w:cs="Times New Roman"/>
          <w:color w:val="auto"/>
          <w:sz w:val="24"/>
          <w:highlight w:val="none"/>
          <w:lang w:val="en-US" w:eastAsia="zh-CN" w:bidi="ar"/>
        </w:rPr>
        <w:t>鸡西市恒山区</w:t>
      </w:r>
      <w:r>
        <w:rPr>
          <w:rFonts w:hint="default" w:ascii="Times New Roman" w:hAnsi="Times New Roman" w:cs="Times New Roman"/>
          <w:color w:val="auto"/>
          <w:sz w:val="24"/>
          <w:highlight w:val="none"/>
          <w:lang w:val="en-US" w:eastAsia="zh-CN" w:bidi="ar"/>
        </w:rPr>
        <w:t>，已经取得</w:t>
      </w:r>
      <w:r>
        <w:rPr>
          <w:rFonts w:hint="eastAsia" w:ascii="Times New Roman" w:hAnsi="Times New Roman" w:cs="Times New Roman"/>
          <w:color w:val="auto"/>
          <w:sz w:val="24"/>
          <w:highlight w:val="none"/>
          <w:lang w:val="en-US" w:eastAsia="zh-CN" w:bidi="ar"/>
        </w:rPr>
        <w:t>鸡西</w:t>
      </w:r>
      <w:r>
        <w:rPr>
          <w:rFonts w:hint="default" w:ascii="Times New Roman" w:hAnsi="Times New Roman" w:cs="Times New Roman"/>
          <w:color w:val="auto"/>
          <w:sz w:val="24"/>
          <w:highlight w:val="none"/>
          <w:lang w:val="en-US" w:eastAsia="zh-CN" w:bidi="ar"/>
        </w:rPr>
        <w:t>市生态环境局</w:t>
      </w:r>
      <w:r>
        <w:rPr>
          <w:rFonts w:hint="eastAsia" w:ascii="Times New Roman" w:hAnsi="Times New Roman" w:cs="Times New Roman"/>
          <w:color w:val="auto"/>
          <w:sz w:val="24"/>
          <w:highlight w:val="none"/>
          <w:lang w:val="en-US" w:eastAsia="zh-CN" w:bidi="ar"/>
        </w:rPr>
        <w:t>环评批复</w:t>
      </w:r>
      <w:r>
        <w:rPr>
          <w:rFonts w:hint="default" w:ascii="Times New Roman" w:hAnsi="Times New Roman" w:cs="Times New Roman"/>
          <w:color w:val="auto"/>
          <w:sz w:val="24"/>
          <w:highlight w:val="none"/>
          <w:lang w:val="en-US" w:eastAsia="zh-CN" w:bidi="ar"/>
        </w:rPr>
        <w:t>，</w:t>
      </w:r>
      <w:r>
        <w:rPr>
          <w:rFonts w:hint="eastAsia" w:ascii="Times New Roman" w:hAnsi="Times New Roman" w:cs="Times New Roman"/>
          <w:color w:val="auto"/>
          <w:sz w:val="24"/>
          <w:highlight w:val="none"/>
          <w:lang w:val="en-US" w:eastAsia="zh-CN" w:bidi="ar"/>
        </w:rPr>
        <w:t>并取得环保验收</w:t>
      </w:r>
      <w:r>
        <w:rPr>
          <w:rFonts w:hint="default" w:ascii="Times New Roman" w:hAnsi="Times New Roman" w:cs="Times New Roman"/>
          <w:color w:val="auto"/>
          <w:sz w:val="24"/>
          <w:highlight w:val="none"/>
          <w:lang w:val="en-US" w:eastAsia="zh-CN" w:bidi="ar"/>
        </w:rPr>
        <w:t>。</w:t>
      </w:r>
    </w:p>
    <w:p w14:paraId="329B4D4D">
      <w:pPr>
        <w:pStyle w:val="94"/>
        <w:ind w:firstLine="480"/>
        <w:rPr>
          <w:rFonts w:hint="default" w:ascii="Times New Roman" w:hAnsi="Times New Roman" w:eastAsia="宋体" w:cs="Times New Roman"/>
          <w:color w:val="auto"/>
          <w:sz w:val="24"/>
          <w:highlight w:val="none"/>
          <w:lang w:val="en-US" w:eastAsia="zh-CN" w:bidi="ar"/>
        </w:rPr>
      </w:pPr>
      <w:r>
        <w:rPr>
          <w:rFonts w:hint="eastAsia" w:ascii="Times New Roman" w:hAnsi="Times New Roman" w:cs="Times New Roman"/>
          <w:sz w:val="24"/>
          <w:szCs w:val="24"/>
          <w:highlight w:val="none"/>
          <w:lang w:val="en-US" w:eastAsia="zh-CN"/>
        </w:rPr>
        <w:t>密山市青辉禽畜养殖专业合作社</w:t>
      </w:r>
      <w:r>
        <w:rPr>
          <w:rFonts w:hint="default" w:ascii="Times New Roman" w:hAnsi="Times New Roman" w:cs="Times New Roman"/>
          <w:color w:val="auto"/>
          <w:sz w:val="24"/>
          <w:highlight w:val="none"/>
          <w:lang w:val="en-US" w:eastAsia="zh-CN" w:bidi="ar"/>
        </w:rPr>
        <w:t>与</w:t>
      </w:r>
      <w:r>
        <w:rPr>
          <w:rFonts w:hint="eastAsia" w:ascii="Times New Roman" w:hAnsi="Times New Roman" w:cs="Times New Roman"/>
          <w:color w:val="auto"/>
          <w:sz w:val="24"/>
          <w:highlight w:val="none"/>
          <w:lang w:val="en-US" w:eastAsia="zh-CN" w:bidi="ar"/>
        </w:rPr>
        <w:t>鸡西市鑫农源固废处理有限公司已</w:t>
      </w:r>
      <w:r>
        <w:rPr>
          <w:rFonts w:hint="default" w:ascii="Times New Roman" w:hAnsi="Times New Roman" w:cs="Times New Roman"/>
          <w:color w:val="auto"/>
          <w:sz w:val="24"/>
          <w:highlight w:val="none"/>
          <w:lang w:val="en-US" w:eastAsia="zh-CN" w:bidi="ar"/>
        </w:rPr>
        <w:t>签订无害化处理合作协议，见附件，本项目病死猪、胎盘的产生量为</w:t>
      </w:r>
      <w:r>
        <w:rPr>
          <w:rFonts w:hint="eastAsia" w:ascii="Times New Roman" w:hAnsi="Times New Roman" w:cs="Times New Roman"/>
          <w:color w:val="auto"/>
          <w:sz w:val="24"/>
          <w:highlight w:val="none"/>
          <w:lang w:val="en-US" w:eastAsia="zh-CN" w:bidi="ar"/>
        </w:rPr>
        <w:t>7.38</w:t>
      </w:r>
      <w:r>
        <w:rPr>
          <w:rFonts w:hint="default" w:ascii="Times New Roman" w:hAnsi="Times New Roman" w:cs="Times New Roman"/>
          <w:color w:val="auto"/>
          <w:sz w:val="24"/>
          <w:highlight w:val="none"/>
          <w:lang w:val="en-US" w:eastAsia="zh-CN" w:bidi="ar"/>
        </w:rPr>
        <w:t>t/</w:t>
      </w:r>
      <w:r>
        <w:rPr>
          <w:rFonts w:hint="eastAsia" w:ascii="Times New Roman" w:hAnsi="Times New Roman" w:cs="Times New Roman"/>
          <w:color w:val="auto"/>
          <w:sz w:val="24"/>
          <w:highlight w:val="none"/>
          <w:lang w:val="en-US" w:eastAsia="zh-CN" w:bidi="ar"/>
        </w:rPr>
        <w:t>a</w:t>
      </w:r>
      <w:r>
        <w:rPr>
          <w:rFonts w:hint="default" w:ascii="Times New Roman" w:hAnsi="Times New Roman" w:cs="Times New Roman"/>
          <w:color w:val="auto"/>
          <w:sz w:val="24"/>
          <w:highlight w:val="none"/>
          <w:lang w:val="en-US" w:eastAsia="zh-CN" w:bidi="ar"/>
        </w:rPr>
        <w:t>，在其处理能力范围内，故将项目产生的</w:t>
      </w:r>
      <w:r>
        <w:rPr>
          <w:rFonts w:hint="eastAsia" w:ascii="Times New Roman" w:hAnsi="Times New Roman" w:cs="Times New Roman"/>
          <w:color w:val="auto"/>
          <w:sz w:val="24"/>
          <w:highlight w:val="none"/>
          <w:lang w:val="en-US" w:eastAsia="zh-CN" w:bidi="ar"/>
        </w:rPr>
        <w:t>病死猪及胎盘委托鸡西市鑫农源固废处理有限公司进行无害化集中处理，</w:t>
      </w:r>
      <w:r>
        <w:rPr>
          <w:rFonts w:hint="default" w:ascii="Times New Roman" w:hAnsi="Times New Roman" w:cs="Times New Roman"/>
          <w:color w:val="auto"/>
          <w:sz w:val="24"/>
          <w:highlight w:val="none"/>
          <w:lang w:val="en-US" w:eastAsia="zh-CN" w:bidi="ar"/>
        </w:rPr>
        <w:t>一旦发现病死猪直接拉运走，不在场内暂存</w:t>
      </w:r>
      <w:r>
        <w:rPr>
          <w:rFonts w:hint="eastAsia" w:ascii="Times New Roman" w:hAnsi="Times New Roman" w:cs="Times New Roman"/>
          <w:color w:val="auto"/>
          <w:sz w:val="24"/>
          <w:highlight w:val="none"/>
          <w:lang w:val="en-US" w:eastAsia="zh-CN" w:bidi="ar"/>
        </w:rPr>
        <w:t>。执行《病害动物和病害动物产品生物安全处理规程》（GB16548-2006）、《畜禽养殖业污染防治技术规范》（HJ/T81-2001）、《畜禽养殖业污染治理工程技术规范》（HJ497-2009）及《病死及病害动物无害化处理技术规范》（农业部，2017年7月3日）中相关规定。</w:t>
      </w:r>
    </w:p>
    <w:p w14:paraId="1A2F5A64">
      <w:pPr>
        <w:pStyle w:val="8"/>
        <w:bidi w:val="0"/>
        <w:rPr>
          <w:rFonts w:hint="eastAsia" w:eastAsia="宋体"/>
          <w:highlight w:val="none"/>
          <w:lang w:eastAsia="zh-CN"/>
        </w:rPr>
      </w:pPr>
      <w:bookmarkStart w:id="998" w:name="_Toc26219"/>
      <w:bookmarkStart w:id="999" w:name="_Toc11181"/>
      <w:r>
        <w:rPr>
          <w:rFonts w:hint="default"/>
          <w:highlight w:val="none"/>
        </w:rPr>
        <w:t>6.2.5.3</w:t>
      </w:r>
      <w:bookmarkEnd w:id="998"/>
      <w:bookmarkEnd w:id="999"/>
      <w:r>
        <w:rPr>
          <w:rFonts w:hint="eastAsia"/>
          <w:highlight w:val="none"/>
          <w:lang w:eastAsia="zh-CN"/>
        </w:rPr>
        <w:t>动物医疗废物</w:t>
      </w:r>
    </w:p>
    <w:p w14:paraId="0C5F026D">
      <w:pPr>
        <w:pStyle w:val="94"/>
        <w:ind w:firstLine="480"/>
        <w:rPr>
          <w:rFonts w:hint="default" w:ascii="Times New Roman" w:hAnsi="Times New Roman" w:cs="Times New Roman"/>
          <w:color w:val="auto"/>
          <w:szCs w:val="20"/>
          <w:highlight w:val="none"/>
        </w:rPr>
      </w:pPr>
      <w:r>
        <w:rPr>
          <w:rFonts w:hint="eastAsia" w:ascii="Times New Roman" w:hAnsi="Times New Roman" w:cs="Times New Roman"/>
          <w:snapToGrid w:val="0"/>
          <w:color w:val="auto"/>
          <w:highlight w:val="none"/>
          <w:lang w:eastAsia="zh-CN"/>
        </w:rPr>
        <w:t>动物医疗废物</w:t>
      </w:r>
      <w:r>
        <w:rPr>
          <w:rFonts w:hint="default" w:ascii="Times New Roman" w:hAnsi="Times New Roman" w:cs="Times New Roman"/>
          <w:snapToGrid w:val="0"/>
          <w:color w:val="auto"/>
          <w:highlight w:val="none"/>
        </w:rPr>
        <w:t>属于危险废物，类别HW01，代码</w:t>
      </w:r>
      <w:r>
        <w:rPr>
          <w:rFonts w:hint="default" w:ascii="Times New Roman" w:hAnsi="Times New Roman" w:cs="Times New Roman"/>
          <w:color w:val="auto"/>
          <w:highlight w:val="none"/>
        </w:rPr>
        <w:t>841-001-01</w:t>
      </w:r>
      <w:r>
        <w:rPr>
          <w:rFonts w:hint="default" w:ascii="Times New Roman" w:hAnsi="Times New Roman" w:cs="Times New Roman"/>
          <w:snapToGrid w:val="0"/>
          <w:color w:val="auto"/>
          <w:highlight w:val="none"/>
        </w:rPr>
        <w:t>，单独收集于医疗废物暂存间，交有资质单位处置，不得自行处置。</w:t>
      </w:r>
      <w:r>
        <w:rPr>
          <w:rFonts w:hint="default" w:ascii="Times New Roman" w:hAnsi="Times New Roman" w:cs="Times New Roman"/>
          <w:color w:val="auto"/>
          <w:szCs w:val="20"/>
          <w:highlight w:val="none"/>
        </w:rPr>
        <w:t>危险废物的贮存执行</w:t>
      </w:r>
      <w:r>
        <w:rPr>
          <w:rFonts w:hint="default" w:ascii="Times New Roman" w:hAnsi="Times New Roman" w:cs="Times New Roman"/>
          <w:color w:val="auto"/>
          <w:highlight w:val="none"/>
        </w:rPr>
        <w:t>《危险废物贮存污染控制标准》（GB 18597—2023）</w:t>
      </w:r>
      <w:r>
        <w:rPr>
          <w:rFonts w:hint="default" w:ascii="Times New Roman" w:hAnsi="Times New Roman" w:cs="Times New Roman"/>
          <w:color w:val="auto"/>
          <w:szCs w:val="20"/>
          <w:highlight w:val="none"/>
        </w:rPr>
        <w:t>的有关规定，收集、运输、包装等应符合《危险废物污染防治技术政策》中的有关规定。</w:t>
      </w:r>
    </w:p>
    <w:p w14:paraId="201D8096">
      <w:pPr>
        <w:spacing w:line="360" w:lineRule="auto"/>
        <w:ind w:firstLine="420"/>
        <w:jc w:val="both"/>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fldChar w:fldCharType="begin"/>
      </w:r>
      <w:r>
        <w:rPr>
          <w:rFonts w:hint="default" w:ascii="Times New Roman" w:hAnsi="Times New Roman" w:cs="Times New Roman"/>
          <w:color w:val="auto"/>
          <w:szCs w:val="20"/>
          <w:highlight w:val="none"/>
        </w:rPr>
        <w:instrText xml:space="preserve"> = 1 \* GB3 </w:instrText>
      </w:r>
      <w:r>
        <w:rPr>
          <w:rFonts w:hint="default" w:ascii="Times New Roman" w:hAnsi="Times New Roman" w:cs="Times New Roman"/>
          <w:color w:val="auto"/>
          <w:szCs w:val="20"/>
          <w:highlight w:val="none"/>
        </w:rPr>
        <w:fldChar w:fldCharType="separate"/>
      </w:r>
      <w:r>
        <w:rPr>
          <w:rFonts w:hint="default" w:ascii="Times New Roman" w:hAnsi="Times New Roman" w:cs="Times New Roman"/>
          <w:color w:val="auto"/>
          <w:szCs w:val="20"/>
          <w:highlight w:val="none"/>
        </w:rPr>
        <w:t>①</w:t>
      </w:r>
      <w:r>
        <w:rPr>
          <w:rFonts w:hint="default" w:ascii="Times New Roman" w:hAnsi="Times New Roman" w:cs="Times New Roman"/>
          <w:color w:val="auto"/>
          <w:szCs w:val="20"/>
          <w:highlight w:val="none"/>
        </w:rPr>
        <w:fldChar w:fldCharType="end"/>
      </w:r>
      <w:r>
        <w:rPr>
          <w:rFonts w:hint="eastAsia" w:ascii="Times New Roman" w:hAnsi="Times New Roman" w:cs="Times New Roman"/>
          <w:color w:val="auto"/>
          <w:szCs w:val="20"/>
          <w:highlight w:val="none"/>
          <w:lang w:eastAsia="zh-CN"/>
        </w:rPr>
        <w:t>动物医疗废物</w:t>
      </w:r>
      <w:r>
        <w:rPr>
          <w:rFonts w:hint="default" w:ascii="Times New Roman" w:hAnsi="Times New Roman" w:cs="Times New Roman"/>
          <w:color w:val="auto"/>
          <w:szCs w:val="20"/>
          <w:highlight w:val="none"/>
        </w:rPr>
        <w:t>暂存防治措施</w:t>
      </w:r>
    </w:p>
    <w:p w14:paraId="78CC8E3B">
      <w:pPr>
        <w:spacing w:line="360" w:lineRule="auto"/>
        <w:ind w:firstLine="420"/>
        <w:jc w:val="both"/>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本项目设置专门的医疗废物暂存间，用于</w:t>
      </w:r>
      <w:r>
        <w:rPr>
          <w:rFonts w:hint="eastAsia" w:ascii="Times New Roman" w:hAnsi="Times New Roman" w:cs="Times New Roman"/>
          <w:color w:val="auto"/>
          <w:szCs w:val="20"/>
          <w:highlight w:val="none"/>
          <w:lang w:eastAsia="zh-CN"/>
        </w:rPr>
        <w:t>动物医疗废物</w:t>
      </w:r>
      <w:r>
        <w:rPr>
          <w:rFonts w:hint="default" w:ascii="Times New Roman" w:hAnsi="Times New Roman" w:cs="Times New Roman"/>
          <w:color w:val="auto"/>
          <w:szCs w:val="20"/>
          <w:highlight w:val="none"/>
        </w:rPr>
        <w:t>暂存。医疗废物暂存间的设置按照</w:t>
      </w:r>
      <w:r>
        <w:rPr>
          <w:rFonts w:hint="default" w:ascii="Times New Roman" w:hAnsi="Times New Roman" w:cs="Times New Roman"/>
          <w:color w:val="auto"/>
          <w:highlight w:val="none"/>
        </w:rPr>
        <w:t>《危险废物贮存污染控制标准》（GB 18597—2023）</w:t>
      </w:r>
      <w:r>
        <w:rPr>
          <w:rFonts w:hint="default" w:ascii="Times New Roman" w:hAnsi="Times New Roman" w:cs="Times New Roman"/>
          <w:color w:val="auto"/>
          <w:szCs w:val="20"/>
          <w:highlight w:val="none"/>
        </w:rPr>
        <w:t>的要求进行。医疗废物暂存间应采取防风、防雨、防晒、防渗、防漏和防止危险废物流失、扬散等措施。</w:t>
      </w:r>
    </w:p>
    <w:p w14:paraId="38894DF7">
      <w:pPr>
        <w:autoSpaceDN w:val="0"/>
        <w:snapToGrid w:val="0"/>
        <w:spacing w:line="360" w:lineRule="auto"/>
        <w:ind w:firstLine="480"/>
        <w:jc w:val="left"/>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本项目</w:t>
      </w:r>
      <w:r>
        <w:rPr>
          <w:rFonts w:hint="eastAsia" w:ascii="Times New Roman" w:hAnsi="Times New Roman" w:cs="Times New Roman"/>
          <w:color w:val="auto"/>
          <w:sz w:val="24"/>
          <w:highlight w:val="none"/>
          <w:lang w:eastAsia="zh-CN" w:bidi="ar"/>
        </w:rPr>
        <w:t>动物医疗废物</w:t>
      </w:r>
      <w:r>
        <w:rPr>
          <w:rFonts w:hint="default" w:ascii="Times New Roman" w:hAnsi="Times New Roman" w:eastAsia="宋体" w:cs="Times New Roman"/>
          <w:color w:val="auto"/>
          <w:sz w:val="24"/>
          <w:highlight w:val="none"/>
          <w:lang w:bidi="ar"/>
        </w:rPr>
        <w:t>产生量为</w:t>
      </w:r>
      <w:r>
        <w:rPr>
          <w:rFonts w:hint="eastAsia" w:ascii="Times New Roman" w:hAnsi="Times New Roman" w:cs="Times New Roman"/>
          <w:color w:val="auto"/>
          <w:sz w:val="24"/>
          <w:highlight w:val="none"/>
          <w:lang w:eastAsia="zh-CN" w:bidi="ar"/>
        </w:rPr>
        <w:t>0.9125</w:t>
      </w:r>
      <w:r>
        <w:rPr>
          <w:rFonts w:hint="default" w:ascii="Times New Roman" w:hAnsi="Times New Roman" w:eastAsia="宋体" w:cs="Times New Roman"/>
          <w:color w:val="auto"/>
          <w:sz w:val="24"/>
          <w:highlight w:val="none"/>
          <w:lang w:bidi="ar"/>
        </w:rPr>
        <w:t>t/a，医疗废物暂存间</w:t>
      </w:r>
      <w:r>
        <w:rPr>
          <w:rFonts w:hint="default" w:ascii="Times New Roman" w:hAnsi="Times New Roman" w:eastAsia="宋体" w:cs="Times New Roman"/>
          <w:color w:val="auto"/>
          <w:sz w:val="24"/>
          <w:highlight w:val="none"/>
          <w:lang w:val="en-US" w:eastAsia="zh-CN" w:bidi="ar"/>
        </w:rPr>
        <w:t>建筑</w:t>
      </w:r>
      <w:r>
        <w:rPr>
          <w:rFonts w:hint="default" w:ascii="Times New Roman" w:hAnsi="Times New Roman" w:eastAsia="宋体" w:cs="Times New Roman"/>
          <w:color w:val="auto"/>
          <w:sz w:val="24"/>
          <w:highlight w:val="none"/>
          <w:lang w:bidi="ar"/>
        </w:rPr>
        <w:t>面积</w:t>
      </w:r>
      <w:r>
        <w:rPr>
          <w:rFonts w:hint="eastAsia" w:ascii="Times New Roman" w:hAnsi="Times New Roman" w:cs="Times New Roman"/>
          <w:color w:val="auto"/>
          <w:sz w:val="24"/>
          <w:highlight w:val="none"/>
          <w:lang w:val="en-US" w:eastAsia="zh-CN" w:bidi="ar"/>
        </w:rPr>
        <w:t>20m</w:t>
      </w:r>
      <w:r>
        <w:rPr>
          <w:rFonts w:hint="default" w:ascii="Times New Roman" w:hAnsi="Times New Roman" w:eastAsia="宋体" w:cs="Times New Roman"/>
          <w:color w:val="auto"/>
          <w:sz w:val="24"/>
          <w:highlight w:val="none"/>
          <w:vertAlign w:val="superscript"/>
          <w:lang w:val="en-US" w:eastAsia="zh-CN" w:bidi="ar"/>
        </w:rPr>
        <w:t>2</w:t>
      </w:r>
      <w:r>
        <w:rPr>
          <w:rFonts w:hint="default" w:ascii="Times New Roman" w:hAnsi="Times New Roman" w:eastAsia="宋体" w:cs="Times New Roman"/>
          <w:color w:val="auto"/>
          <w:sz w:val="24"/>
          <w:highlight w:val="none"/>
          <w:lang w:bidi="ar"/>
        </w:rPr>
        <w:t>。根据《医疗废物管理条例》中的相关规定，本项目</w:t>
      </w:r>
      <w:r>
        <w:rPr>
          <w:rFonts w:hint="eastAsia" w:ascii="Times New Roman" w:hAnsi="Times New Roman" w:cs="Times New Roman"/>
          <w:color w:val="auto"/>
          <w:sz w:val="24"/>
          <w:highlight w:val="none"/>
          <w:lang w:eastAsia="zh-CN" w:bidi="ar"/>
        </w:rPr>
        <w:t>动物医疗废物</w:t>
      </w:r>
      <w:r>
        <w:rPr>
          <w:rFonts w:hint="default" w:ascii="Times New Roman" w:hAnsi="Times New Roman" w:eastAsia="宋体" w:cs="Times New Roman"/>
          <w:color w:val="auto"/>
          <w:sz w:val="24"/>
          <w:highlight w:val="none"/>
          <w:lang w:bidi="ar"/>
        </w:rPr>
        <w:t>产生后</w:t>
      </w:r>
      <w:r>
        <w:rPr>
          <w:rFonts w:hint="default" w:ascii="Times New Roman" w:hAnsi="Times New Roman" w:eastAsia="宋体" w:cs="Times New Roman"/>
          <w:color w:val="auto"/>
          <w:sz w:val="24"/>
          <w:highlight w:val="none"/>
          <w:lang w:val="en-US" w:eastAsia="zh-CN" w:bidi="ar"/>
        </w:rPr>
        <w:t>2</w:t>
      </w:r>
      <w:r>
        <w:rPr>
          <w:rFonts w:hint="default" w:ascii="Times New Roman" w:hAnsi="Times New Roman" w:eastAsia="宋体" w:cs="Times New Roman"/>
          <w:color w:val="auto"/>
          <w:sz w:val="24"/>
          <w:highlight w:val="none"/>
          <w:lang w:bidi="ar"/>
        </w:rPr>
        <w:t>天清运一次，最大储存量约为0.</w:t>
      </w:r>
      <w:r>
        <w:rPr>
          <w:rFonts w:hint="default" w:ascii="Times New Roman" w:hAnsi="Times New Roman" w:eastAsia="宋体" w:cs="Times New Roman"/>
          <w:color w:val="auto"/>
          <w:sz w:val="24"/>
          <w:highlight w:val="none"/>
          <w:lang w:val="en-US" w:eastAsia="zh-CN" w:bidi="ar"/>
        </w:rPr>
        <w:t>4</w:t>
      </w:r>
      <w:r>
        <w:rPr>
          <w:rFonts w:hint="default" w:ascii="Times New Roman" w:hAnsi="Times New Roman" w:eastAsia="宋体" w:cs="Times New Roman"/>
          <w:color w:val="auto"/>
          <w:sz w:val="24"/>
          <w:highlight w:val="none"/>
          <w:lang w:bidi="ar"/>
        </w:rPr>
        <w:t>t，项目医疗废物暂存间满足本项目动物防疫废弃物贮存需求。</w:t>
      </w:r>
    </w:p>
    <w:p w14:paraId="5ADB2A02">
      <w:pPr>
        <w:pStyle w:val="216"/>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表</w:t>
      </w:r>
      <w:r>
        <w:rPr>
          <w:rFonts w:hint="default" w:ascii="Times New Roman" w:hAnsi="Times New Roman" w:eastAsia="黑体" w:cs="Times New Roman"/>
          <w:b w:val="0"/>
          <w:bCs/>
          <w:smallCaps w:val="0"/>
          <w:snapToGrid/>
          <w:color w:val="auto"/>
          <w:kern w:val="2"/>
          <w:sz w:val="21"/>
          <w:szCs w:val="24"/>
          <w:highlight w:val="none"/>
          <w:lang w:val="zh-CN" w:eastAsia="zh-CN" w:bidi="ar-SA"/>
        </w:rPr>
        <w:t>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6  </w:t>
      </w:r>
      <w:r>
        <w:rPr>
          <w:rFonts w:hint="default" w:ascii="Times New Roman" w:hAnsi="Times New Roman" w:eastAsia="黑体" w:cs="Times New Roman"/>
          <w:b w:val="0"/>
          <w:bCs/>
          <w:smallCaps w:val="0"/>
          <w:snapToGrid/>
          <w:color w:val="auto"/>
          <w:kern w:val="2"/>
          <w:sz w:val="21"/>
          <w:szCs w:val="24"/>
          <w:highlight w:val="none"/>
          <w:lang w:val="zh-CN" w:eastAsia="zh-CN" w:bidi="ar-SA"/>
        </w:rPr>
        <w:t>建设项目危险废物贮存场所（设施）基本情况表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839"/>
        <w:gridCol w:w="792"/>
        <w:gridCol w:w="871"/>
        <w:gridCol w:w="1196"/>
        <w:gridCol w:w="792"/>
        <w:gridCol w:w="844"/>
        <w:gridCol w:w="792"/>
        <w:gridCol w:w="817"/>
        <w:gridCol w:w="793"/>
      </w:tblGrid>
      <w:tr w14:paraId="519E0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dxa"/>
            <w:tcBorders>
              <w:top w:val="single" w:color="auto" w:sz="12" w:space="0"/>
              <w:left w:val="nil"/>
            </w:tcBorders>
            <w:noWrap w:val="0"/>
            <w:vAlign w:val="center"/>
          </w:tcPr>
          <w:p w14:paraId="5533E9D4">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序号</w:t>
            </w:r>
          </w:p>
        </w:tc>
        <w:tc>
          <w:tcPr>
            <w:tcW w:w="898" w:type="dxa"/>
            <w:tcBorders>
              <w:top w:val="single" w:color="auto" w:sz="12" w:space="0"/>
            </w:tcBorders>
            <w:noWrap w:val="0"/>
            <w:vAlign w:val="center"/>
          </w:tcPr>
          <w:p w14:paraId="5B47659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贮存场所（设施）名称</w:t>
            </w:r>
          </w:p>
        </w:tc>
        <w:tc>
          <w:tcPr>
            <w:tcW w:w="898" w:type="dxa"/>
            <w:tcBorders>
              <w:top w:val="single" w:color="auto" w:sz="12" w:space="0"/>
            </w:tcBorders>
            <w:noWrap w:val="0"/>
            <w:vAlign w:val="center"/>
          </w:tcPr>
          <w:p w14:paraId="1CD705F0">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危险废物名称</w:t>
            </w:r>
          </w:p>
        </w:tc>
        <w:tc>
          <w:tcPr>
            <w:tcW w:w="898" w:type="dxa"/>
            <w:tcBorders>
              <w:top w:val="single" w:color="auto" w:sz="12" w:space="0"/>
            </w:tcBorders>
            <w:noWrap w:val="0"/>
            <w:vAlign w:val="center"/>
          </w:tcPr>
          <w:p w14:paraId="33E18E7A">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危险废物类别</w:t>
            </w:r>
          </w:p>
        </w:tc>
        <w:tc>
          <w:tcPr>
            <w:tcW w:w="898" w:type="dxa"/>
            <w:tcBorders>
              <w:top w:val="single" w:color="auto" w:sz="12" w:space="0"/>
            </w:tcBorders>
            <w:noWrap w:val="0"/>
            <w:vAlign w:val="center"/>
          </w:tcPr>
          <w:p w14:paraId="5CB74633">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危险废物代码</w:t>
            </w:r>
          </w:p>
        </w:tc>
        <w:tc>
          <w:tcPr>
            <w:tcW w:w="898" w:type="dxa"/>
            <w:tcBorders>
              <w:top w:val="single" w:color="auto" w:sz="12" w:space="0"/>
            </w:tcBorders>
            <w:noWrap w:val="0"/>
            <w:vAlign w:val="center"/>
          </w:tcPr>
          <w:p w14:paraId="18ADE487">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位置</w:t>
            </w:r>
          </w:p>
        </w:tc>
        <w:tc>
          <w:tcPr>
            <w:tcW w:w="898" w:type="dxa"/>
            <w:tcBorders>
              <w:top w:val="single" w:color="auto" w:sz="12" w:space="0"/>
            </w:tcBorders>
            <w:noWrap w:val="0"/>
            <w:vAlign w:val="center"/>
          </w:tcPr>
          <w:p w14:paraId="2F5C43A5">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占地面积</w:t>
            </w:r>
          </w:p>
        </w:tc>
        <w:tc>
          <w:tcPr>
            <w:tcW w:w="898" w:type="dxa"/>
            <w:tcBorders>
              <w:top w:val="single" w:color="auto" w:sz="12" w:space="0"/>
            </w:tcBorders>
            <w:noWrap w:val="0"/>
            <w:vAlign w:val="center"/>
          </w:tcPr>
          <w:p w14:paraId="55A242D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贮存方式</w:t>
            </w:r>
          </w:p>
        </w:tc>
        <w:tc>
          <w:tcPr>
            <w:tcW w:w="898" w:type="dxa"/>
            <w:tcBorders>
              <w:top w:val="single" w:color="auto" w:sz="12" w:space="0"/>
            </w:tcBorders>
            <w:noWrap w:val="0"/>
            <w:vAlign w:val="center"/>
          </w:tcPr>
          <w:p w14:paraId="7290F0E4">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贮存能力</w:t>
            </w:r>
          </w:p>
        </w:tc>
        <w:tc>
          <w:tcPr>
            <w:tcW w:w="898" w:type="dxa"/>
            <w:tcBorders>
              <w:top w:val="single" w:color="auto" w:sz="12" w:space="0"/>
              <w:right w:val="nil"/>
            </w:tcBorders>
            <w:noWrap w:val="0"/>
            <w:vAlign w:val="center"/>
          </w:tcPr>
          <w:p w14:paraId="1BDCA37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贮存周期</w:t>
            </w:r>
          </w:p>
        </w:tc>
      </w:tr>
      <w:tr w14:paraId="13AA0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dxa"/>
            <w:tcBorders>
              <w:left w:val="nil"/>
              <w:bottom w:val="single" w:color="auto" w:sz="12" w:space="0"/>
            </w:tcBorders>
            <w:noWrap w:val="0"/>
            <w:vAlign w:val="center"/>
          </w:tcPr>
          <w:p w14:paraId="731FFBC0">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1</w:t>
            </w:r>
          </w:p>
        </w:tc>
        <w:tc>
          <w:tcPr>
            <w:tcW w:w="898" w:type="dxa"/>
            <w:tcBorders>
              <w:bottom w:val="single" w:color="auto" w:sz="12" w:space="0"/>
            </w:tcBorders>
            <w:noWrap w:val="0"/>
            <w:vAlign w:val="center"/>
          </w:tcPr>
          <w:p w14:paraId="1D68B7B4">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专用容器</w:t>
            </w:r>
          </w:p>
        </w:tc>
        <w:tc>
          <w:tcPr>
            <w:tcW w:w="898" w:type="dxa"/>
            <w:tcBorders>
              <w:bottom w:val="single" w:color="auto" w:sz="12" w:space="0"/>
            </w:tcBorders>
            <w:noWrap w:val="0"/>
            <w:vAlign w:val="center"/>
          </w:tcPr>
          <w:p w14:paraId="78082F61">
            <w:pPr>
              <w:autoSpaceDN w:val="0"/>
              <w:snapToGrid w:val="0"/>
              <w:spacing w:line="320" w:lineRule="atLeast"/>
              <w:jc w:val="center"/>
              <w:rPr>
                <w:rFonts w:hint="eastAsia" w:ascii="Times New Roman" w:hAnsi="Times New Roman" w:eastAsia="宋体" w:cs="Times New Roman"/>
                <w:color w:val="auto"/>
                <w:sz w:val="21"/>
                <w:szCs w:val="18"/>
                <w:highlight w:val="none"/>
                <w:lang w:eastAsia="zh-CN" w:bidi="ar"/>
              </w:rPr>
            </w:pPr>
            <w:r>
              <w:rPr>
                <w:rFonts w:hint="eastAsia" w:ascii="Times New Roman" w:hAnsi="Times New Roman" w:cs="Times New Roman"/>
                <w:color w:val="auto"/>
                <w:sz w:val="21"/>
                <w:szCs w:val="18"/>
                <w:highlight w:val="none"/>
                <w:lang w:eastAsia="zh-CN" w:bidi="ar"/>
              </w:rPr>
              <w:t>动物医疗废物</w:t>
            </w:r>
          </w:p>
        </w:tc>
        <w:tc>
          <w:tcPr>
            <w:tcW w:w="898" w:type="dxa"/>
            <w:tcBorders>
              <w:bottom w:val="single" w:color="auto" w:sz="12" w:space="0"/>
            </w:tcBorders>
            <w:noWrap w:val="0"/>
            <w:vAlign w:val="center"/>
          </w:tcPr>
          <w:p w14:paraId="1AA2D78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HW01</w:t>
            </w:r>
          </w:p>
        </w:tc>
        <w:tc>
          <w:tcPr>
            <w:tcW w:w="898" w:type="dxa"/>
            <w:tcBorders>
              <w:bottom w:val="single" w:color="auto" w:sz="12" w:space="0"/>
            </w:tcBorders>
            <w:noWrap w:val="0"/>
            <w:vAlign w:val="center"/>
          </w:tcPr>
          <w:p w14:paraId="68A8A24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841-001-01</w:t>
            </w:r>
          </w:p>
        </w:tc>
        <w:tc>
          <w:tcPr>
            <w:tcW w:w="898" w:type="dxa"/>
            <w:tcBorders>
              <w:bottom w:val="single" w:color="auto" w:sz="12" w:space="0"/>
            </w:tcBorders>
            <w:noWrap w:val="0"/>
            <w:vAlign w:val="center"/>
          </w:tcPr>
          <w:p w14:paraId="0CC367FC">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医疗废物暂存间</w:t>
            </w:r>
          </w:p>
        </w:tc>
        <w:tc>
          <w:tcPr>
            <w:tcW w:w="898" w:type="dxa"/>
            <w:tcBorders>
              <w:bottom w:val="single" w:color="auto" w:sz="12" w:space="0"/>
            </w:tcBorders>
            <w:noWrap w:val="0"/>
            <w:vAlign w:val="center"/>
          </w:tcPr>
          <w:p w14:paraId="124BA158">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eastAsia" w:ascii="Times New Roman" w:hAnsi="Times New Roman" w:cs="Times New Roman"/>
                <w:color w:val="auto"/>
                <w:sz w:val="21"/>
                <w:szCs w:val="18"/>
                <w:highlight w:val="none"/>
                <w:lang w:val="en-US" w:eastAsia="zh-CN" w:bidi="ar"/>
              </w:rPr>
              <w:t>20m</w:t>
            </w:r>
            <w:r>
              <w:rPr>
                <w:rFonts w:hint="default" w:ascii="Times New Roman" w:hAnsi="Times New Roman" w:eastAsia="宋体" w:cs="Times New Roman"/>
                <w:color w:val="auto"/>
                <w:sz w:val="21"/>
                <w:szCs w:val="18"/>
                <w:highlight w:val="none"/>
                <w:vertAlign w:val="superscript"/>
                <w:lang w:bidi="ar"/>
              </w:rPr>
              <w:t>2</w:t>
            </w:r>
          </w:p>
        </w:tc>
        <w:tc>
          <w:tcPr>
            <w:tcW w:w="898" w:type="dxa"/>
            <w:tcBorders>
              <w:bottom w:val="single" w:color="auto" w:sz="12" w:space="0"/>
            </w:tcBorders>
            <w:noWrap w:val="0"/>
            <w:vAlign w:val="center"/>
          </w:tcPr>
          <w:p w14:paraId="1903F1AC">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隔离贮存</w:t>
            </w:r>
          </w:p>
        </w:tc>
        <w:tc>
          <w:tcPr>
            <w:tcW w:w="898" w:type="dxa"/>
            <w:tcBorders>
              <w:bottom w:val="single" w:color="auto" w:sz="12" w:space="0"/>
            </w:tcBorders>
            <w:noWrap w:val="0"/>
            <w:vAlign w:val="center"/>
          </w:tcPr>
          <w:p w14:paraId="2A8A7E36">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0.</w:t>
            </w:r>
            <w:r>
              <w:rPr>
                <w:rFonts w:hint="default" w:ascii="Times New Roman" w:hAnsi="Times New Roman" w:eastAsia="宋体" w:cs="Times New Roman"/>
                <w:color w:val="auto"/>
                <w:sz w:val="21"/>
                <w:szCs w:val="18"/>
                <w:highlight w:val="none"/>
                <w:lang w:val="en-US" w:eastAsia="zh-CN" w:bidi="ar"/>
              </w:rPr>
              <w:t>4</w:t>
            </w:r>
            <w:r>
              <w:rPr>
                <w:rFonts w:hint="default" w:ascii="Times New Roman" w:hAnsi="Times New Roman" w:eastAsia="宋体" w:cs="Times New Roman"/>
                <w:color w:val="auto"/>
                <w:sz w:val="21"/>
                <w:szCs w:val="18"/>
                <w:highlight w:val="none"/>
                <w:lang w:bidi="ar"/>
              </w:rPr>
              <w:t>t</w:t>
            </w:r>
          </w:p>
        </w:tc>
        <w:tc>
          <w:tcPr>
            <w:tcW w:w="898" w:type="dxa"/>
            <w:tcBorders>
              <w:bottom w:val="single" w:color="auto" w:sz="12" w:space="0"/>
              <w:right w:val="nil"/>
            </w:tcBorders>
            <w:noWrap w:val="0"/>
            <w:vAlign w:val="center"/>
          </w:tcPr>
          <w:p w14:paraId="7EC9824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2d</w:t>
            </w:r>
          </w:p>
        </w:tc>
      </w:tr>
    </w:tbl>
    <w:p w14:paraId="1535FFCB">
      <w:pPr>
        <w:pStyle w:val="94"/>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eastAsia" w:ascii="Times New Roman" w:hAnsi="Times New Roman" w:cs="Times New Roman"/>
          <w:color w:val="auto"/>
          <w:sz w:val="24"/>
          <w:szCs w:val="24"/>
          <w:highlight w:val="none"/>
          <w:lang w:eastAsia="zh-CN"/>
        </w:rPr>
        <w:t>动物医疗废物</w:t>
      </w:r>
      <w:r>
        <w:rPr>
          <w:rFonts w:hint="default" w:ascii="Times New Roman" w:hAnsi="Times New Roman" w:eastAsia="宋体" w:cs="Times New Roman"/>
          <w:color w:val="auto"/>
          <w:sz w:val="24"/>
          <w:szCs w:val="24"/>
          <w:highlight w:val="none"/>
        </w:rPr>
        <w:t>的收集、运输过程的防治措施</w:t>
      </w:r>
    </w:p>
    <w:p w14:paraId="6627642E">
      <w:pPr>
        <w:pStyle w:val="94"/>
        <w:ind w:firstLine="480"/>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动物医疗废物</w:t>
      </w:r>
      <w:r>
        <w:rPr>
          <w:rFonts w:hint="default" w:ascii="Times New Roman" w:hAnsi="Times New Roman" w:eastAsia="宋体" w:cs="Times New Roman"/>
          <w:color w:val="auto"/>
          <w:sz w:val="24"/>
          <w:szCs w:val="24"/>
          <w:highlight w:val="none"/>
        </w:rPr>
        <w:t>需分类进行收集，不得将不相容的废物混合或合并存放；作好</w:t>
      </w:r>
      <w:r>
        <w:rPr>
          <w:rFonts w:hint="eastAsia" w:ascii="Times New Roman" w:hAnsi="Times New Roman" w:cs="Times New Roman"/>
          <w:color w:val="auto"/>
          <w:sz w:val="24"/>
          <w:szCs w:val="24"/>
          <w:highlight w:val="none"/>
          <w:lang w:eastAsia="zh-CN"/>
        </w:rPr>
        <w:t>动物医疗废物</w:t>
      </w:r>
      <w:r>
        <w:rPr>
          <w:rFonts w:hint="default" w:ascii="Times New Roman" w:hAnsi="Times New Roman" w:eastAsia="宋体" w:cs="Times New Roman"/>
          <w:color w:val="auto"/>
          <w:sz w:val="24"/>
          <w:szCs w:val="24"/>
          <w:highlight w:val="none"/>
        </w:rPr>
        <w:t>情况入库记录，记录上需注明名称、来源、数量、特征和包装容器的类别、入库日期等内容；</w:t>
      </w:r>
      <w:r>
        <w:rPr>
          <w:rFonts w:hint="eastAsia" w:ascii="Times New Roman" w:hAnsi="Times New Roman" w:cs="Times New Roman"/>
          <w:color w:val="auto"/>
          <w:sz w:val="24"/>
          <w:szCs w:val="24"/>
          <w:highlight w:val="none"/>
          <w:lang w:eastAsia="zh-CN"/>
        </w:rPr>
        <w:t>动物医疗废物</w:t>
      </w:r>
      <w:r>
        <w:rPr>
          <w:rFonts w:hint="default" w:ascii="Times New Roman" w:hAnsi="Times New Roman" w:eastAsia="宋体" w:cs="Times New Roman"/>
          <w:color w:val="auto"/>
          <w:sz w:val="24"/>
          <w:szCs w:val="24"/>
          <w:highlight w:val="none"/>
        </w:rPr>
        <w:t>转移过程中按照《危险废物转移联单管理办法》等有关规定实行，严格落实危险废物转移联单制度；运输过程中采用专用运输车辆，桶装密封。</w:t>
      </w:r>
    </w:p>
    <w:p w14:paraId="2E4D9B08">
      <w:pPr>
        <w:pStyle w:val="94"/>
        <w:ind w:firstLine="480"/>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本项目</w:t>
      </w:r>
      <w:r>
        <w:rPr>
          <w:rFonts w:hint="eastAsia" w:ascii="Times New Roman" w:hAnsi="Times New Roman" w:cs="Times New Roman"/>
          <w:color w:val="auto"/>
          <w:sz w:val="24"/>
          <w:szCs w:val="24"/>
          <w:highlight w:val="none"/>
          <w:lang w:eastAsia="zh-CN"/>
        </w:rPr>
        <w:t>动物医疗废物</w:t>
      </w:r>
      <w:r>
        <w:rPr>
          <w:rFonts w:hint="default" w:ascii="Times New Roman" w:hAnsi="Times New Roman" w:eastAsia="宋体" w:cs="Times New Roman"/>
          <w:color w:val="auto"/>
          <w:sz w:val="24"/>
          <w:szCs w:val="24"/>
          <w:highlight w:val="none"/>
        </w:rPr>
        <w:t>产生量为</w:t>
      </w:r>
      <w:r>
        <w:rPr>
          <w:rFonts w:hint="default" w:ascii="Times New Roman" w:hAnsi="Times New Roman" w:eastAsia="宋体" w:cs="Times New Roman"/>
          <w:color w:val="auto"/>
          <w:sz w:val="24"/>
          <w:szCs w:val="24"/>
          <w:highlight w:val="none"/>
          <w:lang w:eastAsia="zh-CN"/>
        </w:rPr>
        <w:t>0.9125</w:t>
      </w:r>
      <w:r>
        <w:rPr>
          <w:rFonts w:hint="default" w:ascii="Times New Roman" w:hAnsi="Times New Roman" w:eastAsia="宋体" w:cs="Times New Roman"/>
          <w:color w:val="auto"/>
          <w:sz w:val="24"/>
          <w:szCs w:val="24"/>
          <w:highlight w:val="none"/>
        </w:rPr>
        <w:t>t/a，医疗废物暂存间</w:t>
      </w:r>
      <w:r>
        <w:rPr>
          <w:rFonts w:hint="default" w:ascii="Times New Roman" w:hAnsi="Times New Roman" w:eastAsia="宋体" w:cs="Times New Roman"/>
          <w:color w:val="auto"/>
          <w:sz w:val="24"/>
          <w:szCs w:val="24"/>
          <w:highlight w:val="none"/>
          <w:lang w:val="en-US" w:eastAsia="zh-CN"/>
        </w:rPr>
        <w:t>建筑</w:t>
      </w:r>
      <w:r>
        <w:rPr>
          <w:rFonts w:hint="default" w:ascii="Times New Roman" w:hAnsi="Times New Roman" w:eastAsia="宋体" w:cs="Times New Roman"/>
          <w:color w:val="auto"/>
          <w:sz w:val="24"/>
          <w:szCs w:val="24"/>
          <w:highlight w:val="none"/>
        </w:rPr>
        <w:t>面积</w:t>
      </w:r>
      <w:r>
        <w:rPr>
          <w:rFonts w:hint="default" w:ascii="Times New Roman" w:hAnsi="Times New Roman" w:eastAsia="宋体" w:cs="Times New Roman"/>
          <w:color w:val="auto"/>
          <w:sz w:val="24"/>
          <w:szCs w:val="24"/>
          <w:highlight w:val="none"/>
          <w:lang w:val="en-US" w:eastAsia="zh-CN"/>
        </w:rPr>
        <w:t>20m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rPr>
        <w:t>。根据《医疗废物管理条例》中的相关规定，本项目</w:t>
      </w:r>
      <w:r>
        <w:rPr>
          <w:rFonts w:hint="eastAsia" w:ascii="Times New Roman" w:hAnsi="Times New Roman" w:cs="Times New Roman"/>
          <w:color w:val="auto"/>
          <w:sz w:val="24"/>
          <w:szCs w:val="24"/>
          <w:highlight w:val="none"/>
          <w:lang w:val="en-US" w:eastAsia="zh-CN"/>
        </w:rPr>
        <w:t>动物</w:t>
      </w:r>
      <w:r>
        <w:rPr>
          <w:rFonts w:hint="default" w:ascii="Times New Roman" w:hAnsi="Times New Roman" w:eastAsia="宋体" w:cs="Times New Roman"/>
          <w:color w:val="auto"/>
          <w:sz w:val="24"/>
          <w:szCs w:val="24"/>
          <w:highlight w:val="none"/>
        </w:rPr>
        <w:t>医疗废物</w:t>
      </w:r>
      <w:r>
        <w:rPr>
          <w:rFonts w:hint="eastAsia" w:ascii="Times New Roman" w:hAnsi="Times New Roman" w:cs="Times New Roman"/>
          <w:color w:val="auto"/>
          <w:sz w:val="24"/>
          <w:szCs w:val="24"/>
          <w:highlight w:val="none"/>
          <w:lang w:eastAsia="zh-CN"/>
        </w:rPr>
        <w:t>（废疫苗瓶、棉签、棉球、医疗卫生用品、一次性医疗器械等）</w:t>
      </w:r>
      <w:r>
        <w:rPr>
          <w:rFonts w:hint="default" w:ascii="Times New Roman" w:hAnsi="Times New Roman" w:eastAsia="宋体" w:cs="Times New Roman"/>
          <w:color w:val="auto"/>
          <w:sz w:val="24"/>
          <w:szCs w:val="24"/>
          <w:highlight w:val="none"/>
        </w:rPr>
        <w:t>产生后</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天清运一次，委托有资质单位处置</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医疗废物暂存间最大储存量约为0.</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t，</w:t>
      </w:r>
      <w:r>
        <w:rPr>
          <w:rFonts w:hint="eastAsia" w:ascii="Times New Roman" w:hAnsi="Times New Roman" w:cs="Times New Roman"/>
          <w:color w:val="auto"/>
          <w:sz w:val="24"/>
          <w:szCs w:val="24"/>
          <w:highlight w:val="none"/>
          <w:lang w:val="en-US" w:eastAsia="zh-CN"/>
        </w:rPr>
        <w:t>并对其做地面防渗（渗透系数K≤10</w:t>
      </w:r>
      <w:r>
        <w:rPr>
          <w:rFonts w:hint="eastAsia" w:ascii="Times New Roman" w:hAnsi="Times New Roman" w:cs="Times New Roman"/>
          <w:color w:val="auto"/>
          <w:sz w:val="24"/>
          <w:szCs w:val="24"/>
          <w:highlight w:val="none"/>
          <w:vertAlign w:val="superscript"/>
          <w:lang w:val="en-US" w:eastAsia="zh-CN"/>
        </w:rPr>
        <w:t>-12</w:t>
      </w:r>
      <w:r>
        <w:rPr>
          <w:rFonts w:hint="eastAsia" w:ascii="Times New Roman" w:hAnsi="Times New Roman" w:cs="Times New Roman"/>
          <w:color w:val="auto"/>
          <w:sz w:val="24"/>
          <w:szCs w:val="24"/>
          <w:highlight w:val="none"/>
          <w:lang w:val="en-US" w:eastAsia="zh-CN"/>
        </w:rPr>
        <w:t>cm/s，等效黏土防渗层Mb≥6.0m），设置明显标志。满足</w:t>
      </w:r>
      <w:r>
        <w:rPr>
          <w:rFonts w:hint="default" w:ascii="Times New Roman" w:hAnsi="Times New Roman" w:eastAsia="宋体" w:cs="Times New Roman"/>
          <w:color w:val="auto"/>
          <w:sz w:val="24"/>
          <w:szCs w:val="24"/>
          <w:highlight w:val="none"/>
        </w:rPr>
        <w:t>危险废物贮存、处置执行《危险废物贮存污染控制标准》（GB 18597—2023）、《危险废物收集、贮存、运输技术规范》（HJ2025-2012）中相关规定</w:t>
      </w:r>
      <w:r>
        <w:rPr>
          <w:rFonts w:hint="eastAsia" w:ascii="Times New Roman" w:hAnsi="Times New Roman" w:cs="Times New Roman"/>
          <w:color w:val="auto"/>
          <w:sz w:val="24"/>
          <w:szCs w:val="24"/>
          <w:highlight w:val="none"/>
          <w:lang w:eastAsia="zh-CN"/>
        </w:rPr>
        <w:t>。在日常管理中，设置专人加强对医疗废物暂存间的管理，出现问题及时解决，避免形成二次污染，对工作人员应进行专业培训，熟知各项</w:t>
      </w:r>
      <w:r>
        <w:rPr>
          <w:rFonts w:hint="eastAsia" w:ascii="Times New Roman" w:hAnsi="Times New Roman" w:cs="Times New Roman"/>
          <w:color w:val="auto"/>
          <w:sz w:val="24"/>
          <w:szCs w:val="24"/>
          <w:highlight w:val="none"/>
          <w:lang w:val="en-US" w:eastAsia="zh-CN"/>
        </w:rPr>
        <w:t>医废</w:t>
      </w:r>
      <w:r>
        <w:rPr>
          <w:rFonts w:hint="eastAsia" w:ascii="Times New Roman" w:hAnsi="Times New Roman" w:cs="Times New Roman"/>
          <w:color w:val="auto"/>
          <w:sz w:val="24"/>
          <w:szCs w:val="24"/>
          <w:highlight w:val="none"/>
          <w:lang w:eastAsia="zh-CN"/>
        </w:rPr>
        <w:t>知识。</w:t>
      </w:r>
    </w:p>
    <w:p w14:paraId="6FACE111">
      <w:pPr>
        <w:pStyle w:val="8"/>
        <w:bidi w:val="0"/>
        <w:rPr>
          <w:rFonts w:hint="default" w:ascii="Times New Roman" w:hAnsi="Times New Roman" w:eastAsia="宋体" w:cs="Times New Roman"/>
          <w:b/>
          <w:bCs w:val="0"/>
          <w:color w:val="auto"/>
          <w:sz w:val="24"/>
          <w:szCs w:val="24"/>
          <w:highlight w:val="none"/>
        </w:rPr>
      </w:pPr>
      <w:bookmarkStart w:id="1000" w:name="_Toc32573"/>
      <w:bookmarkStart w:id="1001" w:name="_Toc1232"/>
      <w:r>
        <w:rPr>
          <w:rFonts w:hint="default" w:ascii="Times New Roman" w:hAnsi="Times New Roman" w:eastAsia="宋体" w:cs="Times New Roman"/>
          <w:b/>
          <w:bCs w:val="0"/>
          <w:color w:val="auto"/>
          <w:sz w:val="24"/>
          <w:szCs w:val="24"/>
          <w:highlight w:val="none"/>
        </w:rPr>
        <w:t>6.2.5.</w:t>
      </w:r>
      <w:r>
        <w:rPr>
          <w:rFonts w:hint="eastAsia" w:ascii="Times New Roman" w:hAnsi="Times New Roman" w:cs="Times New Roman"/>
          <w:b/>
          <w:bCs w:val="0"/>
          <w:color w:val="auto"/>
          <w:sz w:val="24"/>
          <w:szCs w:val="24"/>
          <w:highlight w:val="none"/>
          <w:lang w:val="en-US" w:eastAsia="zh-CN"/>
        </w:rPr>
        <w:t>4</w:t>
      </w:r>
      <w:r>
        <w:rPr>
          <w:rFonts w:hint="default" w:ascii="Times New Roman" w:hAnsi="Times New Roman" w:eastAsia="宋体" w:cs="Times New Roman"/>
          <w:b/>
          <w:bCs w:val="0"/>
          <w:color w:val="auto"/>
          <w:sz w:val="24"/>
          <w:szCs w:val="24"/>
          <w:highlight w:val="none"/>
        </w:rPr>
        <w:t>废脱硫剂</w:t>
      </w:r>
      <w:bookmarkEnd w:id="1000"/>
      <w:bookmarkEnd w:id="1001"/>
    </w:p>
    <w:p w14:paraId="4923214C">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本项目废脱硫剂每年需更换2次，废脱硫剂由厂家回收处理。</w:t>
      </w:r>
    </w:p>
    <w:p w14:paraId="0FF74CE3">
      <w:pPr>
        <w:pStyle w:val="8"/>
        <w:bidi w:val="0"/>
        <w:rPr>
          <w:rFonts w:hint="default" w:ascii="Times New Roman" w:hAnsi="Times New Roman" w:eastAsia="宋体" w:cs="Times New Roman"/>
          <w:b/>
          <w:bCs w:val="0"/>
          <w:color w:val="auto"/>
          <w:sz w:val="24"/>
          <w:szCs w:val="24"/>
          <w:highlight w:val="none"/>
        </w:rPr>
      </w:pPr>
      <w:bookmarkStart w:id="1002" w:name="_Toc30727"/>
      <w:bookmarkStart w:id="1003" w:name="_Toc8769"/>
      <w:r>
        <w:rPr>
          <w:rFonts w:hint="default" w:ascii="Times New Roman" w:hAnsi="Times New Roman" w:eastAsia="宋体" w:cs="Times New Roman"/>
          <w:b/>
          <w:bCs w:val="0"/>
          <w:color w:val="auto"/>
          <w:sz w:val="24"/>
          <w:szCs w:val="24"/>
          <w:highlight w:val="none"/>
        </w:rPr>
        <w:t>6.2.5.</w:t>
      </w:r>
      <w:r>
        <w:rPr>
          <w:rFonts w:hint="eastAsia" w:ascii="Times New Roman" w:hAnsi="Times New Roman" w:cs="Times New Roman"/>
          <w:b/>
          <w:bCs w:val="0"/>
          <w:color w:val="auto"/>
          <w:sz w:val="24"/>
          <w:szCs w:val="24"/>
          <w:highlight w:val="none"/>
          <w:lang w:val="en-US" w:eastAsia="zh-CN"/>
        </w:rPr>
        <w:t>5</w:t>
      </w:r>
      <w:r>
        <w:rPr>
          <w:rFonts w:hint="default" w:ascii="Times New Roman" w:hAnsi="Times New Roman" w:eastAsia="宋体" w:cs="Times New Roman"/>
          <w:b/>
          <w:bCs w:val="0"/>
          <w:color w:val="auto"/>
          <w:sz w:val="24"/>
          <w:szCs w:val="24"/>
          <w:highlight w:val="none"/>
        </w:rPr>
        <w:t>沼渣</w:t>
      </w:r>
      <w:bookmarkEnd w:id="1002"/>
      <w:bookmarkEnd w:id="1003"/>
    </w:p>
    <w:p w14:paraId="7DC2F7B7">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本项目产生的沼渣送至</w:t>
      </w:r>
      <w:r>
        <w:rPr>
          <w:rFonts w:hint="eastAsia" w:ascii="Times New Roman" w:hAnsi="Times New Roman" w:cs="Times New Roman"/>
          <w:snapToGrid w:val="0"/>
          <w:color w:val="auto"/>
          <w:sz w:val="24"/>
          <w:szCs w:val="24"/>
          <w:highlight w:val="none"/>
          <w:lang w:val="en-US" w:eastAsia="zh-CN"/>
        </w:rPr>
        <w:t>干粪堆积场</w:t>
      </w:r>
      <w:r>
        <w:rPr>
          <w:rFonts w:hint="default" w:ascii="Times New Roman" w:hAnsi="Times New Roman" w:eastAsia="宋体" w:cs="Times New Roman"/>
          <w:color w:val="auto"/>
          <w:sz w:val="24"/>
          <w:szCs w:val="24"/>
          <w:highlight w:val="none"/>
        </w:rPr>
        <w:t>堆肥发酵后还田。</w:t>
      </w:r>
    </w:p>
    <w:p w14:paraId="76BF9B05">
      <w:pPr>
        <w:pStyle w:val="8"/>
        <w:bidi w:val="0"/>
        <w:rPr>
          <w:rFonts w:hint="default" w:ascii="Times New Roman" w:hAnsi="Times New Roman" w:eastAsia="宋体" w:cs="Times New Roman"/>
          <w:b/>
          <w:bCs w:val="0"/>
          <w:color w:val="auto"/>
          <w:sz w:val="24"/>
          <w:szCs w:val="24"/>
          <w:highlight w:val="none"/>
          <w:lang w:val="en-US" w:eastAsia="zh-CN"/>
        </w:rPr>
      </w:pPr>
      <w:bookmarkStart w:id="1004" w:name="_Toc17503"/>
      <w:bookmarkStart w:id="1005" w:name="_Toc19881"/>
      <w:r>
        <w:rPr>
          <w:rFonts w:hint="default" w:ascii="Times New Roman" w:hAnsi="Times New Roman" w:eastAsia="宋体" w:cs="Times New Roman"/>
          <w:b/>
          <w:bCs w:val="0"/>
          <w:color w:val="auto"/>
          <w:sz w:val="24"/>
          <w:szCs w:val="24"/>
          <w:highlight w:val="none"/>
        </w:rPr>
        <w:t>6.2.5.</w:t>
      </w:r>
      <w:bookmarkEnd w:id="1004"/>
      <w:bookmarkEnd w:id="1005"/>
      <w:bookmarkStart w:id="1006" w:name="_Toc5200"/>
      <w:bookmarkStart w:id="1007" w:name="_Toc7517"/>
      <w:r>
        <w:rPr>
          <w:rFonts w:hint="eastAsia" w:ascii="Times New Roman" w:hAnsi="Times New Roman"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lang w:val="en-US" w:eastAsia="zh-CN"/>
        </w:rPr>
        <w:t>生活垃圾</w:t>
      </w:r>
      <w:bookmarkEnd w:id="1006"/>
      <w:bookmarkEnd w:id="1007"/>
    </w:p>
    <w:p w14:paraId="1D056147">
      <w:pPr>
        <w:pStyle w:val="94"/>
        <w:ind w:firstLine="48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在生活区内设置一处生活垃圾收集箱，生活垃圾由当地环卫部门统一收集处理，不外排。</w:t>
      </w:r>
    </w:p>
    <w:p w14:paraId="55FD5996">
      <w:pPr>
        <w:pStyle w:val="8"/>
        <w:bidi w:val="0"/>
        <w:rPr>
          <w:rFonts w:hint="default" w:ascii="Times New Roman" w:hAnsi="Times New Roman" w:eastAsia="宋体" w:cs="Times New Roman"/>
          <w:b/>
          <w:bCs w:val="0"/>
          <w:snapToGrid w:val="0"/>
          <w:color w:val="auto"/>
          <w:highlight w:val="none"/>
          <w:lang w:val="en-US"/>
        </w:rPr>
      </w:pPr>
      <w:bookmarkStart w:id="1008" w:name="_Toc31753"/>
      <w:bookmarkStart w:id="1009" w:name="_Toc20673"/>
      <w:r>
        <w:rPr>
          <w:rFonts w:hint="default" w:ascii="Times New Roman" w:hAnsi="Times New Roman" w:eastAsia="宋体" w:cs="Times New Roman"/>
          <w:b/>
          <w:bCs w:val="0"/>
          <w:snapToGrid w:val="0"/>
          <w:color w:val="auto"/>
          <w:highlight w:val="none"/>
        </w:rPr>
        <w:t>6.2.5.</w:t>
      </w:r>
      <w:r>
        <w:rPr>
          <w:rFonts w:hint="eastAsia" w:ascii="Times New Roman" w:hAnsi="Times New Roman" w:cs="Times New Roman"/>
          <w:b/>
          <w:bCs w:val="0"/>
          <w:snapToGrid w:val="0"/>
          <w:color w:val="auto"/>
          <w:highlight w:val="none"/>
          <w:lang w:val="en-US" w:eastAsia="zh-CN"/>
        </w:rPr>
        <w:t>7</w:t>
      </w:r>
      <w:r>
        <w:rPr>
          <w:rFonts w:hint="default" w:ascii="Times New Roman" w:hAnsi="Times New Roman" w:cs="Times New Roman"/>
          <w:b/>
          <w:bCs w:val="0"/>
          <w:snapToGrid w:val="0"/>
          <w:color w:val="auto"/>
          <w:highlight w:val="none"/>
          <w:lang w:val="en-US" w:eastAsia="zh-CN"/>
        </w:rPr>
        <w:t xml:space="preserve"> </w:t>
      </w:r>
      <w:r>
        <w:rPr>
          <w:rFonts w:hint="default" w:ascii="Times New Roman" w:hAnsi="Times New Roman" w:eastAsia="宋体" w:cs="Times New Roman"/>
          <w:b/>
          <w:bCs w:val="0"/>
          <w:snapToGrid w:val="0"/>
          <w:color w:val="auto"/>
          <w:highlight w:val="none"/>
          <w:lang w:val="en-US" w:eastAsia="zh-CN"/>
        </w:rPr>
        <w:t>废除臭剂桶</w:t>
      </w:r>
      <w:bookmarkEnd w:id="1008"/>
      <w:bookmarkEnd w:id="1009"/>
    </w:p>
    <w:p w14:paraId="6A904225">
      <w:pPr>
        <w:pStyle w:val="94"/>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项目发酵过程中会产生恶臭气体，本项目采用喷洒除臭剂降低厂区恶臭气体的治理措施，因此会产生少量废除臭剂包装桶，属于一般固废，集中收集后暂存于一般工业固体废物暂存间内，定期由厂家回收利用</w:t>
      </w:r>
      <w:r>
        <w:rPr>
          <w:rFonts w:hint="default" w:ascii="Times New Roman" w:hAnsi="Times New Roman" w:eastAsia="宋体" w:cs="Times New Roman"/>
          <w:color w:val="auto"/>
          <w:highlight w:val="none"/>
          <w:lang w:eastAsia="zh-CN"/>
        </w:rPr>
        <w:t>。</w:t>
      </w:r>
    </w:p>
    <w:p w14:paraId="22F224E8">
      <w:pPr>
        <w:pStyle w:val="8"/>
        <w:bidi w:val="0"/>
        <w:rPr>
          <w:rFonts w:hint="default" w:ascii="Times New Roman" w:hAnsi="Times New Roman" w:eastAsia="宋体" w:cs="Times New Roman"/>
          <w:b/>
          <w:bCs w:val="0"/>
          <w:snapToGrid w:val="0"/>
          <w:color w:val="auto"/>
          <w:highlight w:val="none"/>
          <w:lang w:val="en-US"/>
        </w:rPr>
      </w:pPr>
      <w:r>
        <w:rPr>
          <w:rFonts w:hint="default" w:ascii="Times New Roman" w:hAnsi="Times New Roman" w:eastAsia="宋体" w:cs="Times New Roman"/>
          <w:b/>
          <w:bCs w:val="0"/>
          <w:snapToGrid w:val="0"/>
          <w:color w:val="auto"/>
          <w:highlight w:val="none"/>
        </w:rPr>
        <w:t>6.2.5.</w:t>
      </w:r>
      <w:r>
        <w:rPr>
          <w:rFonts w:hint="eastAsia" w:ascii="Times New Roman" w:hAnsi="Times New Roman" w:cs="Times New Roman"/>
          <w:b/>
          <w:bCs w:val="0"/>
          <w:snapToGrid w:val="0"/>
          <w:color w:val="auto"/>
          <w:highlight w:val="none"/>
          <w:lang w:val="en-US" w:eastAsia="zh-CN"/>
        </w:rPr>
        <w:t>8</w:t>
      </w:r>
      <w:r>
        <w:rPr>
          <w:rFonts w:hint="default" w:ascii="Times New Roman" w:hAnsi="Times New Roman" w:cs="Times New Roman"/>
          <w:b/>
          <w:bCs w:val="0"/>
          <w:snapToGrid w:val="0"/>
          <w:color w:val="auto"/>
          <w:highlight w:val="none"/>
          <w:lang w:val="en-US" w:eastAsia="zh-CN"/>
        </w:rPr>
        <w:t xml:space="preserve"> </w:t>
      </w:r>
      <w:r>
        <w:rPr>
          <w:rFonts w:hint="default" w:ascii="Times New Roman" w:hAnsi="Times New Roman" w:eastAsia="宋体" w:cs="Times New Roman"/>
          <w:b/>
          <w:bCs w:val="0"/>
          <w:snapToGrid w:val="0"/>
          <w:color w:val="auto"/>
          <w:highlight w:val="none"/>
          <w:lang w:val="en-US" w:eastAsia="zh-CN"/>
        </w:rPr>
        <w:t>废</w:t>
      </w:r>
      <w:r>
        <w:rPr>
          <w:rFonts w:hint="eastAsia" w:ascii="Times New Roman" w:hAnsi="Times New Roman" w:eastAsia="宋体" w:cs="Times New Roman"/>
          <w:b/>
          <w:bCs w:val="0"/>
          <w:snapToGrid w:val="0"/>
          <w:color w:val="auto"/>
          <w:highlight w:val="none"/>
          <w:lang w:val="en-US" w:eastAsia="zh-CN"/>
        </w:rPr>
        <w:t>活性炭</w:t>
      </w:r>
    </w:p>
    <w:p w14:paraId="753E38B2">
      <w:pPr>
        <w:pStyle w:val="94"/>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厂区</w:t>
      </w:r>
      <w:r>
        <w:rPr>
          <w:rFonts w:hint="default" w:ascii="Times New Roman" w:hAnsi="Times New Roman" w:eastAsia="宋体" w:cs="Times New Roman"/>
          <w:color w:val="auto"/>
          <w:highlight w:val="none"/>
          <w:lang w:eastAsia="zh-CN"/>
        </w:rPr>
        <w:t>废活性炭</w:t>
      </w:r>
      <w:r>
        <w:rPr>
          <w:rFonts w:hint="eastAsia" w:ascii="Times New Roman" w:hAnsi="Times New Roman" w:eastAsia="宋体" w:cs="Times New Roman"/>
          <w:color w:val="auto"/>
          <w:highlight w:val="none"/>
          <w:lang w:val="en-US" w:eastAsia="zh-CN"/>
        </w:rPr>
        <w:t>每季度更换一次，由</w:t>
      </w:r>
      <w:r>
        <w:rPr>
          <w:rFonts w:hint="default" w:ascii="Times New Roman" w:hAnsi="Times New Roman" w:eastAsia="宋体" w:cs="Times New Roman"/>
          <w:color w:val="auto"/>
          <w:highlight w:val="none"/>
          <w:lang w:eastAsia="zh-CN"/>
        </w:rPr>
        <w:t>厂家回收</w:t>
      </w:r>
      <w:r>
        <w:rPr>
          <w:rFonts w:hint="eastAsia" w:ascii="Times New Roman" w:hAnsi="Times New Roman" w:eastAsia="宋体" w:cs="Times New Roman"/>
          <w:color w:val="auto"/>
          <w:highlight w:val="none"/>
          <w:lang w:val="en-US" w:eastAsia="zh-CN"/>
        </w:rPr>
        <w:t>处置，不在厂区暂存</w:t>
      </w:r>
      <w:r>
        <w:rPr>
          <w:rFonts w:hint="default" w:ascii="Times New Roman" w:hAnsi="Times New Roman" w:eastAsia="宋体" w:cs="Times New Roman"/>
          <w:color w:val="auto"/>
          <w:highlight w:val="none"/>
          <w:lang w:eastAsia="zh-CN"/>
        </w:rPr>
        <w:t>。</w:t>
      </w:r>
    </w:p>
    <w:p w14:paraId="08B5CCD7">
      <w:pPr>
        <w:pStyle w:val="94"/>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综上分析，本项目产生的固体废物采取如上有效措施处理及综合利用后，不会对环境产生明显不良环境影响，可以被环境所接受。</w:t>
      </w:r>
    </w:p>
    <w:p w14:paraId="1884F994">
      <w:pPr>
        <w:pStyle w:val="7"/>
        <w:bidi w:val="0"/>
        <w:rPr>
          <w:rFonts w:hint="eastAsia"/>
          <w:highlight w:val="none"/>
          <w:lang w:eastAsia="zh-CN"/>
        </w:rPr>
      </w:pPr>
      <w:bookmarkStart w:id="1010" w:name="_Toc29967"/>
      <w:bookmarkStart w:id="1011" w:name="_Toc16004"/>
      <w:bookmarkStart w:id="1012" w:name="_Toc2219"/>
      <w:bookmarkStart w:id="1013" w:name="_Toc16481"/>
      <w:r>
        <w:rPr>
          <w:rFonts w:hint="default"/>
          <w:highlight w:val="none"/>
        </w:rPr>
        <w:t>6.2.6风险防范措施及其可行性分析</w:t>
      </w:r>
      <w:bookmarkEnd w:id="1010"/>
      <w:bookmarkEnd w:id="1011"/>
      <w:bookmarkEnd w:id="1012"/>
      <w:bookmarkEnd w:id="1013"/>
    </w:p>
    <w:p w14:paraId="2150FD5A">
      <w:pPr>
        <w:pStyle w:val="8"/>
        <w:bidi w:val="0"/>
        <w:rPr>
          <w:rFonts w:hint="default"/>
          <w:highlight w:val="none"/>
        </w:rPr>
      </w:pPr>
      <w:bookmarkStart w:id="1014" w:name="_Toc13621"/>
      <w:bookmarkStart w:id="1015" w:name="_Toc8178"/>
      <w:r>
        <w:rPr>
          <w:rFonts w:hint="default"/>
          <w:highlight w:val="none"/>
        </w:rPr>
        <w:t>6.2.6.1沼气的安全与风险防范措施</w:t>
      </w:r>
      <w:bookmarkEnd w:id="1014"/>
      <w:bookmarkEnd w:id="1015"/>
    </w:p>
    <w:p w14:paraId="65A9104D">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（1）沼气生产区安全管理措施</w:t>
      </w:r>
    </w:p>
    <w:p w14:paraId="647DA994">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沼气暂存于</w:t>
      </w:r>
      <w:r>
        <w:rPr>
          <w:rFonts w:hint="default" w:ascii="Times New Roman" w:hAnsi="Times New Roman" w:eastAsia="宋体" w:cs="Times New Roman"/>
          <w:snapToGrid w:val="0"/>
          <w:color w:val="auto"/>
          <w:szCs w:val="28"/>
          <w:highlight w:val="none"/>
          <w:lang w:val="en-GB" w:eastAsia="zh-CN"/>
        </w:rPr>
        <w:t>黑膜厌氧池</w:t>
      </w:r>
      <w:r>
        <w:rPr>
          <w:rFonts w:hint="default" w:ascii="Times New Roman" w:hAnsi="Times New Roman" w:eastAsia="宋体" w:cs="Times New Roman"/>
          <w:snapToGrid w:val="0"/>
          <w:color w:val="auto"/>
          <w:szCs w:val="28"/>
          <w:highlight w:val="none"/>
          <w:lang w:val="en-GB"/>
        </w:rPr>
        <w:t>内，应设立禁止明火标志，防爆区要加强通风，防治沼气蓄积；配备必要的消防器材。沼气系统设连续自动监测压力，自动调压，防止超压爆炸。当压力高于定值时，则应报警，并打开沼气使用系统，放散沼气。制定项目</w:t>
      </w:r>
      <w:r>
        <w:rPr>
          <w:rFonts w:hint="eastAsia" w:ascii="Times New Roman" w:hAnsi="Times New Roman" w:cs="Times New Roman"/>
          <w:snapToGrid w:val="0"/>
          <w:color w:val="auto"/>
          <w:szCs w:val="28"/>
          <w:highlight w:val="none"/>
          <w:lang w:val="en-GB" w:eastAsia="zh-CN"/>
        </w:rPr>
        <w:t>沼气燃烧处置</w:t>
      </w:r>
      <w:r>
        <w:rPr>
          <w:rFonts w:hint="default" w:ascii="Times New Roman" w:hAnsi="Times New Roman" w:eastAsia="宋体" w:cs="Times New Roman"/>
          <w:snapToGrid w:val="0"/>
          <w:color w:val="auto"/>
          <w:szCs w:val="28"/>
          <w:highlight w:val="none"/>
          <w:lang w:val="en-GB"/>
        </w:rPr>
        <w:t>工程区电气运行和操作的巡回检查制度、检修制度、运行安全操作规程等各项规章制度。加强人员技术培训，电气维修人员必须经过培训，取得特种作业操作证后，方可上岗。防止因静电火花诱发沼气燃爆事故发生。</w:t>
      </w:r>
    </w:p>
    <w:p w14:paraId="7F203078">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（2）</w:t>
      </w:r>
      <w:r>
        <w:rPr>
          <w:rFonts w:hint="eastAsia" w:ascii="Times New Roman" w:hAnsi="Times New Roman" w:cs="Times New Roman"/>
          <w:snapToGrid w:val="0"/>
          <w:color w:val="auto"/>
          <w:szCs w:val="28"/>
          <w:highlight w:val="none"/>
          <w:lang w:val="en-GB" w:eastAsia="zh-CN"/>
        </w:rPr>
        <w:t>沼气燃烧处置</w:t>
      </w:r>
      <w:r>
        <w:rPr>
          <w:rFonts w:hint="default" w:ascii="Times New Roman" w:hAnsi="Times New Roman" w:eastAsia="宋体" w:cs="Times New Roman"/>
          <w:snapToGrid w:val="0"/>
          <w:color w:val="auto"/>
          <w:szCs w:val="28"/>
          <w:highlight w:val="none"/>
          <w:lang w:val="en-GB"/>
        </w:rPr>
        <w:t>风险防范措施</w:t>
      </w:r>
    </w:p>
    <w:p w14:paraId="16C74D72">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①沼气导管上的阀门要灵活、严密，不能漏气；安装沼气泄漏报警装置。</w:t>
      </w:r>
    </w:p>
    <w:p w14:paraId="09589596">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②导气管应经常检查，确保不漏气。</w:t>
      </w:r>
    </w:p>
    <w:p w14:paraId="27A26FF9">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③导气管上应装上压力表。压力过高应排出气体；压力不足时应停止使用，重新进料充气，以防止回火。</w:t>
      </w:r>
    </w:p>
    <w:p w14:paraId="76EBF3CE">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④沼气</w:t>
      </w:r>
      <w:r>
        <w:rPr>
          <w:rFonts w:hint="default" w:ascii="Times New Roman" w:hAnsi="Times New Roman" w:eastAsia="宋体" w:cs="Times New Roman"/>
          <w:snapToGrid w:val="0"/>
          <w:color w:val="auto"/>
          <w:szCs w:val="28"/>
          <w:highlight w:val="none"/>
          <w:lang w:val="en-US" w:eastAsia="zh-CN"/>
        </w:rPr>
        <w:t>燃烧时</w:t>
      </w:r>
      <w:r>
        <w:rPr>
          <w:rFonts w:hint="default" w:ascii="Times New Roman" w:hAnsi="Times New Roman" w:eastAsia="宋体" w:cs="Times New Roman"/>
          <w:snapToGrid w:val="0"/>
          <w:color w:val="auto"/>
          <w:szCs w:val="28"/>
          <w:highlight w:val="none"/>
          <w:lang w:val="en-GB"/>
        </w:rPr>
        <w:t>必须与可燃物保持一定的安全距离，以保证安全。</w:t>
      </w:r>
    </w:p>
    <w:p w14:paraId="00CF08AC">
      <w:pPr>
        <w:widowControl w:val="0"/>
        <w:spacing w:line="360" w:lineRule="auto"/>
        <w:ind w:firstLine="480" w:firstLineChars="200"/>
        <w:jc w:val="both"/>
        <w:rPr>
          <w:rFonts w:hint="default" w:ascii="Times New Roman" w:hAnsi="Times New Roman" w:eastAsia="宋体" w:cs="Times New Roman"/>
          <w:color w:val="auto"/>
          <w:kern w:val="2"/>
          <w:sz w:val="24"/>
          <w:highlight w:val="none"/>
        </w:rPr>
      </w:pPr>
      <w:r>
        <w:rPr>
          <w:rFonts w:hint="eastAsia" w:ascii="Times New Roman" w:hAnsi="Times New Roman" w:eastAsia="宋体" w:cs="Times New Roman"/>
          <w:color w:val="auto"/>
          <w:kern w:val="2"/>
          <w:sz w:val="24"/>
          <w:highlight w:val="none"/>
          <w:lang w:val="en-US" w:eastAsia="zh-CN"/>
        </w:rPr>
        <w:t>（3）</w:t>
      </w:r>
      <w:r>
        <w:rPr>
          <w:rFonts w:hint="default" w:ascii="Times New Roman" w:hAnsi="Times New Roman" w:eastAsia="宋体" w:cs="Times New Roman"/>
          <w:color w:val="auto"/>
          <w:kern w:val="2"/>
          <w:sz w:val="24"/>
          <w:highlight w:val="none"/>
        </w:rPr>
        <w:t>黑膜</w:t>
      </w:r>
      <w:r>
        <w:rPr>
          <w:rFonts w:hint="eastAsia" w:ascii="Times New Roman" w:hAnsi="Times New Roman" w:eastAsia="宋体" w:cs="Times New Roman"/>
          <w:color w:val="auto"/>
          <w:kern w:val="2"/>
          <w:sz w:val="24"/>
          <w:highlight w:val="none"/>
          <w:lang w:val="en-US" w:eastAsia="zh-CN"/>
        </w:rPr>
        <w:t>厌氧</w:t>
      </w:r>
      <w:r>
        <w:rPr>
          <w:rFonts w:hint="default" w:ascii="Times New Roman" w:hAnsi="Times New Roman" w:eastAsia="宋体" w:cs="Times New Roman"/>
          <w:color w:val="auto"/>
          <w:kern w:val="2"/>
          <w:sz w:val="24"/>
          <w:highlight w:val="none"/>
        </w:rPr>
        <w:t>池安全防范措施</w:t>
      </w:r>
    </w:p>
    <w:p w14:paraId="2259AA83">
      <w:pPr>
        <w:widowControl w:val="0"/>
        <w:spacing w:line="360" w:lineRule="auto"/>
        <w:ind w:firstLine="480" w:firstLineChars="200"/>
        <w:jc w:val="both"/>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lang w:val="en-GB"/>
        </w:rPr>
        <w:t>①</w:t>
      </w:r>
      <w:r>
        <w:rPr>
          <w:rFonts w:hint="default" w:ascii="Times New Roman" w:hAnsi="Times New Roman" w:eastAsia="宋体" w:cs="Times New Roman"/>
          <w:color w:val="auto"/>
          <w:kern w:val="2"/>
          <w:sz w:val="24"/>
          <w:highlight w:val="none"/>
        </w:rPr>
        <w:t>严格按国家有关消防规定和技术规范进行设计和施工。</w:t>
      </w:r>
    </w:p>
    <w:p w14:paraId="2F31D3CF">
      <w:pPr>
        <w:widowControl w:val="0"/>
        <w:spacing w:line="360" w:lineRule="auto"/>
        <w:ind w:firstLine="480" w:firstLineChars="200"/>
        <w:jc w:val="both"/>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lang w:val="en-GB"/>
        </w:rPr>
        <w:t>②</w:t>
      </w:r>
      <w:r>
        <w:rPr>
          <w:rFonts w:hint="default" w:ascii="Times New Roman" w:hAnsi="Times New Roman" w:eastAsia="宋体" w:cs="Times New Roman"/>
          <w:color w:val="auto"/>
          <w:kern w:val="2"/>
          <w:sz w:val="24"/>
          <w:highlight w:val="none"/>
        </w:rPr>
        <w:t>黑膜</w:t>
      </w:r>
      <w:r>
        <w:rPr>
          <w:rFonts w:hint="eastAsia" w:ascii="Times New Roman" w:hAnsi="Times New Roman" w:eastAsia="宋体" w:cs="Times New Roman"/>
          <w:color w:val="auto"/>
          <w:kern w:val="2"/>
          <w:sz w:val="24"/>
          <w:highlight w:val="none"/>
          <w:lang w:val="en-US" w:eastAsia="zh-CN"/>
        </w:rPr>
        <w:t>厌氧</w:t>
      </w:r>
      <w:r>
        <w:rPr>
          <w:rFonts w:hint="default" w:ascii="Times New Roman" w:hAnsi="Times New Roman" w:eastAsia="宋体" w:cs="Times New Roman"/>
          <w:color w:val="auto"/>
          <w:kern w:val="2"/>
          <w:sz w:val="24"/>
          <w:highlight w:val="none"/>
        </w:rPr>
        <w:t>池周边设计多种消防系统，包括消防水系统、灭火器系统、高倍数泡沫灭火系统等。</w:t>
      </w:r>
    </w:p>
    <w:p w14:paraId="04FE6BD4">
      <w:pPr>
        <w:widowControl w:val="0"/>
        <w:spacing w:line="360" w:lineRule="auto"/>
        <w:ind w:firstLine="480" w:firstLineChars="200"/>
        <w:jc w:val="both"/>
        <w:rPr>
          <w:rFonts w:hint="default"/>
          <w:highlight w:val="none"/>
          <w:lang w:val="en-GB"/>
        </w:rPr>
      </w:pPr>
      <w:r>
        <w:rPr>
          <w:rFonts w:hint="default" w:ascii="Times New Roman" w:hAnsi="Times New Roman" w:eastAsia="宋体" w:cs="Times New Roman"/>
          <w:snapToGrid w:val="0"/>
          <w:color w:val="auto"/>
          <w:szCs w:val="28"/>
          <w:highlight w:val="none"/>
          <w:lang w:val="en-GB"/>
        </w:rPr>
        <w:t>③</w:t>
      </w:r>
      <w:r>
        <w:rPr>
          <w:rFonts w:hint="default" w:ascii="Times New Roman" w:hAnsi="Times New Roman" w:eastAsia="宋体" w:cs="Times New Roman"/>
          <w:color w:val="auto"/>
          <w:kern w:val="2"/>
          <w:sz w:val="24"/>
          <w:highlight w:val="none"/>
        </w:rPr>
        <w:t>输气管道上设有紧急切断阀，在装置发生意外时，可立即切断与外界的通道。</w:t>
      </w:r>
    </w:p>
    <w:p w14:paraId="6362DD3D">
      <w:pPr>
        <w:pStyle w:val="8"/>
        <w:bidi w:val="0"/>
        <w:rPr>
          <w:rFonts w:hint="default" w:ascii="Times New Roman" w:hAnsi="Times New Roman" w:eastAsia="宋体" w:cs="Times New Roman"/>
          <w:snapToGrid w:val="0"/>
          <w:color w:val="auto"/>
          <w:highlight w:val="none"/>
        </w:rPr>
      </w:pPr>
      <w:bookmarkStart w:id="1016" w:name="_Toc29377"/>
      <w:bookmarkStart w:id="1017" w:name="_Toc10323"/>
      <w:bookmarkStart w:id="1018" w:name="_Toc10710"/>
      <w:r>
        <w:rPr>
          <w:rFonts w:hint="default" w:ascii="Times New Roman" w:hAnsi="Times New Roman" w:eastAsia="宋体" w:cs="Times New Roman"/>
          <w:snapToGrid w:val="0"/>
          <w:color w:val="auto"/>
          <w:highlight w:val="none"/>
        </w:rPr>
        <w:t>6.2.6.</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污水事故排放应急措施</w:t>
      </w:r>
      <w:bookmarkEnd w:id="1016"/>
      <w:bookmarkEnd w:id="1017"/>
      <w:bookmarkEnd w:id="1018"/>
    </w:p>
    <w:p w14:paraId="4E16B09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（1）加强施工期的管理，提高施工质量，确保管线、池体的工程质量，减少泄漏事故的发生；发生泄漏事故时应及时采取措施，将影响将至最低。</w:t>
      </w:r>
    </w:p>
    <w:p w14:paraId="7218082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（2）在全场范围内修建雨水收集系统，并在</w:t>
      </w:r>
      <w:r>
        <w:rPr>
          <w:rFonts w:hint="default" w:ascii="Times New Roman" w:hAnsi="Times New Roman" w:eastAsia="宋体" w:cs="Times New Roman"/>
          <w:snapToGrid w:val="0"/>
          <w:color w:val="auto"/>
          <w:highlight w:val="none"/>
          <w:lang w:val="en-US" w:eastAsia="zh-CN"/>
        </w:rPr>
        <w:t>黑膜厌氧池</w:t>
      </w:r>
      <w:r>
        <w:rPr>
          <w:rFonts w:hint="default" w:ascii="Times New Roman" w:hAnsi="Times New Roman" w:eastAsia="宋体" w:cs="Times New Roman"/>
          <w:snapToGrid w:val="0"/>
          <w:color w:val="auto"/>
          <w:highlight w:val="none"/>
        </w:rPr>
        <w:t>等易受水流冲击的构建筑物周围加设围堰，降低暴雨对其冲击的风险。</w:t>
      </w:r>
    </w:p>
    <w:p w14:paraId="74975E3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default" w:ascii="Times New Roman" w:hAnsi="Times New Roman" w:cs="Times New Roman"/>
          <w:color w:val="auto"/>
          <w:highlight w:val="none"/>
        </w:rPr>
        <w:t>本项目不单独设置事故池，黑膜厌氧池的容积设计时即考虑了事故池的功能。有效防止事故性废水排放</w:t>
      </w:r>
      <w:r>
        <w:rPr>
          <w:rFonts w:hint="default" w:ascii="Times New Roman" w:hAnsi="Times New Roman" w:cs="Times New Roman"/>
          <w:snapToGrid w:val="0"/>
          <w:color w:val="auto"/>
          <w:highlight w:val="none"/>
        </w:rPr>
        <w:t>。</w:t>
      </w:r>
    </w:p>
    <w:p w14:paraId="671FC413">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snapToGrid w:val="0"/>
          <w:color w:val="auto"/>
          <w:sz w:val="24"/>
          <w:szCs w:val="24"/>
          <w:highlight w:val="none"/>
          <w:lang w:val="en-US" w:eastAsia="zh-CN" w:bidi="ar"/>
        </w:rPr>
      </w:pPr>
      <w:bookmarkStart w:id="1019" w:name="_Hlk480428638"/>
      <w:r>
        <w:rPr>
          <w:rFonts w:hint="default" w:ascii="Times New Roman" w:hAnsi="Times New Roman" w:eastAsia="宋体" w:cs="Times New Roman"/>
          <w:snapToGrid w:val="0"/>
          <w:color w:val="auto"/>
          <w:sz w:val="24"/>
          <w:szCs w:val="24"/>
          <w:highlight w:val="none"/>
        </w:rPr>
        <w:t>（4）</w:t>
      </w:r>
      <w:bookmarkEnd w:id="1019"/>
      <w:r>
        <w:rPr>
          <w:rFonts w:hint="eastAsia" w:ascii="Times New Roman" w:hAnsi="Times New Roman" w:cs="Times New Roman"/>
          <w:snapToGrid w:val="0"/>
          <w:color w:val="auto"/>
          <w:sz w:val="24"/>
          <w:szCs w:val="24"/>
          <w:highlight w:val="none"/>
          <w:lang w:val="en-US" w:eastAsia="zh-CN" w:bidi="ar"/>
        </w:rPr>
        <w:t>黑膜厌氧池、沼液贮存池、医疗废物暂存间防渗措施为高密度聚乙烯（HDPE）防渗膜（渗透系数K≤10</w:t>
      </w:r>
      <w:r>
        <w:rPr>
          <w:rFonts w:hint="eastAsia" w:ascii="Times New Roman" w:hAnsi="Times New Roman" w:cs="Times New Roman"/>
          <w:snapToGrid w:val="0"/>
          <w:color w:val="auto"/>
          <w:sz w:val="24"/>
          <w:szCs w:val="24"/>
          <w:highlight w:val="none"/>
          <w:vertAlign w:val="superscript"/>
          <w:lang w:val="en-US" w:eastAsia="zh-CN" w:bidi="ar"/>
        </w:rPr>
        <w:t>-12</w:t>
      </w:r>
      <w:r>
        <w:rPr>
          <w:rFonts w:hint="eastAsia" w:ascii="Times New Roman" w:hAnsi="Times New Roman" w:cs="Times New Roman"/>
          <w:snapToGrid w:val="0"/>
          <w:color w:val="auto"/>
          <w:sz w:val="24"/>
          <w:szCs w:val="24"/>
          <w:highlight w:val="none"/>
          <w:lang w:val="en-US" w:eastAsia="zh-CN" w:bidi="ar"/>
        </w:rPr>
        <w:t>cm/s，等效黏土防渗层Mb≥6.0m），满足《环境影响评价技术导则 地下水环境》（HJ610-2016）的防渗要求。</w:t>
      </w:r>
    </w:p>
    <w:p w14:paraId="0148FC4A">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auto"/>
          <w:sz w:val="24"/>
          <w:szCs w:val="24"/>
          <w:highlight w:val="none"/>
          <w:lang w:val="en-US" w:bidi="ar"/>
        </w:rPr>
      </w:pPr>
      <w:r>
        <w:rPr>
          <w:rFonts w:hint="eastAsia" w:ascii="Times New Roman" w:hAnsi="Times New Roman" w:cs="Times New Roman"/>
          <w:snapToGrid w:val="0"/>
          <w:color w:val="auto"/>
          <w:sz w:val="24"/>
          <w:szCs w:val="24"/>
          <w:highlight w:val="none"/>
          <w:lang w:val="en-US" w:eastAsia="zh-CN" w:bidi="ar"/>
        </w:rPr>
        <w:t>医疗废物暂存间应采取防风、防雨、防晒、防渗、防漏和防止危险废物流失、扬散等措施。</w:t>
      </w:r>
    </w:p>
    <w:p w14:paraId="678DA32D">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en-US" w:bidi="ar"/>
        </w:rPr>
        <w:t>猪舍、</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cs="Times New Roman"/>
          <w:snapToGrid w:val="0"/>
          <w:color w:val="auto"/>
          <w:sz w:val="24"/>
          <w:szCs w:val="24"/>
          <w:highlight w:val="none"/>
          <w:lang w:val="en-US" w:eastAsia="zh-CN" w:bidi="ar"/>
        </w:rPr>
        <w:t>、固液分离间为</w:t>
      </w:r>
      <w:r>
        <w:rPr>
          <w:rFonts w:hint="default" w:ascii="Times New Roman" w:hAnsi="Times New Roman" w:cs="Times New Roman"/>
          <w:snapToGrid w:val="0"/>
          <w:color w:val="auto"/>
          <w:sz w:val="24"/>
          <w:szCs w:val="24"/>
          <w:highlight w:val="none"/>
          <w:lang w:val="en-US" w:bidi="ar"/>
        </w:rPr>
        <w:t>一般防渗区</w:t>
      </w:r>
      <w:r>
        <w:rPr>
          <w:rFonts w:hint="default" w:ascii="Times New Roman" w:hAnsi="Times New Roman" w:cs="Times New Roman"/>
          <w:snapToGrid w:val="0"/>
          <w:color w:val="auto"/>
          <w:sz w:val="24"/>
          <w:szCs w:val="24"/>
          <w:highlight w:val="none"/>
          <w:lang w:val="en-US" w:eastAsia="zh-CN" w:bidi="ar"/>
        </w:rPr>
        <w:t>，</w:t>
      </w:r>
      <w:r>
        <w:rPr>
          <w:rFonts w:hint="eastAsia" w:ascii="Times New Roman" w:hAnsi="Times New Roman" w:cs="Times New Roman"/>
          <w:snapToGrid w:val="0"/>
          <w:color w:val="auto"/>
          <w:sz w:val="24"/>
          <w:szCs w:val="24"/>
          <w:highlight w:val="none"/>
          <w:lang w:val="en-US" w:eastAsia="zh-CN" w:bidi="ar"/>
        </w:rPr>
        <w:t>地面及墙面采用水泥混凝土防渗，等效黏土防渗层Mb≥1.5m，K≤1.0×10</w:t>
      </w:r>
      <w:r>
        <w:rPr>
          <w:rFonts w:hint="eastAsia" w:ascii="Times New Roman" w:hAnsi="Times New Roman" w:cs="Times New Roman"/>
          <w:snapToGrid w:val="0"/>
          <w:color w:val="auto"/>
          <w:sz w:val="24"/>
          <w:szCs w:val="24"/>
          <w:highlight w:val="none"/>
          <w:vertAlign w:val="superscript"/>
          <w:lang w:val="en-US" w:eastAsia="zh-CN" w:bidi="ar"/>
        </w:rPr>
        <w:t>-7</w:t>
      </w:r>
      <w:r>
        <w:rPr>
          <w:rFonts w:hint="eastAsia" w:ascii="Times New Roman" w:hAnsi="Times New Roman" w:cs="Times New Roman"/>
          <w:snapToGrid w:val="0"/>
          <w:color w:val="auto"/>
          <w:sz w:val="24"/>
          <w:szCs w:val="24"/>
          <w:highlight w:val="none"/>
          <w:lang w:val="en-US" w:eastAsia="zh-CN" w:bidi="ar"/>
        </w:rPr>
        <w:t>cm/s满足《环境影响评价技术导则 地下水环境》（HJ610-2016）的防渗要求。</w:t>
      </w:r>
      <w:r>
        <w:rPr>
          <w:rFonts w:hint="default" w:ascii="Times New Roman" w:hAnsi="Times New Roman" w:cs="Times New Roman"/>
          <w:snapToGrid w:val="0"/>
          <w:color w:val="auto"/>
          <w:sz w:val="24"/>
          <w:szCs w:val="24"/>
          <w:highlight w:val="none"/>
          <w:lang w:val="en-US" w:bidi="ar"/>
        </w:rPr>
        <w:t>其他建筑物及道路采取简单防渗，地面</w:t>
      </w:r>
      <w:r>
        <w:rPr>
          <w:rFonts w:hint="default" w:ascii="Times New Roman" w:hAnsi="Times New Roman" w:cs="Times New Roman"/>
          <w:snapToGrid w:val="0"/>
          <w:color w:val="auto"/>
          <w:sz w:val="24"/>
          <w:szCs w:val="24"/>
          <w:highlight w:val="none"/>
          <w:lang w:val="en-US" w:eastAsia="zh-CN" w:bidi="ar"/>
        </w:rPr>
        <w:t>均用水泥进行一般地面硬化。</w:t>
      </w:r>
      <w:r>
        <w:rPr>
          <w:rFonts w:hint="default" w:ascii="Times New Roman" w:hAnsi="Times New Roman" w:eastAsia="宋体" w:cs="Times New Roman"/>
          <w:snapToGrid w:val="0"/>
          <w:color w:val="auto"/>
          <w:kern w:val="0"/>
          <w:sz w:val="24"/>
          <w:szCs w:val="24"/>
          <w:highlight w:val="none"/>
          <w:lang w:val="en-US" w:eastAsia="zh-CN" w:bidi="ar"/>
        </w:rPr>
        <w:t>医疗废物暂存间应采取防风、防雨、防晒</w:t>
      </w:r>
      <w:r>
        <w:rPr>
          <w:rFonts w:hint="default" w:ascii="Times New Roman" w:hAnsi="Times New Roman" w:cs="Times New Roman"/>
          <w:snapToGrid w:val="0"/>
          <w:color w:val="auto"/>
          <w:kern w:val="0"/>
          <w:sz w:val="24"/>
          <w:szCs w:val="24"/>
          <w:highlight w:val="none"/>
          <w:lang w:val="en-US" w:eastAsia="zh-CN" w:bidi="ar"/>
        </w:rPr>
        <w:t>、防渗、防漏</w:t>
      </w:r>
      <w:r>
        <w:rPr>
          <w:rFonts w:hint="default" w:ascii="Times New Roman" w:hAnsi="Times New Roman" w:eastAsia="宋体" w:cs="Times New Roman"/>
          <w:snapToGrid w:val="0"/>
          <w:color w:val="auto"/>
          <w:kern w:val="0"/>
          <w:sz w:val="24"/>
          <w:szCs w:val="24"/>
          <w:highlight w:val="none"/>
          <w:lang w:val="en-US" w:eastAsia="zh-CN" w:bidi="ar"/>
        </w:rPr>
        <w:t>和防止危险废物流失、扬散等措施</w:t>
      </w:r>
      <w:r>
        <w:rPr>
          <w:rFonts w:hint="default" w:ascii="Times New Roman" w:hAnsi="Times New Roman" w:cs="Times New Roman"/>
          <w:snapToGrid w:val="0"/>
          <w:color w:val="auto"/>
          <w:kern w:val="0"/>
          <w:sz w:val="24"/>
          <w:szCs w:val="24"/>
          <w:highlight w:val="none"/>
          <w:lang w:val="en-US" w:eastAsia="zh-CN" w:bidi="ar"/>
        </w:rPr>
        <w:t>。</w:t>
      </w:r>
    </w:p>
    <w:p w14:paraId="01B1423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（5）要有专人管理污水治理设备，发现设备不能正常运转，立刻停止生产，组织人员抢修，待设备正常运转后，方可生产。</w:t>
      </w:r>
    </w:p>
    <w:p w14:paraId="4E5D2119">
      <w:pPr>
        <w:pStyle w:val="8"/>
        <w:bidi w:val="0"/>
        <w:rPr>
          <w:rFonts w:hint="default" w:ascii="Times New Roman" w:hAnsi="Times New Roman" w:eastAsia="宋体" w:cs="Times New Roman"/>
          <w:snapToGrid w:val="0"/>
          <w:color w:val="auto"/>
          <w:highlight w:val="none"/>
          <w:lang w:val="en-US" w:eastAsia="zh-CN"/>
        </w:rPr>
      </w:pPr>
      <w:bookmarkStart w:id="1020" w:name="_Toc14002"/>
      <w:bookmarkStart w:id="1021" w:name="_Toc21654"/>
      <w:r>
        <w:rPr>
          <w:rFonts w:hint="default" w:ascii="Times New Roman" w:hAnsi="Times New Roman" w:eastAsia="宋体" w:cs="Times New Roman"/>
          <w:snapToGrid w:val="0"/>
          <w:color w:val="auto"/>
          <w:highlight w:val="none"/>
        </w:rPr>
        <w:t>6.2.6.3应急</w:t>
      </w:r>
      <w:r>
        <w:rPr>
          <w:rFonts w:hint="default" w:ascii="Times New Roman" w:hAnsi="Times New Roman" w:eastAsia="宋体" w:cs="Times New Roman"/>
          <w:snapToGrid w:val="0"/>
          <w:color w:val="auto"/>
          <w:highlight w:val="none"/>
          <w:lang w:val="en-US" w:eastAsia="zh-CN"/>
        </w:rPr>
        <w:t>预案</w:t>
      </w:r>
      <w:bookmarkEnd w:id="1020"/>
      <w:bookmarkEnd w:id="1021"/>
    </w:p>
    <w:p w14:paraId="10C8C334">
      <w:pPr>
        <w:pStyle w:val="2"/>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在风险事故发生后，采取预防措施使事故控制在局部，消除蔓延条件，防止突发性重大或连锁事故发生；能在事故发生后迅速有效控制和处理事故，尽力减轻事故对人和财产的影响，同时减轻对周边环境的影响。</w:t>
      </w:r>
    </w:p>
    <w:p w14:paraId="56A31115">
      <w:pPr>
        <w:pStyle w:val="2"/>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应急预案主要内容见表6</w:t>
      </w:r>
      <w:r>
        <w:rPr>
          <w:rFonts w:hint="eastAsia" w:asci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2-</w:t>
      </w:r>
      <w:r>
        <w:rPr>
          <w:rFonts w:hint="default"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p>
    <w:p w14:paraId="5942DE59">
      <w:pPr>
        <w:spacing w:line="240" w:lineRule="auto"/>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7 </w:t>
      </w:r>
      <w:r>
        <w:rPr>
          <w:rFonts w:hint="default" w:ascii="Times New Roman" w:hAnsi="Times New Roman" w:eastAsia="黑体" w:cs="Times New Roman"/>
          <w:b w:val="0"/>
          <w:bCs/>
          <w:smallCaps w:val="0"/>
          <w:snapToGrid/>
          <w:color w:val="auto"/>
          <w:kern w:val="2"/>
          <w:sz w:val="21"/>
          <w:szCs w:val="24"/>
          <w:highlight w:val="none"/>
          <w:lang w:val="zh-CN" w:eastAsia="zh-CN" w:bidi="ar-SA"/>
        </w:rPr>
        <w:t>本项目事故应急预案内容</w:t>
      </w:r>
    </w:p>
    <w:tbl>
      <w:tblPr>
        <w:tblStyle w:val="4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2322"/>
        <w:gridCol w:w="5440"/>
      </w:tblGrid>
      <w:tr w14:paraId="2A1F73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4397AAC9">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361" w:type="pct"/>
            <w:noWrap w:val="0"/>
            <w:vAlign w:val="center"/>
          </w:tcPr>
          <w:p w14:paraId="75EE1F9A">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3189" w:type="pct"/>
            <w:noWrap w:val="0"/>
            <w:vAlign w:val="center"/>
          </w:tcPr>
          <w:p w14:paraId="18030D39">
            <w:pPr>
              <w:pStyle w:val="2"/>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内容及要求</w:t>
            </w:r>
          </w:p>
        </w:tc>
      </w:tr>
      <w:tr w14:paraId="6E575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35C66237">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361" w:type="pct"/>
            <w:noWrap w:val="0"/>
            <w:vAlign w:val="center"/>
          </w:tcPr>
          <w:p w14:paraId="3E2DA9E8">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应急计划区</w:t>
            </w:r>
          </w:p>
        </w:tc>
        <w:tc>
          <w:tcPr>
            <w:tcW w:w="3189" w:type="pct"/>
            <w:noWrap w:val="0"/>
            <w:vAlign w:val="center"/>
          </w:tcPr>
          <w:p w14:paraId="7208EAC6">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危险目标：</w:t>
            </w:r>
            <w:r>
              <w:rPr>
                <w:rFonts w:hint="default" w:ascii="Times New Roman" w:hAnsi="Times New Roman" w:eastAsia="宋体" w:cs="Times New Roman"/>
                <w:color w:val="auto"/>
                <w:sz w:val="21"/>
                <w:szCs w:val="21"/>
                <w:highlight w:val="none"/>
                <w:lang w:eastAsia="zh-CN"/>
              </w:rPr>
              <w:t>黑膜厌氧池</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沼液贮存池</w:t>
            </w:r>
            <w:r>
              <w:rPr>
                <w:rFonts w:hint="eastAsia" w:asci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医疗废物暂存间</w:t>
            </w:r>
          </w:p>
        </w:tc>
      </w:tr>
      <w:tr w14:paraId="31B42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24E04F61">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361" w:type="pct"/>
            <w:noWrap w:val="0"/>
            <w:vAlign w:val="center"/>
          </w:tcPr>
          <w:p w14:paraId="6562656D">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应急组织机构、人员</w:t>
            </w:r>
          </w:p>
        </w:tc>
        <w:tc>
          <w:tcPr>
            <w:tcW w:w="3189" w:type="pct"/>
            <w:noWrap w:val="0"/>
            <w:vAlign w:val="center"/>
          </w:tcPr>
          <w:p w14:paraId="6B3D72E9">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由建设单位负责人担任事故应急救援小组组长，组员各部门工作人员、现场操作人员组成。</w:t>
            </w:r>
          </w:p>
        </w:tc>
      </w:tr>
      <w:tr w14:paraId="14025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470B2AEB">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361" w:type="pct"/>
            <w:noWrap w:val="0"/>
            <w:vAlign w:val="center"/>
          </w:tcPr>
          <w:p w14:paraId="108FB7C1">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预案分级响应条件</w:t>
            </w:r>
          </w:p>
        </w:tc>
        <w:tc>
          <w:tcPr>
            <w:tcW w:w="3189" w:type="pct"/>
            <w:noWrap w:val="0"/>
            <w:vAlign w:val="center"/>
          </w:tcPr>
          <w:p w14:paraId="68ECB839">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规定预案的级别及分级响应程序，出现紧急状态，按照现场应急救援预案启动与处理。</w:t>
            </w:r>
          </w:p>
        </w:tc>
      </w:tr>
      <w:tr w14:paraId="779E0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35EE8AF6">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361" w:type="pct"/>
            <w:noWrap w:val="0"/>
            <w:vAlign w:val="center"/>
          </w:tcPr>
          <w:p w14:paraId="62501DDC">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应急救援保障</w:t>
            </w:r>
          </w:p>
        </w:tc>
        <w:tc>
          <w:tcPr>
            <w:tcW w:w="3189" w:type="pct"/>
            <w:noWrap w:val="0"/>
            <w:vAlign w:val="center"/>
          </w:tcPr>
          <w:p w14:paraId="14679744">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应急设施、设备与器材等。如应急灯、急救药箱、报警器、消防器材等。当出现紧急状态时，现场应急负责人应及时安排人员和相关部门。</w:t>
            </w:r>
          </w:p>
        </w:tc>
      </w:tr>
      <w:tr w14:paraId="597E2D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7F190F2A">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361" w:type="pct"/>
            <w:noWrap w:val="0"/>
            <w:vAlign w:val="center"/>
          </w:tcPr>
          <w:p w14:paraId="28ED68AA">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报警、通讯联络方式</w:t>
            </w:r>
          </w:p>
        </w:tc>
        <w:tc>
          <w:tcPr>
            <w:tcW w:w="3189" w:type="pct"/>
            <w:noWrap w:val="0"/>
            <w:vAlign w:val="center"/>
          </w:tcPr>
          <w:p w14:paraId="59B68436">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规定应急状态下的报警通讯方式、通知方式和交通保障、管制</w:t>
            </w:r>
          </w:p>
        </w:tc>
      </w:tr>
      <w:tr w14:paraId="41A0C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03BB58C1">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361" w:type="pct"/>
            <w:noWrap w:val="0"/>
            <w:vAlign w:val="center"/>
          </w:tcPr>
          <w:p w14:paraId="30840783">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应急环境监测、抢险、救援及控制措施</w:t>
            </w:r>
          </w:p>
        </w:tc>
        <w:tc>
          <w:tcPr>
            <w:tcW w:w="3189" w:type="pct"/>
            <w:noWrap w:val="0"/>
            <w:vAlign w:val="center"/>
          </w:tcPr>
          <w:p w14:paraId="40F59240">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由专业队伍负责对事故现场进行侦察监测，对事故性质、参数与后果进行评估，为指挥部门提供决策依据</w:t>
            </w:r>
          </w:p>
        </w:tc>
      </w:tr>
      <w:tr w14:paraId="078FE0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24FF60FB">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361" w:type="pct"/>
            <w:noWrap w:val="0"/>
            <w:vAlign w:val="center"/>
          </w:tcPr>
          <w:p w14:paraId="34BF9563">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应急检测、防护措施、清除泄漏措施和器材</w:t>
            </w:r>
          </w:p>
        </w:tc>
        <w:tc>
          <w:tcPr>
            <w:tcW w:w="3189" w:type="pct"/>
            <w:noWrap w:val="0"/>
            <w:vAlign w:val="center"/>
          </w:tcPr>
          <w:p w14:paraId="5B93C4BC">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事故现场、邻近区域、控制防火区域，控制和清除污染措施及相应设备</w:t>
            </w:r>
          </w:p>
        </w:tc>
      </w:tr>
      <w:tr w14:paraId="2C5DA9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3088D1BB">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361" w:type="pct"/>
            <w:noWrap w:val="0"/>
            <w:vAlign w:val="center"/>
          </w:tcPr>
          <w:p w14:paraId="4C98B572">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人员紧急撤离、疏散，应急剂量控制、撤离组织计划</w:t>
            </w:r>
          </w:p>
        </w:tc>
        <w:tc>
          <w:tcPr>
            <w:tcW w:w="3189" w:type="pct"/>
            <w:noWrap w:val="0"/>
            <w:vAlign w:val="center"/>
          </w:tcPr>
          <w:p w14:paraId="40EC2867">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w:t>
            </w:r>
            <w:r>
              <w:rPr>
                <w:rFonts w:hint="eastAsia" w:ascii="Times New Roman" w:cs="Times New Roman"/>
                <w:color w:val="auto"/>
                <w:sz w:val="21"/>
                <w:szCs w:val="21"/>
                <w:highlight w:val="none"/>
                <w:lang w:val="en-US" w:eastAsia="zh-CN"/>
              </w:rPr>
              <w:t>厂区</w:t>
            </w:r>
            <w:r>
              <w:rPr>
                <w:rFonts w:hint="default" w:ascii="Times New Roman" w:hAnsi="Times New Roman" w:eastAsia="宋体" w:cs="Times New Roman"/>
                <w:color w:val="auto"/>
                <w:sz w:val="21"/>
                <w:szCs w:val="21"/>
                <w:highlight w:val="none"/>
              </w:rPr>
              <w:t>邻近区、受事故影响的区域人员及公众对毒物应急剂量控制规定，撤离组织计划及救护，医疗救护与公众健康</w:t>
            </w:r>
          </w:p>
        </w:tc>
      </w:tr>
      <w:tr w14:paraId="49EBD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5439A89D">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361" w:type="pct"/>
            <w:noWrap w:val="0"/>
            <w:vAlign w:val="center"/>
          </w:tcPr>
          <w:p w14:paraId="3CA49252">
            <w:pPr>
              <w:pStyle w:val="2"/>
              <w:tabs>
                <w:tab w:val="left" w:pos="1576"/>
              </w:tabs>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事故应急救援关闭程序与恢复措施</w:t>
            </w:r>
          </w:p>
        </w:tc>
        <w:tc>
          <w:tcPr>
            <w:tcW w:w="3189" w:type="pct"/>
            <w:noWrap w:val="0"/>
            <w:vAlign w:val="center"/>
          </w:tcPr>
          <w:p w14:paraId="54C6EC4C">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规定应急状态终止程序事故现场善后处理，恢复措施邻近区域解除事故警戒及善后恢复措施。现场应急救援负责人确认现场环境已达到恢复到安全状况时，可宣布紧急状态解除</w:t>
            </w:r>
          </w:p>
        </w:tc>
      </w:tr>
      <w:tr w14:paraId="31A90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60BD6131">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361" w:type="pct"/>
            <w:noWrap w:val="0"/>
            <w:vAlign w:val="center"/>
          </w:tcPr>
          <w:p w14:paraId="44BB0B03">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应急培训计划</w:t>
            </w:r>
          </w:p>
        </w:tc>
        <w:tc>
          <w:tcPr>
            <w:tcW w:w="3189" w:type="pct"/>
            <w:noWrap w:val="0"/>
            <w:vAlign w:val="center"/>
          </w:tcPr>
          <w:p w14:paraId="38681B0C">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应急计划制定后，安排应急计划，包括应急人员的培训、员工应急响的培训与演练及周边人员应急响应知识的宣传。演习应每半年举行一次</w:t>
            </w:r>
          </w:p>
        </w:tc>
      </w:tr>
      <w:tr w14:paraId="32507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1B14A19D">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361" w:type="pct"/>
            <w:noWrap w:val="0"/>
            <w:vAlign w:val="center"/>
          </w:tcPr>
          <w:p w14:paraId="790FC0F0">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公众教育和信息</w:t>
            </w:r>
          </w:p>
        </w:tc>
        <w:tc>
          <w:tcPr>
            <w:tcW w:w="3189" w:type="pct"/>
            <w:noWrap w:val="0"/>
            <w:vAlign w:val="center"/>
          </w:tcPr>
          <w:p w14:paraId="67025575">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对全场职工进行经常性的事故救援常识教育，使大家具备自救、逃生和互助的能力。对项目邻近地区开展公众教育、培训和发布有关信息</w:t>
            </w:r>
          </w:p>
        </w:tc>
      </w:tr>
    </w:tbl>
    <w:p w14:paraId="276F4238">
      <w:pPr>
        <w:pStyle w:val="8"/>
        <w:bidi w:val="0"/>
        <w:rPr>
          <w:rFonts w:hint="default" w:ascii="Times New Roman" w:hAnsi="Times New Roman" w:eastAsia="宋体" w:cs="Times New Roman"/>
          <w:b/>
          <w:bCs w:val="0"/>
          <w:color w:val="auto"/>
          <w:kern w:val="0"/>
          <w:sz w:val="24"/>
          <w:szCs w:val="24"/>
          <w:highlight w:val="none"/>
        </w:rPr>
      </w:pPr>
      <w:bookmarkStart w:id="1022" w:name="_Toc29169"/>
      <w:bookmarkStart w:id="1023" w:name="_Toc4009"/>
      <w:r>
        <w:rPr>
          <w:rFonts w:hint="default" w:ascii="Times New Roman" w:hAnsi="Times New Roman" w:eastAsia="宋体" w:cs="Times New Roman"/>
          <w:b/>
          <w:bCs w:val="0"/>
          <w:color w:val="auto"/>
          <w:sz w:val="24"/>
          <w:szCs w:val="24"/>
          <w:highlight w:val="none"/>
        </w:rPr>
        <w:t>6.2.</w:t>
      </w:r>
      <w:r>
        <w:rPr>
          <w:rFonts w:hint="default" w:ascii="Times New Roman" w:hAnsi="Times New Roman" w:eastAsia="宋体"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rPr>
        <w:t>.</w:t>
      </w:r>
      <w:r>
        <w:rPr>
          <w:rFonts w:hint="default" w:ascii="Times New Roman" w:hAnsi="Times New Roman" w:eastAsia="宋体" w:cs="Times New Roman"/>
          <w:b/>
          <w:bCs w:val="0"/>
          <w:color w:val="auto"/>
          <w:sz w:val="24"/>
          <w:szCs w:val="24"/>
          <w:highlight w:val="none"/>
          <w:lang w:val="en-US" w:eastAsia="zh-CN"/>
        </w:rPr>
        <w:t>4</w:t>
      </w:r>
      <w:r>
        <w:rPr>
          <w:rFonts w:hint="default" w:ascii="Times New Roman" w:hAnsi="Times New Roman" w:eastAsia="宋体" w:cs="Times New Roman"/>
          <w:b/>
          <w:bCs w:val="0"/>
          <w:color w:val="auto"/>
          <w:sz w:val="24"/>
          <w:szCs w:val="24"/>
          <w:highlight w:val="none"/>
        </w:rPr>
        <w:t>疫病防范措施</w:t>
      </w:r>
      <w:bookmarkEnd w:id="1022"/>
      <w:bookmarkEnd w:id="1023"/>
    </w:p>
    <w:p w14:paraId="76416127">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项目运营期要加强</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只防疫工作，根据《中华人民共和国动物防疫法》，建立</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只养殖疫病检疫、疫病防治、疫情报告与通报、疫病控制与扑灭等措施与制度。</w:t>
      </w:r>
    </w:p>
    <w:p w14:paraId="24E199F8">
      <w:pPr>
        <w:adjustRightInd w:val="0"/>
        <w:snapToGrid w:val="0"/>
        <w:spacing w:line="360" w:lineRule="auto"/>
        <w:ind w:firstLine="480" w:firstLineChars="200"/>
        <w:rPr>
          <w:rFonts w:hint="eastAsia" w:ascii="Times New Roman" w:hAnsi="Times New Roman" w:eastAsia="宋体" w:cs="Times New Roman"/>
          <w:color w:val="auto"/>
          <w:kern w:val="0"/>
          <w:sz w:val="24"/>
          <w:szCs w:val="24"/>
          <w:highlight w:val="none"/>
          <w:lang w:val="en-US" w:eastAsia="zh-CN"/>
        </w:rPr>
      </w:pPr>
      <w:bookmarkStart w:id="1024" w:name="_Toc480447676"/>
      <w:r>
        <w:rPr>
          <w:rFonts w:hint="default" w:ascii="Times New Roman" w:hAnsi="Times New Roman" w:eastAsia="宋体" w:cs="Times New Roman"/>
          <w:color w:val="auto"/>
          <w:kern w:val="0"/>
          <w:sz w:val="24"/>
          <w:szCs w:val="24"/>
          <w:highlight w:val="none"/>
        </w:rPr>
        <w:t>防止新增污染，并参照污染地块土壤环境管理有关规定及时开展土壤</w:t>
      </w:r>
      <w:r>
        <w:rPr>
          <w:rFonts w:hint="eastAsia" w:ascii="Times New Roman" w:hAnsi="Times New Roman" w:cs="Times New Roman"/>
          <w:color w:val="auto"/>
          <w:kern w:val="0"/>
          <w:sz w:val="24"/>
          <w:szCs w:val="24"/>
          <w:highlight w:val="none"/>
          <w:lang w:val="en-US" w:eastAsia="zh-CN"/>
        </w:rPr>
        <w:t>监测。</w:t>
      </w:r>
    </w:p>
    <w:p w14:paraId="46BF0A71">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1、防疫条件</w:t>
      </w:r>
    </w:p>
    <w:p w14:paraId="1492FF51">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饲养厂（养殖小区）应符合下列防疫条件：</w:t>
      </w:r>
    </w:p>
    <w:p w14:paraId="0DF31187">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（1）厂所的位置与居民生活区、生活饮用水源地、学校、医院等公共厂所的距离符合国务院兽医主管部门规定的标准；</w:t>
      </w:r>
    </w:p>
    <w:p w14:paraId="2F88919E">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（2）生产区封闭隔离，工程设计和工艺流程符合动物防疫要求；</w:t>
      </w:r>
    </w:p>
    <w:p w14:paraId="714A4761">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（3）有相应的污水、污物的处理设施设备和清洗消毒设施设备；</w:t>
      </w:r>
    </w:p>
    <w:p w14:paraId="2A38723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（4）有为其服务的动物防疫技术人员；</w:t>
      </w:r>
    </w:p>
    <w:p w14:paraId="13C6EA5F">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（5）有完善的动物防疫制度；</w:t>
      </w:r>
    </w:p>
    <w:p w14:paraId="5BC9B049">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（6）具备国务院兽医主管部门规定的其他动物防疫条件。</w:t>
      </w:r>
    </w:p>
    <w:p w14:paraId="4628D1C4">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2、疫情报告措施</w:t>
      </w:r>
    </w:p>
    <w:p w14:paraId="3207AB26">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发现</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染疫或者疑似染疫的，应当立即向当地兽医主管部门、动物卫生监督机构或者动物疫病预防控制机构报告，并采取隔离等控制措施，防止动物疫情扩散。不得瞒报、谎报、迟报、漏报动物疫情，不得授意他人瞒报、谎报、迟报动物疫情，不得阻碍他人报告动物疫情。染疫动物及其排泄物、染疫动物产品，病死或者死因不明的动物尸体，运载工具中的动物排泄物以及垫料、包装物、容器等污染物，应当按照国务院兽医主管部门的规定处理，不得随意处置。</w:t>
      </w:r>
    </w:p>
    <w:p w14:paraId="174666C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3、疫情隔离、扑灭措施</w:t>
      </w:r>
    </w:p>
    <w:p w14:paraId="3C13D47F">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（1）发生一类动物疫病时，应当采取下列控制和扑灭措施：</w:t>
      </w:r>
    </w:p>
    <w:p w14:paraId="04B0BFCC">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①按照法律规定相关要求，对疫区实行封锁。</w:t>
      </w:r>
    </w:p>
    <w:p w14:paraId="0B39E616">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②对疫区采取封锁、隔离、扑杀、销毁、消毒、无害化处理、紧急免疫接种等强制性措施，迅速扑灭疫病。</w:t>
      </w:r>
    </w:p>
    <w:p w14:paraId="4A61C5FE">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③在封锁期间，禁止染疫、疑似染疫和易感染的</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只及产品流出疫区，禁止非疫区的易感染动物进入疫区，并根据扑灭动物疫病的需要对出入疫区的人员、运输工具及有关物品采取消毒和其他限制性措施。</w:t>
      </w:r>
    </w:p>
    <w:p w14:paraId="0E642773">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（2）发生二类动物疫病时，应当采取下列控制和扑灭措施：</w:t>
      </w:r>
    </w:p>
    <w:p w14:paraId="1CC72F40">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①按照法律规定相关要求，划定疫点、疫区、受威胁区。</w:t>
      </w:r>
    </w:p>
    <w:p w14:paraId="7A103084">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②对疫区采取隔离、扑杀、销毁、消毒、无害化处理、紧急免疫接种、限制易感染的</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只及产品等有关物品出入等控制、扑灭措施。</w:t>
      </w:r>
    </w:p>
    <w:p w14:paraId="42F7B337">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4、重大疫情应急预案</w:t>
      </w:r>
    </w:p>
    <w:p w14:paraId="44F960F9">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项目建设方应根据《重大动物疫情应急条例》要求，建立重大疫情应急预案，重大疫情应急预案主要应包括下列内容：</w:t>
      </w:r>
    </w:p>
    <w:p w14:paraId="0F3890EA">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（1）应急指挥部的职责、组成以及成员单位的分工；</w:t>
      </w:r>
    </w:p>
    <w:p w14:paraId="3EB0D059">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（2）重大动物疫情的监测、信息收集、报告和通报；</w:t>
      </w:r>
    </w:p>
    <w:p w14:paraId="656049D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（3）动物疫病的确认、重大动物疫情的分级和相应的应急处理工作方案；</w:t>
      </w:r>
    </w:p>
    <w:p w14:paraId="546A366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（4）重大动物疫情疫源的追踪和流行病学调查分析；</w:t>
      </w:r>
    </w:p>
    <w:p w14:paraId="4303B21E">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（5）预防、控制、扑灭重大动物疫情所需资金的来源、物资和技术的储备与调度；</w:t>
      </w:r>
    </w:p>
    <w:p w14:paraId="75E81543">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（6）重大动物疫情应急处理设施和专业队伍建设。</w:t>
      </w:r>
    </w:p>
    <w:p w14:paraId="3C0421C3">
      <w:pPr>
        <w:pStyle w:val="8"/>
        <w:bidi w:val="0"/>
        <w:rPr>
          <w:rFonts w:hint="default" w:ascii="Times New Roman" w:hAnsi="Times New Roman" w:eastAsia="宋体" w:cs="Times New Roman"/>
          <w:b/>
          <w:bCs w:val="0"/>
          <w:color w:val="auto"/>
          <w:kern w:val="0"/>
          <w:sz w:val="24"/>
          <w:szCs w:val="24"/>
          <w:highlight w:val="none"/>
        </w:rPr>
      </w:pPr>
      <w:bookmarkStart w:id="1025" w:name="_Toc13931"/>
      <w:bookmarkStart w:id="1026" w:name="_Toc27854"/>
      <w:r>
        <w:rPr>
          <w:rFonts w:hint="default" w:ascii="Times New Roman" w:hAnsi="Times New Roman" w:eastAsia="宋体" w:cs="Times New Roman"/>
          <w:b/>
          <w:bCs w:val="0"/>
          <w:color w:val="auto"/>
          <w:sz w:val="24"/>
          <w:szCs w:val="24"/>
          <w:highlight w:val="none"/>
        </w:rPr>
        <w:t>6.2.</w:t>
      </w:r>
      <w:r>
        <w:rPr>
          <w:rFonts w:hint="default" w:ascii="Times New Roman" w:hAnsi="Times New Roman" w:eastAsia="宋体"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rPr>
        <w:t>.</w:t>
      </w:r>
      <w:r>
        <w:rPr>
          <w:rFonts w:hint="default" w:ascii="Times New Roman" w:hAnsi="Times New Roman" w:eastAsia="宋体" w:cs="Times New Roman"/>
          <w:b/>
          <w:bCs w:val="0"/>
          <w:color w:val="auto"/>
          <w:sz w:val="24"/>
          <w:szCs w:val="24"/>
          <w:highlight w:val="none"/>
          <w:lang w:val="en-US" w:eastAsia="zh-CN"/>
        </w:rPr>
        <w:t>5</w:t>
      </w:r>
      <w:r>
        <w:rPr>
          <w:rFonts w:hint="default" w:ascii="Times New Roman" w:hAnsi="Times New Roman" w:eastAsia="宋体" w:cs="Times New Roman"/>
          <w:b/>
          <w:bCs w:val="0"/>
          <w:color w:val="auto"/>
          <w:sz w:val="24"/>
          <w:szCs w:val="24"/>
          <w:highlight w:val="none"/>
        </w:rPr>
        <w:t>结论</w:t>
      </w:r>
      <w:bookmarkEnd w:id="1025"/>
      <w:bookmarkEnd w:id="1026"/>
    </w:p>
    <w:p w14:paraId="338C9A75">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建设单位运营过程中应从多方面积极采取防护措施，制订环境突发事故应急预案，一旦突发环境风险事故，立即按应急预案提到的紧急处理、救援、监测方案等进行紧急救援，项目可以有效的防范风险事故发生或对事故的发生进行有效处置，项目发生的环境风险可以控制在较低水平。</w:t>
      </w:r>
    </w:p>
    <w:p w14:paraId="48C3BBD1">
      <w:pPr>
        <w:adjustRightInd w:val="0"/>
        <w:snapToGrid w:val="0"/>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kern w:val="0"/>
          <w:sz w:val="24"/>
          <w:szCs w:val="24"/>
          <w:highlight w:val="none"/>
        </w:rPr>
        <w:t>综上所述，建设项目的事故风险处于可接受水平。本工程建设从环境风险角度分析是可行的。</w:t>
      </w:r>
    </w:p>
    <w:p w14:paraId="715E4203">
      <w:pPr>
        <w:pStyle w:val="7"/>
        <w:bidi w:val="0"/>
        <w:rPr>
          <w:rFonts w:hint="default"/>
          <w:highlight w:val="none"/>
        </w:rPr>
      </w:pPr>
      <w:bookmarkStart w:id="1027" w:name="_Toc112"/>
      <w:bookmarkStart w:id="1028" w:name="_Toc22340"/>
      <w:bookmarkStart w:id="1029" w:name="_Toc29513"/>
      <w:bookmarkStart w:id="1030" w:name="_Toc2853"/>
      <w:r>
        <w:rPr>
          <w:rFonts w:hint="default"/>
          <w:highlight w:val="none"/>
        </w:rPr>
        <w:t>6.2.</w:t>
      </w:r>
      <w:r>
        <w:rPr>
          <w:rFonts w:hint="default"/>
          <w:highlight w:val="none"/>
          <w:lang w:val="en-US" w:eastAsia="zh-CN"/>
        </w:rPr>
        <w:t>7</w:t>
      </w:r>
      <w:r>
        <w:rPr>
          <w:rFonts w:hint="default"/>
          <w:highlight w:val="none"/>
        </w:rPr>
        <w:t xml:space="preserve"> 土壤环境防范措施</w:t>
      </w:r>
      <w:bookmarkEnd w:id="1027"/>
      <w:bookmarkEnd w:id="1028"/>
      <w:bookmarkEnd w:id="1029"/>
      <w:bookmarkEnd w:id="1030"/>
    </w:p>
    <w:p w14:paraId="6C8BA7BB">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bidi="ar"/>
        </w:rPr>
      </w:pPr>
      <w:r>
        <w:rPr>
          <w:rFonts w:hint="default" w:ascii="Times New Roman" w:hAnsi="Times New Roman" w:eastAsia="宋体" w:cs="Times New Roman"/>
          <w:color w:val="auto"/>
          <w:sz w:val="24"/>
          <w:szCs w:val="24"/>
          <w:highlight w:val="none"/>
          <w:lang w:eastAsia="zh-CN" w:bidi="ar"/>
        </w:rPr>
        <w:t>运营期土壤环境影响类型为污染影响型，影响途径为</w:t>
      </w:r>
      <w:r>
        <w:rPr>
          <w:rFonts w:hint="eastAsia" w:ascii="Times New Roman" w:hAnsi="Times New Roman" w:cs="Times New Roman"/>
          <w:color w:val="auto"/>
          <w:sz w:val="24"/>
          <w:szCs w:val="24"/>
          <w:highlight w:val="none"/>
          <w:lang w:eastAsia="zh-CN" w:bidi="ar"/>
        </w:rPr>
        <w:t>固液分离间</w:t>
      </w:r>
      <w:r>
        <w:rPr>
          <w:rFonts w:hint="default" w:ascii="Times New Roman" w:hAnsi="Times New Roman" w:eastAsia="宋体" w:cs="Times New Roman"/>
          <w:color w:val="auto"/>
          <w:sz w:val="24"/>
          <w:szCs w:val="24"/>
          <w:highlight w:val="none"/>
          <w:lang w:eastAsia="zh-CN" w:bidi="ar"/>
        </w:rPr>
        <w:t>、</w:t>
      </w:r>
      <w:r>
        <w:rPr>
          <w:rFonts w:hint="default" w:ascii="Times New Roman" w:hAnsi="Times New Roman" w:eastAsia="宋体" w:cs="Times New Roman"/>
          <w:color w:val="auto"/>
          <w:sz w:val="24"/>
          <w:szCs w:val="24"/>
          <w:highlight w:val="none"/>
          <w:lang w:eastAsia="zh-CN"/>
        </w:rPr>
        <w:t>黑</w:t>
      </w:r>
      <w:r>
        <w:rPr>
          <w:rFonts w:hint="default" w:ascii="Times New Roman" w:hAnsi="Times New Roman" w:eastAsia="宋体" w:cs="Times New Roman"/>
          <w:color w:val="auto"/>
          <w:sz w:val="24"/>
          <w:szCs w:val="24"/>
          <w:highlight w:val="none"/>
          <w:lang w:eastAsia="zh-CN" w:bidi="ar"/>
        </w:rPr>
        <w:t>膜厌氧池、</w:t>
      </w:r>
      <w:r>
        <w:rPr>
          <w:rFonts w:hint="default" w:ascii="Times New Roman" w:hAnsi="Times New Roman" w:eastAsia="宋体" w:cs="Times New Roman"/>
          <w:color w:val="auto"/>
          <w:sz w:val="24"/>
          <w:szCs w:val="24"/>
          <w:highlight w:val="none"/>
          <w:lang w:val="en-US" w:eastAsia="zh-CN" w:bidi="ar"/>
        </w:rPr>
        <w:t>沼液贮存池</w:t>
      </w:r>
      <w:r>
        <w:rPr>
          <w:rFonts w:hint="eastAsia" w:ascii="Times New Roman" w:hAnsi="Times New Roman" w:cs="Times New Roman"/>
          <w:color w:val="auto"/>
          <w:sz w:val="24"/>
          <w:szCs w:val="24"/>
          <w:highlight w:val="none"/>
          <w:lang w:val="en-US" w:eastAsia="zh-CN" w:bidi="ar"/>
        </w:rPr>
        <w:t>、</w:t>
      </w:r>
      <w:r>
        <w:rPr>
          <w:rFonts w:hint="default" w:ascii="Times New Roman" w:hAnsi="Times New Roman" w:eastAsia="宋体" w:cs="Times New Roman"/>
          <w:color w:val="auto"/>
          <w:sz w:val="24"/>
          <w:szCs w:val="24"/>
          <w:highlight w:val="none"/>
          <w:lang w:eastAsia="zh-CN" w:bidi="ar"/>
        </w:rPr>
        <w:t>医疗废物暂存间、</w:t>
      </w:r>
      <w:r>
        <w:rPr>
          <w:rFonts w:hint="eastAsia" w:ascii="Times New Roman" w:hAnsi="Times New Roman" w:cs="Times New Roman"/>
          <w:color w:val="auto"/>
          <w:sz w:val="24"/>
          <w:szCs w:val="24"/>
          <w:highlight w:val="none"/>
          <w:lang w:eastAsia="zh-CN" w:bidi="ar"/>
        </w:rPr>
        <w:t>干粪堆积场</w:t>
      </w:r>
      <w:r>
        <w:rPr>
          <w:rFonts w:hint="default" w:ascii="Times New Roman" w:hAnsi="Times New Roman" w:eastAsia="宋体" w:cs="Times New Roman"/>
          <w:color w:val="auto"/>
          <w:sz w:val="24"/>
          <w:szCs w:val="24"/>
          <w:highlight w:val="none"/>
          <w:lang w:eastAsia="zh-CN" w:bidi="ar"/>
        </w:rPr>
        <w:t>等池体泄漏或渗漏过程中污水通过垂直入渗污染土壤。针对垂直入渗影响途径，提出了源头控制措施和过程防控措施，并制定跟踪监测计划，</w:t>
      </w:r>
      <w:r>
        <w:rPr>
          <w:rFonts w:hint="default" w:ascii="Times New Roman" w:hAnsi="Times New Roman" w:eastAsia="宋体" w:cs="Times New Roman"/>
          <w:color w:val="auto"/>
          <w:sz w:val="24"/>
          <w:szCs w:val="24"/>
          <w:highlight w:val="none"/>
          <w:lang w:val="en-US" w:eastAsia="zh-CN" w:bidi="ar"/>
        </w:rPr>
        <w:t>具体防控措施如下：</w:t>
      </w:r>
    </w:p>
    <w:p w14:paraId="75A06FC6">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w:t>
      </w:r>
      <w:r>
        <w:rPr>
          <w:rFonts w:hint="eastAsia" w:ascii="Times New Roman" w:hAnsi="Times New Roman" w:cs="Times New Roman"/>
          <w:color w:val="auto"/>
          <w:sz w:val="24"/>
          <w:szCs w:val="24"/>
          <w:highlight w:val="none"/>
          <w:lang w:eastAsia="zh-CN" w:bidi="ar"/>
        </w:rPr>
        <w:t>固液分离间</w:t>
      </w:r>
      <w:r>
        <w:rPr>
          <w:rFonts w:hint="default" w:ascii="Times New Roman" w:hAnsi="Times New Roman" w:eastAsia="宋体" w:cs="Times New Roman"/>
          <w:color w:val="auto"/>
          <w:sz w:val="24"/>
          <w:szCs w:val="24"/>
          <w:highlight w:val="none"/>
          <w:lang w:eastAsia="zh-CN" w:bidi="ar"/>
        </w:rPr>
        <w:t>、黑膜厌氧池、</w:t>
      </w:r>
      <w:r>
        <w:rPr>
          <w:rFonts w:hint="default" w:ascii="Times New Roman" w:hAnsi="Times New Roman" w:eastAsia="宋体" w:cs="Times New Roman"/>
          <w:color w:val="auto"/>
          <w:sz w:val="24"/>
          <w:szCs w:val="24"/>
          <w:highlight w:val="none"/>
          <w:lang w:val="en-US" w:eastAsia="zh-CN" w:bidi="ar"/>
        </w:rPr>
        <w:t>沼液贮存池</w:t>
      </w:r>
      <w:r>
        <w:rPr>
          <w:rFonts w:hint="eastAsia" w:ascii="Times New Roman" w:hAnsi="Times New Roman" w:cs="Times New Roman"/>
          <w:color w:val="auto"/>
          <w:sz w:val="24"/>
          <w:szCs w:val="24"/>
          <w:highlight w:val="none"/>
          <w:lang w:val="en-US" w:eastAsia="zh-CN" w:bidi="ar"/>
        </w:rPr>
        <w:t>、</w:t>
      </w:r>
      <w:r>
        <w:rPr>
          <w:rFonts w:hint="default" w:ascii="Times New Roman" w:hAnsi="Times New Roman" w:eastAsia="宋体" w:cs="Times New Roman"/>
          <w:color w:val="auto"/>
          <w:sz w:val="24"/>
          <w:szCs w:val="24"/>
          <w:highlight w:val="none"/>
          <w:lang w:eastAsia="zh-CN" w:bidi="ar"/>
        </w:rPr>
        <w:t>医疗废物暂存间、</w:t>
      </w:r>
      <w:r>
        <w:rPr>
          <w:rFonts w:hint="eastAsia" w:ascii="Times New Roman" w:hAnsi="Times New Roman" w:cs="Times New Roman"/>
          <w:color w:val="auto"/>
          <w:sz w:val="24"/>
          <w:szCs w:val="24"/>
          <w:highlight w:val="none"/>
          <w:lang w:eastAsia="zh-CN" w:bidi="ar"/>
        </w:rPr>
        <w:t>干粪堆积场</w:t>
      </w:r>
      <w:r>
        <w:rPr>
          <w:rFonts w:hint="default" w:ascii="Times New Roman" w:hAnsi="Times New Roman" w:eastAsia="宋体" w:cs="Times New Roman"/>
          <w:color w:val="auto"/>
          <w:kern w:val="0"/>
          <w:sz w:val="24"/>
          <w:szCs w:val="24"/>
          <w:highlight w:val="none"/>
        </w:rPr>
        <w:t>等存在土壤污染风险的设施，应当按照国家有关标准和规范的要求，设计、建设和安装有关防泄漏设施和泄漏监测装置，防止有毒有害物质污染土壤和地下水。</w:t>
      </w:r>
    </w:p>
    <w:p w14:paraId="1728E2C3">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（2）应当按照相关技术规范要求，自行或者委托第三方定期开展土壤和地下水监测，重点监测存在污染隐患的区域和设施周边的土壤、地下水，并按照规定公开相关信息。</w:t>
      </w:r>
    </w:p>
    <w:p w14:paraId="15BDE8AA">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建设单位如在隐患排查、监测等活动中发现土壤和地下水存在污染迹象的，应当排查污染源，查明污染原因，采取措施和地下水环境调查与风险评估，根据调查与风险评估结果采取风险管控或者治理与修复等措施。</w:t>
      </w:r>
    </w:p>
    <w:p w14:paraId="3CB870C4">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项目突发环境事件应急预案应当包括防止土壤和地下水污染相关内容。突发环境事件造成或者可能造成土壤和地下水污染的，应当采取应急措施避免或者减少土壤和地下水污染；应急处置结束后，应当立即组织开展环境影响和损害评估工作，评估认为需要开展治理与修复的，应当制定并落实污染土壤和地下水治理与修复方案。</w:t>
      </w:r>
    </w:p>
    <w:p w14:paraId="78175739">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（5）项目终止生产经营活动前，应当参照污染地块土壤环境管理有关规定，开展土壤和地下水环境初步调查，编制调查报告，及时上传全国污染地块土壤环境管理信息系统。</w:t>
      </w:r>
    </w:p>
    <w:p w14:paraId="03716436">
      <w:pPr>
        <w:adjustRightInd w:val="0"/>
        <w:snapToGrid w:val="0"/>
        <w:spacing w:line="360" w:lineRule="auto"/>
        <w:ind w:firstLine="480" w:firstLineChars="200"/>
        <w:rPr>
          <w:rFonts w:hint="eastAsia" w:ascii="Times New Roman" w:hAnsi="Times New Roman"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6</w:t>
      </w:r>
      <w:r>
        <w:rPr>
          <w:rFonts w:hint="default" w:ascii="Times New Roman" w:hAnsi="Times New Roman" w:eastAsia="宋体" w:cs="Times New Roman"/>
          <w:color w:val="auto"/>
          <w:kern w:val="0"/>
          <w:sz w:val="24"/>
          <w:szCs w:val="24"/>
          <w:highlight w:val="none"/>
        </w:rPr>
        <w:t>）</w:t>
      </w:r>
      <w:r>
        <w:rPr>
          <w:rFonts w:hint="eastAsia" w:ascii="Times New Roman" w:hAnsi="Times New Roman" w:cs="Times New Roman"/>
          <w:color w:val="auto"/>
          <w:kern w:val="0"/>
          <w:sz w:val="24"/>
          <w:szCs w:val="24"/>
          <w:highlight w:val="none"/>
          <w:lang w:val="en-US" w:eastAsia="zh-CN"/>
        </w:rPr>
        <w:t>黑膜厌氧池、沼液贮存池、医疗废物暂存间防渗措施为高密度聚乙烯（HDPE）防渗膜（渗透系数K≤10</w:t>
      </w:r>
      <w:r>
        <w:rPr>
          <w:rFonts w:hint="eastAsia" w:ascii="Times New Roman" w:hAnsi="Times New Roman" w:cs="Times New Roman"/>
          <w:color w:val="auto"/>
          <w:kern w:val="0"/>
          <w:sz w:val="24"/>
          <w:szCs w:val="24"/>
          <w:highlight w:val="none"/>
          <w:vertAlign w:val="superscript"/>
          <w:lang w:val="en-US" w:eastAsia="zh-CN"/>
        </w:rPr>
        <w:t>-12</w:t>
      </w:r>
      <w:r>
        <w:rPr>
          <w:rFonts w:hint="eastAsia" w:ascii="Times New Roman" w:hAnsi="Times New Roman" w:cs="Times New Roman"/>
          <w:color w:val="auto"/>
          <w:kern w:val="0"/>
          <w:sz w:val="24"/>
          <w:szCs w:val="24"/>
          <w:highlight w:val="none"/>
          <w:lang w:val="en-US" w:eastAsia="zh-CN"/>
        </w:rPr>
        <w:t>cm/s，等效黏土防渗层Mb≥6.0m），满足《环境影响评价技术导则 地下水环境》（HJ610-2016）的防渗要求。</w:t>
      </w:r>
    </w:p>
    <w:p w14:paraId="03ECF5D0">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rPr>
      </w:pPr>
      <w:r>
        <w:rPr>
          <w:rFonts w:hint="eastAsia" w:ascii="Times New Roman" w:hAnsi="Times New Roman" w:cs="Times New Roman"/>
          <w:color w:val="auto"/>
          <w:kern w:val="0"/>
          <w:sz w:val="24"/>
          <w:szCs w:val="24"/>
          <w:highlight w:val="none"/>
          <w:lang w:val="en-US" w:eastAsia="zh-CN"/>
        </w:rPr>
        <w:t>医疗废物暂存间应采取防风、防雨、防晒、防渗、防漏和防止危险废物流失、扬散等措施。</w:t>
      </w:r>
    </w:p>
    <w:p w14:paraId="68CDB43A">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rPr>
        <w:t>猪舍、</w:t>
      </w:r>
      <w:r>
        <w:rPr>
          <w:rFonts w:hint="eastAsia" w:ascii="Times New Roman" w:hAnsi="Times New Roman" w:cs="Times New Roman"/>
          <w:color w:val="auto"/>
          <w:kern w:val="0"/>
          <w:sz w:val="24"/>
          <w:szCs w:val="24"/>
          <w:highlight w:val="none"/>
          <w:lang w:val="en-US" w:eastAsia="zh-CN"/>
        </w:rPr>
        <w:t>干粪堆积场</w:t>
      </w:r>
      <w:r>
        <w:rPr>
          <w:rFonts w:hint="default" w:ascii="Times New Roman" w:hAnsi="Times New Roman" w:eastAsia="宋体" w:cs="Times New Roman"/>
          <w:color w:val="auto"/>
          <w:kern w:val="0"/>
          <w:sz w:val="24"/>
          <w:szCs w:val="24"/>
          <w:highlight w:val="none"/>
          <w:lang w:val="en-US" w:eastAsia="zh-CN"/>
        </w:rPr>
        <w:t>、固液分离间为</w:t>
      </w:r>
      <w:r>
        <w:rPr>
          <w:rFonts w:hint="default" w:ascii="Times New Roman" w:hAnsi="Times New Roman" w:eastAsia="宋体" w:cs="Times New Roman"/>
          <w:color w:val="auto"/>
          <w:kern w:val="0"/>
          <w:sz w:val="24"/>
          <w:szCs w:val="24"/>
          <w:highlight w:val="none"/>
          <w:lang w:val="en-US"/>
        </w:rPr>
        <w:t>一般防渗区</w:t>
      </w:r>
      <w:r>
        <w:rPr>
          <w:rFonts w:hint="default" w:ascii="Times New Roman" w:hAnsi="Times New Roman" w:eastAsia="宋体" w:cs="Times New Roman"/>
          <w:color w:val="auto"/>
          <w:kern w:val="0"/>
          <w:sz w:val="24"/>
          <w:szCs w:val="24"/>
          <w:highlight w:val="none"/>
          <w:lang w:val="en-US" w:eastAsia="zh-CN"/>
        </w:rPr>
        <w:t>，</w:t>
      </w:r>
      <w:r>
        <w:rPr>
          <w:rFonts w:hint="eastAsia" w:ascii="Times New Roman" w:hAnsi="Times New Roman" w:cs="Times New Roman"/>
          <w:color w:val="auto"/>
          <w:kern w:val="0"/>
          <w:sz w:val="24"/>
          <w:szCs w:val="24"/>
          <w:highlight w:val="none"/>
          <w:lang w:val="en-US" w:eastAsia="zh-CN"/>
        </w:rPr>
        <w:t>地面及墙面采用水泥混凝土防渗，等效黏土防渗层Mb≥1.5m，K≤1.0×10</w:t>
      </w:r>
      <w:r>
        <w:rPr>
          <w:rFonts w:hint="eastAsia" w:ascii="Times New Roman" w:hAnsi="Times New Roman" w:cs="Times New Roman"/>
          <w:color w:val="auto"/>
          <w:kern w:val="0"/>
          <w:sz w:val="24"/>
          <w:szCs w:val="24"/>
          <w:highlight w:val="none"/>
          <w:vertAlign w:val="superscript"/>
          <w:lang w:val="en-US" w:eastAsia="zh-CN"/>
        </w:rPr>
        <w:t>-7</w:t>
      </w:r>
      <w:r>
        <w:rPr>
          <w:rFonts w:hint="eastAsia" w:ascii="Times New Roman" w:hAnsi="Times New Roman" w:cs="Times New Roman"/>
          <w:color w:val="auto"/>
          <w:kern w:val="0"/>
          <w:sz w:val="24"/>
          <w:szCs w:val="24"/>
          <w:highlight w:val="none"/>
          <w:lang w:val="en-US" w:eastAsia="zh-CN"/>
        </w:rPr>
        <w:t>cm/s满足《环境影响评价技术导则 地下水环境》（HJ610-2016）的防渗要求。</w:t>
      </w:r>
      <w:r>
        <w:rPr>
          <w:rFonts w:hint="default" w:ascii="Times New Roman" w:hAnsi="Times New Roman" w:eastAsia="宋体" w:cs="Times New Roman"/>
          <w:color w:val="auto"/>
          <w:kern w:val="0"/>
          <w:sz w:val="24"/>
          <w:szCs w:val="24"/>
          <w:highlight w:val="none"/>
          <w:lang w:val="en-US"/>
        </w:rPr>
        <w:t>其他建筑物及道路采取简单防渗，地面</w:t>
      </w:r>
      <w:r>
        <w:rPr>
          <w:rFonts w:hint="default" w:ascii="Times New Roman" w:hAnsi="Times New Roman" w:eastAsia="宋体" w:cs="Times New Roman"/>
          <w:color w:val="auto"/>
          <w:kern w:val="0"/>
          <w:sz w:val="24"/>
          <w:szCs w:val="24"/>
          <w:highlight w:val="none"/>
          <w:lang w:val="en-US" w:eastAsia="zh-CN"/>
        </w:rPr>
        <w:t>均用水泥进行一般地面硬化。</w:t>
      </w:r>
    </w:p>
    <w:p w14:paraId="5751827D">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医疗废物暂存间应采取防风、防雨、防晒、防渗、防漏和防止危险废物流失、扬散等措施。</w:t>
      </w:r>
    </w:p>
    <w:p w14:paraId="6FA2B15D">
      <w:pPr>
        <w:adjustRightInd w:val="0"/>
        <w:snapToGrid w:val="0"/>
        <w:spacing w:line="360" w:lineRule="auto"/>
        <w:ind w:firstLine="480" w:firstLineChars="200"/>
        <w:jc w:val="both"/>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t>在粪污处理区西</w:t>
      </w:r>
      <w:r>
        <w:rPr>
          <w:rFonts w:hint="eastAsia" w:ascii="Times New Roman" w:hAnsi="Times New Roman" w:cs="Times New Roman"/>
          <w:color w:val="auto"/>
          <w:highlight w:val="none"/>
          <w:lang w:val="en-US" w:eastAsia="zh-CN"/>
        </w:rPr>
        <w:t>南</w:t>
      </w:r>
      <w:r>
        <w:rPr>
          <w:rFonts w:hint="default" w:ascii="Times New Roman" w:hAnsi="Times New Roman" w:cs="Times New Roman"/>
          <w:color w:val="auto"/>
          <w:highlight w:val="none"/>
        </w:rPr>
        <w:t>侧设置跟踪监测井，监测因子：COD、氨氮，监测频次：1次/季度，井深约为</w:t>
      </w:r>
      <w:r>
        <w:rPr>
          <w:rFonts w:hint="eastAsia" w:ascii="Times New Roman" w:hAnsi="Times New Roman" w:cs="Times New Roman"/>
          <w:color w:val="auto"/>
          <w:highlight w:val="none"/>
          <w:lang w:val="en-US" w:eastAsia="zh-CN"/>
        </w:rPr>
        <w:t>45</w:t>
      </w:r>
      <w:r>
        <w:rPr>
          <w:rFonts w:hint="default" w:ascii="Times New Roman" w:hAnsi="Times New Roman" w:cs="Times New Roman"/>
          <w:color w:val="auto"/>
          <w:highlight w:val="none"/>
        </w:rPr>
        <w:t>m，用于地下水的跟踪监测。采取以上措施后，可有效防止污染物渗入土壤环境。</w:t>
      </w:r>
    </w:p>
    <w:p w14:paraId="0A87A2E3">
      <w:pPr>
        <w:pStyle w:val="7"/>
        <w:bidi w:val="0"/>
        <w:rPr>
          <w:rFonts w:hint="default"/>
          <w:highlight w:val="none"/>
        </w:rPr>
      </w:pPr>
      <w:bookmarkStart w:id="1031" w:name="_Toc457"/>
      <w:bookmarkStart w:id="1032" w:name="_Toc25775"/>
      <w:bookmarkStart w:id="1033" w:name="_Toc31648"/>
      <w:bookmarkStart w:id="1034" w:name="_Toc28135"/>
      <w:bookmarkStart w:id="1035" w:name="_Toc5882"/>
      <w:bookmarkStart w:id="1036" w:name="_Toc6425"/>
      <w:r>
        <w:rPr>
          <w:rFonts w:hint="default"/>
          <w:highlight w:val="none"/>
        </w:rPr>
        <w:t>6.2.</w:t>
      </w:r>
      <w:r>
        <w:rPr>
          <w:rFonts w:hint="default"/>
          <w:highlight w:val="none"/>
          <w:lang w:val="en-US" w:eastAsia="zh-CN"/>
        </w:rPr>
        <w:t>8</w:t>
      </w:r>
      <w:r>
        <w:rPr>
          <w:rFonts w:hint="default"/>
          <w:highlight w:val="none"/>
        </w:rPr>
        <w:t>生态环境保护措施</w:t>
      </w:r>
      <w:bookmarkEnd w:id="1031"/>
      <w:bookmarkEnd w:id="1032"/>
      <w:bookmarkEnd w:id="1033"/>
      <w:bookmarkEnd w:id="1034"/>
      <w:bookmarkEnd w:id="1035"/>
      <w:bookmarkEnd w:id="1036"/>
    </w:p>
    <w:p w14:paraId="5D5B704D">
      <w:pPr>
        <w:pStyle w:val="35"/>
        <w:adjustRightInd w:val="0"/>
        <w:snapToGrid w:val="0"/>
        <w:spacing w:after="0" w:line="500" w:lineRule="exact"/>
        <w:ind w:left="0" w:lef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施工活动扰动地表土壤、破坏地表植被、裸露地表面积增大，受风蚀、水蚀将增加区域水土流失，对区域生态环境将产生不良影响。为此，提出以下施工期生态环境保护措施：</w:t>
      </w:r>
    </w:p>
    <w:p w14:paraId="1B7A0579">
      <w:pPr>
        <w:pStyle w:val="35"/>
        <w:adjustRightInd w:val="0"/>
        <w:snapToGrid w:val="0"/>
        <w:spacing w:after="0" w:line="500" w:lineRule="exact"/>
        <w:ind w:left="0" w:lef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尽可能避免雨季施工。降雨是造成水土流失的主要动力来源，降雨量的大小是影响水土流失的直接重要因素。因此，施工活动应尽可能避开雨季，并采取土方随挖、随运、随铺、随压，减少施工工地松散土方的存在；对于临时堆土要采取构筑临时围堰、设置排水沟，保证雨季排水畅通；对于易起尘的施工活动，要避开大风（4.0m/s）天气施工，防治风蚀增加水土流失量。</w:t>
      </w:r>
    </w:p>
    <w:p w14:paraId="7DCF4077">
      <w:pPr>
        <w:pStyle w:val="35"/>
        <w:adjustRightInd w:val="0"/>
        <w:snapToGrid w:val="0"/>
        <w:spacing w:after="0" w:line="500" w:lineRule="exact"/>
        <w:ind w:left="0" w:lef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（2）工程施工中要做好土方平衡，挖方尽可能用于填方，若产生弃方应及时进行妥善处置。</w:t>
      </w:r>
    </w:p>
    <w:p w14:paraId="1104FC91">
      <w:pPr>
        <w:pStyle w:val="35"/>
        <w:adjustRightInd w:val="0"/>
        <w:snapToGrid w:val="0"/>
        <w:spacing w:after="0" w:line="500" w:lineRule="exact"/>
        <w:ind w:left="0" w:lef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（3）加强施工期环境管理，施工工地配备施工工程环境监理，并加强施工人员环境保护、生态保护教育，杜绝违章现象的产生。</w:t>
      </w:r>
    </w:p>
    <w:p w14:paraId="07A6A248">
      <w:pPr>
        <w:pStyle w:val="35"/>
        <w:adjustRightInd w:val="0"/>
        <w:snapToGrid w:val="0"/>
        <w:spacing w:after="0" w:line="500" w:lineRule="exact"/>
        <w:ind w:left="0" w:lef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通过采取上述生态保护措施，可最大程度减少项目实施对区域生态环境的影响，措施技术、经济可行。</w:t>
      </w:r>
    </w:p>
    <w:p w14:paraId="73A62188">
      <w:pPr>
        <w:pStyle w:val="5"/>
        <w:bidi w:val="0"/>
        <w:rPr>
          <w:rFonts w:hint="default"/>
          <w:highlight w:val="none"/>
        </w:rPr>
      </w:pPr>
      <w:bookmarkStart w:id="1037" w:name="_Toc5123"/>
      <w:bookmarkStart w:id="1038" w:name="_Toc13555"/>
      <w:bookmarkStart w:id="1039" w:name="_Toc24685"/>
      <w:bookmarkStart w:id="1040" w:name="_Toc21496"/>
      <w:bookmarkStart w:id="1041" w:name="_Toc23144"/>
      <w:r>
        <w:rPr>
          <w:rFonts w:hint="default"/>
          <w:highlight w:val="none"/>
        </w:rPr>
        <w:t>6.3环境保护投资估算</w:t>
      </w:r>
      <w:bookmarkEnd w:id="1024"/>
      <w:bookmarkEnd w:id="1037"/>
      <w:bookmarkEnd w:id="1038"/>
      <w:bookmarkEnd w:id="1039"/>
      <w:bookmarkEnd w:id="1040"/>
      <w:bookmarkEnd w:id="1041"/>
    </w:p>
    <w:p w14:paraId="36D5BCC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环保投资比按下式计算：</w:t>
      </w:r>
    </w:p>
    <w:p w14:paraId="01E81C80">
      <w:pPr>
        <w:pStyle w:val="21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drawing>
          <wp:inline distT="0" distB="0" distL="0" distR="0">
            <wp:extent cx="1133475" cy="409575"/>
            <wp:effectExtent l="0" t="0" r="9525"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1133475" cy="409575"/>
                    </a:xfrm>
                    <a:prstGeom prst="rect">
                      <a:avLst/>
                    </a:prstGeom>
                    <a:noFill/>
                    <a:ln>
                      <a:noFill/>
                    </a:ln>
                  </pic:spPr>
                </pic:pic>
              </a:graphicData>
            </a:graphic>
          </wp:inline>
        </w:drawing>
      </w:r>
    </w:p>
    <w:p w14:paraId="6B9153E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式中：</w:t>
      </w:r>
      <w:r>
        <w:rPr>
          <w:rFonts w:hint="default" w:ascii="Times New Roman" w:hAnsi="Times New Roman" w:eastAsia="宋体" w:cs="Times New Roman"/>
          <w:i/>
          <w:snapToGrid w:val="0"/>
          <w:color w:val="auto"/>
          <w:highlight w:val="none"/>
        </w:rPr>
        <w:t>HJ</w:t>
      </w:r>
      <w:r>
        <w:rPr>
          <w:rFonts w:hint="default" w:ascii="Times New Roman" w:hAnsi="Times New Roman" w:eastAsia="宋体" w:cs="Times New Roman"/>
          <w:snapToGrid w:val="0"/>
          <w:color w:val="auto"/>
          <w:highlight w:val="none"/>
        </w:rPr>
        <w:t>—环保费用投资比，100％；</w:t>
      </w:r>
    </w:p>
    <w:p w14:paraId="6B03CDF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      </w:t>
      </w:r>
      <w:r>
        <w:rPr>
          <w:rFonts w:hint="default" w:ascii="Times New Roman" w:hAnsi="Times New Roman" w:eastAsia="宋体" w:cs="Times New Roman"/>
          <w:i/>
          <w:snapToGrid w:val="0"/>
          <w:color w:val="auto"/>
          <w:highlight w:val="none"/>
        </w:rPr>
        <w:t>HT</w:t>
      </w:r>
      <w:r>
        <w:rPr>
          <w:rFonts w:hint="default" w:ascii="Times New Roman" w:hAnsi="Times New Roman" w:eastAsia="宋体" w:cs="Times New Roman"/>
          <w:snapToGrid w:val="0"/>
          <w:color w:val="auto"/>
          <w:highlight w:val="none"/>
        </w:rPr>
        <w:t>—环保投资，万元；</w:t>
      </w:r>
    </w:p>
    <w:p w14:paraId="304D829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      </w:t>
      </w:r>
      <w:r>
        <w:rPr>
          <w:rFonts w:hint="default" w:ascii="Times New Roman" w:hAnsi="Times New Roman" w:eastAsia="宋体" w:cs="Times New Roman"/>
          <w:i/>
          <w:snapToGrid w:val="0"/>
          <w:color w:val="auto"/>
          <w:highlight w:val="none"/>
        </w:rPr>
        <w:t>JI</w:t>
      </w:r>
      <w:r>
        <w:rPr>
          <w:rFonts w:hint="default" w:ascii="Times New Roman" w:hAnsi="Times New Roman" w:eastAsia="宋体" w:cs="Times New Roman"/>
          <w:snapToGrid w:val="0"/>
          <w:color w:val="auto"/>
          <w:highlight w:val="none"/>
        </w:rPr>
        <w:t>—项目总投资，万元。</w:t>
      </w:r>
    </w:p>
    <w:p w14:paraId="1222F7B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工程分析和环境影响预测及评价结果，本项目产生的污水、固废、臭气、噪声等对周围环境将会产生一定的影响，因此，必须采取相应的环境保护措施加以控制，并保证相应环保投资的投入，以使项目建成后生产过程中产生的各类污染物对周围环境的影响降低到最小程度。根据初步估算，本项目的环保投资见表6</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3-1。</w:t>
      </w:r>
    </w:p>
    <w:p w14:paraId="4AFD71BF">
      <w:pPr>
        <w:spacing w:line="360" w:lineRule="auto"/>
        <w:ind w:firstLine="420"/>
        <w:jc w:val="both"/>
        <w:rPr>
          <w:rFonts w:hint="default" w:ascii="Times New Roman" w:hAnsi="Times New Roman" w:eastAsia="宋体" w:cs="Times New Roman"/>
          <w:snapToGrid w:val="0"/>
          <w:color w:val="auto"/>
          <w:highlight w:val="none"/>
        </w:rPr>
      </w:pPr>
      <w:bookmarkStart w:id="1042" w:name="_Hlk480428871"/>
      <w:r>
        <w:rPr>
          <w:rFonts w:hint="default" w:ascii="Times New Roman" w:hAnsi="Times New Roman" w:eastAsia="宋体" w:cs="Times New Roman"/>
          <w:snapToGrid w:val="0"/>
          <w:color w:val="auto"/>
          <w:highlight w:val="none"/>
        </w:rPr>
        <w:t>本工程总投资为</w:t>
      </w:r>
      <w:r>
        <w:rPr>
          <w:rFonts w:hint="eastAsia" w:ascii="Times New Roman" w:hAnsi="Times New Roman" w:cs="Times New Roman"/>
          <w:color w:val="auto"/>
          <w:highlight w:val="none"/>
          <w:lang w:val="en-US" w:eastAsia="zh-CN"/>
        </w:rPr>
        <w:t>600万元</w:t>
      </w:r>
      <w:r>
        <w:rPr>
          <w:rFonts w:hint="default" w:ascii="Times New Roman" w:hAnsi="Times New Roman" w:eastAsia="宋体" w:cs="Times New Roman"/>
          <w:snapToGrid w:val="0"/>
          <w:color w:val="auto"/>
          <w:highlight w:val="none"/>
        </w:rPr>
        <w:t>，环保投资估算为</w:t>
      </w:r>
      <w:r>
        <w:rPr>
          <w:rFonts w:hint="eastAsia" w:ascii="Times New Roman" w:hAnsi="Times New Roman" w:cs="Times New Roman"/>
          <w:snapToGrid w:val="0"/>
          <w:color w:val="auto"/>
          <w:highlight w:val="none"/>
          <w:lang w:val="en-US" w:eastAsia="zh-CN"/>
        </w:rPr>
        <w:t>150.5</w:t>
      </w:r>
      <w:r>
        <w:rPr>
          <w:rFonts w:hint="default" w:ascii="Times New Roman" w:hAnsi="Times New Roman" w:eastAsia="宋体" w:cs="Times New Roman"/>
          <w:snapToGrid w:val="0"/>
          <w:color w:val="auto"/>
          <w:highlight w:val="none"/>
        </w:rPr>
        <w:t>万元，占总投资的</w:t>
      </w:r>
      <w:r>
        <w:rPr>
          <w:rFonts w:hint="eastAsia" w:ascii="Times New Roman" w:hAnsi="Times New Roman" w:cs="Times New Roman"/>
          <w:snapToGrid w:val="0"/>
          <w:color w:val="auto"/>
          <w:highlight w:val="none"/>
          <w:lang w:val="en-US" w:eastAsia="zh-CN"/>
        </w:rPr>
        <w:t>25.08%</w:t>
      </w:r>
      <w:r>
        <w:rPr>
          <w:rFonts w:hint="default" w:ascii="Times New Roman" w:hAnsi="Times New Roman" w:eastAsia="宋体" w:cs="Times New Roman"/>
          <w:snapToGrid w:val="0"/>
          <w:color w:val="auto"/>
          <w:highlight w:val="none"/>
        </w:rPr>
        <w:t>。</w:t>
      </w:r>
    </w:p>
    <w:p w14:paraId="1C149E8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3-1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环保投资明细表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4"/>
        <w:gridCol w:w="5887"/>
        <w:gridCol w:w="1007"/>
      </w:tblGrid>
      <w:tr w14:paraId="6C059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Align w:val="center"/>
          </w:tcPr>
          <w:p w14:paraId="081589E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w:t>
            </w:r>
          </w:p>
        </w:tc>
        <w:tc>
          <w:tcPr>
            <w:tcW w:w="3451" w:type="pct"/>
            <w:vAlign w:val="center"/>
          </w:tcPr>
          <w:p w14:paraId="36E7DED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治理设施内容</w:t>
            </w:r>
          </w:p>
        </w:tc>
        <w:tc>
          <w:tcPr>
            <w:tcW w:w="590" w:type="pct"/>
            <w:vAlign w:val="center"/>
          </w:tcPr>
          <w:p w14:paraId="1996130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金额</w:t>
            </w:r>
          </w:p>
          <w:p w14:paraId="2956E33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（万元）</w:t>
            </w:r>
          </w:p>
        </w:tc>
      </w:tr>
      <w:tr w14:paraId="4554B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958" w:type="pct"/>
            <w:vMerge w:val="restart"/>
            <w:vAlign w:val="center"/>
          </w:tcPr>
          <w:p w14:paraId="4FF6B6D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w:t>
            </w:r>
          </w:p>
        </w:tc>
        <w:tc>
          <w:tcPr>
            <w:tcW w:w="3451" w:type="pct"/>
            <w:vAlign w:val="center"/>
          </w:tcPr>
          <w:p w14:paraId="317F15B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施工期设备的消声、减振措施</w:t>
            </w:r>
          </w:p>
        </w:tc>
        <w:tc>
          <w:tcPr>
            <w:tcW w:w="590" w:type="pct"/>
            <w:vAlign w:val="center"/>
          </w:tcPr>
          <w:p w14:paraId="223CD2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w:t>
            </w:r>
          </w:p>
        </w:tc>
      </w:tr>
      <w:tr w14:paraId="1F29E8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Merge w:val="continue"/>
            <w:vAlign w:val="center"/>
          </w:tcPr>
          <w:p w14:paraId="16939271">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69F52AB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施工废水沉淀池、垃圾桶</w:t>
            </w:r>
          </w:p>
        </w:tc>
        <w:tc>
          <w:tcPr>
            <w:tcW w:w="590" w:type="pct"/>
            <w:vAlign w:val="center"/>
          </w:tcPr>
          <w:p w14:paraId="05ECD1C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p>
        </w:tc>
      </w:tr>
      <w:tr w14:paraId="5EB1E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Merge w:val="continue"/>
            <w:vAlign w:val="center"/>
          </w:tcPr>
          <w:p w14:paraId="04F58E4D">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443CF2D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施工材料苫盖、洒水抑尘措施</w:t>
            </w:r>
          </w:p>
        </w:tc>
        <w:tc>
          <w:tcPr>
            <w:tcW w:w="590" w:type="pct"/>
            <w:vAlign w:val="center"/>
          </w:tcPr>
          <w:p w14:paraId="17A536B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w:t>
            </w:r>
          </w:p>
        </w:tc>
      </w:tr>
      <w:tr w14:paraId="19EA2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Merge w:val="continue"/>
            <w:vAlign w:val="center"/>
          </w:tcPr>
          <w:p w14:paraId="1483209A">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2A58C35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水土流失、生态保护与恢复</w:t>
            </w:r>
          </w:p>
        </w:tc>
        <w:tc>
          <w:tcPr>
            <w:tcW w:w="590" w:type="pct"/>
            <w:vAlign w:val="center"/>
          </w:tcPr>
          <w:p w14:paraId="6565BC9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w:t>
            </w:r>
          </w:p>
        </w:tc>
      </w:tr>
      <w:tr w14:paraId="27231D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Align w:val="center"/>
          </w:tcPr>
          <w:p w14:paraId="22770AD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废水治理</w:t>
            </w:r>
          </w:p>
        </w:tc>
        <w:tc>
          <w:tcPr>
            <w:tcW w:w="3451" w:type="pct"/>
            <w:vAlign w:val="center"/>
          </w:tcPr>
          <w:p w14:paraId="6704467A">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沼液贮存池</w:t>
            </w:r>
            <w:r>
              <w:rPr>
                <w:rFonts w:hint="eastAsia" w:ascii="Times New Roman" w:hAnsi="Times New Roman" w:cs="Times New Roman"/>
                <w:snapToGrid w:val="0"/>
                <w:color w:val="auto"/>
                <w:highlight w:val="none"/>
                <w:lang w:val="en-US" w:eastAsia="zh-CN"/>
              </w:rPr>
              <w:t>：容积为5040m</w:t>
            </w:r>
            <w:r>
              <w:rPr>
                <w:rFonts w:hint="eastAsia" w:ascii="Times New Roman" w:hAnsi="Times New Roman" w:cs="Times New Roman"/>
                <w:snapToGrid w:val="0"/>
                <w:color w:val="auto"/>
                <w:highlight w:val="none"/>
                <w:vertAlign w:val="superscript"/>
                <w:lang w:val="en-US" w:eastAsia="zh-CN"/>
              </w:rPr>
              <w:t>3</w:t>
            </w:r>
          </w:p>
        </w:tc>
        <w:tc>
          <w:tcPr>
            <w:tcW w:w="590" w:type="pct"/>
            <w:vAlign w:val="center"/>
          </w:tcPr>
          <w:p w14:paraId="11F44924">
            <w:pPr>
              <w:pStyle w:val="152"/>
              <w:adjustRightInd w:val="0"/>
              <w:snapToGrid w:val="0"/>
              <w:rPr>
                <w:rFonts w:hint="default" w:ascii="Times New Roman" w:hAnsi="Times New Roman" w:eastAsia="宋体" w:cs="Times New Roman"/>
                <w:snapToGrid w:val="0"/>
                <w:color w:val="auto"/>
                <w:highlight w:val="none"/>
                <w:lang w:val="en-US"/>
              </w:rPr>
            </w:pPr>
            <w:r>
              <w:rPr>
                <w:rFonts w:hint="eastAsia" w:ascii="Times New Roman" w:hAnsi="Times New Roman" w:cs="Times New Roman"/>
                <w:snapToGrid w:val="0"/>
                <w:color w:val="auto"/>
                <w:highlight w:val="none"/>
                <w:lang w:val="en-US" w:eastAsia="zh-CN"/>
              </w:rPr>
              <w:t>10</w:t>
            </w:r>
          </w:p>
        </w:tc>
      </w:tr>
      <w:tr w14:paraId="13750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958" w:type="pct"/>
            <w:vMerge w:val="restart"/>
            <w:vAlign w:val="center"/>
          </w:tcPr>
          <w:p w14:paraId="3B3E337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废气治理</w:t>
            </w:r>
          </w:p>
        </w:tc>
        <w:tc>
          <w:tcPr>
            <w:tcW w:w="3451" w:type="pct"/>
            <w:vAlign w:val="center"/>
          </w:tcPr>
          <w:p w14:paraId="0FCDA8E1">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kern w:val="0"/>
                <w:sz w:val="21"/>
                <w:szCs w:val="21"/>
                <w:highlight w:val="none"/>
                <w:lang w:val="en-US" w:eastAsia="zh-CN" w:bidi="ar"/>
              </w:rPr>
              <w:t>固液分离间定期喷洒微生物除臭剂</w:t>
            </w:r>
            <w:r>
              <w:rPr>
                <w:rFonts w:hint="eastAsia" w:ascii="Times New Roman" w:hAnsi="Times New Roman" w:cs="Times New Roman"/>
                <w:snapToGrid w:val="0"/>
                <w:color w:val="auto"/>
                <w:kern w:val="0"/>
                <w:sz w:val="21"/>
                <w:szCs w:val="21"/>
                <w:highlight w:val="none"/>
                <w:lang w:val="en-US" w:eastAsia="zh-CN" w:bidi="ar"/>
              </w:rPr>
              <w:t>，封闭式；</w:t>
            </w:r>
            <w:r>
              <w:rPr>
                <w:rFonts w:hint="default" w:ascii="Times New Roman" w:hAnsi="Times New Roman" w:eastAsia="宋体" w:cs="Times New Roman"/>
                <w:snapToGrid w:val="0"/>
                <w:color w:val="auto"/>
                <w:kern w:val="0"/>
                <w:sz w:val="21"/>
                <w:szCs w:val="21"/>
                <w:highlight w:val="none"/>
                <w:lang w:val="en-US" w:eastAsia="zh-CN" w:bidi="ar"/>
              </w:rPr>
              <w:t>黑膜厌氧池喷洒微生物除臭剂，全封闭</w:t>
            </w:r>
            <w:r>
              <w:rPr>
                <w:rFonts w:hint="eastAsia" w:ascii="Times New Roman" w:hAnsi="Times New Roman" w:cs="Times New Roman"/>
                <w:snapToGrid w:val="0"/>
                <w:color w:val="auto"/>
                <w:kern w:val="0"/>
                <w:sz w:val="21"/>
                <w:szCs w:val="21"/>
                <w:highlight w:val="none"/>
                <w:lang w:val="en-US" w:eastAsia="zh-CN" w:bidi="ar"/>
              </w:rPr>
              <w:t>；沼液贮存池定期喷洒</w:t>
            </w:r>
            <w:r>
              <w:rPr>
                <w:rFonts w:hint="default" w:ascii="Times New Roman" w:hAnsi="Times New Roman" w:eastAsia="宋体" w:cs="Times New Roman"/>
                <w:snapToGrid w:val="0"/>
                <w:color w:val="auto"/>
                <w:kern w:val="0"/>
                <w:sz w:val="21"/>
                <w:szCs w:val="21"/>
                <w:highlight w:val="none"/>
                <w:lang w:val="en-US" w:eastAsia="zh-CN" w:bidi="ar"/>
              </w:rPr>
              <w:t>微生物除臭剂</w:t>
            </w:r>
            <w:r>
              <w:rPr>
                <w:rFonts w:hint="eastAsia" w:ascii="Times New Roman" w:hAnsi="Times New Roman" w:eastAsia="宋体" w:cs="Times New Roman"/>
                <w:snapToGrid w:val="0"/>
                <w:color w:val="auto"/>
                <w:kern w:val="0"/>
                <w:sz w:val="21"/>
                <w:szCs w:val="21"/>
                <w:highlight w:val="none"/>
                <w:lang w:val="en-US" w:eastAsia="zh-CN" w:bidi="ar"/>
              </w:rPr>
              <w:t>；</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lang w:val="en-US" w:eastAsia="zh-CN"/>
              </w:rPr>
              <w:t>定期</w:t>
            </w:r>
            <w:r>
              <w:rPr>
                <w:rFonts w:hint="default" w:ascii="Times New Roman" w:hAnsi="Times New Roman" w:cs="Times New Roman"/>
                <w:snapToGrid w:val="0"/>
                <w:color w:val="auto"/>
                <w:highlight w:val="none"/>
                <w:lang w:val="en-US"/>
              </w:rPr>
              <w:t>喷洒微生物除臭剂</w:t>
            </w:r>
            <w:r>
              <w:rPr>
                <w:rFonts w:hint="default" w:ascii="Times New Roman" w:hAnsi="Times New Roman" w:cs="Times New Roman"/>
                <w:snapToGrid w:val="0"/>
                <w:color w:val="auto"/>
                <w:highlight w:val="none"/>
                <w:lang w:eastAsia="zh-CN"/>
              </w:rPr>
              <w:t>，恶臭</w:t>
            </w:r>
            <w:r>
              <w:rPr>
                <w:rFonts w:hint="eastAsia" w:ascii="Times New Roman" w:hAnsi="Times New Roman" w:cs="Times New Roman"/>
                <w:snapToGrid w:val="0"/>
                <w:color w:val="auto"/>
                <w:highlight w:val="none"/>
                <w:lang w:val="en-US" w:eastAsia="zh-CN"/>
              </w:rPr>
              <w:t>气体</w:t>
            </w:r>
            <w:r>
              <w:rPr>
                <w:rFonts w:hint="default" w:ascii="Times New Roman" w:hAnsi="Times New Roman" w:cs="Times New Roman"/>
                <w:snapToGrid w:val="0"/>
                <w:color w:val="auto"/>
                <w:highlight w:val="none"/>
                <w:lang w:eastAsia="zh-CN"/>
              </w:rPr>
              <w:t>采用负压收集后（收集效率90%）进入活性炭吸附装置净化处理后（处理效率90%）经15米高排气筒排放，废气量为</w:t>
            </w:r>
            <w:r>
              <w:rPr>
                <w:rFonts w:hint="eastAsia" w:ascii="Times New Roman" w:hAnsi="Times New Roman" w:cs="Times New Roman"/>
                <w:snapToGrid w:val="0"/>
                <w:color w:val="auto"/>
                <w:highlight w:val="none"/>
                <w:lang w:eastAsia="zh-CN"/>
              </w:rPr>
              <w:t>5000</w:t>
            </w:r>
            <w:r>
              <w:rPr>
                <w:rFonts w:hint="default" w:ascii="Times New Roman" w:hAnsi="Times New Roman" w:cs="Times New Roman"/>
                <w:snapToGrid w:val="0"/>
                <w:color w:val="auto"/>
                <w:highlight w:val="none"/>
                <w:lang w:eastAsia="zh-CN"/>
              </w:rPr>
              <w:t>m</w:t>
            </w:r>
            <w:r>
              <w:rPr>
                <w:rFonts w:hint="default" w:ascii="Times New Roman" w:hAnsi="Times New Roman" w:cs="Times New Roman"/>
                <w:snapToGrid w:val="0"/>
                <w:color w:val="auto"/>
                <w:highlight w:val="none"/>
                <w:vertAlign w:val="superscript"/>
                <w:lang w:eastAsia="zh-CN"/>
              </w:rPr>
              <w:t>3</w:t>
            </w:r>
            <w:r>
              <w:rPr>
                <w:rFonts w:hint="default" w:ascii="Times New Roman" w:hAnsi="Times New Roman" w:cs="Times New Roman"/>
                <w:snapToGrid w:val="0"/>
                <w:color w:val="auto"/>
                <w:highlight w:val="none"/>
                <w:lang w:eastAsia="zh-CN"/>
              </w:rPr>
              <w:t>/h</w:t>
            </w:r>
          </w:p>
        </w:tc>
        <w:tc>
          <w:tcPr>
            <w:tcW w:w="590" w:type="pct"/>
            <w:vAlign w:val="center"/>
          </w:tcPr>
          <w:p w14:paraId="19DA9F5E">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55</w:t>
            </w:r>
          </w:p>
        </w:tc>
      </w:tr>
      <w:tr w14:paraId="0DB44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958" w:type="pct"/>
            <w:vMerge w:val="continue"/>
            <w:vAlign w:val="center"/>
          </w:tcPr>
          <w:p w14:paraId="4D1A9B25">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7820020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沼气净化，沼气燃烧火炬</w:t>
            </w:r>
          </w:p>
        </w:tc>
        <w:tc>
          <w:tcPr>
            <w:tcW w:w="590" w:type="pct"/>
            <w:vAlign w:val="center"/>
          </w:tcPr>
          <w:p w14:paraId="3E00E581">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10</w:t>
            </w:r>
          </w:p>
        </w:tc>
      </w:tr>
      <w:tr w14:paraId="35B2E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58" w:type="pct"/>
            <w:vMerge w:val="restart"/>
            <w:vAlign w:val="center"/>
          </w:tcPr>
          <w:p w14:paraId="5C6D7CD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固废治理</w:t>
            </w:r>
          </w:p>
        </w:tc>
        <w:tc>
          <w:tcPr>
            <w:tcW w:w="3451" w:type="pct"/>
            <w:vAlign w:val="center"/>
          </w:tcPr>
          <w:p w14:paraId="0F30D037">
            <w:pPr>
              <w:pStyle w:val="152"/>
              <w:adjustRightInd w:val="0"/>
              <w:snapToGrid w:val="0"/>
              <w:rPr>
                <w:rFonts w:hint="eastAsia"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猪粪经固液分离后，含水率降至20%，分离出的干物质送至干粪堆积场堆肥发酵后还田，固液分离产生的液体进入黑膜厌氧池</w:t>
            </w:r>
          </w:p>
        </w:tc>
        <w:tc>
          <w:tcPr>
            <w:tcW w:w="590" w:type="pct"/>
            <w:vAlign w:val="center"/>
          </w:tcPr>
          <w:p w14:paraId="6CF672DC">
            <w:pPr>
              <w:pStyle w:val="152"/>
              <w:adjustRightInd w:val="0"/>
              <w:snapToGrid w:val="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4</w:t>
            </w:r>
          </w:p>
        </w:tc>
      </w:tr>
      <w:tr w14:paraId="3D16D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58" w:type="pct"/>
            <w:vMerge w:val="continue"/>
            <w:vAlign w:val="center"/>
          </w:tcPr>
          <w:p w14:paraId="23B6799C">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12BF9EC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lang w:val="en-US" w:eastAsia="zh-Hans"/>
              </w:rPr>
              <w:t>废脱硫剂</w:t>
            </w:r>
            <w:r>
              <w:rPr>
                <w:rFonts w:hint="default" w:ascii="Times New Roman" w:hAnsi="Times New Roman" w:cs="Times New Roman"/>
                <w:snapToGrid w:val="0"/>
                <w:color w:val="auto"/>
                <w:highlight w:val="none"/>
                <w:lang w:val="en-US"/>
              </w:rPr>
              <w:t>、废除臭剂桶</w:t>
            </w:r>
            <w:r>
              <w:rPr>
                <w:rFonts w:hint="eastAsia" w:ascii="Times New Roman" w:hAnsi="Times New Roman" w:cs="Times New Roman"/>
                <w:snapToGrid w:val="0"/>
                <w:color w:val="auto"/>
                <w:highlight w:val="none"/>
                <w:lang w:val="en-US" w:eastAsia="zh-CN"/>
              </w:rPr>
              <w:t>、废活性炭</w:t>
            </w:r>
            <w:r>
              <w:rPr>
                <w:rFonts w:hint="default" w:ascii="Times New Roman" w:hAnsi="Times New Roman" w:cs="Times New Roman"/>
                <w:snapToGrid w:val="0"/>
                <w:color w:val="auto"/>
                <w:highlight w:val="none"/>
                <w:lang w:val="en-US" w:eastAsia="zh-Hans"/>
              </w:rPr>
              <w:t>由厂家回收处置</w:t>
            </w:r>
          </w:p>
        </w:tc>
        <w:tc>
          <w:tcPr>
            <w:tcW w:w="590" w:type="pct"/>
            <w:vAlign w:val="center"/>
          </w:tcPr>
          <w:p w14:paraId="0B16AA49">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5</w:t>
            </w:r>
          </w:p>
        </w:tc>
      </w:tr>
      <w:tr w14:paraId="47C21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Merge w:val="continue"/>
            <w:vAlign w:val="center"/>
          </w:tcPr>
          <w:p w14:paraId="0634E84B">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0F3A99B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eastAsia="zh-CN"/>
              </w:rPr>
              <w:t>动物医疗废物</w:t>
            </w:r>
            <w:r>
              <w:rPr>
                <w:rFonts w:hint="default" w:ascii="Times New Roman" w:hAnsi="Times New Roman" w:eastAsia="宋体" w:cs="Times New Roman"/>
                <w:snapToGrid w:val="0"/>
                <w:color w:val="auto"/>
                <w:highlight w:val="none"/>
              </w:rPr>
              <w:t>储存及</w:t>
            </w:r>
            <w:r>
              <w:rPr>
                <w:rFonts w:hint="eastAsia" w:ascii="Times New Roman" w:hAnsi="Times New Roman" w:cs="Times New Roman"/>
                <w:snapToGrid w:val="0"/>
                <w:color w:val="auto"/>
                <w:highlight w:val="none"/>
                <w:lang w:val="en-US" w:eastAsia="zh-CN"/>
              </w:rPr>
              <w:t>处置单位</w:t>
            </w:r>
          </w:p>
        </w:tc>
        <w:tc>
          <w:tcPr>
            <w:tcW w:w="590" w:type="pct"/>
            <w:vAlign w:val="center"/>
          </w:tcPr>
          <w:p w14:paraId="40996EFE">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3</w:t>
            </w:r>
            <w:r>
              <w:rPr>
                <w:rFonts w:hint="default" w:ascii="Times New Roman" w:hAnsi="Times New Roman" w:cs="Times New Roman"/>
                <w:snapToGrid w:val="0"/>
                <w:color w:val="auto"/>
                <w:highlight w:val="none"/>
                <w:lang w:val="en-US" w:eastAsia="zh-CN"/>
              </w:rPr>
              <w:t>.5</w:t>
            </w:r>
          </w:p>
        </w:tc>
      </w:tr>
      <w:tr w14:paraId="60FCBF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Merge w:val="continue"/>
            <w:vAlign w:val="center"/>
          </w:tcPr>
          <w:p w14:paraId="1141AF61">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2DB7C52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病死猪、胎盘交由鸡西市鑫农源固废处理有限公司处置</w:t>
            </w:r>
          </w:p>
        </w:tc>
        <w:tc>
          <w:tcPr>
            <w:tcW w:w="590" w:type="pct"/>
            <w:vAlign w:val="center"/>
          </w:tcPr>
          <w:p w14:paraId="67C1F7F3">
            <w:pPr>
              <w:pStyle w:val="152"/>
              <w:adjustRightInd w:val="0"/>
              <w:snapToGrid w:val="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3</w:t>
            </w:r>
          </w:p>
        </w:tc>
      </w:tr>
      <w:tr w14:paraId="77C64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Merge w:val="continue"/>
            <w:vAlign w:val="center"/>
          </w:tcPr>
          <w:p w14:paraId="3F62C14C">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7679EFD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沼渣送至</w:t>
            </w:r>
            <w:r>
              <w:rPr>
                <w:rFonts w:hint="default" w:ascii="Times New Roman" w:hAnsi="Times New Roman" w:eastAsia="宋体"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rPr>
              <w:t>堆肥发酵后还田</w:t>
            </w:r>
          </w:p>
        </w:tc>
        <w:tc>
          <w:tcPr>
            <w:tcW w:w="590" w:type="pct"/>
            <w:vAlign w:val="center"/>
          </w:tcPr>
          <w:p w14:paraId="68E209B0">
            <w:pPr>
              <w:pStyle w:val="152"/>
              <w:adjustRightInd w:val="0"/>
              <w:snapToGrid w:val="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0.5</w:t>
            </w:r>
          </w:p>
        </w:tc>
      </w:tr>
      <w:tr w14:paraId="28691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Merge w:val="continue"/>
            <w:vAlign w:val="center"/>
          </w:tcPr>
          <w:p w14:paraId="1E9A78EA">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6D99F76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生活垃圾由当地环卫部门统一收集处理</w:t>
            </w:r>
          </w:p>
        </w:tc>
        <w:tc>
          <w:tcPr>
            <w:tcW w:w="590" w:type="pct"/>
            <w:vAlign w:val="center"/>
          </w:tcPr>
          <w:p w14:paraId="28761C11">
            <w:pPr>
              <w:pStyle w:val="152"/>
              <w:adjustRightInd w:val="0"/>
              <w:snapToGrid w:val="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0.5</w:t>
            </w:r>
          </w:p>
        </w:tc>
      </w:tr>
      <w:tr w14:paraId="06AA6A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Merge w:val="continue"/>
            <w:vAlign w:val="center"/>
          </w:tcPr>
          <w:p w14:paraId="09971FA9">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743C22C8">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1座干粪堆积场</w:t>
            </w:r>
          </w:p>
        </w:tc>
        <w:tc>
          <w:tcPr>
            <w:tcW w:w="590" w:type="pct"/>
            <w:vAlign w:val="center"/>
          </w:tcPr>
          <w:p w14:paraId="5FF102EC">
            <w:pPr>
              <w:pStyle w:val="152"/>
              <w:adjustRightInd w:val="0"/>
              <w:snapToGrid w:val="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3</w:t>
            </w:r>
          </w:p>
        </w:tc>
      </w:tr>
      <w:tr w14:paraId="6EC01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Merge w:val="continue"/>
            <w:vAlign w:val="center"/>
          </w:tcPr>
          <w:p w14:paraId="65C4D27F">
            <w:pPr>
              <w:pStyle w:val="152"/>
              <w:adjustRightInd w:val="0"/>
              <w:snapToGrid w:val="0"/>
              <w:rPr>
                <w:rFonts w:hint="default" w:ascii="Times New Roman" w:hAnsi="Times New Roman" w:eastAsia="宋体" w:cs="Times New Roman"/>
                <w:snapToGrid w:val="0"/>
                <w:color w:val="auto"/>
                <w:highlight w:val="none"/>
              </w:rPr>
            </w:pPr>
          </w:p>
        </w:tc>
        <w:tc>
          <w:tcPr>
            <w:tcW w:w="3451" w:type="pct"/>
            <w:vAlign w:val="center"/>
          </w:tcPr>
          <w:p w14:paraId="489F2703">
            <w:pPr>
              <w:pStyle w:val="152"/>
              <w:adjustRightInd w:val="0"/>
              <w:snapToGrid w:val="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kern w:val="24"/>
                <w:highlight w:val="none"/>
                <w:lang w:val="en-US" w:eastAsia="zh-CN"/>
              </w:rPr>
              <w:t>安排</w:t>
            </w:r>
            <w:r>
              <w:rPr>
                <w:rFonts w:hint="default" w:ascii="Times New Roman" w:hAnsi="Times New Roman" w:cs="Times New Roman"/>
                <w:snapToGrid w:val="0"/>
                <w:color w:val="auto"/>
                <w:kern w:val="24"/>
                <w:highlight w:val="none"/>
              </w:rPr>
              <w:t>罐车</w:t>
            </w:r>
            <w:r>
              <w:rPr>
                <w:rFonts w:hint="eastAsia" w:ascii="Times New Roman" w:hAnsi="Times New Roman" w:cs="Times New Roman"/>
                <w:snapToGrid w:val="0"/>
                <w:color w:val="auto"/>
                <w:kern w:val="24"/>
                <w:highlight w:val="none"/>
                <w:lang w:val="en-US" w:eastAsia="zh-CN"/>
              </w:rPr>
              <w:t>及固体抛洒车拉运猪粪（沼液）作为有机肥提供给农户耕地</w:t>
            </w:r>
          </w:p>
        </w:tc>
        <w:tc>
          <w:tcPr>
            <w:tcW w:w="590" w:type="pct"/>
            <w:vAlign w:val="center"/>
          </w:tcPr>
          <w:p w14:paraId="3741CBBC">
            <w:pPr>
              <w:pStyle w:val="152"/>
              <w:adjustRightInd w:val="0"/>
              <w:snapToGrid w:val="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10</w:t>
            </w:r>
          </w:p>
        </w:tc>
      </w:tr>
      <w:tr w14:paraId="3A84A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Align w:val="center"/>
          </w:tcPr>
          <w:p w14:paraId="7B2F506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噪声治理</w:t>
            </w:r>
          </w:p>
        </w:tc>
        <w:tc>
          <w:tcPr>
            <w:tcW w:w="3451" w:type="pct"/>
            <w:vAlign w:val="center"/>
          </w:tcPr>
          <w:p w14:paraId="573F1BA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噪声设备的消声、减振措施</w:t>
            </w:r>
          </w:p>
        </w:tc>
        <w:tc>
          <w:tcPr>
            <w:tcW w:w="590" w:type="pct"/>
            <w:vAlign w:val="center"/>
          </w:tcPr>
          <w:p w14:paraId="19338C1A">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5</w:t>
            </w:r>
          </w:p>
        </w:tc>
      </w:tr>
      <w:tr w14:paraId="63685B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Align w:val="center"/>
          </w:tcPr>
          <w:p w14:paraId="16DDBB8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环境监测管理</w:t>
            </w:r>
          </w:p>
        </w:tc>
        <w:tc>
          <w:tcPr>
            <w:tcW w:w="3451" w:type="pct"/>
            <w:vAlign w:val="center"/>
          </w:tcPr>
          <w:p w14:paraId="707F206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rPr>
              <w:t>地下水监测井及委托监测</w:t>
            </w:r>
            <w:r>
              <w:rPr>
                <w:rFonts w:hint="default" w:ascii="Times New Roman" w:hAnsi="Times New Roman" w:cs="Times New Roman"/>
                <w:snapToGrid w:val="0"/>
                <w:color w:val="auto"/>
                <w:highlight w:val="none"/>
                <w:lang w:val="en-US" w:eastAsia="zh-CN"/>
              </w:rPr>
              <w:t>，黑膜厌氧池等各池体安装泄露监测装置</w:t>
            </w:r>
          </w:p>
        </w:tc>
        <w:tc>
          <w:tcPr>
            <w:tcW w:w="590" w:type="pct"/>
            <w:vAlign w:val="center"/>
          </w:tcPr>
          <w:p w14:paraId="24FE71B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5</w:t>
            </w:r>
          </w:p>
        </w:tc>
      </w:tr>
      <w:tr w14:paraId="243F0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pct"/>
            <w:vAlign w:val="center"/>
          </w:tcPr>
          <w:p w14:paraId="5A8F625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环保设施运行维护维修费用</w:t>
            </w:r>
          </w:p>
        </w:tc>
        <w:tc>
          <w:tcPr>
            <w:tcW w:w="3451" w:type="pct"/>
            <w:vAlign w:val="center"/>
          </w:tcPr>
          <w:p w14:paraId="0CFBEB0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运行期各环保设施的运行维护维修费用 </w:t>
            </w:r>
          </w:p>
        </w:tc>
        <w:tc>
          <w:tcPr>
            <w:tcW w:w="590" w:type="pct"/>
            <w:vAlign w:val="center"/>
          </w:tcPr>
          <w:p w14:paraId="7D1DB52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15</w:t>
            </w:r>
          </w:p>
        </w:tc>
      </w:tr>
      <w:tr w14:paraId="2E1EF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9" w:type="pct"/>
            <w:gridSpan w:val="2"/>
            <w:vAlign w:val="center"/>
          </w:tcPr>
          <w:p w14:paraId="2A3DA64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合计</w:t>
            </w:r>
          </w:p>
        </w:tc>
        <w:tc>
          <w:tcPr>
            <w:tcW w:w="590" w:type="pct"/>
            <w:vAlign w:val="center"/>
          </w:tcPr>
          <w:p w14:paraId="0F630F53">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150.5</w:t>
            </w:r>
          </w:p>
        </w:tc>
      </w:tr>
      <w:bookmarkEnd w:id="1042"/>
    </w:tbl>
    <w:p w14:paraId="3FA59C20">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3666456F">
      <w:pPr>
        <w:pStyle w:val="4"/>
        <w:bidi w:val="0"/>
        <w:rPr>
          <w:rFonts w:hint="default"/>
          <w:highlight w:val="none"/>
        </w:rPr>
      </w:pPr>
      <w:bookmarkStart w:id="1043" w:name="_Toc480447677"/>
      <w:bookmarkStart w:id="1044" w:name="_Toc19278"/>
      <w:bookmarkStart w:id="1045" w:name="_Toc32534"/>
      <w:bookmarkStart w:id="1046" w:name="_Toc20084"/>
      <w:bookmarkStart w:id="1047" w:name="_Toc7562"/>
      <w:bookmarkStart w:id="1048" w:name="_Toc15093"/>
      <w:r>
        <w:rPr>
          <w:rFonts w:hint="default"/>
          <w:highlight w:val="none"/>
        </w:rPr>
        <w:t>7环境影响经济损益分析</w:t>
      </w:r>
      <w:bookmarkEnd w:id="1043"/>
      <w:bookmarkEnd w:id="1044"/>
      <w:bookmarkEnd w:id="1045"/>
      <w:bookmarkEnd w:id="1046"/>
      <w:bookmarkEnd w:id="1047"/>
      <w:bookmarkEnd w:id="1048"/>
    </w:p>
    <w:p w14:paraId="46CE2B09">
      <w:pPr>
        <w:adjustRightInd w:val="0"/>
        <w:snapToGrid w:val="0"/>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bookmarkStart w:id="1049" w:name="_Toc490466589"/>
      <w:bookmarkStart w:id="1050" w:name="_Toc17583"/>
      <w:bookmarkStart w:id="1051" w:name="_Toc6924"/>
      <w:bookmarkStart w:id="1052" w:name="_Toc17196"/>
      <w:bookmarkStart w:id="1053" w:name="_Toc32605"/>
      <w:bookmarkStart w:id="1054" w:name="_Toc107218493"/>
      <w:bookmarkStart w:id="1055" w:name="_Toc72720550"/>
      <w:bookmarkStart w:id="1056" w:name="_Toc107037124"/>
      <w:bookmarkStart w:id="1057" w:name="_Toc107209647"/>
      <w:bookmarkStart w:id="1058" w:name="_Toc73100699"/>
      <w:bookmarkStart w:id="1059" w:name="_Toc106157196"/>
      <w:bookmarkStart w:id="1060" w:name="_Toc456590416"/>
      <w:bookmarkStart w:id="1061" w:name="_Toc213077353"/>
      <w:bookmarkStart w:id="1062" w:name="_Toc480447682"/>
      <w:bookmarkStart w:id="1063" w:name="_Toc75252815"/>
      <w:bookmarkStart w:id="1064" w:name="_Toc107196364"/>
      <w:bookmarkStart w:id="1065" w:name="_Toc106157355"/>
      <w:bookmarkStart w:id="1066" w:name="_Toc72748366"/>
      <w:bookmarkStart w:id="1067" w:name="_Toc118087455"/>
      <w:bookmarkStart w:id="1068" w:name="_Toc106447270"/>
      <w:bookmarkStart w:id="1069" w:name="_Toc110400384"/>
      <w:bookmarkStart w:id="1070" w:name="_Toc106172601"/>
      <w:bookmarkStart w:id="1071" w:name="_Toc74537701"/>
      <w:bookmarkStart w:id="1072" w:name="_Toc106159387"/>
      <w:bookmarkStart w:id="1073" w:name="_Toc73161218"/>
      <w:bookmarkStart w:id="1074" w:name="_Toc74709503"/>
      <w:bookmarkStart w:id="1075" w:name="_Toc106791234"/>
      <w:bookmarkStart w:id="1076" w:name="_Toc106415529"/>
      <w:bookmarkStart w:id="1077" w:name="_Toc107052532"/>
      <w:bookmarkStart w:id="1078" w:name="_Toc72747948"/>
      <w:bookmarkStart w:id="1079" w:name="_Toc75075767"/>
      <w:bookmarkStart w:id="1080" w:name="_Toc45678602"/>
      <w:bookmarkStart w:id="1081" w:name="_Toc75075829"/>
      <w:bookmarkStart w:id="1082" w:name="_Toc371751594"/>
      <w:bookmarkStart w:id="1083" w:name="_Toc415146721"/>
      <w:r>
        <w:rPr>
          <w:rFonts w:hint="default" w:ascii="Times New Roman" w:hAnsi="Times New Roman" w:eastAsia="宋体" w:cs="Times New Roman"/>
          <w:snapToGrid w:val="0"/>
          <w:color w:val="auto"/>
          <w:kern w:val="0"/>
          <w:sz w:val="24"/>
          <w:szCs w:val="24"/>
          <w:highlight w:val="none"/>
          <w:lang w:val="en-US" w:eastAsia="zh-CN" w:bidi="ar-SA"/>
        </w:rPr>
        <w:t>项目的建设及运营通常都会给当地的环境、社会和经济造成一定的影响，一般来说，对当地社会和经济的影响主要是正面的，而对环境的影响主要是负面的。随着生活水平的提高，人们对自身生活质量的要求和资源的需求越来越高，在追求经济效益的同时，人们也注重社会效益和环境效益。因此，评价一个项目的影响，应从经济、社会和环境效益三个方面入手。</w:t>
      </w:r>
    </w:p>
    <w:p w14:paraId="58AAF6B3">
      <w:pPr>
        <w:pStyle w:val="5"/>
        <w:bidi w:val="0"/>
        <w:rPr>
          <w:rFonts w:hint="default"/>
          <w:highlight w:val="none"/>
        </w:rPr>
      </w:pPr>
      <w:bookmarkStart w:id="1084" w:name="_Toc10173"/>
      <w:bookmarkStart w:id="1085" w:name="_Toc16430"/>
      <w:bookmarkStart w:id="1086" w:name="_Toc18884"/>
      <w:bookmarkStart w:id="1087" w:name="_Toc20806"/>
      <w:bookmarkStart w:id="1088" w:name="_Toc3911"/>
      <w:bookmarkStart w:id="1089" w:name="_Toc14881"/>
      <w:r>
        <w:rPr>
          <w:rFonts w:hint="default"/>
          <w:highlight w:val="none"/>
        </w:rPr>
        <w:t xml:space="preserve">7.1 </w:t>
      </w:r>
      <w:bookmarkEnd w:id="1049"/>
      <w:bookmarkEnd w:id="1050"/>
      <w:bookmarkEnd w:id="1051"/>
      <w:bookmarkEnd w:id="1052"/>
      <w:bookmarkEnd w:id="1053"/>
      <w:r>
        <w:rPr>
          <w:rFonts w:hint="default"/>
          <w:highlight w:val="none"/>
        </w:rPr>
        <w:t>经济效益分析</w:t>
      </w:r>
      <w:bookmarkEnd w:id="1084"/>
      <w:bookmarkEnd w:id="1085"/>
      <w:bookmarkEnd w:id="1086"/>
      <w:bookmarkEnd w:id="1087"/>
      <w:bookmarkEnd w:id="1088"/>
      <w:bookmarkEnd w:id="1089"/>
    </w:p>
    <w:p w14:paraId="44A82A5D">
      <w:pPr>
        <w:adjustRightInd w:val="0"/>
        <w:snapToGrid w:val="0"/>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项目总投资为</w:t>
      </w:r>
      <w:r>
        <w:rPr>
          <w:rFonts w:hint="eastAsia" w:ascii="Times New Roman" w:hAnsi="Times New Roman" w:cs="Times New Roman"/>
          <w:snapToGrid w:val="0"/>
          <w:color w:val="auto"/>
          <w:kern w:val="0"/>
          <w:sz w:val="24"/>
          <w:szCs w:val="24"/>
          <w:highlight w:val="none"/>
          <w:lang w:val="en-US" w:eastAsia="zh-CN" w:bidi="ar-SA"/>
        </w:rPr>
        <w:t>600万元</w:t>
      </w:r>
      <w:r>
        <w:rPr>
          <w:rFonts w:hint="default" w:ascii="Times New Roman" w:hAnsi="Times New Roman" w:eastAsia="宋体" w:cs="Times New Roman"/>
          <w:snapToGrid w:val="0"/>
          <w:color w:val="auto"/>
          <w:kern w:val="0"/>
          <w:sz w:val="24"/>
          <w:szCs w:val="24"/>
          <w:highlight w:val="none"/>
          <w:lang w:val="en-US" w:eastAsia="zh-CN" w:bidi="ar-SA"/>
        </w:rPr>
        <w:t>，本项目经济评价依照国家发展改革委员会、建设部2006年发布的《建设项目经济评价方法与参数》（第三版）和有关的建设项目经济评价方法实施细则以及现行的财税制度。项目税后财务内部收益率为</w:t>
      </w:r>
      <w:r>
        <w:rPr>
          <w:rFonts w:hint="eastAsia" w:ascii="Times New Roman" w:hAnsi="Times New Roman" w:cs="Times New Roman"/>
          <w:snapToGrid w:val="0"/>
          <w:color w:val="auto"/>
          <w:kern w:val="0"/>
          <w:sz w:val="24"/>
          <w:szCs w:val="24"/>
          <w:highlight w:val="none"/>
          <w:lang w:val="en-US" w:eastAsia="zh-CN" w:bidi="ar-SA"/>
        </w:rPr>
        <w:t>4.40</w:t>
      </w:r>
      <w:r>
        <w:rPr>
          <w:rFonts w:hint="default" w:ascii="Times New Roman" w:hAnsi="Times New Roman" w:eastAsia="宋体" w:cs="Times New Roman"/>
          <w:snapToGrid w:val="0"/>
          <w:color w:val="auto"/>
          <w:kern w:val="0"/>
          <w:sz w:val="24"/>
          <w:szCs w:val="24"/>
          <w:highlight w:val="none"/>
          <w:lang w:val="en-US" w:eastAsia="zh-CN" w:bidi="ar-SA"/>
        </w:rPr>
        <w:t>%，高于行业基准收益率，能够满足投资者的要求。本项目税后财务净现值为</w:t>
      </w:r>
      <w:r>
        <w:rPr>
          <w:rFonts w:hint="eastAsia" w:ascii="Times New Roman" w:hAnsi="Times New Roman" w:cs="Times New Roman"/>
          <w:snapToGrid w:val="0"/>
          <w:color w:val="auto"/>
          <w:kern w:val="0"/>
          <w:sz w:val="24"/>
          <w:szCs w:val="24"/>
          <w:highlight w:val="none"/>
          <w:lang w:val="en-US" w:eastAsia="zh-CN" w:bidi="ar-SA"/>
        </w:rPr>
        <w:t>152.964</w:t>
      </w:r>
      <w:r>
        <w:rPr>
          <w:rFonts w:hint="default" w:ascii="Times New Roman" w:hAnsi="Times New Roman" w:eastAsia="宋体" w:cs="Times New Roman"/>
          <w:snapToGrid w:val="0"/>
          <w:color w:val="auto"/>
          <w:kern w:val="0"/>
          <w:sz w:val="24"/>
          <w:szCs w:val="24"/>
          <w:highlight w:val="none"/>
          <w:lang w:val="en-US" w:eastAsia="zh-CN" w:bidi="ar-SA"/>
        </w:rPr>
        <w:t>万元，静态投资回收期（含建设期）为</w:t>
      </w:r>
      <w:r>
        <w:rPr>
          <w:rFonts w:hint="eastAsia" w:ascii="Times New Roman" w:hAnsi="Times New Roman" w:cs="Times New Roman"/>
          <w:snapToGrid w:val="0"/>
          <w:color w:val="auto"/>
          <w:kern w:val="0"/>
          <w:sz w:val="24"/>
          <w:szCs w:val="24"/>
          <w:highlight w:val="none"/>
          <w:lang w:val="en-US" w:eastAsia="zh-CN" w:bidi="ar-SA"/>
        </w:rPr>
        <w:t>2.5</w:t>
      </w:r>
      <w:r>
        <w:rPr>
          <w:rFonts w:hint="default" w:ascii="Times New Roman" w:hAnsi="Times New Roman" w:eastAsia="宋体" w:cs="Times New Roman"/>
          <w:snapToGrid w:val="0"/>
          <w:color w:val="auto"/>
          <w:kern w:val="0"/>
          <w:sz w:val="24"/>
          <w:szCs w:val="24"/>
          <w:highlight w:val="none"/>
          <w:lang w:val="en-US" w:eastAsia="zh-CN" w:bidi="ar-SA"/>
        </w:rPr>
        <w:t>年，作为畜牧业项目偿债能力指标非常强。该项目财务分析的各项指标均好，其财务内部收益率、投资回收期、投资利润率、投资利税率等都优于行</w:t>
      </w:r>
      <w:r>
        <w:rPr>
          <w:rFonts w:hint="eastAsia" w:ascii="Times New Roman" w:hAnsi="Times New Roman" w:cs="Times New Roman"/>
          <w:snapToGrid w:val="0"/>
          <w:color w:val="auto"/>
          <w:kern w:val="0"/>
          <w:sz w:val="24"/>
          <w:szCs w:val="24"/>
          <w:highlight w:val="none"/>
          <w:lang w:val="en-US" w:eastAsia="zh-CN" w:bidi="ar-SA"/>
        </w:rPr>
        <w:t xml:space="preserve"> </w:t>
      </w:r>
      <w:r>
        <w:rPr>
          <w:rFonts w:hint="default" w:ascii="Times New Roman" w:hAnsi="Times New Roman" w:eastAsia="宋体" w:cs="Times New Roman"/>
          <w:snapToGrid w:val="0"/>
          <w:color w:val="auto"/>
          <w:kern w:val="0"/>
          <w:sz w:val="24"/>
          <w:szCs w:val="24"/>
          <w:highlight w:val="none"/>
          <w:lang w:val="en-US" w:eastAsia="zh-CN" w:bidi="ar-SA"/>
        </w:rPr>
        <w:t>业基准值。项目获利能力强，另通过不确定分析可见，项目有一定的抗风险能力。</w:t>
      </w:r>
    </w:p>
    <w:p w14:paraId="150CE9F2">
      <w:pPr>
        <w:pStyle w:val="5"/>
        <w:bidi w:val="0"/>
        <w:rPr>
          <w:rFonts w:hint="default"/>
          <w:highlight w:val="none"/>
        </w:rPr>
      </w:pPr>
      <w:bookmarkStart w:id="1090" w:name="_Toc10603"/>
      <w:bookmarkStart w:id="1091" w:name="_Toc1592"/>
      <w:bookmarkStart w:id="1092" w:name="_Toc12663"/>
      <w:bookmarkStart w:id="1093" w:name="_Toc22817"/>
      <w:bookmarkStart w:id="1094" w:name="_Toc25579"/>
      <w:bookmarkStart w:id="1095" w:name="_Toc6741"/>
      <w:r>
        <w:rPr>
          <w:rFonts w:hint="default"/>
          <w:highlight w:val="none"/>
        </w:rPr>
        <w:t>7.2 社会效益分析</w:t>
      </w:r>
      <w:bookmarkEnd w:id="1090"/>
      <w:bookmarkEnd w:id="1091"/>
      <w:bookmarkEnd w:id="1092"/>
      <w:bookmarkEnd w:id="1093"/>
      <w:bookmarkEnd w:id="1094"/>
      <w:bookmarkEnd w:id="1095"/>
    </w:p>
    <w:p w14:paraId="009056C8">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畜牧业是衡量一个地区农业现代化的重要标志，也是发展农村经济的支柱产业。西方发达国家畜牧业产值占农业比重多在60%以上，我国农村地球平均约25%左右，离发达国家尚有很大差距，且目前我国畜牧业的生产方式仍是以传统的千家万户分散养殖为主，生产效率和经济效益低下，离现代农业目标还有距离。项目建设竣工后，猪粪通过堆肥处理变成有机肥还田，可增加地力，提高粮食产量，改变生态，促进农业循环经济的发展。</w:t>
      </w:r>
    </w:p>
    <w:p w14:paraId="5612F234">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该项目运营对当地和周边地区的社会影响如下：</w:t>
      </w:r>
    </w:p>
    <w:p w14:paraId="39903C44">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1、本项目的实施，可直接提供多个就业岗位，安排社会富余劳动力进厂就业，有效缓解社会就业压力，有利于改善民生，促进内需增长和社会稳定。</w:t>
      </w:r>
    </w:p>
    <w:p w14:paraId="77B6A1ED">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2、项目的实施，还可壮大当地先进的养殖业模式，积累养殖业等其它一体化格局的形成，对促进当地经济繁荣，改善当地的投资环境和对外形象。</w:t>
      </w:r>
    </w:p>
    <w:p w14:paraId="51E1E877">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综合分析，本项目能够与当地经济和社会发展相互适应，相互促进，从而有利于项目建成后取得良好经济效益的同时，体现出积极的社会效益。其社会效益分析结果见表7</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2-1。</w:t>
      </w:r>
    </w:p>
    <w:p w14:paraId="213F49D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表7</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2-1  项目与所在地社会效益分析表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39"/>
        <w:gridCol w:w="2038"/>
        <w:gridCol w:w="1724"/>
        <w:gridCol w:w="4067"/>
      </w:tblGrid>
      <w:tr w14:paraId="09F36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top w:val="single" w:color="auto" w:sz="12" w:space="0"/>
              <w:left w:val="nil"/>
            </w:tcBorders>
            <w:noWrap w:val="0"/>
            <w:vAlign w:val="center"/>
          </w:tcPr>
          <w:p w14:paraId="7A1758FA">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218" w:type="pct"/>
            <w:tcBorders>
              <w:top w:val="single" w:color="auto" w:sz="12" w:space="0"/>
            </w:tcBorders>
            <w:noWrap w:val="0"/>
            <w:vAlign w:val="center"/>
          </w:tcPr>
          <w:p w14:paraId="3C09C19A">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社会因素</w:t>
            </w:r>
          </w:p>
        </w:tc>
        <w:tc>
          <w:tcPr>
            <w:tcW w:w="1030" w:type="pct"/>
            <w:tcBorders>
              <w:top w:val="single" w:color="auto" w:sz="12" w:space="0"/>
            </w:tcBorders>
            <w:noWrap w:val="0"/>
            <w:vAlign w:val="center"/>
          </w:tcPr>
          <w:p w14:paraId="6A826A52">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影响范围与程度</w:t>
            </w:r>
          </w:p>
        </w:tc>
        <w:tc>
          <w:tcPr>
            <w:tcW w:w="2430" w:type="pct"/>
            <w:tcBorders>
              <w:top w:val="single" w:color="auto" w:sz="12" w:space="0"/>
              <w:right w:val="nil"/>
            </w:tcBorders>
            <w:noWrap w:val="0"/>
            <w:vAlign w:val="center"/>
          </w:tcPr>
          <w:p w14:paraId="7E82E27D">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可能出现的结果</w:t>
            </w:r>
          </w:p>
        </w:tc>
      </w:tr>
      <w:tr w14:paraId="55C4D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left w:val="nil"/>
            </w:tcBorders>
            <w:noWrap w:val="0"/>
            <w:vAlign w:val="center"/>
          </w:tcPr>
          <w:p w14:paraId="297F740D">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218" w:type="pct"/>
            <w:noWrap w:val="0"/>
            <w:vAlign w:val="center"/>
          </w:tcPr>
          <w:p w14:paraId="0793C81E">
            <w:pPr>
              <w:keepNext w:val="0"/>
              <w:keepLines w:val="0"/>
              <w:pageBreakBefore w:val="0"/>
              <w:widowControl/>
              <w:kinsoku/>
              <w:wordWrap/>
              <w:overflowPunct/>
              <w:topLinePunct w:val="0"/>
              <w:autoSpaceDE/>
              <w:autoSpaceDN/>
              <w:bidi w:val="0"/>
              <w:adjustRightInd/>
              <w:snapToGrid/>
              <w:ind w:left="91" w:leftChars="38"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对居民收入的影响</w:t>
            </w:r>
          </w:p>
        </w:tc>
        <w:tc>
          <w:tcPr>
            <w:tcW w:w="1030" w:type="pct"/>
            <w:noWrap w:val="0"/>
            <w:vAlign w:val="center"/>
          </w:tcPr>
          <w:p w14:paraId="4D19F0F7">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有积极影响</w:t>
            </w:r>
          </w:p>
        </w:tc>
        <w:tc>
          <w:tcPr>
            <w:tcW w:w="2430" w:type="pct"/>
            <w:tcBorders>
              <w:right w:val="nil"/>
            </w:tcBorders>
            <w:noWrap w:val="0"/>
            <w:vAlign w:val="center"/>
          </w:tcPr>
          <w:p w14:paraId="13ABEB49">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能拉动数当地农民和下岗工人增加经济收入</w:t>
            </w:r>
          </w:p>
        </w:tc>
      </w:tr>
      <w:tr w14:paraId="5687A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left w:val="nil"/>
            </w:tcBorders>
            <w:noWrap w:val="0"/>
            <w:vAlign w:val="center"/>
          </w:tcPr>
          <w:p w14:paraId="6A755B86">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218" w:type="pct"/>
            <w:noWrap w:val="0"/>
            <w:vAlign w:val="center"/>
          </w:tcPr>
          <w:p w14:paraId="36100BE7">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对居民生活水平和生活质量的影响</w:t>
            </w:r>
          </w:p>
        </w:tc>
        <w:tc>
          <w:tcPr>
            <w:tcW w:w="1030" w:type="pct"/>
            <w:noWrap w:val="0"/>
            <w:vAlign w:val="center"/>
          </w:tcPr>
          <w:p w14:paraId="3EB827B0">
            <w:pPr>
              <w:pStyle w:val="263"/>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snapToGrid/>
                <w:color w:val="auto"/>
                <w:kern w:val="0"/>
                <w:sz w:val="21"/>
                <w:szCs w:val="21"/>
                <w:highlight w:val="none"/>
                <w:lang w:val="en-US" w:eastAsia="zh-CN" w:bidi="ar-SA"/>
              </w:rPr>
              <w:t>有积极影响</w:t>
            </w:r>
          </w:p>
        </w:tc>
        <w:tc>
          <w:tcPr>
            <w:tcW w:w="2430" w:type="pct"/>
            <w:tcBorders>
              <w:right w:val="nil"/>
            </w:tcBorders>
            <w:noWrap w:val="0"/>
            <w:vAlign w:val="center"/>
          </w:tcPr>
          <w:p w14:paraId="0534156A">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拉动多种经营业发展，促进繁荣，提高社会整体收入水平</w:t>
            </w:r>
          </w:p>
        </w:tc>
      </w:tr>
      <w:tr w14:paraId="0A404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left w:val="nil"/>
            </w:tcBorders>
            <w:noWrap w:val="0"/>
            <w:vAlign w:val="center"/>
          </w:tcPr>
          <w:p w14:paraId="31AFCC8F">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218" w:type="pct"/>
            <w:noWrap w:val="0"/>
            <w:vAlign w:val="center"/>
          </w:tcPr>
          <w:p w14:paraId="1EED0223">
            <w:pPr>
              <w:keepNext w:val="0"/>
              <w:keepLines w:val="0"/>
              <w:pageBreakBefore w:val="0"/>
              <w:widowControl/>
              <w:kinsoku/>
              <w:wordWrap/>
              <w:overflowPunct/>
              <w:topLinePunct w:val="0"/>
              <w:autoSpaceDE/>
              <w:autoSpaceDN/>
              <w:bidi w:val="0"/>
              <w:adjustRightInd/>
              <w:snapToGrid/>
              <w:ind w:left="91" w:leftChars="38"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对居民就业的影响</w:t>
            </w:r>
          </w:p>
        </w:tc>
        <w:tc>
          <w:tcPr>
            <w:tcW w:w="1030" w:type="pct"/>
            <w:noWrap w:val="0"/>
            <w:vAlign w:val="center"/>
          </w:tcPr>
          <w:p w14:paraId="0F6F3B2D">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可扩大社会就业</w:t>
            </w:r>
          </w:p>
        </w:tc>
        <w:tc>
          <w:tcPr>
            <w:tcW w:w="2430" w:type="pct"/>
            <w:tcBorders>
              <w:right w:val="nil"/>
            </w:tcBorders>
            <w:noWrap w:val="0"/>
            <w:vAlign w:val="center"/>
          </w:tcPr>
          <w:p w14:paraId="7CAB25F2">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直接提供就业岗位</w:t>
            </w:r>
          </w:p>
        </w:tc>
      </w:tr>
      <w:tr w14:paraId="44766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left w:val="nil"/>
              <w:bottom w:val="single" w:color="auto" w:sz="12" w:space="0"/>
            </w:tcBorders>
            <w:noWrap w:val="0"/>
            <w:vAlign w:val="center"/>
          </w:tcPr>
          <w:p w14:paraId="7AD7F99A">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218" w:type="pct"/>
            <w:tcBorders>
              <w:bottom w:val="single" w:color="auto" w:sz="12" w:space="0"/>
            </w:tcBorders>
            <w:noWrap w:val="0"/>
            <w:vAlign w:val="center"/>
          </w:tcPr>
          <w:p w14:paraId="60F073B8">
            <w:pPr>
              <w:keepNext w:val="0"/>
              <w:keepLines w:val="0"/>
              <w:pageBreakBefore w:val="0"/>
              <w:widowControl/>
              <w:kinsoku/>
              <w:wordWrap/>
              <w:overflowPunct/>
              <w:topLinePunct w:val="0"/>
              <w:autoSpaceDE/>
              <w:autoSpaceDN/>
              <w:bidi w:val="0"/>
              <w:adjustRightInd/>
              <w:snapToGrid/>
              <w:ind w:left="91" w:leftChars="38"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对当地养殖业的影响</w:t>
            </w:r>
          </w:p>
        </w:tc>
        <w:tc>
          <w:tcPr>
            <w:tcW w:w="1030" w:type="pct"/>
            <w:tcBorders>
              <w:bottom w:val="single" w:color="auto" w:sz="12" w:space="0"/>
            </w:tcBorders>
            <w:noWrap w:val="0"/>
            <w:vAlign w:val="center"/>
          </w:tcPr>
          <w:p w14:paraId="6F4ECF81">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有积极影响</w:t>
            </w:r>
          </w:p>
        </w:tc>
        <w:tc>
          <w:tcPr>
            <w:tcW w:w="2430" w:type="pct"/>
            <w:tcBorders>
              <w:bottom w:val="single" w:color="auto" w:sz="12" w:space="0"/>
              <w:right w:val="nil"/>
            </w:tcBorders>
            <w:noWrap w:val="0"/>
            <w:vAlign w:val="center"/>
          </w:tcPr>
          <w:p w14:paraId="4FF6EBA5">
            <w:pPr>
              <w:keepNext w:val="0"/>
              <w:keepLines w:val="0"/>
              <w:pageBreakBefore w:val="0"/>
              <w:widowControl/>
              <w:kinsoku/>
              <w:wordWrap/>
              <w:overflowPunct/>
              <w:topLinePunct w:val="0"/>
              <w:autoSpaceDE/>
              <w:autoSpaceDN/>
              <w:bidi w:val="0"/>
              <w:adjustRightInd/>
              <w:snapToGrid/>
              <w:ind w:left="136" w:leftChars="57"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可促进当地养殖业多元化发展格局的形成</w:t>
            </w:r>
          </w:p>
        </w:tc>
      </w:tr>
    </w:tbl>
    <w:p w14:paraId="5B2D6745">
      <w:pPr>
        <w:pStyle w:val="5"/>
        <w:bidi w:val="0"/>
        <w:rPr>
          <w:rFonts w:hint="default"/>
          <w:highlight w:val="none"/>
        </w:rPr>
      </w:pPr>
      <w:bookmarkStart w:id="1096" w:name="_Toc230"/>
      <w:bookmarkStart w:id="1097" w:name="_Toc63"/>
      <w:bookmarkStart w:id="1098" w:name="_Toc18092"/>
      <w:bookmarkStart w:id="1099" w:name="_Toc4318"/>
      <w:bookmarkStart w:id="1100" w:name="_Toc6366"/>
      <w:bookmarkStart w:id="1101" w:name="_Toc24575"/>
      <w:r>
        <w:rPr>
          <w:rFonts w:hint="default"/>
          <w:highlight w:val="none"/>
        </w:rPr>
        <w:t>7.3 环境效益分析</w:t>
      </w:r>
      <w:bookmarkEnd w:id="1096"/>
      <w:bookmarkEnd w:id="1097"/>
      <w:bookmarkEnd w:id="1098"/>
      <w:bookmarkEnd w:id="1099"/>
      <w:bookmarkEnd w:id="1100"/>
      <w:bookmarkEnd w:id="1101"/>
    </w:p>
    <w:p w14:paraId="0D6DC17F">
      <w:pPr>
        <w:pStyle w:val="7"/>
        <w:bidi w:val="0"/>
        <w:rPr>
          <w:rFonts w:hint="default"/>
          <w:highlight w:val="none"/>
        </w:rPr>
      </w:pPr>
      <w:bookmarkStart w:id="1102" w:name="_Toc11728"/>
      <w:bookmarkStart w:id="1103" w:name="_Toc24623"/>
      <w:bookmarkStart w:id="1104" w:name="_Toc24851"/>
      <w:bookmarkStart w:id="1105" w:name="_Toc21971"/>
      <w:bookmarkStart w:id="1106" w:name="_Toc9107"/>
      <w:bookmarkStart w:id="1107" w:name="_Toc32732"/>
      <w:bookmarkStart w:id="1108" w:name="_Toc7893"/>
      <w:r>
        <w:rPr>
          <w:rFonts w:hint="default"/>
          <w:highlight w:val="none"/>
        </w:rPr>
        <w:t>7.3.1有利影响</w:t>
      </w:r>
      <w:bookmarkEnd w:id="1102"/>
      <w:bookmarkEnd w:id="1103"/>
      <w:bookmarkEnd w:id="1104"/>
      <w:bookmarkEnd w:id="1105"/>
      <w:bookmarkEnd w:id="1106"/>
      <w:bookmarkEnd w:id="1107"/>
    </w:p>
    <w:p w14:paraId="29A74EC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在规模养猪场建设上，由于采取了科学的环保措施，在生产过程中所排放粪便、尿液都得到了彻底的技术处理，对周边环境及居民区的污染达到了</w:t>
      </w:r>
      <w:r>
        <w:rPr>
          <w:rFonts w:hint="default" w:ascii="Times New Roman" w:hAnsi="Times New Roman" w:eastAsia="宋体" w:cs="Times New Roman"/>
          <w:snapToGrid w:val="0"/>
          <w:color w:val="auto"/>
          <w:highlight w:val="none"/>
          <w:lang w:eastAsia="zh-CN"/>
        </w:rPr>
        <w:t>“</w:t>
      </w:r>
      <w:r>
        <w:rPr>
          <w:rFonts w:hint="eastAsia" w:ascii="Times New Roman" w:hAnsi="Times New Roman" w:cs="Times New Roman"/>
          <w:snapToGrid w:val="0"/>
          <w:color w:val="auto"/>
          <w:highlight w:val="none"/>
          <w:lang w:eastAsia="zh-CN"/>
        </w:rPr>
        <w:t>不外排</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，确保了养猪生产实现了生态化发展。与此同时，养猪所产粪尿，经技术处理后都变成了优质无害的固体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进行还田，实现了养殖、种植的良性循环。</w:t>
      </w:r>
    </w:p>
    <w:p w14:paraId="4DEB06E8">
      <w:pPr>
        <w:pStyle w:val="7"/>
        <w:bidi w:val="0"/>
        <w:rPr>
          <w:rFonts w:hint="default"/>
          <w:highlight w:val="none"/>
        </w:rPr>
      </w:pPr>
      <w:bookmarkStart w:id="1109" w:name="_Toc7761"/>
      <w:bookmarkStart w:id="1110" w:name="_Toc25652"/>
      <w:bookmarkStart w:id="1111" w:name="_Toc15488"/>
      <w:bookmarkStart w:id="1112" w:name="_Toc17461"/>
      <w:bookmarkStart w:id="1113" w:name="_Toc20349"/>
      <w:bookmarkStart w:id="1114" w:name="_Toc17440"/>
      <w:r>
        <w:rPr>
          <w:rFonts w:hint="default"/>
          <w:highlight w:val="none"/>
        </w:rPr>
        <w:t>7.3.2不利影响</w:t>
      </w:r>
      <w:bookmarkEnd w:id="1109"/>
      <w:bookmarkEnd w:id="1110"/>
      <w:bookmarkEnd w:id="1111"/>
      <w:bookmarkEnd w:id="1112"/>
      <w:bookmarkEnd w:id="1113"/>
      <w:bookmarkEnd w:id="1114"/>
    </w:p>
    <w:p w14:paraId="23F6C4F2">
      <w:pPr>
        <w:spacing w:line="360" w:lineRule="auto"/>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项目在运行后，</w:t>
      </w:r>
      <w:r>
        <w:rPr>
          <w:rFonts w:hint="default" w:ascii="Times New Roman" w:hAnsi="Times New Roman" w:eastAsia="宋体" w:cs="Times New Roman"/>
          <w:color w:val="auto"/>
          <w:sz w:val="24"/>
          <w:highlight w:val="none"/>
          <w:lang w:val="en-US" w:eastAsia="zh-CN"/>
        </w:rPr>
        <w:t>猪</w:t>
      </w:r>
      <w:r>
        <w:rPr>
          <w:rFonts w:hint="default" w:ascii="Times New Roman" w:hAnsi="Times New Roman" w:eastAsia="宋体" w:cs="Times New Roman"/>
          <w:color w:val="auto"/>
          <w:sz w:val="24"/>
          <w:highlight w:val="none"/>
        </w:rPr>
        <w:t>舍、</w:t>
      </w:r>
      <w:r>
        <w:rPr>
          <w:rFonts w:hint="eastAsia" w:ascii="Times New Roman" w:hAnsi="Times New Roman" w:cs="Times New Roman"/>
          <w:color w:val="auto"/>
          <w:sz w:val="24"/>
          <w:highlight w:val="none"/>
          <w:lang w:eastAsia="zh-CN"/>
        </w:rPr>
        <w:t>固液分离间</w:t>
      </w:r>
      <w:r>
        <w:rPr>
          <w:rFonts w:hint="default" w:ascii="Times New Roman" w:hAnsi="Times New Roman" w:eastAsia="宋体" w:cs="Times New Roman"/>
          <w:color w:val="auto"/>
          <w:sz w:val="24"/>
          <w:highlight w:val="none"/>
        </w:rPr>
        <w:t>及</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的无组织恶臭臭气浓度满足《畜禽养殖业污染物排放标准》（GB18596-2001）中表7的标准要求，NH</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S的排放速率均小于《恶臭污染物排放标准》（GB14554-93）表</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中的限值要求，沼气燃烧产生污染物排放量较少，对环境影响很小，可以被环境接受。</w:t>
      </w:r>
    </w:p>
    <w:p w14:paraId="232FD68C">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根据地下水预测结果非正常工况下，污水泄漏不会对地下水流向下游居民点地下饮用水造成影响。项目建设对区域地下水环境影响较小。</w:t>
      </w:r>
    </w:p>
    <w:p w14:paraId="07CA92FF">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本项目噪声源主要为水泵、风机、</w:t>
      </w:r>
      <w:r>
        <w:rPr>
          <w:rFonts w:hint="default" w:ascii="Times New Roman" w:hAnsi="Times New Roman" w:eastAsia="宋体" w:cs="Times New Roman"/>
          <w:color w:val="auto"/>
          <w:sz w:val="24"/>
          <w:highlight w:val="none"/>
          <w:lang w:val="en-US" w:eastAsia="zh-CN"/>
        </w:rPr>
        <w:t>猪</w:t>
      </w:r>
      <w:r>
        <w:rPr>
          <w:rFonts w:hint="default" w:ascii="Times New Roman" w:hAnsi="Times New Roman" w:eastAsia="宋体" w:cs="Times New Roman"/>
          <w:color w:val="auto"/>
          <w:sz w:val="24"/>
          <w:highlight w:val="none"/>
        </w:rPr>
        <w:t>叫、固液分离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等，建筑上采取隔声、减振措施，设备安装消声器后，项目运行后满足《工业企业厂界环境噪声排放标准》（GB12348-2008）</w:t>
      </w:r>
      <w:r>
        <w:rPr>
          <w:rFonts w:hint="eastAsia" w:ascii="Times New Roman" w:hAnsi="Times New Roman" w:cs="Times New Roman"/>
          <w:color w:val="auto"/>
          <w:sz w:val="24"/>
          <w:highlight w:val="none"/>
          <w:lang w:val="en-US" w:eastAsia="zh-CN"/>
        </w:rPr>
        <w:t>1类</w:t>
      </w:r>
      <w:r>
        <w:rPr>
          <w:rFonts w:hint="default" w:ascii="Times New Roman" w:hAnsi="Times New Roman" w:eastAsia="宋体" w:cs="Times New Roman"/>
          <w:color w:val="auto"/>
          <w:sz w:val="24"/>
          <w:highlight w:val="none"/>
        </w:rPr>
        <w:t>功能区标准，区域声环境功能不下降。</w:t>
      </w:r>
    </w:p>
    <w:p w14:paraId="55FC8024">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项目产生的各项固体废物在采取有效措施后，对环境影响较小。</w:t>
      </w:r>
    </w:p>
    <w:p w14:paraId="3400930C">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在采取各项环保措施后，废气、废水、噪声及固废对周围环境影响较小。</w:t>
      </w:r>
    </w:p>
    <w:p w14:paraId="6CDA2BE5">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此可见，本项目的环境效益明显，满足达标排放和总量控制要求，并为现有环境所接受。并且，环保设施的经济效益不仅表现在其创造了多少产值，还表现在它的间接经济效益即环保设施的有效运行保证了人类良好的生活条件、生存环境和生产活动的可持续发展以及由此创造的可观经济效益。从该意义上讲，项目环保设施的间接经济效益是非常明显的。</w:t>
      </w:r>
    </w:p>
    <w:p w14:paraId="3F6EF2C1">
      <w:pPr>
        <w:pStyle w:val="7"/>
        <w:bidi w:val="0"/>
        <w:rPr>
          <w:rFonts w:hint="default"/>
          <w:highlight w:val="none"/>
        </w:rPr>
      </w:pPr>
      <w:bookmarkStart w:id="1115" w:name="_Toc7831"/>
      <w:bookmarkStart w:id="1116" w:name="_Toc10347"/>
      <w:bookmarkStart w:id="1117" w:name="_Toc19572"/>
      <w:bookmarkStart w:id="1118" w:name="_Toc21949"/>
      <w:bookmarkStart w:id="1119" w:name="_Toc29635"/>
      <w:bookmarkStart w:id="1120" w:name="_Toc22333"/>
      <w:r>
        <w:rPr>
          <w:rFonts w:hint="default"/>
          <w:highlight w:val="none"/>
        </w:rPr>
        <w:t>7.3.3环境损失分析</w:t>
      </w:r>
      <w:bookmarkEnd w:id="1115"/>
      <w:bookmarkEnd w:id="1116"/>
      <w:bookmarkEnd w:id="1117"/>
      <w:bookmarkEnd w:id="1118"/>
      <w:bookmarkEnd w:id="1119"/>
      <w:bookmarkEnd w:id="1120"/>
    </w:p>
    <w:p w14:paraId="785522D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本项目的建设会对生态、声环境、大气环境等产生不利影响，用防护费用法估算环境损失，各要素损失如下：</w:t>
      </w:r>
    </w:p>
    <w:p w14:paraId="6A57F814">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生态损失：本项目用于生态保护及恢复的投资费用为5万元；</w:t>
      </w:r>
    </w:p>
    <w:p w14:paraId="44DEA83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水环境保护：本项目施工期及运行期废水处理费用为</w:t>
      </w:r>
      <w:r>
        <w:rPr>
          <w:rFonts w:hint="eastAsia" w:ascii="Times New Roman" w:hAnsi="Times New Roman" w:cs="Times New Roman"/>
          <w:color w:val="auto"/>
          <w:highlight w:val="none"/>
          <w:lang w:val="en-US" w:eastAsia="zh-CN"/>
        </w:rPr>
        <w:t>25</w:t>
      </w:r>
      <w:r>
        <w:rPr>
          <w:rFonts w:hint="default" w:ascii="Times New Roman" w:hAnsi="Times New Roman" w:eastAsia="宋体" w:cs="Times New Roman"/>
          <w:color w:val="auto"/>
          <w:highlight w:val="none"/>
        </w:rPr>
        <w:t>万元；</w:t>
      </w:r>
    </w:p>
    <w:p w14:paraId="1ADF2EE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固废处理处置：本项目用于固废处理处置费用为</w:t>
      </w:r>
      <w:r>
        <w:rPr>
          <w:rFonts w:hint="eastAsia" w:ascii="Times New Roman" w:hAnsi="Times New Roman" w:cs="Times New Roman"/>
          <w:color w:val="auto"/>
          <w:highlight w:val="none"/>
          <w:lang w:val="en-US" w:eastAsia="zh-CN"/>
        </w:rPr>
        <w:t>10.5</w:t>
      </w:r>
      <w:r>
        <w:rPr>
          <w:rFonts w:hint="default" w:ascii="Times New Roman" w:hAnsi="Times New Roman" w:eastAsia="宋体" w:cs="Times New Roman"/>
          <w:color w:val="auto"/>
          <w:highlight w:val="none"/>
        </w:rPr>
        <w:t>万；</w:t>
      </w:r>
    </w:p>
    <w:p w14:paraId="75AA77E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废气处置：本项目用于废气治理费用为</w:t>
      </w:r>
      <w:r>
        <w:rPr>
          <w:rFonts w:hint="eastAsia" w:ascii="Times New Roman" w:hAnsi="Times New Roman" w:cs="Times New Roman"/>
          <w:color w:val="auto"/>
          <w:highlight w:val="none"/>
          <w:lang w:val="en-US" w:eastAsia="zh-CN"/>
        </w:rPr>
        <w:t>60</w:t>
      </w:r>
      <w:r>
        <w:rPr>
          <w:rFonts w:hint="default" w:ascii="Times New Roman" w:hAnsi="Times New Roman" w:eastAsia="宋体" w:cs="Times New Roman"/>
          <w:color w:val="auto"/>
          <w:highlight w:val="none"/>
        </w:rPr>
        <w:t>万元；</w:t>
      </w:r>
    </w:p>
    <w:p w14:paraId="3C4410C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噪声治理：噪声设备的消声、减振措施费用</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万。</w:t>
      </w:r>
    </w:p>
    <w:p w14:paraId="78045BC4">
      <w:pPr>
        <w:pStyle w:val="7"/>
        <w:bidi w:val="0"/>
        <w:rPr>
          <w:rFonts w:hint="default"/>
          <w:highlight w:val="none"/>
        </w:rPr>
      </w:pPr>
      <w:bookmarkStart w:id="1121" w:name="_Toc13747"/>
      <w:bookmarkStart w:id="1122" w:name="_Toc23593"/>
      <w:bookmarkStart w:id="1123" w:name="_Toc5031"/>
      <w:bookmarkStart w:id="1124" w:name="_Toc19104"/>
      <w:bookmarkStart w:id="1125" w:name="_Toc30193"/>
      <w:bookmarkStart w:id="1126" w:name="_Toc11974"/>
      <w:r>
        <w:rPr>
          <w:rFonts w:hint="default"/>
          <w:highlight w:val="none"/>
        </w:rPr>
        <w:t>7.3.4环境效益分析</w:t>
      </w:r>
      <w:bookmarkEnd w:id="1121"/>
      <w:bookmarkEnd w:id="1122"/>
      <w:bookmarkEnd w:id="1123"/>
      <w:bookmarkEnd w:id="1124"/>
      <w:bookmarkEnd w:id="1125"/>
      <w:bookmarkEnd w:id="1126"/>
    </w:p>
    <w:p w14:paraId="358EA57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本项目工程环境保护投资约为</w:t>
      </w:r>
      <w:r>
        <w:rPr>
          <w:rFonts w:hint="eastAsia" w:ascii="Times New Roman" w:hAnsi="Times New Roman" w:cs="Times New Roman"/>
          <w:color w:val="auto"/>
          <w:highlight w:val="none"/>
          <w:lang w:val="en-US" w:eastAsia="zh-CN"/>
        </w:rPr>
        <w:t>150.5</w:t>
      </w:r>
      <w:r>
        <w:rPr>
          <w:rFonts w:hint="default" w:ascii="Times New Roman" w:hAnsi="Times New Roman" w:eastAsia="宋体" w:cs="Times New Roman"/>
          <w:color w:val="auto"/>
          <w:highlight w:val="none"/>
        </w:rPr>
        <w:t>万元，通过采取可行的环境保护措施，项目建设的环境影响可以接受，环保投资比较明显。</w:t>
      </w:r>
    </w:p>
    <w:p w14:paraId="23E002C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（1）生态环境保护</w:t>
      </w:r>
    </w:p>
    <w:p w14:paraId="256FC3FB">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本项目施工期通过分层开挖、分层堆放、分层回填措施，减少水土流失，并通过后期植被恢复，可改善景观，也能隔声降噪和净化空气，减少对生态的影响。</w:t>
      </w:r>
    </w:p>
    <w:p w14:paraId="72773669">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（2）水环境保护</w:t>
      </w:r>
    </w:p>
    <w:p w14:paraId="666B632B">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本项目施工期废水采用沉淀池沉淀后用于厂区抑尘，</w:t>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eastAsia="宋体" w:cs="Times New Roman"/>
          <w:color w:val="auto"/>
          <w:kern w:val="0"/>
          <w:sz w:val="24"/>
          <w:szCs w:val="24"/>
          <w:highlight w:val="none"/>
          <w:lang w:val="en-US" w:eastAsia="zh-CN" w:bidi="ar-SA"/>
        </w:rPr>
        <w:t>沼液贮存池</w:t>
      </w:r>
      <w:r>
        <w:rPr>
          <w:rFonts w:hint="default" w:ascii="Times New Roman" w:hAnsi="Times New Roman" w:cs="Times New Roman"/>
          <w:snapToGrid w:val="0"/>
          <w:color w:val="auto"/>
          <w:highlight w:val="none"/>
          <w:lang w:val="zh-CN"/>
        </w:rPr>
        <w:t>。</w:t>
      </w:r>
      <w:r>
        <w:rPr>
          <w:rFonts w:hint="default" w:ascii="Times New Roman" w:hAnsi="Times New Roman" w:cs="Times New Roman"/>
          <w:snapToGrid w:val="0"/>
          <w:color w:val="auto"/>
          <w:highlight w:val="none"/>
        </w:rPr>
        <w:t>采取雨污分流方式，雨水采用明沟排放。</w:t>
      </w:r>
    </w:p>
    <w:p w14:paraId="162B6F90">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（3）地下水防渗</w:t>
      </w:r>
    </w:p>
    <w:p w14:paraId="66F1C973">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snapToGrid w:val="0"/>
          <w:color w:val="auto"/>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bidi="ar"/>
        </w:rPr>
        <w:t>①</w:t>
      </w:r>
      <w:r>
        <w:rPr>
          <w:rFonts w:hint="eastAsia" w:ascii="Times New Roman" w:hAnsi="Times New Roman" w:cs="Times New Roman"/>
          <w:snapToGrid w:val="0"/>
          <w:color w:val="auto"/>
          <w:sz w:val="24"/>
          <w:szCs w:val="24"/>
          <w:highlight w:val="none"/>
          <w:lang w:val="en-US" w:eastAsia="zh-CN" w:bidi="ar"/>
        </w:rPr>
        <w:t>黑膜厌氧池、沼液贮存池、医疗废物暂存间防渗措施为高密度聚乙烯（HDPE）防渗膜（渗透系数K≤10</w:t>
      </w:r>
      <w:r>
        <w:rPr>
          <w:rFonts w:hint="eastAsia" w:ascii="Times New Roman" w:hAnsi="Times New Roman" w:cs="Times New Roman"/>
          <w:snapToGrid w:val="0"/>
          <w:color w:val="auto"/>
          <w:sz w:val="24"/>
          <w:szCs w:val="24"/>
          <w:highlight w:val="none"/>
          <w:vertAlign w:val="superscript"/>
          <w:lang w:val="en-US" w:eastAsia="zh-CN" w:bidi="ar"/>
        </w:rPr>
        <w:t>-12</w:t>
      </w:r>
      <w:r>
        <w:rPr>
          <w:rFonts w:hint="eastAsia" w:ascii="Times New Roman" w:hAnsi="Times New Roman" w:cs="Times New Roman"/>
          <w:snapToGrid w:val="0"/>
          <w:color w:val="auto"/>
          <w:sz w:val="24"/>
          <w:szCs w:val="24"/>
          <w:highlight w:val="none"/>
          <w:lang w:val="en-US" w:eastAsia="zh-CN" w:bidi="ar"/>
        </w:rPr>
        <w:t>cm/s，等效黏土防渗层Mb≥6.0m），满足《环境影响评价技术导则 地下水环境》（HJ610-2016）的防渗要求。</w:t>
      </w:r>
    </w:p>
    <w:p w14:paraId="7C306327">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en-US" w:bidi="ar"/>
        </w:rPr>
      </w:pPr>
      <w:r>
        <w:rPr>
          <w:rFonts w:hint="eastAsia" w:ascii="Times New Roman" w:hAnsi="Times New Roman" w:cs="Times New Roman"/>
          <w:snapToGrid w:val="0"/>
          <w:color w:val="auto"/>
          <w:sz w:val="24"/>
          <w:szCs w:val="24"/>
          <w:highlight w:val="none"/>
          <w:lang w:val="en-US" w:eastAsia="zh-CN" w:bidi="ar"/>
        </w:rPr>
        <w:t>医疗废物暂存间应采取防风、防雨、防晒、防渗、防漏和防止危险废物流失、扬散等措施。</w:t>
      </w:r>
    </w:p>
    <w:p w14:paraId="7969BA47">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bidi="ar"/>
        </w:rPr>
        <w:fldChar w:fldCharType="begin"/>
      </w:r>
      <w:r>
        <w:rPr>
          <w:rFonts w:hint="default" w:ascii="Times New Roman" w:hAnsi="Times New Roman" w:eastAsia="宋体" w:cs="Times New Roman"/>
          <w:snapToGrid w:val="0"/>
          <w:color w:val="auto"/>
          <w:sz w:val="24"/>
          <w:szCs w:val="24"/>
          <w:highlight w:val="none"/>
          <w:lang w:val="en-US" w:bidi="ar"/>
        </w:rPr>
        <w:instrText xml:space="preserve"> = 2 \* GB3 </w:instrText>
      </w:r>
      <w:r>
        <w:rPr>
          <w:rFonts w:hint="default" w:ascii="Times New Roman" w:hAnsi="Times New Roman" w:eastAsia="宋体" w:cs="Times New Roman"/>
          <w:snapToGrid w:val="0"/>
          <w:color w:val="auto"/>
          <w:sz w:val="24"/>
          <w:szCs w:val="24"/>
          <w:highlight w:val="none"/>
          <w:lang w:val="en-US" w:bidi="ar"/>
        </w:rPr>
        <w:fldChar w:fldCharType="separate"/>
      </w:r>
      <w:r>
        <w:rPr>
          <w:rFonts w:hint="default" w:ascii="Times New Roman" w:hAnsi="Times New Roman" w:eastAsia="宋体" w:cs="Times New Roman"/>
          <w:snapToGrid w:val="0"/>
          <w:color w:val="auto"/>
          <w:sz w:val="24"/>
          <w:szCs w:val="24"/>
          <w:highlight w:val="none"/>
          <w:lang w:val="en-US" w:bidi="ar"/>
        </w:rPr>
        <w:t>②</w:t>
      </w:r>
      <w:r>
        <w:rPr>
          <w:rFonts w:hint="default" w:ascii="Times New Roman" w:hAnsi="Times New Roman" w:eastAsia="宋体" w:cs="Times New Roman"/>
          <w:snapToGrid w:val="0"/>
          <w:color w:val="auto"/>
          <w:sz w:val="24"/>
          <w:szCs w:val="24"/>
          <w:highlight w:val="none"/>
          <w:lang w:val="en-US" w:bidi="ar"/>
        </w:rPr>
        <w:fldChar w:fldCharType="end"/>
      </w:r>
      <w:r>
        <w:rPr>
          <w:rFonts w:hint="default" w:ascii="Times New Roman" w:hAnsi="Times New Roman" w:eastAsia="宋体" w:cs="Times New Roman"/>
          <w:snapToGrid w:val="0"/>
          <w:color w:val="auto"/>
          <w:sz w:val="24"/>
          <w:szCs w:val="24"/>
          <w:highlight w:val="none"/>
          <w:lang w:val="en-US" w:bidi="ar"/>
        </w:rPr>
        <w:t>猪舍、</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、固液分离间为</w:t>
      </w:r>
      <w:r>
        <w:rPr>
          <w:rFonts w:hint="default" w:ascii="Times New Roman" w:hAnsi="Times New Roman" w:eastAsia="宋体" w:cs="Times New Roman"/>
          <w:snapToGrid w:val="0"/>
          <w:color w:val="auto"/>
          <w:sz w:val="24"/>
          <w:szCs w:val="24"/>
          <w:highlight w:val="none"/>
          <w:lang w:val="en-US" w:bidi="ar"/>
        </w:rPr>
        <w:t>一般防渗区</w:t>
      </w:r>
      <w:r>
        <w:rPr>
          <w:rFonts w:hint="default" w:ascii="Times New Roman" w:hAnsi="Times New Roman" w:eastAsia="宋体" w:cs="Times New Roman"/>
          <w:snapToGrid w:val="0"/>
          <w:color w:val="auto"/>
          <w:sz w:val="24"/>
          <w:szCs w:val="24"/>
          <w:highlight w:val="none"/>
          <w:lang w:val="en-US" w:eastAsia="zh-CN" w:bidi="ar"/>
        </w:rPr>
        <w:t>，</w:t>
      </w:r>
      <w:r>
        <w:rPr>
          <w:rFonts w:hint="eastAsia" w:ascii="Times New Roman" w:hAnsi="Times New Roman" w:cs="Times New Roman"/>
          <w:snapToGrid w:val="0"/>
          <w:color w:val="auto"/>
          <w:sz w:val="24"/>
          <w:szCs w:val="24"/>
          <w:highlight w:val="none"/>
          <w:lang w:val="en-US" w:eastAsia="zh-CN" w:bidi="ar"/>
        </w:rPr>
        <w:t>地面及墙面采用水泥混凝土防渗，等效黏土防渗层Mb≥1.5m，K≤1.0×10</w:t>
      </w:r>
      <w:r>
        <w:rPr>
          <w:rFonts w:hint="eastAsia" w:ascii="Times New Roman" w:hAnsi="Times New Roman" w:cs="Times New Roman"/>
          <w:snapToGrid w:val="0"/>
          <w:color w:val="auto"/>
          <w:sz w:val="24"/>
          <w:szCs w:val="24"/>
          <w:highlight w:val="none"/>
          <w:vertAlign w:val="superscript"/>
          <w:lang w:val="en-US" w:eastAsia="zh-CN" w:bidi="ar"/>
        </w:rPr>
        <w:t>-7</w:t>
      </w:r>
      <w:r>
        <w:rPr>
          <w:rFonts w:hint="eastAsia" w:ascii="Times New Roman" w:hAnsi="Times New Roman" w:cs="Times New Roman"/>
          <w:snapToGrid w:val="0"/>
          <w:color w:val="auto"/>
          <w:sz w:val="24"/>
          <w:szCs w:val="24"/>
          <w:highlight w:val="none"/>
          <w:lang w:val="en-US" w:eastAsia="zh-CN" w:bidi="ar"/>
        </w:rPr>
        <w:t>cm/s满足《环境影响评价技术导则 地下水环境》（HJ610-2016）的防渗要求。</w:t>
      </w:r>
    </w:p>
    <w:p w14:paraId="6357C599">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bidi="ar"/>
        </w:rPr>
        <w:fldChar w:fldCharType="begin"/>
      </w:r>
      <w:r>
        <w:rPr>
          <w:rFonts w:hint="default" w:ascii="Times New Roman" w:hAnsi="Times New Roman" w:eastAsia="宋体" w:cs="Times New Roman"/>
          <w:snapToGrid w:val="0"/>
          <w:color w:val="auto"/>
          <w:sz w:val="24"/>
          <w:szCs w:val="24"/>
          <w:highlight w:val="none"/>
          <w:lang w:val="en-US" w:bidi="ar"/>
        </w:rPr>
        <w:instrText xml:space="preserve"> = 3 \* GB3 </w:instrText>
      </w:r>
      <w:r>
        <w:rPr>
          <w:rFonts w:hint="default" w:ascii="Times New Roman" w:hAnsi="Times New Roman" w:eastAsia="宋体" w:cs="Times New Roman"/>
          <w:snapToGrid w:val="0"/>
          <w:color w:val="auto"/>
          <w:sz w:val="24"/>
          <w:szCs w:val="24"/>
          <w:highlight w:val="none"/>
          <w:lang w:val="en-US" w:bidi="ar"/>
        </w:rPr>
        <w:fldChar w:fldCharType="separate"/>
      </w:r>
      <w:r>
        <w:rPr>
          <w:rFonts w:hint="default" w:ascii="Times New Roman" w:hAnsi="Times New Roman" w:eastAsia="宋体" w:cs="Times New Roman"/>
          <w:snapToGrid w:val="0"/>
          <w:color w:val="auto"/>
          <w:sz w:val="24"/>
          <w:szCs w:val="24"/>
          <w:highlight w:val="none"/>
          <w:lang w:val="en-US" w:bidi="ar"/>
        </w:rPr>
        <w:t>③</w:t>
      </w:r>
      <w:r>
        <w:rPr>
          <w:rFonts w:hint="default" w:ascii="Times New Roman" w:hAnsi="Times New Roman" w:eastAsia="宋体" w:cs="Times New Roman"/>
          <w:snapToGrid w:val="0"/>
          <w:color w:val="auto"/>
          <w:sz w:val="24"/>
          <w:szCs w:val="24"/>
          <w:highlight w:val="none"/>
          <w:lang w:val="en-US" w:bidi="ar"/>
        </w:rPr>
        <w:fldChar w:fldCharType="end"/>
      </w:r>
      <w:r>
        <w:rPr>
          <w:rFonts w:hint="default" w:ascii="Times New Roman" w:hAnsi="Times New Roman" w:eastAsia="宋体" w:cs="Times New Roman"/>
          <w:snapToGrid w:val="0"/>
          <w:color w:val="auto"/>
          <w:sz w:val="24"/>
          <w:szCs w:val="24"/>
          <w:highlight w:val="none"/>
          <w:lang w:val="en-US" w:bidi="ar"/>
        </w:rPr>
        <w:t>其他建筑物及道路采取简单防渗，地面</w:t>
      </w:r>
      <w:r>
        <w:rPr>
          <w:rFonts w:hint="default" w:ascii="Times New Roman" w:hAnsi="Times New Roman" w:eastAsia="宋体" w:cs="Times New Roman"/>
          <w:snapToGrid w:val="0"/>
          <w:color w:val="auto"/>
          <w:sz w:val="24"/>
          <w:szCs w:val="24"/>
          <w:highlight w:val="none"/>
          <w:lang w:val="en-US" w:eastAsia="zh-CN" w:bidi="ar"/>
        </w:rPr>
        <w:t>均用水泥进行一般地面硬化。</w:t>
      </w:r>
    </w:p>
    <w:p w14:paraId="383A1BBC">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kern w:val="0"/>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eastAsia="zh-CN"/>
        </w:rPr>
        <w:t>④</w:t>
      </w:r>
      <w:r>
        <w:rPr>
          <w:rFonts w:hint="default" w:ascii="Times New Roman" w:hAnsi="Times New Roman" w:eastAsia="宋体" w:cs="Times New Roman"/>
          <w:snapToGrid w:val="0"/>
          <w:color w:val="auto"/>
          <w:kern w:val="0"/>
          <w:sz w:val="24"/>
          <w:szCs w:val="24"/>
          <w:highlight w:val="none"/>
          <w:lang w:val="en-US" w:eastAsia="zh-CN" w:bidi="ar"/>
        </w:rPr>
        <w:t>医疗废物暂存间应采取防风、防雨、防晒、防渗、防漏和防止危险废物流失、扬散等措施。</w:t>
      </w:r>
    </w:p>
    <w:p w14:paraId="532B17F3">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snapToGrid w:val="0"/>
          <w:color w:val="auto"/>
          <w:sz w:val="24"/>
          <w:szCs w:val="24"/>
          <w:highlight w:val="none"/>
          <w:lang w:val="en-US" w:eastAsia="zh-CN"/>
        </w:rPr>
        <w:t>⑤</w:t>
      </w:r>
      <w:r>
        <w:rPr>
          <w:rFonts w:hint="default" w:ascii="Times New Roman" w:hAnsi="Times New Roman" w:eastAsia="宋体" w:cs="Times New Roman"/>
          <w:color w:val="auto"/>
          <w:sz w:val="24"/>
          <w:szCs w:val="24"/>
          <w:highlight w:val="none"/>
        </w:rPr>
        <w:t>黑膜厌氧池等各池体安装泄漏监测装置</w:t>
      </w:r>
      <w:r>
        <w:rPr>
          <w:rFonts w:hint="default" w:ascii="Times New Roman" w:hAnsi="Times New Roman" w:eastAsia="宋体" w:cs="Times New Roman"/>
          <w:color w:val="auto"/>
          <w:sz w:val="24"/>
          <w:szCs w:val="24"/>
          <w:highlight w:val="none"/>
          <w:lang w:eastAsia="zh-CN"/>
        </w:rPr>
        <w:t>。</w:t>
      </w:r>
    </w:p>
    <w:p w14:paraId="41062ABB">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（4）固废处理措施</w:t>
      </w:r>
    </w:p>
    <w:p w14:paraId="50D72A8D">
      <w:pPr>
        <w:spacing w:line="360" w:lineRule="auto"/>
        <w:ind w:firstLine="420"/>
        <w:jc w:val="both"/>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猪粪、沼渣</w:t>
      </w:r>
      <w:r>
        <w:rPr>
          <w:rFonts w:hint="default" w:ascii="Times New Roman" w:hAnsi="Times New Roman" w:cs="Times New Roman"/>
          <w:color w:val="auto"/>
          <w:highlight w:val="none"/>
        </w:rPr>
        <w:t>送至</w:t>
      </w:r>
      <w:r>
        <w:rPr>
          <w:rFonts w:hint="eastAsia" w:ascii="Times New Roman" w:hAnsi="Times New Roman" w:cs="Times New Roman"/>
          <w:color w:val="auto"/>
          <w:highlight w:val="none"/>
          <w:lang w:val="en-US" w:eastAsia="zh-CN"/>
        </w:rPr>
        <w:t>干粪堆积场</w:t>
      </w:r>
      <w:r>
        <w:rPr>
          <w:rFonts w:hint="default" w:ascii="Times New Roman" w:hAnsi="Times New Roman" w:cs="Times New Roman"/>
          <w:color w:val="auto"/>
          <w:highlight w:val="none"/>
        </w:rPr>
        <w:t>堆肥发酵后还田，粪污</w:t>
      </w:r>
      <w:r>
        <w:rPr>
          <w:rFonts w:hint="eastAsia" w:ascii="Times New Roman" w:hAnsi="Times New Roman" w:cs="Times New Roman"/>
          <w:color w:val="auto"/>
          <w:highlight w:val="none"/>
          <w:lang w:eastAsia="zh-CN"/>
        </w:rPr>
        <w:t>不外排</w:t>
      </w:r>
      <w:r>
        <w:rPr>
          <w:rFonts w:hint="default" w:ascii="Times New Roman" w:hAnsi="Times New Roman" w:cs="Times New Roman"/>
          <w:color w:val="auto"/>
          <w:highlight w:val="none"/>
        </w:rPr>
        <w:t>；</w:t>
      </w:r>
      <w:r>
        <w:rPr>
          <w:rFonts w:hint="default" w:ascii="Times New Roman" w:hAnsi="Times New Roman" w:cs="Times New Roman"/>
          <w:color w:val="auto"/>
          <w:sz w:val="24"/>
          <w:highlight w:val="none"/>
          <w:lang w:val="en-US" w:eastAsia="zh-CN" w:bidi="ar"/>
        </w:rPr>
        <w:t>病死猪及胎盘</w:t>
      </w:r>
      <w:r>
        <w:rPr>
          <w:rFonts w:hint="eastAsia" w:ascii="Times New Roman" w:hAnsi="Times New Roman" w:cs="Times New Roman"/>
          <w:color w:val="auto"/>
          <w:sz w:val="24"/>
          <w:highlight w:val="none"/>
          <w:lang w:val="en-US" w:eastAsia="zh-CN" w:bidi="ar"/>
        </w:rPr>
        <w:t>冷冻（冰箱）保存后交由鸡西市鑫农源固废处理有限公司处置</w:t>
      </w:r>
      <w:r>
        <w:rPr>
          <w:rFonts w:hint="default" w:ascii="Times New Roman" w:hAnsi="Times New Roman" w:eastAsia="宋体" w:cs="Times New Roman"/>
          <w:color w:val="auto"/>
          <w:highlight w:val="none"/>
          <w:lang w:val="en-US" w:eastAsia="zh-CN"/>
        </w:rPr>
        <w:t>；生</w:t>
      </w:r>
      <w:r>
        <w:rPr>
          <w:rFonts w:hint="default" w:ascii="Times New Roman" w:hAnsi="Times New Roman" w:cs="Times New Roman"/>
          <w:color w:val="auto"/>
          <w:highlight w:val="none"/>
          <w:lang w:val="en-US" w:eastAsia="zh-CN"/>
        </w:rPr>
        <w:t>活垃圾单独收集，由环卫部门定期清运；废脱硫剂、</w:t>
      </w:r>
      <w:r>
        <w:rPr>
          <w:rFonts w:hint="eastAsia" w:ascii="Times New Roman" w:hAnsi="Times New Roman" w:cs="Times New Roman"/>
          <w:color w:val="auto"/>
          <w:highlight w:val="none"/>
          <w:lang w:val="en-US" w:eastAsia="zh-CN"/>
        </w:rPr>
        <w:t>废活性炭、</w:t>
      </w:r>
      <w:r>
        <w:rPr>
          <w:rFonts w:hint="default" w:ascii="Times New Roman" w:hAnsi="Times New Roman" w:cs="Times New Roman"/>
          <w:color w:val="auto"/>
          <w:highlight w:val="none"/>
          <w:lang w:val="en-US" w:eastAsia="zh-CN"/>
        </w:rPr>
        <w:t>废除臭剂桶由厂家回收；</w:t>
      </w:r>
      <w:r>
        <w:rPr>
          <w:rFonts w:hint="eastAsia" w:ascii="Times New Roman" w:hAnsi="Times New Roman" w:cs="Times New Roman"/>
          <w:color w:val="auto"/>
          <w:highlight w:val="none"/>
          <w:lang w:val="en-US" w:eastAsia="zh-CN"/>
        </w:rPr>
        <w:t>动物医疗废物</w:t>
      </w:r>
      <w:r>
        <w:rPr>
          <w:rFonts w:hint="default" w:ascii="Times New Roman" w:hAnsi="Times New Roman" w:cs="Times New Roman"/>
          <w:color w:val="auto"/>
          <w:highlight w:val="none"/>
          <w:lang w:val="en-US" w:eastAsia="zh-CN"/>
        </w:rPr>
        <w:t>暂存于医疗废物暂存间，交由有资质单位处置；</w:t>
      </w:r>
      <w:r>
        <w:rPr>
          <w:rFonts w:hint="default" w:ascii="Times New Roman" w:hAnsi="Times New Roman" w:cs="Times New Roman"/>
          <w:color w:val="auto"/>
          <w:highlight w:val="none"/>
        </w:rPr>
        <w:t>固体废弃物处置率可达到100%。经采取相应的处理措施后，项目运营期污染物均能实现达标排放，对周围环境及周边敏感点影响较小</w:t>
      </w:r>
      <w:r>
        <w:rPr>
          <w:rFonts w:hint="eastAsia" w:ascii="Times New Roman" w:hAnsi="Times New Roman" w:cs="Times New Roman"/>
          <w:color w:val="auto"/>
          <w:highlight w:val="none"/>
          <w:lang w:val="en-US" w:eastAsia="zh-CN"/>
        </w:rPr>
        <w:t>。</w:t>
      </w:r>
    </w:p>
    <w:p w14:paraId="51D1C890">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固体废物分类收集、分类妥善处理，避免了对养殖场周边水环境、大气环境和环境卫生的影响，有利于人群健康和景观的改善。</w:t>
      </w:r>
    </w:p>
    <w:p w14:paraId="22EC8D68">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（5）废气处置</w:t>
      </w:r>
    </w:p>
    <w:p w14:paraId="02627318">
      <w:pPr>
        <w:pStyle w:val="94"/>
        <w:ind w:firstLine="48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highlight w:val="none"/>
        </w:rPr>
        <w:t>猪舍采用</w:t>
      </w:r>
      <w:r>
        <w:rPr>
          <w:rFonts w:hint="eastAsia" w:ascii="Times New Roman" w:hAnsi="Times New Roman" w:cs="Times New Roman"/>
          <w:color w:val="auto"/>
          <w:highlight w:val="none"/>
          <w:lang w:eastAsia="zh-CN"/>
        </w:rPr>
        <w:t>尿泡粪—干清粪</w:t>
      </w:r>
      <w:r>
        <w:rPr>
          <w:rFonts w:hint="default" w:ascii="Times New Roman" w:hAnsi="Times New Roman" w:cs="Times New Roman"/>
          <w:color w:val="auto"/>
          <w:highlight w:val="none"/>
        </w:rPr>
        <w:t>的清粪方式，及时清运粪污；在日粮中添加EM菌；定期喷洒生物除臭剂；</w:t>
      </w:r>
      <w:r>
        <w:rPr>
          <w:rFonts w:hint="eastAsia" w:ascii="Times New Roman" w:hAnsi="Times New Roman" w:cs="Times New Roman"/>
          <w:color w:val="auto"/>
          <w:highlight w:val="none"/>
          <w:lang w:eastAsia="zh-CN"/>
        </w:rPr>
        <w:t>干粪堆积场</w:t>
      </w:r>
      <w:r>
        <w:rPr>
          <w:rFonts w:hint="eastAsia" w:ascii="Times New Roman"/>
          <w:color w:val="auto"/>
          <w:highlight w:val="none"/>
          <w:lang w:val="en-US" w:eastAsia="zh-CN"/>
        </w:rPr>
        <w:t>臭气</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bCs/>
          <w:snapToGrid w:val="0"/>
          <w:color w:val="auto"/>
          <w:sz w:val="24"/>
          <w:szCs w:val="24"/>
          <w:highlight w:val="none"/>
          <w:lang w:eastAsia="zh-CN"/>
        </w:rPr>
        <w:t>；</w:t>
      </w:r>
      <w:r>
        <w:rPr>
          <w:rFonts w:hint="default" w:ascii="Times New Roman" w:hAnsi="Times New Roman" w:cs="Times New Roman"/>
          <w:snapToGrid w:val="0"/>
          <w:color w:val="auto"/>
          <w:sz w:val="24"/>
          <w:szCs w:val="24"/>
          <w:highlight w:val="none"/>
          <w:lang w:val="en-US" w:eastAsia="zh-CN"/>
        </w:rPr>
        <w:t>及时清运固体粪污</w:t>
      </w:r>
      <w:r>
        <w:rPr>
          <w:rFonts w:hint="eastAsia" w:ascii="Times New Roman" w:hAnsi="Times New Roman" w:cs="Times New Roman"/>
          <w:snapToGrid w:val="0"/>
          <w:color w:val="auto"/>
          <w:sz w:val="24"/>
          <w:szCs w:val="24"/>
          <w:highlight w:val="none"/>
          <w:lang w:val="en-US" w:eastAsia="zh-CN"/>
        </w:rPr>
        <w:t>，</w:t>
      </w:r>
      <w:r>
        <w:rPr>
          <w:rFonts w:hint="default" w:ascii="Times New Roman" w:hAnsi="Times New Roman" w:cs="Times New Roman"/>
          <w:snapToGrid w:val="0"/>
          <w:color w:val="auto"/>
          <w:sz w:val="24"/>
          <w:szCs w:val="24"/>
          <w:highlight w:val="none"/>
          <w:lang w:val="en-US" w:eastAsia="zh-CN"/>
        </w:rPr>
        <w:t>采用好氧堆肥方式；</w:t>
      </w:r>
      <w:r>
        <w:rPr>
          <w:rFonts w:hint="default" w:ascii="Times New Roman" w:hAnsi="Times New Roman" w:eastAsia="宋体" w:cs="Times New Roman"/>
          <w:color w:val="auto"/>
          <w:kern w:val="2"/>
          <w:sz w:val="24"/>
          <w:highlight w:val="none"/>
        </w:rPr>
        <w:t>恶臭</w:t>
      </w:r>
      <w:r>
        <w:rPr>
          <w:rFonts w:hint="eastAsia" w:ascii="Times New Roman" w:hAnsi="Times New Roman" w:eastAsia="宋体" w:cs="Times New Roman"/>
          <w:color w:val="auto"/>
          <w:kern w:val="2"/>
          <w:sz w:val="24"/>
          <w:highlight w:val="none"/>
          <w:lang w:val="en-US" w:eastAsia="zh-CN"/>
        </w:rPr>
        <w:t>气体</w:t>
      </w:r>
      <w:r>
        <w:rPr>
          <w:rFonts w:hint="default" w:ascii="Times New Roman" w:hAnsi="Times New Roman" w:eastAsia="宋体" w:cs="Times New Roman"/>
          <w:color w:val="auto"/>
          <w:kern w:val="2"/>
          <w:sz w:val="24"/>
          <w:highlight w:val="none"/>
        </w:rPr>
        <w:t>采用负压收集后（收集效率90%）进入活性炭吸附装置净化处理后（处理效率90%）经15米高排气筒排放，废气量为</w:t>
      </w:r>
      <w:r>
        <w:rPr>
          <w:rFonts w:hint="eastAsia" w:ascii="Times New Roman" w:hAnsi="Times New Roman" w:cs="Times New Roman"/>
          <w:color w:val="auto"/>
          <w:kern w:val="2"/>
          <w:sz w:val="24"/>
          <w:highlight w:val="none"/>
          <w:lang w:eastAsia="zh-CN"/>
        </w:rPr>
        <w:t>5000</w:t>
      </w:r>
      <w:r>
        <w:rPr>
          <w:rFonts w:hint="default" w:ascii="Times New Roman" w:hAnsi="Times New Roman" w:eastAsia="宋体" w:cs="Times New Roman"/>
          <w:color w:val="auto"/>
          <w:kern w:val="2"/>
          <w:sz w:val="24"/>
          <w:highlight w:val="none"/>
        </w:rPr>
        <w:t>m</w:t>
      </w:r>
      <w:r>
        <w:rPr>
          <w:rFonts w:hint="default" w:ascii="Times New Roman" w:hAnsi="Times New Roman" w:eastAsia="宋体" w:cs="Times New Roman"/>
          <w:color w:val="auto"/>
          <w:kern w:val="2"/>
          <w:sz w:val="24"/>
          <w:highlight w:val="none"/>
          <w:vertAlign w:val="superscript"/>
        </w:rPr>
        <w:t>3</w:t>
      </w:r>
      <w:r>
        <w:rPr>
          <w:rFonts w:hint="default" w:ascii="Times New Roman" w:hAnsi="Times New Roman" w:eastAsia="宋体" w:cs="Times New Roman"/>
          <w:color w:val="auto"/>
          <w:kern w:val="2"/>
          <w:sz w:val="24"/>
          <w:highlight w:val="none"/>
        </w:rPr>
        <w:t>/h</w:t>
      </w:r>
      <w:r>
        <w:rPr>
          <w:rFonts w:hint="default" w:ascii="Times New Roman" w:hAnsi="Times New Roman" w:eastAsia="宋体" w:cs="Times New Roman"/>
          <w:snapToGrid w:val="0"/>
          <w:color w:val="auto"/>
          <w:sz w:val="24"/>
          <w:szCs w:val="24"/>
          <w:highlight w:val="none"/>
          <w:lang w:val="en-US" w:eastAsia="zh-CN" w:bidi="ar"/>
        </w:rPr>
        <w:t>。对固液分离间处理设施进行封闭</w:t>
      </w:r>
      <w:r>
        <w:rPr>
          <w:rFonts w:hint="eastAsia" w:ascii="Times New Roman" w:hAnsi="Times New Roman" w:cs="Times New Roman"/>
          <w:snapToGrid w:val="0"/>
          <w:color w:val="auto"/>
          <w:sz w:val="24"/>
          <w:szCs w:val="24"/>
          <w:highlight w:val="none"/>
          <w:lang w:val="en-US" w:eastAsia="zh-CN" w:bidi="ar"/>
        </w:rPr>
        <w:t>，</w:t>
      </w:r>
      <w:r>
        <w:rPr>
          <w:rFonts w:hint="eastAsia" w:ascii="Times New Roman"/>
          <w:color w:val="auto"/>
          <w:highlight w:val="none"/>
          <w:lang w:val="en-US" w:eastAsia="zh-CN"/>
        </w:rPr>
        <w:t>臭气定期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eastAsia="宋体" w:cs="Times New Roman"/>
          <w:snapToGrid w:val="0"/>
          <w:color w:val="auto"/>
          <w:sz w:val="24"/>
          <w:szCs w:val="24"/>
          <w:highlight w:val="none"/>
          <w:lang w:val="en-US" w:eastAsia="zh-CN" w:bidi="ar"/>
        </w:rPr>
        <w:t>。</w:t>
      </w:r>
      <w:r>
        <w:rPr>
          <w:rFonts w:hint="default" w:ascii="Times New Roman" w:hAnsi="Times New Roman" w:cs="Times New Roman"/>
          <w:snapToGrid w:val="0"/>
          <w:color w:val="auto"/>
          <w:sz w:val="24"/>
          <w:szCs w:val="24"/>
          <w:highlight w:val="none"/>
          <w:lang w:val="en-US" w:eastAsia="zh-CN" w:bidi="ar"/>
        </w:rPr>
        <w:t>全场</w:t>
      </w:r>
      <w:r>
        <w:rPr>
          <w:rFonts w:hint="default" w:ascii="Times New Roman" w:hAnsi="Times New Roman" w:eastAsia="宋体" w:cs="Times New Roman"/>
          <w:snapToGrid w:val="0"/>
          <w:color w:val="auto"/>
          <w:kern w:val="0"/>
          <w:sz w:val="24"/>
          <w:szCs w:val="24"/>
          <w:highlight w:val="none"/>
          <w:lang w:val="en-US" w:eastAsia="zh-CN" w:bidi="ar"/>
        </w:rPr>
        <w:t>固体粪污规范还田利用；场区运输道路全硬化、及时清扫、无积灰扬尘、定期洒水抑尘。</w:t>
      </w:r>
      <w:r>
        <w:rPr>
          <w:rFonts w:hint="default" w:ascii="Times New Roman" w:hAnsi="Times New Roman" w:eastAsia="宋体" w:cs="Times New Roman"/>
          <w:snapToGrid w:val="0"/>
          <w:color w:val="auto"/>
          <w:sz w:val="24"/>
          <w:szCs w:val="24"/>
          <w:highlight w:val="none"/>
          <w:lang w:val="en-US" w:eastAsia="zh-CN" w:bidi="ar"/>
        </w:rPr>
        <w:t>黑膜厌氧池</w:t>
      </w:r>
      <w:r>
        <w:rPr>
          <w:rFonts w:hint="default" w:ascii="Times New Roman" w:hAnsi="Times New Roman" w:eastAsia="宋体" w:cs="Times New Roman"/>
          <w:snapToGrid w:val="0"/>
          <w:color w:val="auto"/>
          <w:kern w:val="0"/>
          <w:sz w:val="24"/>
          <w:szCs w:val="24"/>
          <w:highlight w:val="none"/>
          <w:lang w:val="en-US" w:eastAsia="zh-CN" w:bidi="ar"/>
        </w:rPr>
        <w:t>定期喷洒除臭剂</w:t>
      </w:r>
      <w:r>
        <w:rPr>
          <w:rFonts w:hint="default" w:ascii="Times New Roman" w:hAnsi="Times New Roman"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kern w:val="0"/>
          <w:sz w:val="24"/>
          <w:szCs w:val="24"/>
          <w:highlight w:val="none"/>
          <w:lang w:val="en-US" w:eastAsia="zh-CN" w:bidi="ar"/>
        </w:rPr>
        <w:t>黑膜厌氧池</w:t>
      </w:r>
      <w:r>
        <w:rPr>
          <w:rFonts w:hint="default" w:ascii="Times New Roman" w:hAnsi="Times New Roman" w:cs="Times New Roman"/>
          <w:snapToGrid w:val="0"/>
          <w:color w:val="auto"/>
          <w:kern w:val="0"/>
          <w:sz w:val="24"/>
          <w:szCs w:val="24"/>
          <w:highlight w:val="none"/>
          <w:lang w:val="en-US" w:eastAsia="zh-CN" w:bidi="ar"/>
        </w:rPr>
        <w:t>全封闭</w:t>
      </w:r>
      <w:r>
        <w:rPr>
          <w:rFonts w:hint="eastAsia" w:ascii="Times New Roman" w:hAnsi="Times New Roman" w:cs="Times New Roman"/>
          <w:snapToGrid w:val="0"/>
          <w:color w:val="auto"/>
          <w:kern w:val="0"/>
          <w:sz w:val="24"/>
          <w:szCs w:val="24"/>
          <w:highlight w:val="none"/>
          <w:lang w:val="en-US" w:eastAsia="zh-CN" w:bidi="ar"/>
        </w:rPr>
        <w:t>；</w:t>
      </w:r>
      <w:r>
        <w:rPr>
          <w:rFonts w:hint="default" w:ascii="Times New Roman" w:hAnsi="Times New Roman" w:cs="Times New Roman"/>
          <w:snapToGrid w:val="0"/>
          <w:color w:val="auto"/>
          <w:sz w:val="24"/>
          <w:szCs w:val="24"/>
          <w:highlight w:val="none"/>
          <w:lang w:val="en-US" w:eastAsia="zh-CN" w:bidi="ar"/>
        </w:rPr>
        <w:t>全场</w:t>
      </w:r>
      <w:r>
        <w:rPr>
          <w:rFonts w:hint="default" w:ascii="Times New Roman" w:hAnsi="Times New Roman" w:eastAsia="宋体" w:cs="Times New Roman"/>
          <w:snapToGrid w:val="0"/>
          <w:color w:val="auto"/>
          <w:kern w:val="0"/>
          <w:sz w:val="24"/>
          <w:szCs w:val="24"/>
          <w:highlight w:val="none"/>
          <w:lang w:val="en-US" w:eastAsia="zh-CN" w:bidi="ar"/>
        </w:rPr>
        <w:t>固体粪污规范还田利用；场区运输道路全硬化、及时清扫、无积灰扬尘、定期洒水抑尘。</w:t>
      </w:r>
      <w:r>
        <w:rPr>
          <w:rFonts w:hint="default" w:ascii="Times New Roman" w:hAnsi="Times New Roman" w:cs="Times New Roman"/>
          <w:snapToGrid w:val="0"/>
          <w:color w:val="auto"/>
          <w:kern w:val="0"/>
          <w:sz w:val="24"/>
          <w:szCs w:val="24"/>
          <w:highlight w:val="none"/>
          <w:lang w:val="en-US" w:eastAsia="zh-CN" w:bidi="ar"/>
        </w:rPr>
        <w:t>采取以上</w:t>
      </w:r>
      <w:r>
        <w:rPr>
          <w:rFonts w:hint="default" w:ascii="Times New Roman" w:hAnsi="Times New Roman" w:eastAsia="宋体" w:cs="Times New Roman"/>
          <w:color w:val="auto"/>
          <w:sz w:val="24"/>
          <w:szCs w:val="24"/>
          <w:highlight w:val="none"/>
          <w:lang w:val="en-US" w:eastAsia="zh-CN"/>
        </w:rPr>
        <w:t>措施</w:t>
      </w:r>
      <w:r>
        <w:rPr>
          <w:rFonts w:hint="default" w:ascii="Times New Roman" w:hAnsi="Times New Roman" w:eastAsia="宋体" w:cs="Times New Roman"/>
          <w:color w:val="auto"/>
          <w:sz w:val="24"/>
          <w:szCs w:val="24"/>
          <w:highlight w:val="none"/>
        </w:rPr>
        <w:t>，可有效减少恶臭对周边环境的影响。</w:t>
      </w:r>
    </w:p>
    <w:p w14:paraId="1CF47CF7">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（6）噪声治理</w:t>
      </w:r>
    </w:p>
    <w:p w14:paraId="714CE963">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本项目通过建筑隔声和设备消声、减振措施，可使场界外1m达到《工业企业厂界环境噪声排放标准》（GB12348-2008）表1中的</w:t>
      </w:r>
      <w:r>
        <w:rPr>
          <w:rFonts w:hint="eastAsia" w:ascii="Times New Roman" w:hAnsi="Times New Roman" w:cs="Times New Roman"/>
          <w:color w:val="auto"/>
          <w:highlight w:val="none"/>
          <w:lang w:val="en-US" w:eastAsia="zh-CN"/>
        </w:rPr>
        <w:t>1类</w:t>
      </w:r>
      <w:r>
        <w:rPr>
          <w:rFonts w:hint="default" w:ascii="Times New Roman" w:hAnsi="Times New Roman" w:eastAsia="宋体" w:cs="Times New Roman"/>
          <w:color w:val="auto"/>
          <w:highlight w:val="none"/>
        </w:rPr>
        <w:t>标准要求。</w:t>
      </w:r>
    </w:p>
    <w:p w14:paraId="6CFED936">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综上所述，由环境影响导致的经济损失较拟建项目带来的环境效益和经济效益要小的多，工程的建设将产生广泛的经济效益，实现粪污的</w:t>
      </w:r>
      <w:r>
        <w:rPr>
          <w:rFonts w:hint="eastAsia" w:ascii="Times New Roman" w:hAnsi="Times New Roman" w:cs="Times New Roman"/>
          <w:color w:val="auto"/>
          <w:highlight w:val="none"/>
          <w:lang w:eastAsia="zh-CN"/>
        </w:rPr>
        <w:t>不外排</w:t>
      </w:r>
      <w:r>
        <w:rPr>
          <w:rFonts w:hint="default" w:ascii="Times New Roman" w:hAnsi="Times New Roman" w:eastAsia="宋体" w:cs="Times New Roman"/>
          <w:color w:val="auto"/>
          <w:highlight w:val="none"/>
        </w:rPr>
        <w:t>，拉动地区经济增长和社会发展，同时在环境保护方面也是可以接受的。</w:t>
      </w:r>
    </w:p>
    <w:p w14:paraId="06D4A93A">
      <w:pPr>
        <w:pStyle w:val="5"/>
        <w:bidi w:val="0"/>
        <w:rPr>
          <w:rFonts w:hint="default"/>
          <w:highlight w:val="none"/>
        </w:rPr>
      </w:pPr>
      <w:bookmarkStart w:id="1127" w:name="_Toc16015"/>
      <w:bookmarkStart w:id="1128" w:name="_Toc31736"/>
      <w:bookmarkStart w:id="1129" w:name="_Toc21488"/>
      <w:bookmarkStart w:id="1130" w:name="_Toc11053"/>
      <w:bookmarkStart w:id="1131" w:name="_Toc7651"/>
      <w:r>
        <w:rPr>
          <w:rFonts w:hint="default"/>
          <w:highlight w:val="none"/>
        </w:rPr>
        <w:t>7.4 小结</w:t>
      </w:r>
      <w:bookmarkEnd w:id="1108"/>
      <w:bookmarkEnd w:id="1127"/>
      <w:bookmarkEnd w:id="1128"/>
      <w:bookmarkEnd w:id="1129"/>
      <w:bookmarkEnd w:id="1130"/>
      <w:bookmarkEnd w:id="1131"/>
    </w:p>
    <w:p w14:paraId="18C63400">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综上所述，在落实本评价提出的各项污染防治措施的前提下，本项目的建设能够达到经济效益、社会效益和环境效益的统一，既为地方经济发展做出贡献，又使污染物排放量在环境容量容许的范围内降低到最低。因此本项目的建设从环境影响经济损益的角度分析是可行的。</w:t>
      </w:r>
    </w:p>
    <w:p w14:paraId="624EA754">
      <w:pPr>
        <w:pStyle w:val="4"/>
        <w:bidi w:val="0"/>
        <w:rPr>
          <w:rFonts w:hint="default"/>
          <w:highlight w:val="none"/>
        </w:rPr>
      </w:pPr>
      <w:bookmarkStart w:id="1132" w:name="_Toc32226"/>
      <w:bookmarkStart w:id="1133" w:name="_Toc4258"/>
      <w:bookmarkStart w:id="1134" w:name="_Toc11037"/>
      <w:bookmarkStart w:id="1135" w:name="_Toc13348"/>
      <w:bookmarkStart w:id="1136" w:name="_Toc22777"/>
      <w:r>
        <w:rPr>
          <w:rFonts w:hint="default"/>
          <w:highlight w:val="none"/>
        </w:rPr>
        <w:t>8环境管理与监测计划</w:t>
      </w:r>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132"/>
      <w:bookmarkEnd w:id="1133"/>
      <w:bookmarkEnd w:id="1134"/>
      <w:bookmarkEnd w:id="1135"/>
      <w:bookmarkEnd w:id="1136"/>
    </w:p>
    <w:p w14:paraId="697E1E50">
      <w:pPr>
        <w:pStyle w:val="5"/>
        <w:bidi w:val="0"/>
        <w:rPr>
          <w:rFonts w:hint="default"/>
          <w:highlight w:val="none"/>
        </w:rPr>
      </w:pPr>
      <w:bookmarkStart w:id="1137" w:name="_Toc31538"/>
      <w:bookmarkStart w:id="1138" w:name="_Toc480447683"/>
      <w:bookmarkStart w:id="1139" w:name="_Toc25921"/>
      <w:bookmarkStart w:id="1140" w:name="_Toc342462533"/>
      <w:bookmarkStart w:id="1141" w:name="_Toc456590417"/>
      <w:bookmarkStart w:id="1142" w:name="_Toc5975"/>
      <w:bookmarkStart w:id="1143" w:name="_Toc18697"/>
      <w:bookmarkStart w:id="1144" w:name="_Toc455043909"/>
      <w:bookmarkStart w:id="1145" w:name="_Toc2826"/>
      <w:r>
        <w:rPr>
          <w:rFonts w:hint="default"/>
          <w:highlight w:val="none"/>
        </w:rPr>
        <w:t>8.1环境管理</w:t>
      </w:r>
      <w:bookmarkEnd w:id="1137"/>
      <w:bookmarkEnd w:id="1138"/>
      <w:bookmarkEnd w:id="1139"/>
      <w:bookmarkEnd w:id="1140"/>
      <w:bookmarkEnd w:id="1141"/>
      <w:bookmarkEnd w:id="1142"/>
      <w:bookmarkEnd w:id="1143"/>
      <w:bookmarkEnd w:id="1144"/>
      <w:bookmarkEnd w:id="1145"/>
    </w:p>
    <w:p w14:paraId="70254AA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环境管理是以环境科学理论为基础，运用经济、法律、技术、行政、教育等手段对经济、社会发展过程中施加给环境的污染和破坏影响进行调节控制，实现经济、社会和环境效益的和谐统一。</w:t>
      </w:r>
    </w:p>
    <w:p w14:paraId="1C44262E">
      <w:pPr>
        <w:pStyle w:val="7"/>
        <w:bidi w:val="0"/>
        <w:rPr>
          <w:rFonts w:hint="default"/>
          <w:highlight w:val="none"/>
        </w:rPr>
      </w:pPr>
      <w:bookmarkStart w:id="1146" w:name="_Toc15388"/>
      <w:bookmarkStart w:id="1147" w:name="_Toc14285"/>
      <w:bookmarkStart w:id="1148" w:name="_Toc14538"/>
      <w:bookmarkStart w:id="1149" w:name="_Toc31977"/>
      <w:r>
        <w:rPr>
          <w:rFonts w:hint="default"/>
          <w:highlight w:val="none"/>
        </w:rPr>
        <w:t>8.1.1环境管理体系</w:t>
      </w:r>
      <w:bookmarkEnd w:id="1146"/>
      <w:bookmarkEnd w:id="1147"/>
      <w:bookmarkEnd w:id="1148"/>
      <w:bookmarkEnd w:id="1149"/>
    </w:p>
    <w:p w14:paraId="57E7F1A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为全面贯彻和落实国家及地方环保法律、法规，加强企业内部污染物排放监督控制，本项目将环境保护纳入企业管理和生产计划之中，企业内部必须建立相应的环境管理机构及监控计划。</w:t>
      </w:r>
    </w:p>
    <w:p w14:paraId="75820EF8">
      <w:pPr>
        <w:pStyle w:val="8"/>
        <w:bidi w:val="0"/>
        <w:rPr>
          <w:rFonts w:hint="default"/>
          <w:highlight w:val="none"/>
        </w:rPr>
      </w:pPr>
      <w:bookmarkStart w:id="1150" w:name="_Toc30253"/>
      <w:bookmarkStart w:id="1151" w:name="_Toc15614"/>
      <w:r>
        <w:rPr>
          <w:rFonts w:hint="default"/>
          <w:highlight w:val="none"/>
        </w:rPr>
        <w:t>8.1.1.1管理机构</w:t>
      </w:r>
      <w:bookmarkEnd w:id="1150"/>
      <w:bookmarkEnd w:id="1151"/>
    </w:p>
    <w:p w14:paraId="26250FD4">
      <w:pPr>
        <w:pStyle w:val="94"/>
        <w:ind w:firstLine="480"/>
        <w:rPr>
          <w:rFonts w:hint="eastAsia" w:ascii="宋体" w:hAnsi="宋体" w:eastAsia="宋体" w:cs="宋体"/>
          <w:snapToGrid w:val="0"/>
          <w:color w:val="auto"/>
          <w:highlight w:val="none"/>
          <w:lang w:val="en-US" w:eastAsia="zh-CN"/>
        </w:rPr>
      </w:pPr>
      <w:r>
        <w:rPr>
          <w:rFonts w:hint="eastAsia" w:ascii="宋体" w:hAnsi="宋体" w:eastAsia="宋体" w:cs="宋体"/>
          <w:snapToGrid w:val="0"/>
          <w:color w:val="auto"/>
          <w:highlight w:val="none"/>
          <w:lang w:val="en-US" w:eastAsia="zh-CN"/>
        </w:rPr>
        <w:t>企业的环境管理同计划管理、生产管理、质量管理、服务管理等各项专业管理一样，是企业管理的重要组成部分，企业应建立健全内部的环境管理机构和环境管理体系。</w:t>
      </w:r>
    </w:p>
    <w:p w14:paraId="11AFCF81">
      <w:pPr>
        <w:pStyle w:val="94"/>
        <w:ind w:firstLine="480"/>
        <w:rPr>
          <w:rFonts w:hint="eastAsia" w:ascii="宋体" w:hAnsi="宋体" w:eastAsia="宋体" w:cs="宋体"/>
          <w:snapToGrid w:val="0"/>
          <w:color w:val="auto"/>
          <w:highlight w:val="none"/>
        </w:rPr>
      </w:pPr>
      <w:r>
        <w:rPr>
          <w:rFonts w:hint="eastAsia" w:ascii="宋体" w:hAnsi="宋体" w:eastAsia="宋体" w:cs="宋体"/>
          <w:snapToGrid w:val="0"/>
          <w:color w:val="auto"/>
          <w:highlight w:val="none"/>
          <w:lang w:val="en-US" w:eastAsia="zh-CN"/>
        </w:rPr>
        <w:t>本项目的环境保护管理应实行“厂长全面负责、分级管理、分工负责、归口管理”的管理体制。根据项目特点及地方环境保护要求，厂内应设置一个专职的环境保护工作小组。该小组应由一名厂负责人分管，该小组至少应包括巡回监督检查、环保设施运行、简单的监测分析化验等组成部分。厂长是整个工厂环境保护的全面责任者，厂环保小组负责厂内日常环保工作。在项目运行期，工厂环保管理以环保设施正常运行为核心；同时对厂内各车间进行定期的巡回监督检查，并配合上级环保部门共同监督工厂的环境行为，加强控制污染防治对策的实施；厂环保小组还对保障厂内环保设施的正常运行负责；并利用简单的监测分析化验手段，掌握工厂环境管理和环保设施运行效果的动态情况；通过采取相应的技术手段，不断提高污染防治对策的水平和可操作性。</w:t>
      </w:r>
    </w:p>
    <w:p w14:paraId="20BF404A">
      <w:pPr>
        <w:pStyle w:val="8"/>
        <w:bidi w:val="0"/>
        <w:rPr>
          <w:rFonts w:hint="default"/>
          <w:highlight w:val="none"/>
        </w:rPr>
      </w:pPr>
      <w:bookmarkStart w:id="1152" w:name="_Toc11825"/>
      <w:bookmarkStart w:id="1153" w:name="_Toc22140"/>
      <w:r>
        <w:rPr>
          <w:rFonts w:hint="default"/>
          <w:highlight w:val="none"/>
        </w:rPr>
        <w:t>8.1.1.2企业环境管理机构的基本职能与职责</w:t>
      </w:r>
      <w:bookmarkEnd w:id="1152"/>
      <w:bookmarkEnd w:id="1153"/>
    </w:p>
    <w:p w14:paraId="1B2C680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1.基本职能</w:t>
      </w:r>
    </w:p>
    <w:p w14:paraId="5DB1EBB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企业环境管理机构是企业管理工作的职能部门，其基本职能有以下三方面：</w:t>
      </w:r>
    </w:p>
    <w:p w14:paraId="23503AA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①组织编制环境计划（包括规划）；</w:t>
      </w:r>
    </w:p>
    <w:p w14:paraId="5CB6E4D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②组织环境保护工作的协调；</w:t>
      </w:r>
    </w:p>
    <w:p w14:paraId="671E725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③实施企业环境监督。</w:t>
      </w:r>
    </w:p>
    <w:p w14:paraId="1552847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2.主要工作职责</w:t>
      </w:r>
    </w:p>
    <w:p w14:paraId="7CB0489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①督促、检查本企业执行国家环境保护方针、政策、法规及本企业环境保护制度；</w:t>
      </w:r>
    </w:p>
    <w:p w14:paraId="7F60933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②</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拟定本企业环境管理办法，按照国家和地区的规定指定本企业污染物排放指标和污染综合防治的经济技术原则，做好企业升级环保考核工作；</w:t>
      </w:r>
    </w:p>
    <w:p w14:paraId="481074A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负责组织污染源调查，填写环保报表；</w:t>
      </w:r>
    </w:p>
    <w:p w14:paraId="0CA3AF5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组织推动本企业在基本建设、技术改造中，贯彻执行“三同时”的规定，并参加有关方案的审定及竣工验收工作；</w:t>
      </w:r>
    </w:p>
    <w:p w14:paraId="02CCE4F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5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⑤</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加强与主管环保部们的联系，会同有关单位做好环境预测，制定企业环境保护长远规划和年度计划，并督促实施；</w:t>
      </w:r>
    </w:p>
    <w:p w14:paraId="5927B27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6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⑥</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监督全场环境保护设施的运行与污染物的排放；</w:t>
      </w:r>
    </w:p>
    <w:p w14:paraId="4193F18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7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⑦</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负责组织本企业污染事故的调查与处理；</w:t>
      </w:r>
    </w:p>
    <w:p w14:paraId="13A3584F">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⑧</w:t>
      </w:r>
      <w:r>
        <w:rPr>
          <w:rFonts w:hint="default" w:ascii="Times New Roman" w:hAnsi="Times New Roman" w:eastAsia="宋体" w:cs="Times New Roman"/>
          <w:snapToGrid w:val="0"/>
          <w:color w:val="auto"/>
          <w:highlight w:val="none"/>
          <w:lang w:val="en-US" w:eastAsia="zh-CN"/>
        </w:rPr>
        <w:t>巡回监督检查</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工厂环保小组应定期监督检查工厂的生产状况，汇总生产中存在的各种环保问题，及时进行相应的纠偏和整改，并对整改结果进行监督检查，对可能进行的技术改造提出建议</w:t>
      </w:r>
      <w:r>
        <w:rPr>
          <w:rFonts w:hint="eastAsia" w:ascii="Times New Roman" w:hAnsi="Times New Roman" w:cs="Times New Roman"/>
          <w:snapToGrid w:val="0"/>
          <w:color w:val="auto"/>
          <w:highlight w:val="none"/>
          <w:lang w:val="en-US" w:eastAsia="zh-CN"/>
        </w:rPr>
        <w:t>；</w:t>
      </w:r>
    </w:p>
    <w:p w14:paraId="02C58E43">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⑨</w:t>
      </w:r>
      <w:r>
        <w:rPr>
          <w:rFonts w:hint="default" w:ascii="Times New Roman" w:hAnsi="Times New Roman" w:eastAsia="宋体" w:cs="Times New Roman"/>
          <w:snapToGrid w:val="0"/>
          <w:color w:val="auto"/>
          <w:highlight w:val="none"/>
          <w:lang w:val="en-US" w:eastAsia="zh-CN"/>
        </w:rPr>
        <w:t>监测分析化验</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工厂应配备简单的监测仪器，根据监测制度，对厂内水、气、声等污染因子进行日常监测。对于监测结果，应建立监测档案，记录各环境因素的有效数据及污染事故的发生原因和处理情况</w:t>
      </w:r>
      <w:r>
        <w:rPr>
          <w:rFonts w:hint="eastAsia" w:ascii="Times New Roman" w:hAnsi="Times New Roman" w:cs="Times New Roman"/>
          <w:snapToGrid w:val="0"/>
          <w:color w:val="auto"/>
          <w:highlight w:val="none"/>
          <w:lang w:val="en-US" w:eastAsia="zh-CN"/>
        </w:rPr>
        <w:t>；</w:t>
      </w:r>
    </w:p>
    <w:p w14:paraId="4B7A6567">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⑩</w:t>
      </w:r>
      <w:r>
        <w:rPr>
          <w:rFonts w:hint="default" w:ascii="Times New Roman" w:hAnsi="Times New Roman" w:eastAsia="宋体" w:cs="Times New Roman"/>
          <w:snapToGrid w:val="0"/>
          <w:color w:val="auto"/>
          <w:highlight w:val="none"/>
        </w:rPr>
        <w:t>做好企业环境统计工作，建立环境保护档案。会同有关单位组织开展清洁生产活动，负责广泛开展环境宣传教育活动，普及环境科学知识，推动清洁生产活动的深度开展。</w:t>
      </w:r>
    </w:p>
    <w:p w14:paraId="74EF1B34">
      <w:pPr>
        <w:pStyle w:val="8"/>
        <w:bidi w:val="0"/>
        <w:rPr>
          <w:rFonts w:hint="default"/>
          <w:highlight w:val="none"/>
        </w:rPr>
      </w:pPr>
      <w:bookmarkStart w:id="1154" w:name="_Toc16507"/>
      <w:bookmarkStart w:id="1155" w:name="_Toc11557"/>
      <w:r>
        <w:rPr>
          <w:rFonts w:hint="default"/>
          <w:highlight w:val="none"/>
        </w:rPr>
        <w:t>8.1.1.3企业管理</w:t>
      </w:r>
      <w:bookmarkEnd w:id="1154"/>
      <w:bookmarkEnd w:id="1155"/>
    </w:p>
    <w:p w14:paraId="6635E17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①确保各项环保设施的正常运转，负责日常维护，并制定事故的应急处理方法；</w:t>
      </w:r>
    </w:p>
    <w:p w14:paraId="653772F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②</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加强生产原材料管理，提出清洁生产方案，降低了污染物的可能产生量；</w:t>
      </w:r>
    </w:p>
    <w:p w14:paraId="3EA874A7">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加强对生产设备的管理和维护，杜绝跑、冒、滴、漏现象的发生；</w:t>
      </w:r>
    </w:p>
    <w:p w14:paraId="4F9F6AA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负责企业的日常环境监测工作。</w:t>
      </w:r>
    </w:p>
    <w:p w14:paraId="04BB139C">
      <w:pPr>
        <w:spacing w:line="360" w:lineRule="auto"/>
        <w:ind w:firstLine="420"/>
        <w:jc w:val="both"/>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⑤制定实施</w:t>
      </w:r>
      <w:r>
        <w:rPr>
          <w:rFonts w:hint="default" w:ascii="Times New Roman" w:hAnsi="Times New Roman" w:eastAsia="宋体" w:cs="Times New Roman"/>
          <w:snapToGrid w:val="0"/>
          <w:color w:val="auto"/>
          <w:highlight w:val="none"/>
          <w:lang w:val="en-US" w:eastAsia="zh-CN"/>
        </w:rPr>
        <w:t>环境保护工作规章制度</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环保设施运行操作规程</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环保技术规程、环保知识培训计划。</w:t>
      </w:r>
    </w:p>
    <w:p w14:paraId="7656E1A6">
      <w:pPr>
        <w:pStyle w:val="7"/>
        <w:bidi w:val="0"/>
        <w:rPr>
          <w:rFonts w:hint="default"/>
          <w:highlight w:val="none"/>
        </w:rPr>
      </w:pPr>
      <w:bookmarkStart w:id="1156" w:name="_Toc12269"/>
      <w:bookmarkStart w:id="1157" w:name="_Toc21903"/>
      <w:bookmarkStart w:id="1158" w:name="_Toc21509"/>
      <w:bookmarkStart w:id="1159" w:name="_Toc31226"/>
      <w:r>
        <w:rPr>
          <w:rFonts w:hint="default"/>
          <w:highlight w:val="none"/>
        </w:rPr>
        <w:t>8.1.2环境管理内容</w:t>
      </w:r>
      <w:bookmarkEnd w:id="1156"/>
      <w:bookmarkEnd w:id="1157"/>
      <w:bookmarkEnd w:id="1158"/>
      <w:bookmarkEnd w:id="1159"/>
    </w:p>
    <w:p w14:paraId="5D57C030">
      <w:pPr>
        <w:pStyle w:val="8"/>
        <w:bidi w:val="0"/>
        <w:rPr>
          <w:rFonts w:hint="default"/>
          <w:highlight w:val="none"/>
        </w:rPr>
      </w:pPr>
      <w:bookmarkStart w:id="1160" w:name="_Toc14939"/>
      <w:bookmarkStart w:id="1161" w:name="_Toc1539"/>
      <w:r>
        <w:rPr>
          <w:rFonts w:hint="default"/>
          <w:highlight w:val="none"/>
        </w:rPr>
        <w:t>8.1.2.1施工期管理内容</w:t>
      </w:r>
      <w:bookmarkEnd w:id="1160"/>
      <w:bookmarkEnd w:id="1161"/>
    </w:p>
    <w:p w14:paraId="11FD4C5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施工期对环境的影响主要为噪声、扬尘、施工废水、生活污水及建筑垃圾。施工过程中要做到建筑垃圾集中堆放、及时清运；施工废水设</w:t>
      </w:r>
      <w:r>
        <w:rPr>
          <w:rFonts w:hint="eastAsia" w:ascii="Times New Roman" w:hAnsi="Times New Roman" w:cs="Times New Roman"/>
          <w:snapToGrid w:val="0"/>
          <w:color w:val="auto"/>
          <w:highlight w:val="none"/>
          <w:lang w:val="en-US" w:eastAsia="zh-CN"/>
        </w:rPr>
        <w:t>临时</w:t>
      </w:r>
      <w:r>
        <w:rPr>
          <w:rFonts w:hint="default" w:ascii="Times New Roman" w:hAnsi="Times New Roman" w:eastAsia="宋体" w:cs="Times New Roman"/>
          <w:snapToGrid w:val="0"/>
          <w:color w:val="auto"/>
          <w:highlight w:val="none"/>
        </w:rPr>
        <w:t>沉淀池；保证施工设备完好、先进，降低其噪声，固定声源隔声降噪等；指定行车路线，定期洒水、防止扬尘等。作业点要定期检查，督促环境管理措施的落实情况，增强施工人员的环保意识。</w:t>
      </w:r>
    </w:p>
    <w:p w14:paraId="1EEBA9EC">
      <w:pPr>
        <w:pStyle w:val="8"/>
        <w:bidi w:val="0"/>
        <w:rPr>
          <w:rFonts w:hint="default"/>
          <w:highlight w:val="none"/>
        </w:rPr>
      </w:pPr>
      <w:bookmarkStart w:id="1162" w:name="_Toc18086"/>
      <w:bookmarkStart w:id="1163" w:name="_Toc8760"/>
      <w:r>
        <w:rPr>
          <w:rFonts w:hint="default"/>
          <w:highlight w:val="none"/>
        </w:rPr>
        <w:t>8.1.2.2运行期管理内容</w:t>
      </w:r>
      <w:bookmarkEnd w:id="1162"/>
      <w:bookmarkEnd w:id="1163"/>
    </w:p>
    <w:p w14:paraId="60E66917">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（1）大气环境管理</w:t>
      </w:r>
    </w:p>
    <w:p w14:paraId="464E926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运行期对环境空气的影响主要是恶臭气体、沼气燃烧废气等。为保证各项大气污染物均能达标排放，项目采取了相应的环保措施。管理小组应对环保设备经常检查，及时维护检修，强化岗位责任制，避免事故排放。</w:t>
      </w:r>
    </w:p>
    <w:p w14:paraId="5F1EF8B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（2）粪污处理设施管理</w:t>
      </w:r>
    </w:p>
    <w:p w14:paraId="1561B4E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定期对场内黑膜厌氧池</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沼液贮存池</w:t>
      </w:r>
      <w:r>
        <w:rPr>
          <w:rFonts w:hint="default" w:ascii="Times New Roman" w:hAnsi="Times New Roman" w:eastAsia="宋体" w:cs="Times New Roman"/>
          <w:snapToGrid w:val="0"/>
          <w:color w:val="auto"/>
          <w:highlight w:val="none"/>
        </w:rPr>
        <w:t>及</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设施的运行情况进行巡查，要掌握、了解设施是否损坏及出现异常现象，发现异常情况及时通报上级领导。</w:t>
      </w:r>
    </w:p>
    <w:p w14:paraId="580E406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（3）噪声环境管理</w:t>
      </w:r>
    </w:p>
    <w:p w14:paraId="5AB4CE0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选择低噪声设备，对高噪声设备采取封闭、隔离、安装减振装置、软连接等措施，防止对周围环境造成噪声污染。</w:t>
      </w:r>
    </w:p>
    <w:p w14:paraId="324CE14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（4）固体废物管理</w:t>
      </w:r>
    </w:p>
    <w:p w14:paraId="578E549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定期对一般固体废物的收集、运输等设施进行巡查，要掌握、了解设施是否损坏及出现异常现象，发现异常情况及时通报上级领导；加强危险废物的管理，检查收集设施是否处于正常工作状态。</w:t>
      </w:r>
    </w:p>
    <w:p w14:paraId="4AE327A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（5）总量控制指标</w:t>
      </w:r>
    </w:p>
    <w:p w14:paraId="3CC35A25">
      <w:pPr>
        <w:pStyle w:val="94"/>
        <w:ind w:firstLine="480"/>
        <w:rPr>
          <w:rFonts w:hint="default" w:ascii="Times New Roman" w:hAnsi="Times New Roman" w:eastAsia="宋体" w:cs="Times New Roman"/>
          <w:snapToGrid w:val="0"/>
          <w:color w:val="auto"/>
          <w:highlight w:val="none"/>
        </w:rPr>
      </w:pPr>
      <w:bookmarkStart w:id="1164" w:name="_Hlk6902792"/>
      <w:r>
        <w:rPr>
          <w:rFonts w:hint="eastAsia" w:ascii="Times New Roman" w:hAnsi="Times New Roman" w:cs="Times New Roman"/>
          <w:snapToGrid w:val="0"/>
          <w:color w:val="auto"/>
          <w:highlight w:val="none"/>
          <w:lang w:val="en-US" w:eastAsia="zh-CN"/>
        </w:rPr>
        <w:t>根据《关于进一步做好当前生猪规模养殖环评管理相关工作的通知》（环办环评函〔2019〕872号）中要求：</w:t>
      </w:r>
      <w:r>
        <w:rPr>
          <w:rFonts w:hint="default" w:ascii="Times New Roman" w:hAnsi="Times New Roman" w:eastAsia="宋体" w:cs="Times New Roman"/>
          <w:snapToGrid w:val="0"/>
          <w:color w:val="auto"/>
          <w:highlight w:val="none"/>
        </w:rPr>
        <w:t>做好环评与排污许可、主要污染物排放总量管理的衔接，对规模以下生猪养殖项目和不设置污水排放口的规模以上生猪养殖项目，不得要求申领排污许可证和取得总量指标。</w:t>
      </w:r>
    </w:p>
    <w:p w14:paraId="757638F1">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snapToGrid w:val="0"/>
          <w:color w:val="auto"/>
          <w:highlight w:val="none"/>
          <w:lang w:val="en-US" w:eastAsia="zh-CN"/>
        </w:rPr>
        <w:t>本</w:t>
      </w:r>
      <w:r>
        <w:rPr>
          <w:rFonts w:hint="default" w:ascii="Times New Roman" w:hAnsi="Times New Roman" w:eastAsia="宋体" w:cs="Times New Roman"/>
          <w:snapToGrid w:val="0"/>
          <w:color w:val="auto"/>
          <w:highlight w:val="none"/>
        </w:rPr>
        <w:t>项目运行后，所产生的污水经场区内黑膜厌氧池处理后，</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沼液贮存池。</w:t>
      </w:r>
      <w:r>
        <w:rPr>
          <w:rFonts w:hint="default" w:ascii="Times New Roman" w:hAnsi="Times New Roman" w:eastAsia="宋体" w:cs="Times New Roman"/>
          <w:snapToGrid w:val="0"/>
          <w:color w:val="auto"/>
          <w:highlight w:val="none"/>
        </w:rPr>
        <w:t>不设置污水排放口</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snapToGrid w:val="0"/>
          <w:color w:val="auto"/>
          <w:highlight w:val="none"/>
        </w:rPr>
        <w:t>因此本项目污染物不需申请总量。</w:t>
      </w:r>
    </w:p>
    <w:bookmarkEnd w:id="1164"/>
    <w:p w14:paraId="2899311E">
      <w:pPr>
        <w:pStyle w:val="7"/>
        <w:bidi w:val="0"/>
        <w:rPr>
          <w:rFonts w:hint="default"/>
          <w:highlight w:val="none"/>
        </w:rPr>
      </w:pPr>
      <w:bookmarkStart w:id="1165" w:name="_Toc3441"/>
      <w:bookmarkStart w:id="1166" w:name="_Toc896"/>
      <w:bookmarkStart w:id="1167" w:name="_Toc27547"/>
      <w:bookmarkStart w:id="1168" w:name="_Toc22882"/>
      <w:r>
        <w:rPr>
          <w:rFonts w:hint="default"/>
          <w:highlight w:val="none"/>
        </w:rPr>
        <w:t>8.1.3施工期环境管理计划</w:t>
      </w:r>
      <w:bookmarkEnd w:id="1165"/>
      <w:bookmarkEnd w:id="1166"/>
      <w:bookmarkEnd w:id="1167"/>
      <w:bookmarkEnd w:id="1168"/>
    </w:p>
    <w:p w14:paraId="71C2D6E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（1）环境管理机构对施工期环境保护工作全面负责，履行施工期各阶段环境管理职责。</w:t>
      </w:r>
    </w:p>
    <w:p w14:paraId="139A85E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（2）对施工队伍实行职责管理，要求施工队伍按要求文明施工，并做好监督、检查和教育工作。</w:t>
      </w:r>
    </w:p>
    <w:p w14:paraId="5E9CC42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（3）按照环保主管部门的要求和本报告书中有关环境保护对策措施对施工程序和厂地布置实施统一安排。</w:t>
      </w:r>
    </w:p>
    <w:p w14:paraId="411F153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（4）土建工程需要土石方的挖掘与运输、管道挖沟、施工建材机械等占地，对产生的扬尘应及时洒水，及时清除弃土，避免二次扬尘。</w:t>
      </w:r>
    </w:p>
    <w:p w14:paraId="68EFEA6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（5）合理布置施工厂内的机械和设备，把噪声较大的机械设备布置到远离居民的地点。</w:t>
      </w:r>
    </w:p>
    <w:p w14:paraId="67D05F9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施工期环境保护管理及监理的主要内容见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w:t>
      </w:r>
    </w:p>
    <w:p w14:paraId="7BFC4C3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施工期环境管理和监理的主要内容</w:t>
      </w:r>
    </w:p>
    <w:tbl>
      <w:tblPr>
        <w:tblStyle w:val="48"/>
        <w:tblW w:w="822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22"/>
        <w:gridCol w:w="630"/>
        <w:gridCol w:w="5842"/>
        <w:gridCol w:w="636"/>
        <w:gridCol w:w="691"/>
      </w:tblGrid>
      <w:tr w14:paraId="17FE5A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2E6830F3">
            <w:pPr>
              <w:pStyle w:val="459"/>
              <w:rPr>
                <w:rFonts w:hint="default" w:ascii="Times New Roman" w:hAnsi="Times New Roman" w:cs="Times New Roman"/>
                <w:color w:val="auto"/>
                <w:sz w:val="21"/>
                <w:szCs w:val="21"/>
                <w:highlight w:val="none"/>
              </w:rPr>
            </w:pPr>
            <w:bookmarkStart w:id="1169" w:name="_Toc5163"/>
            <w:bookmarkStart w:id="1170" w:name="_Toc18446"/>
            <w:bookmarkStart w:id="1171" w:name="_Toc15235"/>
            <w:bookmarkStart w:id="1172" w:name="_Toc9430"/>
            <w:bookmarkStart w:id="1173" w:name="_Toc455043910"/>
            <w:bookmarkStart w:id="1174" w:name="_Toc456590418"/>
            <w:bookmarkStart w:id="1175" w:name="_Toc342462534"/>
            <w:r>
              <w:rPr>
                <w:rFonts w:hint="default" w:ascii="Times New Roman" w:hAnsi="Times New Roman" w:cs="Times New Roman"/>
                <w:color w:val="auto"/>
                <w:sz w:val="21"/>
                <w:szCs w:val="21"/>
                <w:highlight w:val="none"/>
              </w:rPr>
              <w:t>序号</w:t>
            </w:r>
          </w:p>
        </w:tc>
        <w:tc>
          <w:tcPr>
            <w:tcW w:w="630" w:type="dxa"/>
            <w:noWrap w:val="0"/>
            <w:vAlign w:val="center"/>
          </w:tcPr>
          <w:p w14:paraId="69A15374">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监理项目</w:t>
            </w:r>
          </w:p>
        </w:tc>
        <w:tc>
          <w:tcPr>
            <w:tcW w:w="5842" w:type="dxa"/>
            <w:noWrap w:val="0"/>
            <w:vAlign w:val="center"/>
          </w:tcPr>
          <w:p w14:paraId="62E456B4">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技术要求</w:t>
            </w:r>
          </w:p>
        </w:tc>
        <w:tc>
          <w:tcPr>
            <w:tcW w:w="636" w:type="dxa"/>
            <w:noWrap w:val="0"/>
            <w:vAlign w:val="center"/>
          </w:tcPr>
          <w:p w14:paraId="480209E3">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实施</w:t>
            </w:r>
          </w:p>
          <w:p w14:paraId="5807712A">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机构</w:t>
            </w:r>
          </w:p>
        </w:tc>
        <w:tc>
          <w:tcPr>
            <w:tcW w:w="691" w:type="dxa"/>
            <w:noWrap w:val="0"/>
            <w:vAlign w:val="center"/>
          </w:tcPr>
          <w:p w14:paraId="69572A57">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监控</w:t>
            </w:r>
          </w:p>
          <w:p w14:paraId="3387246C">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机构</w:t>
            </w:r>
          </w:p>
        </w:tc>
      </w:tr>
      <w:tr w14:paraId="23EA21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4373FC5E">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30" w:type="dxa"/>
            <w:noWrap w:val="0"/>
            <w:vAlign w:val="center"/>
          </w:tcPr>
          <w:p w14:paraId="20904C95">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生态保护与防止水土流失</w:t>
            </w:r>
          </w:p>
        </w:tc>
        <w:tc>
          <w:tcPr>
            <w:tcW w:w="5842" w:type="dxa"/>
            <w:noWrap w:val="0"/>
            <w:vAlign w:val="center"/>
          </w:tcPr>
          <w:p w14:paraId="6DF0A268">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（1）对施工期临时占地，应将原有土地表层堆在一旁，待施工完毕，将这些熟土再推平，恢复到土地表层，以利于还耕</w:t>
            </w:r>
          </w:p>
          <w:p w14:paraId="7793ED9B">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（2）施工营地应尽量选择设置在非耕地上，以减少耕地损失</w:t>
            </w:r>
          </w:p>
          <w:p w14:paraId="1F7649D9">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（3）在场区平整过程中做到边取土边平整，有计划取土，及时平整</w:t>
            </w:r>
          </w:p>
          <w:p w14:paraId="4E026DF4">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）教育施工人员爱护附近农田，保护施工场地周围的生态环境</w:t>
            </w:r>
          </w:p>
        </w:tc>
        <w:tc>
          <w:tcPr>
            <w:tcW w:w="636" w:type="dxa"/>
            <w:noWrap w:val="0"/>
            <w:vAlign w:val="center"/>
          </w:tcPr>
          <w:p w14:paraId="73BB6B02">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承</w:t>
            </w:r>
          </w:p>
          <w:p w14:paraId="63F6B7A0">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w:t>
            </w:r>
          </w:p>
          <w:p w14:paraId="26EEABC6">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商</w:t>
            </w:r>
          </w:p>
        </w:tc>
        <w:tc>
          <w:tcPr>
            <w:tcW w:w="691" w:type="dxa"/>
            <w:noWrap w:val="0"/>
            <w:vAlign w:val="center"/>
          </w:tcPr>
          <w:p w14:paraId="759020CA">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市生态局</w:t>
            </w:r>
          </w:p>
        </w:tc>
      </w:tr>
      <w:tr w14:paraId="7B1854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305E6727">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630" w:type="dxa"/>
            <w:noWrap w:val="0"/>
            <w:vAlign w:val="center"/>
          </w:tcPr>
          <w:p w14:paraId="2E5F9CB5">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施工噪声</w:t>
            </w:r>
          </w:p>
        </w:tc>
        <w:tc>
          <w:tcPr>
            <w:tcW w:w="5842" w:type="dxa"/>
            <w:noWrap w:val="0"/>
            <w:vAlign w:val="center"/>
          </w:tcPr>
          <w:p w14:paraId="199E103B">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（1）尽量采样低噪声机械</w:t>
            </w:r>
          </w:p>
          <w:p w14:paraId="0F0284D7">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（2）强噪声机械夜间严禁施工</w:t>
            </w:r>
          </w:p>
        </w:tc>
        <w:tc>
          <w:tcPr>
            <w:tcW w:w="636" w:type="dxa"/>
            <w:noWrap w:val="0"/>
            <w:vAlign w:val="center"/>
          </w:tcPr>
          <w:p w14:paraId="66CA1991">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c>
          <w:tcPr>
            <w:tcW w:w="691" w:type="dxa"/>
            <w:noWrap w:val="0"/>
            <w:vAlign w:val="center"/>
          </w:tcPr>
          <w:p w14:paraId="1E1E7979">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r>
      <w:tr w14:paraId="505731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29D725B6">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630" w:type="dxa"/>
            <w:noWrap w:val="0"/>
            <w:vAlign w:val="center"/>
          </w:tcPr>
          <w:p w14:paraId="2931EC4E">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环境空气污染</w:t>
            </w:r>
          </w:p>
        </w:tc>
        <w:tc>
          <w:tcPr>
            <w:tcW w:w="5842" w:type="dxa"/>
            <w:noWrap w:val="0"/>
            <w:vAlign w:val="center"/>
          </w:tcPr>
          <w:p w14:paraId="4E24CFAF">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（1）施工的贮料场、水泥拌合站周边200m范围内不得有集中的居住区、学校等</w:t>
            </w:r>
          </w:p>
          <w:p w14:paraId="64E060D6">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（2）施工作业场地应采取定时洒水降尘措施</w:t>
            </w:r>
          </w:p>
          <w:p w14:paraId="0DBF9062">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（3）料场和贮料场采用遮盖或洒水以防止扬尘污染，运送建筑材料的卡车加盖棚布，以减少抛洒</w:t>
            </w:r>
          </w:p>
        </w:tc>
        <w:tc>
          <w:tcPr>
            <w:tcW w:w="636" w:type="dxa"/>
            <w:noWrap w:val="0"/>
            <w:vAlign w:val="center"/>
          </w:tcPr>
          <w:p w14:paraId="3746328B">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c>
          <w:tcPr>
            <w:tcW w:w="691" w:type="dxa"/>
            <w:noWrap w:val="0"/>
            <w:vAlign w:val="center"/>
          </w:tcPr>
          <w:p w14:paraId="7EE40084">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r>
      <w:tr w14:paraId="08E066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513FF842">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630" w:type="dxa"/>
            <w:noWrap w:val="0"/>
            <w:vAlign w:val="center"/>
          </w:tcPr>
          <w:p w14:paraId="538F23BF">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地表水污染</w:t>
            </w:r>
          </w:p>
        </w:tc>
        <w:tc>
          <w:tcPr>
            <w:tcW w:w="5842" w:type="dxa"/>
            <w:noWrap w:val="0"/>
            <w:vAlign w:val="center"/>
          </w:tcPr>
          <w:p w14:paraId="23A5FCBD">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（1）施工营地及施工管理区需设置隔油池及生活垃圾集中堆放场地，以使生活污水、生活垃圾集中处理</w:t>
            </w:r>
          </w:p>
          <w:p w14:paraId="716836A8">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（2）加强施工人员环境意识教育，严禁将废油、施工垃圾抛入地表水体</w:t>
            </w:r>
          </w:p>
        </w:tc>
        <w:tc>
          <w:tcPr>
            <w:tcW w:w="636" w:type="dxa"/>
            <w:noWrap w:val="0"/>
            <w:vAlign w:val="center"/>
          </w:tcPr>
          <w:p w14:paraId="1830444B">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c>
          <w:tcPr>
            <w:tcW w:w="691" w:type="dxa"/>
            <w:noWrap w:val="0"/>
            <w:vAlign w:val="center"/>
          </w:tcPr>
          <w:p w14:paraId="6F797D55">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r>
    </w:tbl>
    <w:p w14:paraId="438E57A5">
      <w:pPr>
        <w:pStyle w:val="7"/>
        <w:bidi w:val="0"/>
        <w:rPr>
          <w:rFonts w:hint="default"/>
          <w:highlight w:val="none"/>
        </w:rPr>
      </w:pPr>
      <w:r>
        <w:rPr>
          <w:rFonts w:hint="default"/>
          <w:highlight w:val="none"/>
        </w:rPr>
        <w:t>8.1.4运行期环境管理计划</w:t>
      </w:r>
      <w:bookmarkEnd w:id="1169"/>
      <w:bookmarkEnd w:id="1170"/>
      <w:bookmarkEnd w:id="1171"/>
      <w:bookmarkEnd w:id="1172"/>
    </w:p>
    <w:p w14:paraId="4F5E6B1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（1）环保管理机构应对场内环保实行统一管理，并对场区的环境质量全面进行监测。</w:t>
      </w:r>
    </w:p>
    <w:p w14:paraId="2FB76B3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（2）环保管理机构应做好日常环保设施与生产主体设备的统一管理，加强维护、定期检查，确保污染治理设施与主体设备正常运行。当治理设施发生故障时，应启动应急预案，防止污染事故的发生。</w:t>
      </w:r>
    </w:p>
    <w:p w14:paraId="6B3A47E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（3）定期对各猪舍、黑膜厌氧池、</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的环保工作情况进行考核，制定考核与奖惩的具体办法，将环保考核纳入生产考核的主要部分。</w:t>
      </w:r>
    </w:p>
    <w:p w14:paraId="43C25D5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（4）对主要污染源进行定期监测，建立污染源档案。发现污染物非正常排放时，应分析原因，并及时采取相应措施，以控制污染，使污染物满足达标排放要求。</w:t>
      </w:r>
    </w:p>
    <w:p w14:paraId="3010A804">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（5）接受省市环保部门的检查、指导，参加有关会议及经验交流活动</w:t>
      </w:r>
      <w:r>
        <w:rPr>
          <w:rFonts w:hint="eastAsia" w:ascii="Times New Roman" w:hAnsi="Times New Roman" w:cs="Times New Roman"/>
          <w:snapToGrid w:val="0"/>
          <w:color w:val="auto"/>
          <w:highlight w:val="none"/>
          <w:lang w:eastAsia="zh-CN"/>
        </w:rPr>
        <w:t>。</w:t>
      </w:r>
    </w:p>
    <w:p w14:paraId="232C0DD1">
      <w:pPr>
        <w:pStyle w:val="7"/>
        <w:bidi w:val="0"/>
        <w:rPr>
          <w:rFonts w:hint="default"/>
          <w:highlight w:val="none"/>
        </w:rPr>
      </w:pPr>
      <w:bookmarkStart w:id="1176" w:name="_Toc4335"/>
      <w:bookmarkStart w:id="1177" w:name="_Toc10746"/>
      <w:bookmarkStart w:id="1178" w:name="_Toc10079"/>
      <w:bookmarkStart w:id="1179" w:name="_Toc8754"/>
      <w:r>
        <w:rPr>
          <w:rFonts w:hint="default"/>
          <w:highlight w:val="none"/>
        </w:rPr>
        <w:t>8.1.5污染物排放清单及管理要求</w:t>
      </w:r>
      <w:bookmarkEnd w:id="1176"/>
      <w:bookmarkEnd w:id="1177"/>
      <w:bookmarkEnd w:id="1178"/>
      <w:bookmarkEnd w:id="1179"/>
    </w:p>
    <w:p w14:paraId="65365D8F">
      <w:pPr>
        <w:pStyle w:val="8"/>
        <w:bidi w:val="0"/>
        <w:rPr>
          <w:rFonts w:hint="default"/>
          <w:highlight w:val="none"/>
        </w:rPr>
      </w:pPr>
      <w:bookmarkStart w:id="1180" w:name="_Toc8459"/>
      <w:bookmarkStart w:id="1181" w:name="_Toc6928"/>
      <w:r>
        <w:rPr>
          <w:rFonts w:hint="default"/>
          <w:highlight w:val="none"/>
        </w:rPr>
        <w:t>8.1.5.1污染物排放清单</w:t>
      </w:r>
      <w:bookmarkEnd w:id="1180"/>
      <w:bookmarkEnd w:id="1181"/>
    </w:p>
    <w:p w14:paraId="2D0D594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本项目污染物排放清单及管理要求详见表8-1-</w:t>
      </w:r>
      <w:r>
        <w:rPr>
          <w:rFonts w:hint="default"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p w14:paraId="6E0C4F83">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7D59839">
      <w:pPr>
        <w:pStyle w:val="216"/>
        <w:rPr>
          <w:rFonts w:hint="default" w:ascii="Times New Roman" w:hAnsi="Times New Roman" w:eastAsia="黑体" w:cs="Times New Roman"/>
          <w:b w:val="0"/>
          <w:bCs/>
          <w:smallCaps w:val="0"/>
          <w:snapToGrid/>
          <w:color w:val="auto"/>
          <w:kern w:val="2"/>
          <w:sz w:val="21"/>
          <w:szCs w:val="24"/>
          <w:highlight w:val="none"/>
          <w:lang w:val="zh-CN" w:eastAsia="zh-CN" w:bidi="ar-SA"/>
        </w:rPr>
      </w:pPr>
      <w:bookmarkStart w:id="1182" w:name="_Hlk480431254"/>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污染物排放清单一览表</w:t>
      </w:r>
    </w:p>
    <w:tbl>
      <w:tblPr>
        <w:tblStyle w:val="395"/>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819"/>
        <w:gridCol w:w="1327"/>
        <w:gridCol w:w="3605"/>
        <w:gridCol w:w="1774"/>
        <w:gridCol w:w="1775"/>
        <w:gridCol w:w="3138"/>
      </w:tblGrid>
      <w:tr w14:paraId="57A29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Align w:val="center"/>
          </w:tcPr>
          <w:p w14:paraId="409A986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环境要素</w:t>
            </w:r>
          </w:p>
        </w:tc>
        <w:tc>
          <w:tcPr>
            <w:tcW w:w="1110" w:type="pct"/>
            <w:gridSpan w:val="2"/>
            <w:vAlign w:val="center"/>
          </w:tcPr>
          <w:p w14:paraId="049B0964">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管理项目</w:t>
            </w:r>
          </w:p>
        </w:tc>
        <w:tc>
          <w:tcPr>
            <w:tcW w:w="1272" w:type="pct"/>
            <w:vAlign w:val="center"/>
          </w:tcPr>
          <w:p w14:paraId="717E56C0">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污染防治措施</w:t>
            </w:r>
          </w:p>
        </w:tc>
        <w:tc>
          <w:tcPr>
            <w:tcW w:w="626" w:type="pct"/>
            <w:vAlign w:val="center"/>
          </w:tcPr>
          <w:p w14:paraId="5C500B46">
            <w:pPr>
              <w:pStyle w:val="152"/>
              <w:adjustRightInd w:val="0"/>
              <w:snapToGrid w:val="0"/>
              <w:jc w:val="center"/>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排放</w:t>
            </w:r>
            <w:r>
              <w:rPr>
                <w:rFonts w:hint="eastAsia" w:ascii="Times New Roman" w:hAnsi="Times New Roman" w:cs="Times New Roman"/>
                <w:snapToGrid w:val="0"/>
                <w:color w:val="auto"/>
                <w:highlight w:val="none"/>
                <w:lang w:val="en-US" w:eastAsia="zh-CN"/>
              </w:rPr>
              <w:t>限值</w:t>
            </w:r>
          </w:p>
        </w:tc>
        <w:tc>
          <w:tcPr>
            <w:tcW w:w="626" w:type="pct"/>
            <w:vAlign w:val="center"/>
          </w:tcPr>
          <w:p w14:paraId="7690539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排放量</w:t>
            </w:r>
          </w:p>
        </w:tc>
        <w:tc>
          <w:tcPr>
            <w:tcW w:w="1107" w:type="pct"/>
            <w:vAlign w:val="center"/>
          </w:tcPr>
          <w:p w14:paraId="5F61B065">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执行标准</w:t>
            </w:r>
          </w:p>
        </w:tc>
      </w:tr>
      <w:tr w14:paraId="7892E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256" w:type="pct"/>
            <w:vMerge w:val="restart"/>
            <w:vAlign w:val="center"/>
          </w:tcPr>
          <w:p w14:paraId="5D10469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地表水环境</w:t>
            </w:r>
          </w:p>
        </w:tc>
        <w:tc>
          <w:tcPr>
            <w:tcW w:w="642" w:type="pct"/>
            <w:vMerge w:val="restart"/>
            <w:vAlign w:val="center"/>
          </w:tcPr>
          <w:p w14:paraId="6F82E15D">
            <w:pPr>
              <w:pStyle w:val="152"/>
              <w:adjustRightInd w:val="0"/>
              <w:snapToGrid w:val="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kern w:val="0"/>
                <w:sz w:val="21"/>
                <w:szCs w:val="21"/>
                <w:highlight w:val="none"/>
              </w:rPr>
              <w:t>养殖废水</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eastAsia="zh-CN"/>
              </w:rPr>
              <w:t>猪尿、猪舍冲洗废水、固液分离间废水、洗消车间废水</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lang w:val="en-US" w:eastAsia="zh-CN"/>
              </w:rPr>
              <w:t>生活污水</w:t>
            </w:r>
          </w:p>
        </w:tc>
        <w:tc>
          <w:tcPr>
            <w:tcW w:w="468" w:type="pct"/>
            <w:vAlign w:val="center"/>
          </w:tcPr>
          <w:p w14:paraId="73BC3AF8">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tc>
        <w:tc>
          <w:tcPr>
            <w:tcW w:w="1272" w:type="pct"/>
            <w:vMerge w:val="restart"/>
            <w:vAlign w:val="center"/>
          </w:tcPr>
          <w:p w14:paraId="4781924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kern w:val="0"/>
                <w:sz w:val="21"/>
                <w:szCs w:val="21"/>
                <w:highlight w:val="none"/>
              </w:rPr>
              <w:t>黑膜</w:t>
            </w:r>
            <w:r>
              <w:rPr>
                <w:rFonts w:hint="default" w:ascii="Times New Roman" w:hAnsi="Times New Roman" w:eastAsia="宋体" w:cs="Times New Roman"/>
                <w:snapToGrid w:val="0"/>
                <w:color w:val="auto"/>
                <w:kern w:val="0"/>
                <w:sz w:val="21"/>
                <w:szCs w:val="21"/>
                <w:highlight w:val="none"/>
                <w:lang w:val="en-US" w:eastAsia="zh-CN"/>
              </w:rPr>
              <w:t>厌氧池</w:t>
            </w:r>
            <w:r>
              <w:rPr>
                <w:rFonts w:hint="default" w:ascii="Times New Roman" w:hAnsi="Times New Roman" w:eastAsia="宋体" w:cs="Times New Roman"/>
                <w:snapToGrid w:val="0"/>
                <w:color w:val="auto"/>
                <w:kern w:val="0"/>
                <w:sz w:val="21"/>
                <w:szCs w:val="21"/>
                <w:highlight w:val="none"/>
              </w:rPr>
              <w:t>厌氧发酵处理</w:t>
            </w:r>
          </w:p>
        </w:tc>
        <w:tc>
          <w:tcPr>
            <w:tcW w:w="626" w:type="pct"/>
            <w:vAlign w:val="center"/>
          </w:tcPr>
          <w:p w14:paraId="2C33C20F">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26" w:type="pct"/>
            <w:vAlign w:val="center"/>
          </w:tcPr>
          <w:p w14:paraId="7AA491B5">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107" w:type="pct"/>
            <w:vMerge w:val="restart"/>
            <w:vAlign w:val="center"/>
          </w:tcPr>
          <w:p w14:paraId="559A887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70163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76ADB79C">
            <w:pPr>
              <w:pStyle w:val="152"/>
              <w:adjustRightInd w:val="0"/>
              <w:snapToGrid w:val="0"/>
              <w:jc w:val="center"/>
              <w:rPr>
                <w:rFonts w:hint="default" w:ascii="Times New Roman" w:hAnsi="Times New Roman" w:eastAsia="宋体" w:cs="Times New Roman"/>
                <w:snapToGrid w:val="0"/>
                <w:color w:val="auto"/>
                <w:highlight w:val="none"/>
              </w:rPr>
            </w:pPr>
          </w:p>
        </w:tc>
        <w:tc>
          <w:tcPr>
            <w:tcW w:w="642" w:type="pct"/>
            <w:vMerge w:val="continue"/>
            <w:vAlign w:val="center"/>
          </w:tcPr>
          <w:p w14:paraId="53345A5C">
            <w:pPr>
              <w:pStyle w:val="152"/>
              <w:adjustRightInd w:val="0"/>
              <w:snapToGrid w:val="0"/>
              <w:jc w:val="center"/>
              <w:rPr>
                <w:rFonts w:hint="default" w:ascii="Times New Roman" w:hAnsi="Times New Roman" w:eastAsia="宋体" w:cs="Times New Roman"/>
                <w:snapToGrid w:val="0"/>
                <w:color w:val="auto"/>
                <w:highlight w:val="none"/>
              </w:rPr>
            </w:pPr>
          </w:p>
        </w:tc>
        <w:tc>
          <w:tcPr>
            <w:tcW w:w="468" w:type="pct"/>
            <w:vAlign w:val="center"/>
          </w:tcPr>
          <w:p w14:paraId="33288A66">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1272" w:type="pct"/>
            <w:vMerge w:val="continue"/>
            <w:vAlign w:val="center"/>
          </w:tcPr>
          <w:p w14:paraId="25F64D23">
            <w:pPr>
              <w:pStyle w:val="152"/>
              <w:adjustRightInd w:val="0"/>
              <w:snapToGrid w:val="0"/>
              <w:jc w:val="center"/>
              <w:rPr>
                <w:rFonts w:hint="default" w:ascii="Times New Roman" w:hAnsi="Times New Roman" w:eastAsia="宋体" w:cs="Times New Roman"/>
                <w:snapToGrid w:val="0"/>
                <w:color w:val="auto"/>
                <w:highlight w:val="none"/>
              </w:rPr>
            </w:pPr>
          </w:p>
        </w:tc>
        <w:tc>
          <w:tcPr>
            <w:tcW w:w="626" w:type="pct"/>
            <w:vAlign w:val="center"/>
          </w:tcPr>
          <w:p w14:paraId="508A913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26" w:type="pct"/>
            <w:vAlign w:val="center"/>
          </w:tcPr>
          <w:p w14:paraId="3D7F1964">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107" w:type="pct"/>
            <w:vMerge w:val="continue"/>
            <w:vAlign w:val="center"/>
          </w:tcPr>
          <w:p w14:paraId="433A6688">
            <w:pPr>
              <w:pStyle w:val="152"/>
              <w:adjustRightInd w:val="0"/>
              <w:snapToGrid w:val="0"/>
              <w:jc w:val="center"/>
              <w:rPr>
                <w:rFonts w:hint="default" w:ascii="Times New Roman" w:hAnsi="Times New Roman" w:eastAsia="宋体" w:cs="Times New Roman"/>
                <w:snapToGrid w:val="0"/>
                <w:color w:val="auto"/>
                <w:highlight w:val="none"/>
              </w:rPr>
            </w:pPr>
          </w:p>
        </w:tc>
      </w:tr>
      <w:bookmarkEnd w:id="1182"/>
      <w:tr w14:paraId="1841D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256" w:type="pct"/>
            <w:vMerge w:val="restart"/>
            <w:vAlign w:val="center"/>
          </w:tcPr>
          <w:p w14:paraId="2A7CF298">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环境空气</w:t>
            </w:r>
          </w:p>
        </w:tc>
        <w:tc>
          <w:tcPr>
            <w:tcW w:w="642" w:type="pct"/>
            <w:vMerge w:val="restart"/>
            <w:shd w:val="clear" w:color="auto" w:fill="auto"/>
            <w:vAlign w:val="center"/>
          </w:tcPr>
          <w:p w14:paraId="269C8F8E">
            <w:pPr>
              <w:pStyle w:val="152"/>
              <w:adjustRightInd w:val="0"/>
              <w:snapToGrid w:val="0"/>
              <w:jc w:val="center"/>
              <w:rPr>
                <w:rFonts w:hint="default"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sz w:val="21"/>
                <w:szCs w:val="21"/>
                <w:highlight w:val="none"/>
                <w:lang w:val="en-US" w:eastAsia="zh-CN"/>
              </w:rPr>
              <w:t>猪舍</w:t>
            </w:r>
          </w:p>
        </w:tc>
        <w:tc>
          <w:tcPr>
            <w:tcW w:w="468" w:type="pct"/>
            <w:shd w:val="clear" w:color="auto" w:fill="auto"/>
            <w:vAlign w:val="center"/>
          </w:tcPr>
          <w:p w14:paraId="4F9A2CE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272" w:type="pct"/>
            <w:vMerge w:val="restart"/>
            <w:shd w:val="clear" w:color="auto" w:fill="auto"/>
            <w:vAlign w:val="center"/>
          </w:tcPr>
          <w:p w14:paraId="69C51275">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1 \* GB3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①</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在日粮中添加EM菌，</w:t>
            </w:r>
            <w:r>
              <w:rPr>
                <w:rFonts w:hint="default" w:ascii="Times New Roman" w:hAnsi="Times New Roman" w:eastAsia="宋体" w:cs="Times New Roman"/>
                <w:snapToGrid w:val="0"/>
                <w:color w:val="auto"/>
                <w:sz w:val="21"/>
                <w:szCs w:val="21"/>
                <w:highlight w:val="none"/>
                <w:lang w:val="en-US"/>
              </w:rPr>
              <w:t>NH</w:t>
            </w:r>
            <w:r>
              <w:rPr>
                <w:rFonts w:hint="default" w:ascii="Times New Roman" w:hAnsi="Times New Roman" w:eastAsia="宋体" w:cs="Times New Roman"/>
                <w:snapToGrid w:val="0"/>
                <w:color w:val="auto"/>
                <w:sz w:val="21"/>
                <w:szCs w:val="21"/>
                <w:highlight w:val="none"/>
                <w:vertAlign w:val="subscript"/>
                <w:lang w:val="en-US"/>
              </w:rPr>
              <w:t>3</w:t>
            </w:r>
            <w:r>
              <w:rPr>
                <w:rFonts w:hint="default" w:ascii="Times New Roman" w:hAnsi="Times New Roman" w:eastAsia="宋体" w:cs="Times New Roman"/>
                <w:snapToGrid w:val="0"/>
                <w:color w:val="auto"/>
                <w:sz w:val="21"/>
                <w:szCs w:val="21"/>
                <w:highlight w:val="none"/>
                <w:lang w:val="en-US"/>
              </w:rPr>
              <w:t>的去除率为</w:t>
            </w:r>
            <w:r>
              <w:rPr>
                <w:rFonts w:hint="default" w:ascii="Times New Roman" w:hAnsi="Times New Roman" w:eastAsia="宋体" w:cs="Times New Roman"/>
                <w:snapToGrid w:val="0"/>
                <w:color w:val="auto"/>
                <w:sz w:val="21"/>
                <w:szCs w:val="21"/>
                <w:highlight w:val="none"/>
                <w:lang w:val="en-US" w:eastAsia="zh-CN"/>
              </w:rPr>
              <w:t>72.5</w:t>
            </w:r>
            <w:r>
              <w:rPr>
                <w:rFonts w:hint="default" w:ascii="Times New Roman" w:hAnsi="Times New Roman" w:eastAsia="宋体" w:cs="Times New Roman"/>
                <w:snapToGrid w:val="0"/>
                <w:color w:val="auto"/>
                <w:sz w:val="21"/>
                <w:szCs w:val="21"/>
                <w:highlight w:val="none"/>
                <w:lang w:val="en-US"/>
              </w:rPr>
              <w:t>%</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val="en-US"/>
              </w:rPr>
              <w:t>H</w:t>
            </w:r>
            <w:r>
              <w:rPr>
                <w:rFonts w:hint="default" w:ascii="Times New Roman" w:hAnsi="Times New Roman" w:eastAsia="宋体" w:cs="Times New Roman"/>
                <w:snapToGrid w:val="0"/>
                <w:color w:val="auto"/>
                <w:sz w:val="21"/>
                <w:szCs w:val="21"/>
                <w:highlight w:val="none"/>
                <w:vertAlign w:val="subscript"/>
                <w:lang w:val="en-US"/>
              </w:rPr>
              <w:t>2</w:t>
            </w:r>
            <w:r>
              <w:rPr>
                <w:rFonts w:hint="default" w:ascii="Times New Roman" w:hAnsi="Times New Roman" w:eastAsia="宋体" w:cs="Times New Roman"/>
                <w:snapToGrid w:val="0"/>
                <w:color w:val="auto"/>
                <w:sz w:val="21"/>
                <w:szCs w:val="21"/>
                <w:highlight w:val="none"/>
                <w:lang w:val="en-US"/>
              </w:rPr>
              <w:t>S的去除率为</w:t>
            </w:r>
            <w:r>
              <w:rPr>
                <w:rFonts w:hint="default" w:ascii="Times New Roman" w:hAnsi="Times New Roman" w:eastAsia="宋体" w:cs="Times New Roman"/>
                <w:snapToGrid w:val="0"/>
                <w:color w:val="auto"/>
                <w:sz w:val="21"/>
                <w:szCs w:val="21"/>
                <w:highlight w:val="none"/>
                <w:lang w:val="en-US" w:eastAsia="zh-CN"/>
              </w:rPr>
              <w:t>81.5</w:t>
            </w:r>
            <w:r>
              <w:rPr>
                <w:rFonts w:hint="default" w:ascii="Times New Roman" w:hAnsi="Times New Roman" w:eastAsia="宋体" w:cs="Times New Roman"/>
                <w:snapToGrid w:val="0"/>
                <w:color w:val="auto"/>
                <w:sz w:val="21"/>
                <w:szCs w:val="21"/>
                <w:highlight w:val="none"/>
                <w:lang w:val="en-US"/>
              </w:rPr>
              <w:t>%</w:t>
            </w:r>
            <w:r>
              <w:rPr>
                <w:rFonts w:hint="default" w:ascii="Times New Roman" w:hAnsi="Times New Roman" w:eastAsia="宋体" w:cs="Times New Roman"/>
                <w:snapToGrid w:val="0"/>
                <w:color w:val="auto"/>
                <w:sz w:val="21"/>
                <w:szCs w:val="21"/>
                <w:highlight w:val="none"/>
              </w:rPr>
              <w:t>；</w:t>
            </w:r>
          </w:p>
          <w:p w14:paraId="6AEAC067">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2 \* GB3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②</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在</w:t>
            </w:r>
            <w:r>
              <w:rPr>
                <w:rFonts w:hint="default" w:ascii="Times New Roman" w:hAnsi="Times New Roman" w:eastAsia="宋体" w:cs="Times New Roman"/>
                <w:snapToGrid w:val="0"/>
                <w:color w:val="auto"/>
                <w:sz w:val="21"/>
                <w:szCs w:val="21"/>
                <w:highlight w:val="none"/>
                <w:lang w:val="en-US" w:eastAsia="zh-CN"/>
              </w:rPr>
              <w:t>猪舍</w:t>
            </w:r>
            <w:r>
              <w:rPr>
                <w:rFonts w:hint="default" w:ascii="Times New Roman" w:hAnsi="Times New Roman" w:eastAsia="宋体" w:cs="Times New Roman"/>
                <w:snapToGrid w:val="0"/>
                <w:color w:val="auto"/>
                <w:sz w:val="21"/>
                <w:szCs w:val="21"/>
                <w:highlight w:val="none"/>
              </w:rPr>
              <w:t>喷洒</w:t>
            </w:r>
            <w:r>
              <w:rPr>
                <w:rFonts w:hint="default" w:ascii="Times New Roman" w:hAnsi="Times New Roman" w:eastAsia="宋体" w:cs="Times New Roman"/>
                <w:snapToGrid w:val="0"/>
                <w:color w:val="auto"/>
                <w:sz w:val="21"/>
                <w:szCs w:val="21"/>
                <w:highlight w:val="none"/>
                <w:lang w:val="en-US" w:eastAsia="zh-CN"/>
              </w:rPr>
              <w:t>生物除臭剂</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val="en-US"/>
              </w:rPr>
              <w:t>NH</w:t>
            </w:r>
            <w:r>
              <w:rPr>
                <w:rFonts w:hint="default" w:ascii="Times New Roman" w:hAnsi="Times New Roman" w:eastAsia="宋体" w:cs="Times New Roman"/>
                <w:snapToGrid w:val="0"/>
                <w:color w:val="auto"/>
                <w:sz w:val="21"/>
                <w:szCs w:val="21"/>
                <w:highlight w:val="none"/>
                <w:vertAlign w:val="subscript"/>
                <w:lang w:val="en-US"/>
              </w:rPr>
              <w:t>3</w:t>
            </w:r>
            <w:r>
              <w:rPr>
                <w:rFonts w:hint="default" w:ascii="Times New Roman" w:hAnsi="Times New Roman" w:eastAsia="宋体" w:cs="Times New Roman"/>
                <w:snapToGrid w:val="0"/>
                <w:color w:val="auto"/>
                <w:sz w:val="21"/>
                <w:szCs w:val="21"/>
                <w:highlight w:val="none"/>
                <w:lang w:val="en-US"/>
              </w:rPr>
              <w:t>的去除率为</w:t>
            </w:r>
            <w:r>
              <w:rPr>
                <w:rFonts w:hint="default" w:ascii="Times New Roman" w:hAnsi="Times New Roman" w:eastAsia="宋体" w:cs="Times New Roman"/>
                <w:snapToGrid w:val="0"/>
                <w:color w:val="auto"/>
                <w:sz w:val="21"/>
                <w:szCs w:val="21"/>
                <w:highlight w:val="none"/>
                <w:lang w:val="en-US" w:eastAsia="zh-CN"/>
              </w:rPr>
              <w:t>92.6</w:t>
            </w:r>
            <w:r>
              <w:rPr>
                <w:rFonts w:hint="default" w:ascii="Times New Roman" w:hAnsi="Times New Roman" w:eastAsia="宋体" w:cs="Times New Roman"/>
                <w:snapToGrid w:val="0"/>
                <w:color w:val="auto"/>
                <w:sz w:val="21"/>
                <w:szCs w:val="21"/>
                <w:highlight w:val="none"/>
                <w:lang w:val="en-US"/>
              </w:rPr>
              <w:t>%，H</w:t>
            </w:r>
            <w:r>
              <w:rPr>
                <w:rFonts w:hint="default" w:ascii="Times New Roman" w:hAnsi="Times New Roman" w:eastAsia="宋体" w:cs="Times New Roman"/>
                <w:snapToGrid w:val="0"/>
                <w:color w:val="auto"/>
                <w:sz w:val="21"/>
                <w:szCs w:val="21"/>
                <w:highlight w:val="none"/>
                <w:vertAlign w:val="subscript"/>
                <w:lang w:val="en-US"/>
              </w:rPr>
              <w:t>2</w:t>
            </w:r>
            <w:r>
              <w:rPr>
                <w:rFonts w:hint="default" w:ascii="Times New Roman" w:hAnsi="Times New Roman" w:eastAsia="宋体" w:cs="Times New Roman"/>
                <w:snapToGrid w:val="0"/>
                <w:color w:val="auto"/>
                <w:sz w:val="21"/>
                <w:szCs w:val="21"/>
                <w:highlight w:val="none"/>
                <w:lang w:val="en-US"/>
              </w:rPr>
              <w:t>S的去除率为</w:t>
            </w: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lang w:val="en-US"/>
              </w:rPr>
              <w:t>%</w:t>
            </w:r>
            <w:r>
              <w:rPr>
                <w:rFonts w:hint="eastAsia" w:ascii="Times New Roman" w:hAnsi="Times New Roman" w:cs="Times New Roman"/>
                <w:snapToGrid w:val="0"/>
                <w:color w:val="auto"/>
                <w:sz w:val="21"/>
                <w:szCs w:val="21"/>
                <w:highlight w:val="none"/>
                <w:lang w:val="en-US" w:eastAsia="zh-CN"/>
              </w:rPr>
              <w:t>。</w:t>
            </w:r>
          </w:p>
        </w:tc>
        <w:tc>
          <w:tcPr>
            <w:tcW w:w="626" w:type="pct"/>
            <w:shd w:val="clear" w:color="auto" w:fill="auto"/>
            <w:vAlign w:val="center"/>
          </w:tcPr>
          <w:p w14:paraId="492A416E">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bidi="ar"/>
              </w:rPr>
              <w:t>1.5</w:t>
            </w:r>
            <w:r>
              <w:rPr>
                <w:rFonts w:hint="eastAsia" w:ascii="Times New Roman" w:hAnsi="Times New Roman" w:cs="Times New Roman"/>
                <w:snapToGrid w:val="0"/>
                <w:color w:val="auto"/>
                <w:sz w:val="21"/>
                <w:szCs w:val="21"/>
                <w:highlight w:val="none"/>
                <w:lang w:val="en-US" w:eastAsia="zh-CN"/>
              </w:rPr>
              <w:t>mg/m</w:t>
            </w:r>
            <w:r>
              <w:rPr>
                <w:rFonts w:hint="eastAsia" w:ascii="Times New Roman" w:hAnsi="Times New Roman" w:cs="Times New Roman"/>
                <w:snapToGrid w:val="0"/>
                <w:color w:val="auto"/>
                <w:sz w:val="21"/>
                <w:szCs w:val="21"/>
                <w:highlight w:val="none"/>
                <w:vertAlign w:val="superscript"/>
                <w:lang w:val="en-US" w:eastAsia="zh-CN"/>
              </w:rPr>
              <w:t>3</w:t>
            </w:r>
          </w:p>
        </w:tc>
        <w:tc>
          <w:tcPr>
            <w:tcW w:w="626" w:type="pct"/>
            <w:shd w:val="clear" w:color="auto" w:fill="auto"/>
            <w:vAlign w:val="center"/>
          </w:tcPr>
          <w:p w14:paraId="5359EF93">
            <w:pPr>
              <w:pStyle w:val="152"/>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sz w:val="21"/>
                <w:szCs w:val="21"/>
                <w:highlight w:val="none"/>
                <w:lang w:val="en-US" w:eastAsia="zh-CN"/>
              </w:rPr>
              <w:t>0.0177</w:t>
            </w:r>
            <w:r>
              <w:rPr>
                <w:rFonts w:hint="default" w:ascii="Times New Roman" w:hAnsi="Times New Roman" w:eastAsia="宋体" w:cs="Times New Roman"/>
                <w:snapToGrid w:val="0"/>
                <w:color w:val="auto"/>
                <w:sz w:val="21"/>
                <w:szCs w:val="21"/>
                <w:highlight w:val="none"/>
              </w:rPr>
              <w:t>kg/h</w:t>
            </w:r>
          </w:p>
        </w:tc>
        <w:tc>
          <w:tcPr>
            <w:tcW w:w="1107" w:type="pct"/>
            <w:vMerge w:val="restart"/>
            <w:vAlign w:val="center"/>
          </w:tcPr>
          <w:p w14:paraId="348EC7CF">
            <w:pPr>
              <w:pStyle w:val="152"/>
              <w:adjustRightInd w:val="0"/>
              <w:snapToGrid w:val="0"/>
              <w:jc w:val="center"/>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运营期恶臭污染物H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lang w:val="en-US" w:eastAsia="zh-CN"/>
              </w:rPr>
              <w:t>3</w:t>
            </w:r>
            <w:r>
              <w:rPr>
                <w:rFonts w:hint="default" w:ascii="Times New Roman" w:hAnsi="Times New Roman" w:eastAsia="宋体" w:cs="Times New Roman"/>
                <w:snapToGrid w:val="0"/>
                <w:color w:val="auto"/>
                <w:highlight w:val="none"/>
                <w:lang w:val="en-US" w:eastAsia="zh-CN"/>
              </w:rPr>
              <w:t>有</w:t>
            </w:r>
            <w:r>
              <w:rPr>
                <w:rFonts w:hint="default" w:ascii="Times New Roman" w:hAnsi="Times New Roman" w:eastAsia="宋体" w:cs="Times New Roman"/>
                <w:snapToGrid w:val="0"/>
                <w:color w:val="auto"/>
                <w:highlight w:val="none"/>
              </w:rPr>
              <w:t>组织排放浓度执行《恶臭污染物排放标准》（GB14554-93）表</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中</w:t>
            </w:r>
            <w:r>
              <w:rPr>
                <w:rFonts w:hint="default" w:ascii="Times New Roman" w:hAnsi="Times New Roman" w:eastAsia="宋体" w:cs="Times New Roman"/>
                <w:snapToGrid w:val="0"/>
                <w:color w:val="auto"/>
                <w:highlight w:val="none"/>
                <w:lang w:val="en-US" w:eastAsia="zh-CN"/>
              </w:rPr>
              <w:t>恶臭污染物排放标准限值</w:t>
            </w:r>
            <w:r>
              <w:rPr>
                <w:rFonts w:hint="default" w:ascii="Times New Roman" w:hAnsi="Times New Roman" w:eastAsia="宋体" w:cs="Times New Roman"/>
                <w:snapToGrid w:val="0"/>
                <w:color w:val="auto"/>
                <w:highlight w:val="none"/>
              </w:rPr>
              <w:t>；运营期恶臭污染物H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无组织排放浓度执行《恶臭污染物排放标准》（GB14554-93）表1中二级新扩改建标准限值；</w:t>
            </w:r>
            <w:r>
              <w:rPr>
                <w:rFonts w:hint="default" w:ascii="Times New Roman" w:hAnsi="Times New Roman" w:eastAsia="宋体" w:cs="Times New Roman"/>
                <w:snapToGrid w:val="0"/>
                <w:color w:val="auto"/>
                <w:highlight w:val="none"/>
                <w:lang w:val="en-US" w:eastAsia="zh-CN"/>
              </w:rPr>
              <w:t>颗粒物执行《大气污染物综合排放标准》（GB16297-1996）表2颗粒物无组织排放限值；</w:t>
            </w:r>
            <w:r>
              <w:rPr>
                <w:rFonts w:hint="default" w:ascii="Times New Roman" w:hAnsi="Times New Roman" w:eastAsia="宋体" w:cs="Times New Roman"/>
                <w:snapToGrid w:val="0"/>
                <w:color w:val="auto"/>
                <w:highlight w:val="none"/>
              </w:rPr>
              <w:t>臭气浓度执行《畜禽养殖业污染物排放标准》（GB18596-2001）表7中集约化畜禽养殖业恶臭污染物排放标准</w:t>
            </w:r>
          </w:p>
        </w:tc>
      </w:tr>
      <w:tr w14:paraId="001E3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7FB43C6B">
            <w:pPr>
              <w:pStyle w:val="152"/>
              <w:adjustRightInd w:val="0"/>
              <w:snapToGrid w:val="0"/>
              <w:jc w:val="center"/>
              <w:rPr>
                <w:rFonts w:hint="default" w:ascii="Times New Roman" w:hAnsi="Times New Roman" w:eastAsia="宋体" w:cs="Times New Roman"/>
                <w:snapToGrid w:val="0"/>
                <w:color w:val="auto"/>
                <w:highlight w:val="none"/>
              </w:rPr>
            </w:pPr>
          </w:p>
        </w:tc>
        <w:tc>
          <w:tcPr>
            <w:tcW w:w="642" w:type="pct"/>
            <w:vMerge w:val="continue"/>
            <w:shd w:val="clear" w:color="auto" w:fill="auto"/>
            <w:vAlign w:val="center"/>
          </w:tcPr>
          <w:p w14:paraId="4546B406">
            <w:pPr>
              <w:pStyle w:val="152"/>
              <w:adjustRightInd w:val="0"/>
              <w:snapToGrid w:val="0"/>
              <w:jc w:val="center"/>
              <w:rPr>
                <w:rFonts w:hint="default" w:ascii="Times New Roman" w:hAnsi="Times New Roman" w:eastAsia="宋体" w:cs="Times New Roman"/>
                <w:snapToGrid w:val="0"/>
                <w:color w:val="auto"/>
                <w:highlight w:val="none"/>
              </w:rPr>
            </w:pPr>
          </w:p>
        </w:tc>
        <w:tc>
          <w:tcPr>
            <w:tcW w:w="468" w:type="pct"/>
            <w:shd w:val="clear" w:color="auto" w:fill="auto"/>
            <w:vAlign w:val="center"/>
          </w:tcPr>
          <w:p w14:paraId="5B47AC46">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272" w:type="pct"/>
            <w:vMerge w:val="continue"/>
            <w:shd w:val="clear" w:color="auto" w:fill="auto"/>
            <w:vAlign w:val="center"/>
          </w:tcPr>
          <w:p w14:paraId="3EF6100D">
            <w:pPr>
              <w:pStyle w:val="152"/>
              <w:adjustRightInd w:val="0"/>
              <w:snapToGrid w:val="0"/>
              <w:jc w:val="center"/>
              <w:rPr>
                <w:rFonts w:hint="default" w:ascii="Times New Roman" w:hAnsi="Times New Roman" w:eastAsia="宋体" w:cs="Times New Roman"/>
                <w:snapToGrid w:val="0"/>
                <w:color w:val="auto"/>
                <w:highlight w:val="none"/>
              </w:rPr>
            </w:pPr>
          </w:p>
        </w:tc>
        <w:tc>
          <w:tcPr>
            <w:tcW w:w="626" w:type="pct"/>
            <w:shd w:val="clear" w:color="auto" w:fill="auto"/>
            <w:vAlign w:val="center"/>
          </w:tcPr>
          <w:p w14:paraId="0AE8356E">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bidi="ar"/>
              </w:rPr>
              <w:t>0.0</w:t>
            </w:r>
            <w:r>
              <w:rPr>
                <w:rFonts w:hint="default" w:ascii="Times New Roman" w:hAnsi="Times New Roman" w:eastAsia="宋体" w:cs="Times New Roman"/>
                <w:snapToGrid w:val="0"/>
                <w:color w:val="auto"/>
                <w:sz w:val="21"/>
                <w:szCs w:val="21"/>
                <w:highlight w:val="none"/>
                <w:lang w:val="en-US" w:eastAsia="zh-CN" w:bidi="ar"/>
              </w:rPr>
              <w:t>3</w:t>
            </w:r>
            <w:r>
              <w:rPr>
                <w:rFonts w:hint="eastAsia" w:ascii="Times New Roman" w:hAnsi="Times New Roman" w:cs="Times New Roman"/>
                <w:snapToGrid w:val="0"/>
                <w:color w:val="auto"/>
                <w:sz w:val="21"/>
                <w:szCs w:val="21"/>
                <w:highlight w:val="none"/>
                <w:lang w:val="en-US" w:eastAsia="zh-CN"/>
              </w:rPr>
              <w:t>mg/m</w:t>
            </w:r>
            <w:r>
              <w:rPr>
                <w:rFonts w:hint="eastAsia" w:ascii="Times New Roman" w:hAnsi="Times New Roman" w:cs="Times New Roman"/>
                <w:snapToGrid w:val="0"/>
                <w:color w:val="auto"/>
                <w:sz w:val="21"/>
                <w:szCs w:val="21"/>
                <w:highlight w:val="none"/>
                <w:vertAlign w:val="superscript"/>
                <w:lang w:val="en-US" w:eastAsia="zh-CN"/>
              </w:rPr>
              <w:t>3</w:t>
            </w:r>
          </w:p>
        </w:tc>
        <w:tc>
          <w:tcPr>
            <w:tcW w:w="626" w:type="pct"/>
            <w:shd w:val="clear" w:color="auto" w:fill="auto"/>
            <w:vAlign w:val="center"/>
          </w:tcPr>
          <w:p w14:paraId="728A050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kern w:val="0"/>
                <w:sz w:val="21"/>
                <w:szCs w:val="24"/>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0.0025</w:t>
            </w:r>
            <w:r>
              <w:rPr>
                <w:rFonts w:hint="default" w:ascii="Times New Roman" w:hAnsi="Times New Roman" w:eastAsia="宋体" w:cs="Times New Roman"/>
                <w:snapToGrid w:val="0"/>
                <w:color w:val="auto"/>
                <w:sz w:val="21"/>
                <w:szCs w:val="21"/>
                <w:highlight w:val="none"/>
              </w:rPr>
              <w:t>kg/h</w:t>
            </w:r>
          </w:p>
        </w:tc>
        <w:tc>
          <w:tcPr>
            <w:tcW w:w="1107" w:type="pct"/>
            <w:vMerge w:val="continue"/>
            <w:vAlign w:val="center"/>
          </w:tcPr>
          <w:p w14:paraId="7FC92DB7">
            <w:pPr>
              <w:pStyle w:val="152"/>
              <w:adjustRightInd w:val="0"/>
              <w:snapToGrid w:val="0"/>
              <w:jc w:val="center"/>
              <w:rPr>
                <w:rFonts w:hint="default" w:ascii="Times New Roman" w:hAnsi="Times New Roman" w:eastAsia="宋体" w:cs="Times New Roman"/>
                <w:snapToGrid w:val="0"/>
                <w:color w:val="auto"/>
                <w:highlight w:val="none"/>
              </w:rPr>
            </w:pPr>
          </w:p>
        </w:tc>
      </w:tr>
      <w:tr w14:paraId="5608CB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256" w:type="pct"/>
            <w:vMerge w:val="continue"/>
            <w:vAlign w:val="center"/>
          </w:tcPr>
          <w:p w14:paraId="37E5665F">
            <w:pPr>
              <w:pStyle w:val="152"/>
              <w:adjustRightInd w:val="0"/>
              <w:snapToGrid w:val="0"/>
              <w:jc w:val="center"/>
              <w:rPr>
                <w:rFonts w:hint="default" w:ascii="Times New Roman" w:hAnsi="Times New Roman" w:eastAsia="宋体" w:cs="Times New Roman"/>
                <w:snapToGrid w:val="0"/>
                <w:color w:val="auto"/>
                <w:highlight w:val="none"/>
              </w:rPr>
            </w:pPr>
          </w:p>
        </w:tc>
        <w:tc>
          <w:tcPr>
            <w:tcW w:w="642" w:type="pct"/>
            <w:vMerge w:val="restart"/>
            <w:vAlign w:val="center"/>
          </w:tcPr>
          <w:p w14:paraId="076DF59D">
            <w:pPr>
              <w:pStyle w:val="152"/>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sz w:val="21"/>
                <w:szCs w:val="21"/>
                <w:highlight w:val="none"/>
                <w:lang w:eastAsia="zh-CN"/>
              </w:rPr>
              <w:t>干粪堆积场</w:t>
            </w:r>
          </w:p>
        </w:tc>
        <w:tc>
          <w:tcPr>
            <w:tcW w:w="468" w:type="pct"/>
            <w:vAlign w:val="center"/>
          </w:tcPr>
          <w:p w14:paraId="0F542D03">
            <w:pPr>
              <w:pStyle w:val="152"/>
              <w:adjustRightInd w:val="0"/>
              <w:snapToGrid w:val="0"/>
              <w:ind w:left="0" w:leftChars="0" w:firstLine="0" w:firstLineChars="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272" w:type="pct"/>
            <w:vMerge w:val="restart"/>
            <w:vAlign w:val="center"/>
          </w:tcPr>
          <w:p w14:paraId="0771608D">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highlight w:val="none"/>
                <w:lang w:eastAsia="zh-CN"/>
              </w:rPr>
              <w:t>恶臭</w:t>
            </w:r>
            <w:r>
              <w:rPr>
                <w:rFonts w:hint="eastAsia" w:ascii="Times New Roman" w:hAnsi="Times New Roman" w:cs="Times New Roman"/>
                <w:snapToGrid w:val="0"/>
                <w:color w:val="auto"/>
                <w:highlight w:val="none"/>
                <w:lang w:val="en-US" w:eastAsia="zh-CN"/>
              </w:rPr>
              <w:t>气体</w:t>
            </w:r>
            <w:r>
              <w:rPr>
                <w:rFonts w:hint="default" w:ascii="Times New Roman" w:hAnsi="Times New Roman" w:cs="Times New Roman"/>
                <w:snapToGrid w:val="0"/>
                <w:color w:val="auto"/>
                <w:highlight w:val="none"/>
                <w:lang w:eastAsia="zh-CN"/>
              </w:rPr>
              <w:t>采用负压收集后（收集效率90%）进入活性炭吸附装置净化处理后（处理效率90%）经15米高排气筒排放，废气量为</w:t>
            </w:r>
            <w:r>
              <w:rPr>
                <w:rFonts w:hint="eastAsia" w:ascii="Times New Roman" w:hAnsi="Times New Roman" w:cs="Times New Roman"/>
                <w:snapToGrid w:val="0"/>
                <w:color w:val="auto"/>
                <w:highlight w:val="none"/>
                <w:lang w:eastAsia="zh-CN"/>
              </w:rPr>
              <w:t>5000</w:t>
            </w:r>
            <w:r>
              <w:rPr>
                <w:rFonts w:hint="default" w:ascii="Times New Roman" w:hAnsi="Times New Roman" w:cs="Times New Roman"/>
                <w:snapToGrid w:val="0"/>
                <w:color w:val="auto"/>
                <w:highlight w:val="none"/>
                <w:lang w:eastAsia="zh-CN"/>
              </w:rPr>
              <w:t>m</w:t>
            </w:r>
            <w:r>
              <w:rPr>
                <w:rFonts w:hint="default" w:ascii="Times New Roman" w:hAnsi="Times New Roman" w:cs="Times New Roman"/>
                <w:snapToGrid w:val="0"/>
                <w:color w:val="auto"/>
                <w:highlight w:val="none"/>
                <w:vertAlign w:val="superscript"/>
                <w:lang w:eastAsia="zh-CN"/>
              </w:rPr>
              <w:t>3</w:t>
            </w:r>
            <w:r>
              <w:rPr>
                <w:rFonts w:hint="default" w:ascii="Times New Roman" w:hAnsi="Times New Roman" w:cs="Times New Roman"/>
                <w:snapToGrid w:val="0"/>
                <w:color w:val="auto"/>
                <w:highlight w:val="none"/>
                <w:lang w:eastAsia="zh-CN"/>
              </w:rPr>
              <w:t>/h</w:t>
            </w:r>
            <w:r>
              <w:rPr>
                <w:rFonts w:hint="eastAsia" w:ascii="Times New Roman" w:hAnsi="Times New Roman" w:cs="Times New Roman"/>
                <w:snapToGrid w:val="0"/>
                <w:color w:val="auto"/>
                <w:sz w:val="21"/>
                <w:szCs w:val="21"/>
                <w:highlight w:val="none"/>
                <w:lang w:val="en-US" w:eastAsia="zh-CN"/>
              </w:rPr>
              <w:t>。</w:t>
            </w:r>
          </w:p>
        </w:tc>
        <w:tc>
          <w:tcPr>
            <w:tcW w:w="626" w:type="pct"/>
            <w:vAlign w:val="center"/>
          </w:tcPr>
          <w:p w14:paraId="63BCEE71">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
              </w:rPr>
              <w:t>4.9</w:t>
            </w:r>
            <w:r>
              <w:rPr>
                <w:rFonts w:hint="default" w:ascii="Times New Roman" w:hAnsi="Times New Roman" w:eastAsia="宋体" w:cs="Times New Roman"/>
                <w:snapToGrid w:val="0"/>
                <w:color w:val="auto"/>
                <w:sz w:val="21"/>
                <w:szCs w:val="21"/>
                <w:highlight w:val="none"/>
              </w:rPr>
              <w:t>kg/h</w:t>
            </w:r>
          </w:p>
        </w:tc>
        <w:tc>
          <w:tcPr>
            <w:tcW w:w="626" w:type="pct"/>
            <w:vAlign w:val="center"/>
          </w:tcPr>
          <w:p w14:paraId="52B63FE2">
            <w:pPr>
              <w:widowControl w:val="0"/>
              <w:adjustRightInd w:val="0"/>
              <w:snapToGrid w:val="0"/>
              <w:spacing w:line="240" w:lineRule="auto"/>
              <w:ind w:left="0" w:leftChars="0" w:firstLine="0" w:firstLineChars="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0.00735</w:t>
            </w:r>
            <w:r>
              <w:rPr>
                <w:rFonts w:hint="default" w:ascii="Times New Roman" w:hAnsi="Times New Roman" w:eastAsia="宋体" w:cs="Times New Roman"/>
                <w:snapToGrid w:val="0"/>
                <w:color w:val="auto"/>
                <w:sz w:val="21"/>
                <w:szCs w:val="21"/>
                <w:highlight w:val="none"/>
              </w:rPr>
              <w:t>kg/h</w:t>
            </w:r>
          </w:p>
        </w:tc>
        <w:tc>
          <w:tcPr>
            <w:tcW w:w="1107" w:type="pct"/>
            <w:vMerge w:val="continue"/>
            <w:vAlign w:val="center"/>
          </w:tcPr>
          <w:p w14:paraId="069176D4">
            <w:pPr>
              <w:pStyle w:val="152"/>
              <w:adjustRightInd w:val="0"/>
              <w:snapToGrid w:val="0"/>
              <w:jc w:val="center"/>
              <w:rPr>
                <w:rFonts w:hint="default" w:ascii="Times New Roman" w:hAnsi="Times New Roman" w:eastAsia="宋体" w:cs="Times New Roman"/>
                <w:snapToGrid w:val="0"/>
                <w:color w:val="auto"/>
                <w:highlight w:val="none"/>
              </w:rPr>
            </w:pPr>
          </w:p>
        </w:tc>
      </w:tr>
      <w:tr w14:paraId="7C518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256" w:type="pct"/>
            <w:vMerge w:val="continue"/>
            <w:vAlign w:val="center"/>
          </w:tcPr>
          <w:p w14:paraId="11DAFE68">
            <w:pPr>
              <w:pStyle w:val="152"/>
              <w:adjustRightInd w:val="0"/>
              <w:snapToGrid w:val="0"/>
              <w:jc w:val="center"/>
              <w:rPr>
                <w:rFonts w:hint="default" w:ascii="Times New Roman" w:hAnsi="Times New Roman" w:eastAsia="宋体" w:cs="Times New Roman"/>
                <w:snapToGrid w:val="0"/>
                <w:color w:val="auto"/>
                <w:highlight w:val="none"/>
              </w:rPr>
            </w:pPr>
          </w:p>
        </w:tc>
        <w:tc>
          <w:tcPr>
            <w:tcW w:w="642" w:type="pct"/>
            <w:vMerge w:val="continue"/>
            <w:vAlign w:val="center"/>
          </w:tcPr>
          <w:p w14:paraId="58657B54">
            <w:pPr>
              <w:pStyle w:val="152"/>
              <w:adjustRightInd w:val="0"/>
              <w:snapToGrid w:val="0"/>
              <w:jc w:val="center"/>
              <w:rPr>
                <w:rFonts w:hint="eastAsia" w:ascii="Times New Roman" w:hAnsi="Times New Roman" w:cs="Times New Roman"/>
                <w:snapToGrid w:val="0"/>
                <w:color w:val="auto"/>
                <w:sz w:val="21"/>
                <w:szCs w:val="21"/>
                <w:highlight w:val="none"/>
                <w:lang w:eastAsia="zh-CN"/>
              </w:rPr>
            </w:pPr>
          </w:p>
        </w:tc>
        <w:tc>
          <w:tcPr>
            <w:tcW w:w="468" w:type="pct"/>
            <w:vAlign w:val="center"/>
          </w:tcPr>
          <w:p w14:paraId="10DDDAA7">
            <w:pPr>
              <w:pStyle w:val="152"/>
              <w:adjustRightInd w:val="0"/>
              <w:snapToGrid w:val="0"/>
              <w:ind w:left="0" w:leftChars="0" w:firstLine="0" w:firstLineChars="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272" w:type="pct"/>
            <w:vMerge w:val="continue"/>
            <w:vAlign w:val="center"/>
          </w:tcPr>
          <w:p w14:paraId="23192E81">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cs="Times New Roman"/>
                <w:snapToGrid w:val="0"/>
                <w:color w:val="auto"/>
                <w:sz w:val="21"/>
                <w:szCs w:val="21"/>
                <w:highlight w:val="none"/>
                <w:lang w:val="en-US" w:eastAsia="zh-CN"/>
              </w:rPr>
            </w:pPr>
          </w:p>
        </w:tc>
        <w:tc>
          <w:tcPr>
            <w:tcW w:w="626" w:type="pct"/>
            <w:vAlign w:val="center"/>
          </w:tcPr>
          <w:p w14:paraId="6A3A087F">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
              </w:rPr>
              <w:t>0.33</w:t>
            </w:r>
            <w:r>
              <w:rPr>
                <w:rFonts w:hint="default" w:ascii="Times New Roman" w:hAnsi="Times New Roman" w:eastAsia="宋体" w:cs="Times New Roman"/>
                <w:snapToGrid w:val="0"/>
                <w:color w:val="auto"/>
                <w:sz w:val="21"/>
                <w:szCs w:val="21"/>
                <w:highlight w:val="none"/>
              </w:rPr>
              <w:t>kg/h</w:t>
            </w:r>
          </w:p>
        </w:tc>
        <w:tc>
          <w:tcPr>
            <w:tcW w:w="626" w:type="pct"/>
            <w:vAlign w:val="center"/>
          </w:tcPr>
          <w:p w14:paraId="5F5DDE0F">
            <w:pPr>
              <w:widowControl w:val="0"/>
              <w:adjustRightInd w:val="0"/>
              <w:snapToGrid w:val="0"/>
              <w:spacing w:line="240" w:lineRule="auto"/>
              <w:ind w:left="0" w:leftChars="0" w:firstLine="0" w:firstLineChars="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0.000288</w:t>
            </w:r>
            <w:r>
              <w:rPr>
                <w:rFonts w:hint="default" w:ascii="Times New Roman" w:hAnsi="Times New Roman" w:eastAsia="宋体" w:cs="Times New Roman"/>
                <w:snapToGrid w:val="0"/>
                <w:color w:val="auto"/>
                <w:sz w:val="21"/>
                <w:szCs w:val="21"/>
                <w:highlight w:val="none"/>
              </w:rPr>
              <w:t>kg/h</w:t>
            </w:r>
          </w:p>
        </w:tc>
        <w:tc>
          <w:tcPr>
            <w:tcW w:w="1107" w:type="pct"/>
            <w:vMerge w:val="continue"/>
            <w:vAlign w:val="center"/>
          </w:tcPr>
          <w:p w14:paraId="76FC9E73">
            <w:pPr>
              <w:pStyle w:val="152"/>
              <w:adjustRightInd w:val="0"/>
              <w:snapToGrid w:val="0"/>
              <w:jc w:val="center"/>
              <w:rPr>
                <w:rFonts w:hint="default" w:ascii="Times New Roman" w:hAnsi="Times New Roman" w:eastAsia="宋体" w:cs="Times New Roman"/>
                <w:snapToGrid w:val="0"/>
                <w:color w:val="auto"/>
                <w:highlight w:val="none"/>
              </w:rPr>
            </w:pPr>
          </w:p>
        </w:tc>
      </w:tr>
      <w:tr w14:paraId="0AA50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7" w:hRule="atLeast"/>
        </w:trPr>
        <w:tc>
          <w:tcPr>
            <w:tcW w:w="256" w:type="pct"/>
            <w:vMerge w:val="continue"/>
            <w:vAlign w:val="center"/>
          </w:tcPr>
          <w:p w14:paraId="032F4362">
            <w:pPr>
              <w:pStyle w:val="152"/>
              <w:adjustRightInd w:val="0"/>
              <w:snapToGrid w:val="0"/>
              <w:jc w:val="center"/>
              <w:rPr>
                <w:rFonts w:hint="default" w:ascii="Times New Roman" w:hAnsi="Times New Roman" w:eastAsia="宋体" w:cs="Times New Roman"/>
                <w:snapToGrid w:val="0"/>
                <w:color w:val="auto"/>
                <w:highlight w:val="none"/>
              </w:rPr>
            </w:pPr>
          </w:p>
        </w:tc>
        <w:tc>
          <w:tcPr>
            <w:tcW w:w="642" w:type="pct"/>
            <w:vMerge w:val="continue"/>
            <w:vAlign w:val="center"/>
          </w:tcPr>
          <w:p w14:paraId="06283124">
            <w:pPr>
              <w:pStyle w:val="152"/>
              <w:adjustRightInd w:val="0"/>
              <w:snapToGrid w:val="0"/>
              <w:jc w:val="center"/>
              <w:rPr>
                <w:rFonts w:hint="default" w:ascii="Times New Roman" w:hAnsi="Times New Roman" w:eastAsia="宋体" w:cs="Times New Roman"/>
                <w:snapToGrid w:val="0"/>
                <w:color w:val="auto"/>
                <w:highlight w:val="none"/>
              </w:rPr>
            </w:pPr>
          </w:p>
        </w:tc>
        <w:tc>
          <w:tcPr>
            <w:tcW w:w="468" w:type="pct"/>
            <w:vAlign w:val="center"/>
          </w:tcPr>
          <w:p w14:paraId="787F67C9">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272" w:type="pct"/>
            <w:vMerge w:val="restart"/>
            <w:vAlign w:val="center"/>
          </w:tcPr>
          <w:p w14:paraId="739F7423">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lang w:val="en-US" w:eastAsia="zh-CN"/>
              </w:rPr>
              <w:t>定期</w:t>
            </w:r>
            <w:r>
              <w:rPr>
                <w:rFonts w:hint="default" w:ascii="Times New Roman" w:hAnsi="Times New Roman" w:cs="Times New Roman"/>
                <w:snapToGrid w:val="0"/>
                <w:color w:val="auto"/>
                <w:highlight w:val="none"/>
                <w:lang w:val="en-US"/>
              </w:rPr>
              <w:t>喷洒微生物除臭剂</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val="en-US"/>
              </w:rPr>
              <w:t>NH</w:t>
            </w:r>
            <w:r>
              <w:rPr>
                <w:rFonts w:hint="default" w:ascii="Times New Roman" w:hAnsi="Times New Roman" w:eastAsia="宋体" w:cs="Times New Roman"/>
                <w:snapToGrid w:val="0"/>
                <w:color w:val="auto"/>
                <w:sz w:val="21"/>
                <w:szCs w:val="21"/>
                <w:highlight w:val="none"/>
                <w:vertAlign w:val="subscript"/>
                <w:lang w:val="en-US"/>
              </w:rPr>
              <w:t>3</w:t>
            </w:r>
            <w:r>
              <w:rPr>
                <w:rFonts w:hint="default" w:ascii="Times New Roman" w:hAnsi="Times New Roman" w:eastAsia="宋体" w:cs="Times New Roman"/>
                <w:snapToGrid w:val="0"/>
                <w:color w:val="auto"/>
                <w:sz w:val="21"/>
                <w:szCs w:val="21"/>
                <w:highlight w:val="none"/>
                <w:lang w:val="en-US"/>
              </w:rPr>
              <w:t>的去除率为</w:t>
            </w:r>
            <w:r>
              <w:rPr>
                <w:rFonts w:hint="default" w:ascii="Times New Roman" w:hAnsi="Times New Roman" w:eastAsia="宋体" w:cs="Times New Roman"/>
                <w:snapToGrid w:val="0"/>
                <w:color w:val="auto"/>
                <w:sz w:val="21"/>
                <w:szCs w:val="21"/>
                <w:highlight w:val="none"/>
                <w:lang w:val="en-US" w:eastAsia="zh-CN"/>
              </w:rPr>
              <w:t>92.6</w:t>
            </w:r>
            <w:r>
              <w:rPr>
                <w:rFonts w:hint="default" w:ascii="Times New Roman" w:hAnsi="Times New Roman" w:eastAsia="宋体" w:cs="Times New Roman"/>
                <w:snapToGrid w:val="0"/>
                <w:color w:val="auto"/>
                <w:sz w:val="21"/>
                <w:szCs w:val="21"/>
                <w:highlight w:val="none"/>
                <w:lang w:val="en-US"/>
              </w:rPr>
              <w:t>%，H</w:t>
            </w:r>
            <w:r>
              <w:rPr>
                <w:rFonts w:hint="default" w:ascii="Times New Roman" w:hAnsi="Times New Roman" w:eastAsia="宋体" w:cs="Times New Roman"/>
                <w:snapToGrid w:val="0"/>
                <w:color w:val="auto"/>
                <w:sz w:val="21"/>
                <w:szCs w:val="21"/>
                <w:highlight w:val="none"/>
                <w:vertAlign w:val="subscript"/>
                <w:lang w:val="en-US"/>
              </w:rPr>
              <w:t>2</w:t>
            </w:r>
            <w:r>
              <w:rPr>
                <w:rFonts w:hint="default" w:ascii="Times New Roman" w:hAnsi="Times New Roman" w:eastAsia="宋体" w:cs="Times New Roman"/>
                <w:snapToGrid w:val="0"/>
                <w:color w:val="auto"/>
                <w:sz w:val="21"/>
                <w:szCs w:val="21"/>
                <w:highlight w:val="none"/>
                <w:lang w:val="en-US"/>
              </w:rPr>
              <w:t>S的去除率为</w:t>
            </w: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lang w:val="en-US"/>
              </w:rPr>
              <w:t>%</w:t>
            </w:r>
            <w:r>
              <w:rPr>
                <w:rFonts w:hint="eastAsia" w:ascii="Times New Roman" w:hAnsi="Times New Roman" w:cs="Times New Roman"/>
                <w:snapToGrid w:val="0"/>
                <w:color w:val="auto"/>
                <w:sz w:val="21"/>
                <w:szCs w:val="21"/>
                <w:highlight w:val="none"/>
                <w:lang w:val="en-US" w:eastAsia="zh-CN"/>
              </w:rPr>
              <w:t>。</w:t>
            </w:r>
          </w:p>
        </w:tc>
        <w:tc>
          <w:tcPr>
            <w:tcW w:w="626" w:type="pct"/>
            <w:vAlign w:val="center"/>
          </w:tcPr>
          <w:p w14:paraId="137E1661">
            <w:pPr>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1"/>
                <w:szCs w:val="21"/>
                <w:highlight w:val="none"/>
                <w:lang w:bidi="ar"/>
              </w:rPr>
              <w:t>1.5</w:t>
            </w:r>
            <w:r>
              <w:rPr>
                <w:rFonts w:hint="eastAsia" w:ascii="Times New Roman" w:hAnsi="Times New Roman" w:cs="Times New Roman"/>
                <w:snapToGrid w:val="0"/>
                <w:color w:val="auto"/>
                <w:sz w:val="21"/>
                <w:szCs w:val="21"/>
                <w:highlight w:val="none"/>
                <w:lang w:val="en-US" w:eastAsia="zh-CN"/>
              </w:rPr>
              <w:t>mg/m</w:t>
            </w:r>
            <w:r>
              <w:rPr>
                <w:rFonts w:hint="eastAsia" w:ascii="Times New Roman" w:hAnsi="Times New Roman" w:cs="Times New Roman"/>
                <w:snapToGrid w:val="0"/>
                <w:color w:val="auto"/>
                <w:sz w:val="21"/>
                <w:szCs w:val="21"/>
                <w:highlight w:val="none"/>
                <w:vertAlign w:val="superscript"/>
                <w:lang w:val="en-US" w:eastAsia="zh-CN"/>
              </w:rPr>
              <w:t>3</w:t>
            </w:r>
          </w:p>
        </w:tc>
        <w:tc>
          <w:tcPr>
            <w:tcW w:w="626" w:type="pct"/>
            <w:vAlign w:val="center"/>
          </w:tcPr>
          <w:p w14:paraId="24F09A9D">
            <w:pPr>
              <w:pStyle w:val="152"/>
              <w:adjustRightInd w:val="0"/>
              <w:snapToGrid w:val="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sz w:val="21"/>
                <w:szCs w:val="21"/>
                <w:highlight w:val="none"/>
                <w:lang w:val="en-US" w:eastAsia="zh-CN"/>
              </w:rPr>
              <w:t>0.00361</w:t>
            </w:r>
            <w:r>
              <w:rPr>
                <w:rFonts w:hint="default" w:ascii="Times New Roman" w:hAnsi="Times New Roman" w:eastAsia="宋体" w:cs="Times New Roman"/>
                <w:snapToGrid w:val="0"/>
                <w:color w:val="auto"/>
                <w:sz w:val="21"/>
                <w:szCs w:val="21"/>
                <w:highlight w:val="none"/>
              </w:rPr>
              <w:t>kg/h</w:t>
            </w:r>
          </w:p>
        </w:tc>
        <w:tc>
          <w:tcPr>
            <w:tcW w:w="1107" w:type="pct"/>
            <w:vMerge w:val="continue"/>
            <w:vAlign w:val="center"/>
          </w:tcPr>
          <w:p w14:paraId="520252A8">
            <w:pPr>
              <w:pStyle w:val="152"/>
              <w:adjustRightInd w:val="0"/>
              <w:snapToGrid w:val="0"/>
              <w:jc w:val="center"/>
              <w:rPr>
                <w:rFonts w:hint="default" w:ascii="Times New Roman" w:hAnsi="Times New Roman" w:eastAsia="宋体" w:cs="Times New Roman"/>
                <w:snapToGrid w:val="0"/>
                <w:color w:val="auto"/>
                <w:highlight w:val="none"/>
              </w:rPr>
            </w:pPr>
          </w:p>
        </w:tc>
      </w:tr>
      <w:tr w14:paraId="12F65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256" w:type="pct"/>
            <w:vMerge w:val="continue"/>
            <w:vAlign w:val="center"/>
          </w:tcPr>
          <w:p w14:paraId="3AD785FE">
            <w:pPr>
              <w:pStyle w:val="152"/>
              <w:adjustRightInd w:val="0"/>
              <w:snapToGrid w:val="0"/>
              <w:jc w:val="center"/>
              <w:rPr>
                <w:rFonts w:hint="default" w:ascii="Times New Roman" w:hAnsi="Times New Roman" w:eastAsia="宋体" w:cs="Times New Roman"/>
                <w:snapToGrid w:val="0"/>
                <w:color w:val="auto"/>
                <w:highlight w:val="none"/>
              </w:rPr>
            </w:pPr>
          </w:p>
        </w:tc>
        <w:tc>
          <w:tcPr>
            <w:tcW w:w="642" w:type="pct"/>
            <w:vMerge w:val="continue"/>
            <w:vAlign w:val="center"/>
          </w:tcPr>
          <w:p w14:paraId="111D9F64">
            <w:pPr>
              <w:pStyle w:val="152"/>
              <w:adjustRightInd w:val="0"/>
              <w:snapToGrid w:val="0"/>
              <w:jc w:val="center"/>
              <w:rPr>
                <w:rFonts w:hint="default" w:ascii="Times New Roman" w:hAnsi="Times New Roman" w:eastAsia="宋体" w:cs="Times New Roman"/>
                <w:snapToGrid w:val="0"/>
                <w:color w:val="auto"/>
                <w:highlight w:val="none"/>
              </w:rPr>
            </w:pPr>
          </w:p>
        </w:tc>
        <w:tc>
          <w:tcPr>
            <w:tcW w:w="468" w:type="pct"/>
            <w:vAlign w:val="center"/>
          </w:tcPr>
          <w:p w14:paraId="21BC259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272" w:type="pct"/>
            <w:vMerge w:val="continue"/>
            <w:vAlign w:val="center"/>
          </w:tcPr>
          <w:p w14:paraId="243D02ED">
            <w:pPr>
              <w:pStyle w:val="152"/>
              <w:adjustRightInd w:val="0"/>
              <w:snapToGrid w:val="0"/>
              <w:jc w:val="center"/>
              <w:rPr>
                <w:rFonts w:hint="default" w:ascii="Times New Roman" w:hAnsi="Times New Roman" w:eastAsia="宋体" w:cs="Times New Roman"/>
                <w:snapToGrid w:val="0"/>
                <w:color w:val="auto"/>
                <w:highlight w:val="none"/>
              </w:rPr>
            </w:pPr>
          </w:p>
        </w:tc>
        <w:tc>
          <w:tcPr>
            <w:tcW w:w="626" w:type="pct"/>
            <w:vAlign w:val="center"/>
          </w:tcPr>
          <w:p w14:paraId="07A6E7A7">
            <w:pPr>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1"/>
                <w:szCs w:val="21"/>
                <w:highlight w:val="none"/>
                <w:lang w:bidi="ar"/>
              </w:rPr>
              <w:t>0.0</w:t>
            </w:r>
            <w:r>
              <w:rPr>
                <w:rFonts w:hint="default" w:ascii="Times New Roman" w:hAnsi="Times New Roman" w:eastAsia="宋体" w:cs="Times New Roman"/>
                <w:snapToGrid w:val="0"/>
                <w:color w:val="auto"/>
                <w:sz w:val="21"/>
                <w:szCs w:val="21"/>
                <w:highlight w:val="none"/>
                <w:lang w:val="en-US" w:eastAsia="zh-CN" w:bidi="ar"/>
              </w:rPr>
              <w:t>3</w:t>
            </w:r>
            <w:r>
              <w:rPr>
                <w:rFonts w:hint="eastAsia" w:ascii="Times New Roman" w:hAnsi="Times New Roman" w:cs="Times New Roman"/>
                <w:snapToGrid w:val="0"/>
                <w:color w:val="auto"/>
                <w:sz w:val="21"/>
                <w:szCs w:val="21"/>
                <w:highlight w:val="none"/>
                <w:lang w:val="en-US" w:eastAsia="zh-CN"/>
              </w:rPr>
              <w:t>mg/m</w:t>
            </w:r>
            <w:r>
              <w:rPr>
                <w:rFonts w:hint="eastAsia" w:ascii="Times New Roman" w:hAnsi="Times New Roman" w:cs="Times New Roman"/>
                <w:snapToGrid w:val="0"/>
                <w:color w:val="auto"/>
                <w:sz w:val="21"/>
                <w:szCs w:val="21"/>
                <w:highlight w:val="none"/>
                <w:vertAlign w:val="superscript"/>
                <w:lang w:val="en-US" w:eastAsia="zh-CN"/>
              </w:rPr>
              <w:t>3</w:t>
            </w:r>
          </w:p>
        </w:tc>
        <w:tc>
          <w:tcPr>
            <w:tcW w:w="626" w:type="pct"/>
            <w:vAlign w:val="center"/>
          </w:tcPr>
          <w:p w14:paraId="3E2A0E8F">
            <w:pPr>
              <w:pStyle w:val="152"/>
              <w:adjustRightInd w:val="0"/>
              <w:snapToGrid w:val="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sz w:val="21"/>
                <w:szCs w:val="21"/>
                <w:highlight w:val="none"/>
                <w:lang w:val="en-US" w:eastAsia="zh-CN"/>
              </w:rPr>
              <w:t>0.0000536</w:t>
            </w:r>
            <w:r>
              <w:rPr>
                <w:rFonts w:hint="default" w:ascii="Times New Roman" w:hAnsi="Times New Roman" w:eastAsia="宋体" w:cs="Times New Roman"/>
                <w:snapToGrid w:val="0"/>
                <w:color w:val="auto"/>
                <w:sz w:val="21"/>
                <w:szCs w:val="21"/>
                <w:highlight w:val="none"/>
              </w:rPr>
              <w:t>kg/h</w:t>
            </w:r>
          </w:p>
        </w:tc>
        <w:tc>
          <w:tcPr>
            <w:tcW w:w="1107" w:type="pct"/>
            <w:vMerge w:val="continue"/>
            <w:vAlign w:val="center"/>
          </w:tcPr>
          <w:p w14:paraId="3EE35DCF">
            <w:pPr>
              <w:pStyle w:val="152"/>
              <w:adjustRightInd w:val="0"/>
              <w:snapToGrid w:val="0"/>
              <w:jc w:val="center"/>
              <w:rPr>
                <w:rFonts w:hint="default" w:ascii="Times New Roman" w:hAnsi="Times New Roman" w:eastAsia="宋体" w:cs="Times New Roman"/>
                <w:snapToGrid w:val="0"/>
                <w:color w:val="auto"/>
                <w:highlight w:val="none"/>
              </w:rPr>
            </w:pPr>
          </w:p>
        </w:tc>
      </w:tr>
      <w:tr w14:paraId="0D4E9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26274869">
            <w:pPr>
              <w:pStyle w:val="152"/>
              <w:adjustRightInd w:val="0"/>
              <w:snapToGrid w:val="0"/>
              <w:jc w:val="center"/>
              <w:rPr>
                <w:rFonts w:hint="default" w:ascii="Times New Roman" w:hAnsi="Times New Roman" w:eastAsia="宋体" w:cs="Times New Roman"/>
                <w:snapToGrid w:val="0"/>
                <w:color w:val="auto"/>
                <w:highlight w:val="none"/>
              </w:rPr>
            </w:pPr>
          </w:p>
        </w:tc>
        <w:tc>
          <w:tcPr>
            <w:tcW w:w="642" w:type="pct"/>
            <w:vMerge w:val="restart"/>
            <w:vAlign w:val="center"/>
          </w:tcPr>
          <w:p w14:paraId="0E1BE162">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沼气火炬</w:t>
            </w:r>
          </w:p>
        </w:tc>
        <w:tc>
          <w:tcPr>
            <w:tcW w:w="468" w:type="pct"/>
            <w:vAlign w:val="center"/>
          </w:tcPr>
          <w:p w14:paraId="4F4E1446">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sz w:val="21"/>
                <w:szCs w:val="21"/>
                <w:highlight w:val="none"/>
                <w:lang w:val="zh-CN" w:eastAsia="zh-CN"/>
              </w:rPr>
              <w:t>颗粒物</w:t>
            </w:r>
          </w:p>
        </w:tc>
        <w:tc>
          <w:tcPr>
            <w:tcW w:w="1272" w:type="pct"/>
            <w:vMerge w:val="restart"/>
            <w:vAlign w:val="center"/>
          </w:tcPr>
          <w:p w14:paraId="5A42F7A3">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沼气脱硫后燃烧，经火炬燃烧排放</w:t>
            </w:r>
          </w:p>
        </w:tc>
        <w:tc>
          <w:tcPr>
            <w:tcW w:w="626" w:type="pct"/>
            <w:vAlign w:val="center"/>
          </w:tcPr>
          <w:p w14:paraId="4F0A057E">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0.785kg/h</w:t>
            </w:r>
          </w:p>
        </w:tc>
        <w:tc>
          <w:tcPr>
            <w:tcW w:w="626" w:type="pct"/>
            <w:vAlign w:val="center"/>
          </w:tcPr>
          <w:p w14:paraId="14A65CF0">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0.00037</w:t>
            </w:r>
            <w:r>
              <w:rPr>
                <w:rFonts w:hint="default" w:ascii="Times New Roman" w:hAnsi="Times New Roman" w:eastAsia="宋体" w:cs="Times New Roman"/>
                <w:snapToGrid w:val="0"/>
                <w:color w:val="auto"/>
                <w:sz w:val="21"/>
                <w:szCs w:val="21"/>
                <w:highlight w:val="none"/>
              </w:rPr>
              <w:t>kg/h</w:t>
            </w:r>
          </w:p>
        </w:tc>
        <w:tc>
          <w:tcPr>
            <w:tcW w:w="1107" w:type="pct"/>
            <w:vMerge w:val="restart"/>
            <w:vAlign w:val="center"/>
          </w:tcPr>
          <w:p w14:paraId="656CFC19">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《大气污染物综合排放标准》(GB16297-1996)表2二级标准</w:t>
            </w:r>
          </w:p>
        </w:tc>
      </w:tr>
      <w:tr w14:paraId="35F896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256" w:type="pct"/>
            <w:vMerge w:val="continue"/>
            <w:vAlign w:val="center"/>
          </w:tcPr>
          <w:p w14:paraId="3FB5707F">
            <w:pPr>
              <w:pStyle w:val="152"/>
              <w:adjustRightInd w:val="0"/>
              <w:snapToGrid w:val="0"/>
              <w:jc w:val="center"/>
              <w:rPr>
                <w:rFonts w:hint="default" w:ascii="Times New Roman" w:hAnsi="Times New Roman" w:eastAsia="宋体" w:cs="Times New Roman"/>
                <w:snapToGrid w:val="0"/>
                <w:color w:val="auto"/>
                <w:highlight w:val="none"/>
              </w:rPr>
            </w:pPr>
          </w:p>
        </w:tc>
        <w:tc>
          <w:tcPr>
            <w:tcW w:w="642" w:type="pct"/>
            <w:vMerge w:val="continue"/>
            <w:vAlign w:val="center"/>
          </w:tcPr>
          <w:p w14:paraId="359ABA23">
            <w:pPr>
              <w:pStyle w:val="152"/>
              <w:adjustRightInd w:val="0"/>
              <w:snapToGrid w:val="0"/>
              <w:jc w:val="center"/>
              <w:rPr>
                <w:rFonts w:hint="default" w:ascii="Times New Roman" w:hAnsi="Times New Roman" w:eastAsia="宋体" w:cs="Times New Roman"/>
                <w:snapToGrid w:val="0"/>
                <w:color w:val="auto"/>
                <w:highlight w:val="none"/>
              </w:rPr>
            </w:pPr>
          </w:p>
        </w:tc>
        <w:tc>
          <w:tcPr>
            <w:tcW w:w="468" w:type="pct"/>
            <w:vAlign w:val="center"/>
          </w:tcPr>
          <w:p w14:paraId="397CFB30">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sz w:val="21"/>
                <w:szCs w:val="21"/>
                <w:highlight w:val="none"/>
                <w:lang w:val="zh-CN" w:eastAsia="zh-CN"/>
              </w:rPr>
              <w:t>SO</w:t>
            </w:r>
            <w:r>
              <w:rPr>
                <w:rFonts w:hint="default" w:ascii="Times New Roman" w:hAnsi="Times New Roman" w:eastAsia="宋体" w:cs="Times New Roman"/>
                <w:snapToGrid w:val="0"/>
                <w:color w:val="auto"/>
                <w:sz w:val="21"/>
                <w:szCs w:val="21"/>
                <w:highlight w:val="none"/>
                <w:vertAlign w:val="subscript"/>
                <w:lang w:val="zh-CN" w:eastAsia="zh-CN"/>
              </w:rPr>
              <w:t>2</w:t>
            </w:r>
          </w:p>
        </w:tc>
        <w:tc>
          <w:tcPr>
            <w:tcW w:w="1272" w:type="pct"/>
            <w:vMerge w:val="continue"/>
            <w:vAlign w:val="center"/>
          </w:tcPr>
          <w:p w14:paraId="249C8397">
            <w:pPr>
              <w:pStyle w:val="152"/>
              <w:adjustRightInd w:val="0"/>
              <w:snapToGrid w:val="0"/>
              <w:jc w:val="center"/>
              <w:rPr>
                <w:rFonts w:hint="default" w:ascii="Times New Roman" w:hAnsi="Times New Roman" w:eastAsia="宋体" w:cs="Times New Roman"/>
                <w:snapToGrid w:val="0"/>
                <w:color w:val="auto"/>
                <w:highlight w:val="none"/>
              </w:rPr>
            </w:pPr>
          </w:p>
        </w:tc>
        <w:tc>
          <w:tcPr>
            <w:tcW w:w="626" w:type="pct"/>
            <w:vAlign w:val="center"/>
          </w:tcPr>
          <w:p w14:paraId="5625F23E">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0.87kg/h</w:t>
            </w:r>
          </w:p>
        </w:tc>
        <w:tc>
          <w:tcPr>
            <w:tcW w:w="626" w:type="pct"/>
            <w:vAlign w:val="center"/>
          </w:tcPr>
          <w:p w14:paraId="4DEEA33A">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0.000087</w:t>
            </w:r>
            <w:r>
              <w:rPr>
                <w:rFonts w:hint="default" w:ascii="Times New Roman" w:hAnsi="Times New Roman" w:eastAsia="宋体" w:cs="Times New Roman"/>
                <w:snapToGrid w:val="0"/>
                <w:color w:val="auto"/>
                <w:sz w:val="21"/>
                <w:szCs w:val="21"/>
                <w:highlight w:val="none"/>
              </w:rPr>
              <w:t>kg/h</w:t>
            </w:r>
          </w:p>
        </w:tc>
        <w:tc>
          <w:tcPr>
            <w:tcW w:w="1107" w:type="pct"/>
            <w:vMerge w:val="continue"/>
            <w:vAlign w:val="center"/>
          </w:tcPr>
          <w:p w14:paraId="3A26327C">
            <w:pPr>
              <w:pStyle w:val="152"/>
              <w:adjustRightInd w:val="0"/>
              <w:snapToGrid w:val="0"/>
              <w:jc w:val="center"/>
              <w:rPr>
                <w:rFonts w:hint="default" w:ascii="Times New Roman" w:hAnsi="Times New Roman" w:eastAsia="宋体" w:cs="Times New Roman"/>
                <w:snapToGrid w:val="0"/>
                <w:color w:val="auto"/>
                <w:highlight w:val="none"/>
              </w:rPr>
            </w:pPr>
          </w:p>
        </w:tc>
      </w:tr>
      <w:tr w14:paraId="0D14A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566E0AF7">
            <w:pPr>
              <w:pStyle w:val="152"/>
              <w:adjustRightInd w:val="0"/>
              <w:snapToGrid w:val="0"/>
              <w:jc w:val="center"/>
              <w:rPr>
                <w:rFonts w:hint="default" w:ascii="Times New Roman" w:hAnsi="Times New Roman" w:eastAsia="宋体" w:cs="Times New Roman"/>
                <w:snapToGrid w:val="0"/>
                <w:color w:val="auto"/>
                <w:highlight w:val="none"/>
              </w:rPr>
            </w:pPr>
          </w:p>
        </w:tc>
        <w:tc>
          <w:tcPr>
            <w:tcW w:w="642" w:type="pct"/>
            <w:vMerge w:val="continue"/>
            <w:vAlign w:val="center"/>
          </w:tcPr>
          <w:p w14:paraId="272AE7B5">
            <w:pPr>
              <w:pStyle w:val="152"/>
              <w:adjustRightInd w:val="0"/>
              <w:snapToGrid w:val="0"/>
              <w:jc w:val="center"/>
              <w:rPr>
                <w:rFonts w:hint="default" w:ascii="Times New Roman" w:hAnsi="Times New Roman" w:eastAsia="宋体" w:cs="Times New Roman"/>
                <w:snapToGrid w:val="0"/>
                <w:color w:val="auto"/>
                <w:highlight w:val="none"/>
              </w:rPr>
            </w:pPr>
          </w:p>
        </w:tc>
        <w:tc>
          <w:tcPr>
            <w:tcW w:w="468" w:type="pct"/>
            <w:vAlign w:val="center"/>
          </w:tcPr>
          <w:p w14:paraId="71959AC7">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sz w:val="21"/>
                <w:szCs w:val="21"/>
                <w:highlight w:val="none"/>
                <w:lang w:val="zh-CN" w:eastAsia="zh-CN"/>
              </w:rPr>
              <w:t>NO</w:t>
            </w:r>
            <w:r>
              <w:rPr>
                <w:rFonts w:hint="default" w:ascii="Times New Roman" w:hAnsi="Times New Roman" w:eastAsia="宋体" w:cs="Times New Roman"/>
                <w:snapToGrid w:val="0"/>
                <w:color w:val="auto"/>
                <w:sz w:val="21"/>
                <w:szCs w:val="21"/>
                <w:highlight w:val="none"/>
                <w:vertAlign w:val="subscript"/>
                <w:lang w:val="zh-CN" w:eastAsia="zh-CN"/>
              </w:rPr>
              <w:t>X</w:t>
            </w:r>
          </w:p>
        </w:tc>
        <w:tc>
          <w:tcPr>
            <w:tcW w:w="1272" w:type="pct"/>
            <w:vMerge w:val="continue"/>
            <w:vAlign w:val="center"/>
          </w:tcPr>
          <w:p w14:paraId="7CFAFB7E">
            <w:pPr>
              <w:pStyle w:val="152"/>
              <w:adjustRightInd w:val="0"/>
              <w:snapToGrid w:val="0"/>
              <w:jc w:val="center"/>
              <w:rPr>
                <w:rFonts w:hint="default" w:ascii="Times New Roman" w:hAnsi="Times New Roman" w:eastAsia="宋体" w:cs="Times New Roman"/>
                <w:snapToGrid w:val="0"/>
                <w:color w:val="auto"/>
                <w:highlight w:val="none"/>
              </w:rPr>
            </w:pPr>
          </w:p>
        </w:tc>
        <w:tc>
          <w:tcPr>
            <w:tcW w:w="626" w:type="pct"/>
            <w:vAlign w:val="center"/>
          </w:tcPr>
          <w:p w14:paraId="64B6662C">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0.26</w:t>
            </w:r>
            <w:r>
              <w:rPr>
                <w:rFonts w:hint="default" w:ascii="Times New Roman" w:hAnsi="Times New Roman" w:eastAsia="宋体" w:cs="Times New Roman"/>
                <w:snapToGrid w:val="0"/>
                <w:color w:val="auto"/>
                <w:sz w:val="21"/>
                <w:szCs w:val="21"/>
                <w:highlight w:val="none"/>
              </w:rPr>
              <w:t>kg/h</w:t>
            </w:r>
          </w:p>
        </w:tc>
        <w:tc>
          <w:tcPr>
            <w:tcW w:w="626" w:type="pct"/>
            <w:vAlign w:val="center"/>
          </w:tcPr>
          <w:p w14:paraId="314DDA4E">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0.0036</w:t>
            </w:r>
            <w:r>
              <w:rPr>
                <w:rFonts w:hint="default" w:ascii="Times New Roman" w:hAnsi="Times New Roman" w:eastAsia="宋体" w:cs="Times New Roman"/>
                <w:snapToGrid w:val="0"/>
                <w:color w:val="auto"/>
                <w:sz w:val="21"/>
                <w:szCs w:val="21"/>
                <w:highlight w:val="none"/>
              </w:rPr>
              <w:t>kg/h</w:t>
            </w:r>
          </w:p>
        </w:tc>
        <w:tc>
          <w:tcPr>
            <w:tcW w:w="1107" w:type="pct"/>
            <w:vMerge w:val="continue"/>
            <w:vAlign w:val="center"/>
          </w:tcPr>
          <w:p w14:paraId="7BEE2209">
            <w:pPr>
              <w:pStyle w:val="152"/>
              <w:adjustRightInd w:val="0"/>
              <w:snapToGrid w:val="0"/>
              <w:jc w:val="center"/>
              <w:rPr>
                <w:rFonts w:hint="default" w:ascii="Times New Roman" w:hAnsi="Times New Roman" w:eastAsia="宋体" w:cs="Times New Roman"/>
                <w:snapToGrid w:val="0"/>
                <w:color w:val="auto"/>
                <w:highlight w:val="none"/>
              </w:rPr>
            </w:pPr>
          </w:p>
        </w:tc>
      </w:tr>
      <w:tr w14:paraId="601562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Align w:val="center"/>
          </w:tcPr>
          <w:p w14:paraId="26AFE13B">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声环境</w:t>
            </w:r>
          </w:p>
        </w:tc>
        <w:tc>
          <w:tcPr>
            <w:tcW w:w="1110" w:type="pct"/>
            <w:gridSpan w:val="2"/>
            <w:vAlign w:val="center"/>
          </w:tcPr>
          <w:p w14:paraId="02FD1BB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场界噪声</w:t>
            </w:r>
          </w:p>
        </w:tc>
        <w:tc>
          <w:tcPr>
            <w:tcW w:w="1272" w:type="pct"/>
            <w:vAlign w:val="center"/>
          </w:tcPr>
          <w:p w14:paraId="2FA7862B">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隔声、减振</w:t>
            </w:r>
          </w:p>
        </w:tc>
        <w:tc>
          <w:tcPr>
            <w:tcW w:w="1252" w:type="pct"/>
            <w:gridSpan w:val="2"/>
            <w:vAlign w:val="center"/>
          </w:tcPr>
          <w:p w14:paraId="5C58B790">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昼间≤</w:t>
            </w:r>
            <w:r>
              <w:rPr>
                <w:rFonts w:hint="eastAsia" w:ascii="Times New Roman" w:hAnsi="Times New Roman" w:cs="Times New Roman"/>
                <w:snapToGrid w:val="0"/>
                <w:color w:val="auto"/>
                <w:highlight w:val="none"/>
                <w:lang w:val="en-US" w:eastAsia="zh-CN"/>
              </w:rPr>
              <w:t>55</w:t>
            </w:r>
            <w:r>
              <w:rPr>
                <w:rFonts w:hint="default" w:ascii="Times New Roman" w:hAnsi="Times New Roman" w:eastAsia="宋体" w:cs="Times New Roman"/>
                <w:snapToGrid w:val="0"/>
                <w:color w:val="auto"/>
                <w:highlight w:val="none"/>
              </w:rPr>
              <w:t>dB（A）</w:t>
            </w:r>
          </w:p>
          <w:p w14:paraId="40C70D08">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夜间≤</w:t>
            </w:r>
            <w:r>
              <w:rPr>
                <w:rFonts w:hint="eastAsia" w:ascii="Times New Roman" w:hAnsi="Times New Roman" w:cs="Times New Roman"/>
                <w:snapToGrid w:val="0"/>
                <w:color w:val="auto"/>
                <w:highlight w:val="none"/>
                <w:lang w:val="en-US" w:eastAsia="zh-CN"/>
              </w:rPr>
              <w:t>45</w:t>
            </w:r>
            <w:r>
              <w:rPr>
                <w:rFonts w:hint="default" w:ascii="Times New Roman" w:hAnsi="Times New Roman" w:eastAsia="宋体" w:cs="Times New Roman"/>
                <w:snapToGrid w:val="0"/>
                <w:color w:val="auto"/>
                <w:highlight w:val="none"/>
              </w:rPr>
              <w:t>dB（A）</w:t>
            </w:r>
          </w:p>
        </w:tc>
        <w:tc>
          <w:tcPr>
            <w:tcW w:w="1107" w:type="pct"/>
            <w:vAlign w:val="center"/>
          </w:tcPr>
          <w:p w14:paraId="10EBB0A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场界满足《工业企业厂界环境噪声排放标准》表1中的</w:t>
            </w:r>
            <w:r>
              <w:rPr>
                <w:rFonts w:hint="eastAsia" w:ascii="Times New Roman" w:hAnsi="Times New Roman" w:cs="Times New Roman"/>
                <w:snapToGrid w:val="0"/>
                <w:color w:val="auto"/>
                <w:highlight w:val="none"/>
                <w:lang w:val="en-US" w:eastAsia="zh-CN"/>
              </w:rPr>
              <w:t>1类</w:t>
            </w:r>
            <w:r>
              <w:rPr>
                <w:rFonts w:hint="default" w:ascii="Times New Roman" w:hAnsi="Times New Roman" w:eastAsia="宋体" w:cs="Times New Roman"/>
                <w:snapToGrid w:val="0"/>
                <w:color w:val="auto"/>
                <w:highlight w:val="none"/>
              </w:rPr>
              <w:t>标准</w:t>
            </w:r>
          </w:p>
        </w:tc>
      </w:tr>
      <w:tr w14:paraId="70E80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256" w:type="pct"/>
            <w:vMerge w:val="restart"/>
            <w:vAlign w:val="center"/>
          </w:tcPr>
          <w:p w14:paraId="05D86651">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固体废物</w:t>
            </w:r>
          </w:p>
        </w:tc>
        <w:tc>
          <w:tcPr>
            <w:tcW w:w="1110" w:type="pct"/>
            <w:gridSpan w:val="2"/>
            <w:vAlign w:val="center"/>
          </w:tcPr>
          <w:p w14:paraId="1AF43D19">
            <w:pPr>
              <w:pStyle w:val="152"/>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干</w:t>
            </w:r>
            <w:r>
              <w:rPr>
                <w:rFonts w:hint="default" w:ascii="Times New Roman" w:hAnsi="Times New Roman" w:eastAsia="宋体" w:cs="Times New Roman"/>
                <w:snapToGrid w:val="0"/>
                <w:color w:val="auto"/>
                <w:highlight w:val="none"/>
              </w:rPr>
              <w:t>粪</w:t>
            </w:r>
          </w:p>
        </w:tc>
        <w:tc>
          <w:tcPr>
            <w:tcW w:w="1272" w:type="pct"/>
            <w:vAlign w:val="center"/>
          </w:tcPr>
          <w:p w14:paraId="568217AD">
            <w:pPr>
              <w:pStyle w:val="152"/>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636.779t/a</w:t>
            </w:r>
            <w:r>
              <w:rPr>
                <w:rFonts w:hint="default" w:ascii="Times New Roman" w:hAnsi="Times New Roman" w:eastAsia="宋体" w:cs="Times New Roman"/>
                <w:snapToGrid w:val="0"/>
                <w:color w:val="auto"/>
                <w:highlight w:val="none"/>
              </w:rPr>
              <w:t>制成固体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，还田</w:t>
            </w:r>
          </w:p>
        </w:tc>
        <w:tc>
          <w:tcPr>
            <w:tcW w:w="626" w:type="pct"/>
            <w:vAlign w:val="center"/>
          </w:tcPr>
          <w:p w14:paraId="19F25522">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26" w:type="pct"/>
            <w:vAlign w:val="center"/>
          </w:tcPr>
          <w:p w14:paraId="7478F80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0t/a</w:t>
            </w:r>
          </w:p>
        </w:tc>
        <w:tc>
          <w:tcPr>
            <w:tcW w:w="1107" w:type="pct"/>
            <w:vAlign w:val="center"/>
          </w:tcPr>
          <w:p w14:paraId="685409D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粪便经过堆肥处理后满足《畜禽养殖业污染物排放标准》（GB18596-2001）</w:t>
            </w:r>
          </w:p>
        </w:tc>
      </w:tr>
      <w:tr w14:paraId="2E6D4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5F4284A8">
            <w:pPr>
              <w:pStyle w:val="152"/>
              <w:adjustRightInd w:val="0"/>
              <w:snapToGrid w:val="0"/>
              <w:jc w:val="center"/>
              <w:rPr>
                <w:rFonts w:hint="default" w:ascii="Times New Roman" w:hAnsi="Times New Roman" w:eastAsia="宋体" w:cs="Times New Roman"/>
                <w:snapToGrid w:val="0"/>
                <w:color w:val="auto"/>
                <w:highlight w:val="none"/>
              </w:rPr>
            </w:pPr>
          </w:p>
        </w:tc>
        <w:tc>
          <w:tcPr>
            <w:tcW w:w="1110" w:type="pct"/>
            <w:gridSpan w:val="2"/>
            <w:vAlign w:val="center"/>
          </w:tcPr>
          <w:p w14:paraId="052ABB27">
            <w:pPr>
              <w:pStyle w:val="152"/>
              <w:adjustRightInd w:val="0"/>
              <w:snapToGrid w:val="0"/>
              <w:jc w:val="center"/>
              <w:rPr>
                <w:rFonts w:hint="eastAsia" w:ascii="Times New Roman" w:hAnsi="Times New Roman" w:eastAsia="宋体" w:cs="Times New Roman"/>
                <w:snapToGrid w:val="0"/>
                <w:color w:val="auto"/>
                <w:kern w:val="0"/>
                <w:sz w:val="21"/>
                <w:szCs w:val="24"/>
                <w:highlight w:val="none"/>
                <w:lang w:val="zh-CN" w:eastAsia="zh-CN" w:bidi="ar-SA"/>
              </w:rPr>
            </w:pPr>
            <w:r>
              <w:rPr>
                <w:rFonts w:hint="eastAsia" w:ascii="Times New Roman" w:hAnsi="Times New Roman" w:cs="Times New Roman"/>
                <w:snapToGrid w:val="0"/>
                <w:color w:val="auto"/>
                <w:highlight w:val="none"/>
                <w:lang w:eastAsia="zh-CN"/>
              </w:rPr>
              <w:t>动物医疗废物</w:t>
            </w:r>
          </w:p>
        </w:tc>
        <w:tc>
          <w:tcPr>
            <w:tcW w:w="3632" w:type="pct"/>
            <w:gridSpan w:val="4"/>
            <w:vAlign w:val="center"/>
          </w:tcPr>
          <w:p w14:paraId="27E558BC">
            <w:pPr>
              <w:pStyle w:val="152"/>
              <w:adjustRightInd w:val="0"/>
              <w:snapToGrid w:val="0"/>
              <w:jc w:val="center"/>
              <w:rPr>
                <w:rFonts w:hint="default" w:ascii="Times New Roman" w:hAnsi="Times New Roman" w:eastAsia="宋体" w:cs="Times New Roman"/>
                <w:snapToGrid w:val="0"/>
                <w:color w:val="auto"/>
                <w:kern w:val="0"/>
                <w:sz w:val="21"/>
                <w:szCs w:val="24"/>
                <w:highlight w:val="none"/>
                <w:lang w:val="zh-CN" w:eastAsia="zh-CN" w:bidi="ar-SA"/>
              </w:rPr>
            </w:pPr>
            <w:r>
              <w:rPr>
                <w:rFonts w:hint="default" w:ascii="Times New Roman" w:hAnsi="Times New Roman" w:eastAsia="宋体" w:cs="Times New Roman"/>
                <w:snapToGrid w:val="0"/>
                <w:color w:val="auto"/>
                <w:highlight w:val="none"/>
              </w:rPr>
              <w:t>为危险废物，类别HW01，代码</w:t>
            </w:r>
            <w:r>
              <w:rPr>
                <w:rFonts w:hint="default" w:ascii="Times New Roman" w:hAnsi="Times New Roman" w:eastAsia="宋体" w:cs="Times New Roman"/>
                <w:snapToGrid w:val="0"/>
                <w:color w:val="auto"/>
                <w:sz w:val="21"/>
                <w:szCs w:val="18"/>
                <w:highlight w:val="none"/>
                <w:lang w:bidi="ar"/>
              </w:rPr>
              <w:t>841-001-01</w:t>
            </w:r>
            <w:r>
              <w:rPr>
                <w:rFonts w:hint="default" w:ascii="Times New Roman" w:hAnsi="Times New Roman" w:eastAsia="宋体" w:cs="Times New Roman"/>
                <w:snapToGrid w:val="0"/>
                <w:color w:val="auto"/>
                <w:highlight w:val="none"/>
              </w:rPr>
              <w:t>，交有资质单位处置</w:t>
            </w:r>
          </w:p>
        </w:tc>
      </w:tr>
      <w:tr w14:paraId="4B050D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324DC266">
            <w:pPr>
              <w:pStyle w:val="152"/>
              <w:adjustRightInd w:val="0"/>
              <w:snapToGrid w:val="0"/>
              <w:jc w:val="center"/>
              <w:rPr>
                <w:rFonts w:hint="default" w:ascii="Times New Roman" w:hAnsi="Times New Roman" w:eastAsia="宋体" w:cs="Times New Roman"/>
                <w:snapToGrid w:val="0"/>
                <w:color w:val="auto"/>
                <w:highlight w:val="none"/>
              </w:rPr>
            </w:pPr>
          </w:p>
        </w:tc>
        <w:tc>
          <w:tcPr>
            <w:tcW w:w="1110" w:type="pct"/>
            <w:gridSpan w:val="2"/>
            <w:vAlign w:val="center"/>
          </w:tcPr>
          <w:p w14:paraId="4405416F">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病死猪</w:t>
            </w:r>
          </w:p>
        </w:tc>
        <w:tc>
          <w:tcPr>
            <w:tcW w:w="3632" w:type="pct"/>
            <w:gridSpan w:val="4"/>
            <w:vMerge w:val="restart"/>
            <w:vAlign w:val="center"/>
          </w:tcPr>
          <w:p w14:paraId="7CA99C5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病死猪及胎盘委托</w:t>
            </w:r>
            <w:r>
              <w:rPr>
                <w:rFonts w:hint="eastAsia" w:ascii="Times New Roman" w:hAnsi="Times New Roman" w:cs="Times New Roman"/>
                <w:snapToGrid w:val="0"/>
                <w:color w:val="auto"/>
                <w:highlight w:val="none"/>
                <w:lang w:eastAsia="zh-CN"/>
              </w:rPr>
              <w:t>鸡西市鑫农源固废处理有限公司进行无害化集中处理</w:t>
            </w:r>
            <w:r>
              <w:rPr>
                <w:rFonts w:hint="default" w:ascii="Times New Roman" w:hAnsi="Times New Roman" w:eastAsia="宋体" w:cs="Times New Roman"/>
                <w:snapToGrid w:val="0"/>
                <w:color w:val="auto"/>
                <w:highlight w:val="none"/>
              </w:rPr>
              <w:t>。</w:t>
            </w:r>
          </w:p>
        </w:tc>
      </w:tr>
      <w:tr w14:paraId="5AA85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1D91BE71">
            <w:pPr>
              <w:pStyle w:val="152"/>
              <w:adjustRightInd w:val="0"/>
              <w:snapToGrid w:val="0"/>
              <w:jc w:val="center"/>
              <w:rPr>
                <w:rFonts w:hint="default" w:ascii="Times New Roman" w:hAnsi="Times New Roman" w:eastAsia="宋体" w:cs="Times New Roman"/>
                <w:snapToGrid w:val="0"/>
                <w:color w:val="auto"/>
                <w:highlight w:val="none"/>
              </w:rPr>
            </w:pPr>
          </w:p>
        </w:tc>
        <w:tc>
          <w:tcPr>
            <w:tcW w:w="1110" w:type="pct"/>
            <w:gridSpan w:val="2"/>
            <w:vAlign w:val="center"/>
          </w:tcPr>
          <w:p w14:paraId="4EFFB131">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胎盘</w:t>
            </w:r>
          </w:p>
        </w:tc>
        <w:tc>
          <w:tcPr>
            <w:tcW w:w="3632" w:type="pct"/>
            <w:gridSpan w:val="4"/>
            <w:vMerge w:val="continue"/>
            <w:vAlign w:val="center"/>
          </w:tcPr>
          <w:p w14:paraId="7E2ECCAE">
            <w:pPr>
              <w:pStyle w:val="152"/>
              <w:adjustRightInd w:val="0"/>
              <w:snapToGrid w:val="0"/>
              <w:jc w:val="center"/>
              <w:rPr>
                <w:rFonts w:hint="default" w:ascii="Times New Roman" w:hAnsi="Times New Roman" w:eastAsia="宋体" w:cs="Times New Roman"/>
                <w:snapToGrid w:val="0"/>
                <w:color w:val="auto"/>
                <w:highlight w:val="none"/>
              </w:rPr>
            </w:pPr>
          </w:p>
        </w:tc>
      </w:tr>
      <w:tr w14:paraId="43541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1C486E77">
            <w:pPr>
              <w:pStyle w:val="152"/>
              <w:adjustRightInd w:val="0"/>
              <w:snapToGrid w:val="0"/>
              <w:jc w:val="center"/>
              <w:rPr>
                <w:rFonts w:hint="default" w:ascii="Times New Roman" w:hAnsi="Times New Roman" w:eastAsia="宋体" w:cs="Times New Roman"/>
                <w:snapToGrid w:val="0"/>
                <w:color w:val="auto"/>
                <w:highlight w:val="none"/>
              </w:rPr>
            </w:pPr>
          </w:p>
        </w:tc>
        <w:tc>
          <w:tcPr>
            <w:tcW w:w="1110" w:type="pct"/>
            <w:gridSpan w:val="2"/>
            <w:vAlign w:val="center"/>
          </w:tcPr>
          <w:p w14:paraId="71457FB3">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沼渣</w:t>
            </w:r>
          </w:p>
        </w:tc>
        <w:tc>
          <w:tcPr>
            <w:tcW w:w="3632" w:type="pct"/>
            <w:gridSpan w:val="4"/>
            <w:vAlign w:val="center"/>
          </w:tcPr>
          <w:p w14:paraId="19D860F0">
            <w:pPr>
              <w:pStyle w:val="152"/>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356.608</w:t>
            </w:r>
            <w:r>
              <w:rPr>
                <w:rFonts w:hint="default" w:ascii="Times New Roman" w:hAnsi="Times New Roman" w:eastAsia="宋体" w:cs="Times New Roman"/>
                <w:snapToGrid w:val="0"/>
                <w:color w:val="auto"/>
                <w:highlight w:val="none"/>
              </w:rPr>
              <w:t>t/a制成固体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，还田</w:t>
            </w:r>
          </w:p>
        </w:tc>
      </w:tr>
      <w:tr w14:paraId="774977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303BFA5F">
            <w:pPr>
              <w:pStyle w:val="152"/>
              <w:adjustRightInd w:val="0"/>
              <w:snapToGrid w:val="0"/>
              <w:jc w:val="center"/>
              <w:rPr>
                <w:rFonts w:hint="default" w:ascii="Times New Roman" w:hAnsi="Times New Roman" w:eastAsia="宋体" w:cs="Times New Roman"/>
                <w:snapToGrid w:val="0"/>
                <w:color w:val="auto"/>
                <w:highlight w:val="none"/>
              </w:rPr>
            </w:pPr>
          </w:p>
        </w:tc>
        <w:tc>
          <w:tcPr>
            <w:tcW w:w="1110" w:type="pct"/>
            <w:gridSpan w:val="2"/>
            <w:vAlign w:val="center"/>
          </w:tcPr>
          <w:p w14:paraId="2142C3FA">
            <w:pPr>
              <w:pStyle w:val="152"/>
              <w:adjustRightInd w:val="0"/>
              <w:snapToGrid w:val="0"/>
              <w:jc w:val="center"/>
              <w:rPr>
                <w:rFonts w:hint="default" w:ascii="Times New Roman" w:hAnsi="Times New Roman" w:eastAsia="宋体" w:cs="Times New Roman"/>
                <w:snapToGrid w:val="0"/>
                <w:color w:val="auto"/>
                <w:kern w:val="0"/>
                <w:sz w:val="21"/>
                <w:szCs w:val="24"/>
                <w:highlight w:val="none"/>
                <w:lang w:val="zh-CN" w:eastAsia="zh-CN" w:bidi="ar-SA"/>
              </w:rPr>
            </w:pPr>
            <w:r>
              <w:rPr>
                <w:rFonts w:hint="default" w:ascii="Times New Roman" w:hAnsi="Times New Roman" w:eastAsia="宋体" w:cs="Times New Roman"/>
                <w:snapToGrid w:val="0"/>
                <w:color w:val="auto"/>
                <w:highlight w:val="none"/>
              </w:rPr>
              <w:t>生活垃圾</w:t>
            </w:r>
          </w:p>
        </w:tc>
        <w:tc>
          <w:tcPr>
            <w:tcW w:w="3632" w:type="pct"/>
            <w:gridSpan w:val="4"/>
            <w:vAlign w:val="center"/>
          </w:tcPr>
          <w:p w14:paraId="32856F26">
            <w:pPr>
              <w:pStyle w:val="152"/>
              <w:adjustRightInd w:val="0"/>
              <w:snapToGrid w:val="0"/>
              <w:jc w:val="center"/>
              <w:rPr>
                <w:rFonts w:hint="default" w:ascii="Times New Roman" w:hAnsi="Times New Roman" w:eastAsia="宋体" w:cs="Times New Roman"/>
                <w:snapToGrid w:val="0"/>
                <w:color w:val="auto"/>
                <w:kern w:val="0"/>
                <w:sz w:val="21"/>
                <w:szCs w:val="24"/>
                <w:highlight w:val="none"/>
                <w:lang w:val="zh-CN" w:eastAsia="zh-CN" w:bidi="ar-SA"/>
              </w:rPr>
            </w:pPr>
            <w:r>
              <w:rPr>
                <w:rFonts w:hint="default" w:ascii="Times New Roman" w:hAnsi="Times New Roman" w:eastAsia="宋体" w:cs="Times New Roman"/>
                <w:snapToGrid w:val="0"/>
                <w:color w:val="auto"/>
                <w:highlight w:val="none"/>
              </w:rPr>
              <w:t>由市政环卫部门统一收集处理</w:t>
            </w:r>
          </w:p>
        </w:tc>
      </w:tr>
      <w:tr w14:paraId="7CB5E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0CB36D3F">
            <w:pPr>
              <w:pStyle w:val="152"/>
              <w:adjustRightInd w:val="0"/>
              <w:snapToGrid w:val="0"/>
              <w:jc w:val="center"/>
              <w:rPr>
                <w:rFonts w:hint="default" w:ascii="Times New Roman" w:hAnsi="Times New Roman" w:eastAsia="宋体" w:cs="Times New Roman"/>
                <w:snapToGrid w:val="0"/>
                <w:color w:val="auto"/>
                <w:highlight w:val="none"/>
              </w:rPr>
            </w:pPr>
          </w:p>
        </w:tc>
        <w:tc>
          <w:tcPr>
            <w:tcW w:w="1110" w:type="pct"/>
            <w:gridSpan w:val="2"/>
            <w:vAlign w:val="center"/>
          </w:tcPr>
          <w:p w14:paraId="593732E8">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废脱硫剂</w:t>
            </w:r>
          </w:p>
        </w:tc>
        <w:tc>
          <w:tcPr>
            <w:tcW w:w="3632" w:type="pct"/>
            <w:gridSpan w:val="4"/>
            <w:vAlign w:val="center"/>
          </w:tcPr>
          <w:p w14:paraId="17697B79">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生产厂家定期回收</w:t>
            </w:r>
          </w:p>
        </w:tc>
      </w:tr>
      <w:tr w14:paraId="2F4431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256" w:type="pct"/>
            <w:vMerge w:val="continue"/>
            <w:vAlign w:val="center"/>
          </w:tcPr>
          <w:p w14:paraId="59EC98AF">
            <w:pPr>
              <w:pStyle w:val="152"/>
              <w:adjustRightInd w:val="0"/>
              <w:snapToGrid w:val="0"/>
              <w:jc w:val="center"/>
              <w:rPr>
                <w:rFonts w:hint="default" w:ascii="Times New Roman" w:hAnsi="Times New Roman" w:eastAsia="宋体" w:cs="Times New Roman"/>
                <w:snapToGrid w:val="0"/>
                <w:color w:val="auto"/>
                <w:highlight w:val="none"/>
              </w:rPr>
            </w:pPr>
          </w:p>
        </w:tc>
        <w:tc>
          <w:tcPr>
            <w:tcW w:w="1110" w:type="pct"/>
            <w:gridSpan w:val="2"/>
            <w:vAlign w:val="center"/>
          </w:tcPr>
          <w:p w14:paraId="1483A047">
            <w:pPr>
              <w:pStyle w:val="152"/>
              <w:adjustRightInd w:val="0"/>
              <w:snapToGrid w:val="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废活性炭</w:t>
            </w:r>
          </w:p>
        </w:tc>
        <w:tc>
          <w:tcPr>
            <w:tcW w:w="3632" w:type="pct"/>
            <w:gridSpan w:val="4"/>
            <w:vAlign w:val="center"/>
          </w:tcPr>
          <w:p w14:paraId="29699EB9">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厂家定期回收</w:t>
            </w:r>
          </w:p>
        </w:tc>
      </w:tr>
    </w:tbl>
    <w:p w14:paraId="4F8D2ADF">
      <w:pPr>
        <w:spacing w:line="360" w:lineRule="auto"/>
        <w:ind w:firstLine="420"/>
        <w:jc w:val="both"/>
        <w:rPr>
          <w:rFonts w:hint="default" w:ascii="Times New Roman" w:hAnsi="Times New Roman" w:eastAsia="宋体" w:cs="Times New Roman"/>
          <w:color w:val="auto"/>
          <w:highlight w:val="none"/>
        </w:rPr>
      </w:pPr>
    </w:p>
    <w:p w14:paraId="0A2A1451">
      <w:pPr>
        <w:spacing w:line="360" w:lineRule="auto"/>
        <w:ind w:firstLine="420"/>
        <w:jc w:val="both"/>
        <w:rPr>
          <w:rFonts w:hint="default" w:ascii="Times New Roman" w:hAnsi="Times New Roman" w:eastAsia="宋体" w:cs="Times New Roman"/>
          <w:snapToGrid w:val="0"/>
          <w:color w:val="auto"/>
          <w:szCs w:val="20"/>
          <w:highlight w:val="none"/>
          <w:lang w:val="zh-CN"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1847E15C">
      <w:pPr>
        <w:pStyle w:val="8"/>
        <w:bidi w:val="0"/>
        <w:rPr>
          <w:rFonts w:hint="default"/>
          <w:highlight w:val="none"/>
        </w:rPr>
      </w:pPr>
      <w:bookmarkStart w:id="1183" w:name="_Toc12041"/>
      <w:bookmarkStart w:id="1184" w:name="_Toc4111"/>
      <w:r>
        <w:rPr>
          <w:rFonts w:hint="default"/>
          <w:highlight w:val="none"/>
        </w:rPr>
        <w:t>8.1.5.2排放管理要求</w:t>
      </w:r>
      <w:bookmarkEnd w:id="1183"/>
      <w:bookmarkEnd w:id="1184"/>
    </w:p>
    <w:p w14:paraId="055F51C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（1）</w:t>
      </w:r>
      <w:r>
        <w:rPr>
          <w:rFonts w:hint="default" w:ascii="Times New Roman" w:hAnsi="Times New Roman" w:eastAsia="宋体" w:cs="Times New Roman"/>
          <w:color w:val="auto"/>
          <w:highlight w:val="none"/>
        </w:rPr>
        <w:t>工程组成及原辅材料组分要求</w:t>
      </w:r>
    </w:p>
    <w:p w14:paraId="22DCEEB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①选用优良新品种，采取适度规模的集约化养殖方式，采用能耗物耗小，污染物排放量少的清洁生产工艺。</w:t>
      </w:r>
    </w:p>
    <w:p w14:paraId="0E1FF15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养殖场设施完善，猪舍结构合理。</w:t>
      </w:r>
    </w:p>
    <w:p w14:paraId="0652F69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猪粪处理拟采用好氧堆肥发酵腐熟先进技术，实现粪便无害化。</w:t>
      </w:r>
    </w:p>
    <w:p w14:paraId="4CE83417">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坚持农牧结合、种养平衡原则，严格根据土地对猪粪尿的消纳能力，做到畜禽养殖废水资源化利用，不向地表水体排放，以控制对环境的污染。</w:t>
      </w:r>
    </w:p>
    <w:p w14:paraId="44120CB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设备选型力求与生产能力相匹配，电器设备均选用节能型设备，包括水泵、电机、灯具等，力求做到用电及电力系统合理匹配，从而降低能耗。</w:t>
      </w:r>
    </w:p>
    <w:p w14:paraId="36750BF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（2）建设项目拟采取的环境保护措施及主要运行参数</w:t>
      </w:r>
    </w:p>
    <w:p w14:paraId="3122C72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猪粪、黑膜厌氧池中产生的沼渣进行统一收集，作为固体</w:t>
      </w:r>
      <w:r>
        <w:rPr>
          <w:rFonts w:hint="eastAsia" w:ascii="Times New Roman" w:hAnsi="Times New Roman" w:cs="Times New Roman"/>
          <w:color w:val="auto"/>
          <w:highlight w:val="none"/>
          <w:lang w:eastAsia="zh-CN"/>
        </w:rPr>
        <w:t>粪污</w:t>
      </w:r>
      <w:r>
        <w:rPr>
          <w:rFonts w:hint="default" w:ascii="Times New Roman" w:hAnsi="Times New Roman" w:eastAsia="宋体" w:cs="Times New Roman"/>
          <w:color w:val="auto"/>
          <w:highlight w:val="none"/>
        </w:rPr>
        <w:t>生产原料，在场区内建设</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color w:val="auto"/>
          <w:highlight w:val="none"/>
        </w:rPr>
        <w:t>，将猪粪、沼渣直接堆肥发酵生产固体</w:t>
      </w:r>
      <w:r>
        <w:rPr>
          <w:rFonts w:hint="eastAsia" w:ascii="Times New Roman" w:hAnsi="Times New Roman" w:cs="Times New Roman"/>
          <w:color w:val="auto"/>
          <w:highlight w:val="none"/>
          <w:lang w:eastAsia="zh-CN"/>
        </w:rPr>
        <w:t>粪污</w:t>
      </w:r>
      <w:r>
        <w:rPr>
          <w:rFonts w:hint="default" w:ascii="Times New Roman" w:hAnsi="Times New Roman" w:eastAsia="宋体" w:cs="Times New Roman"/>
          <w:color w:val="auto"/>
          <w:highlight w:val="none"/>
        </w:rPr>
        <w:t>用于农业生产，实现固废100%综合利用。</w:t>
      </w:r>
    </w:p>
    <w:p w14:paraId="15FB4803">
      <w:pPr>
        <w:pStyle w:val="94"/>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cs="Times New Roman"/>
          <w:snapToGrid w:val="0"/>
          <w:color w:val="auto"/>
          <w:highlight w:val="none"/>
          <w:lang w:val="zh-CN" w:eastAsia="zh-CN"/>
        </w:rPr>
        <w:t>沼液贮存池</w:t>
      </w:r>
      <w:r>
        <w:rPr>
          <w:rFonts w:hint="default" w:ascii="Times New Roman" w:hAnsi="Times New Roman" w:cs="Times New Roman"/>
          <w:snapToGrid w:val="0"/>
          <w:color w:val="auto"/>
          <w:highlight w:val="none"/>
          <w:lang w:val="zh-CN"/>
        </w:rPr>
        <w:t>。</w:t>
      </w:r>
      <w:r>
        <w:rPr>
          <w:rFonts w:hint="default" w:ascii="Times New Roman" w:hAnsi="Times New Roman" w:cs="Times New Roman"/>
          <w:snapToGrid w:val="0"/>
          <w:color w:val="auto"/>
          <w:highlight w:val="none"/>
        </w:rPr>
        <w:t>采取雨污分流方式，雨水采用明沟排放。</w:t>
      </w:r>
      <w:r>
        <w:rPr>
          <w:rFonts w:hint="default" w:ascii="Times New Roman" w:hAnsi="Times New Roman" w:eastAsia="宋体" w:cs="Times New Roman"/>
          <w:snapToGrid w:val="0"/>
          <w:color w:val="auto"/>
          <w:sz w:val="24"/>
          <w:szCs w:val="24"/>
          <w:highlight w:val="none"/>
          <w:lang w:val="en-US" w:eastAsia="zh-CN" w:bidi="ar"/>
        </w:rPr>
        <w:t>对处理设施进行封闭，定期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1F5DCA54">
      <w:pPr>
        <w:pStyle w:val="94"/>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zh-CN"/>
        </w:rPr>
        <w:fldChar w:fldCharType="begin"/>
      </w:r>
      <w:r>
        <w:rPr>
          <w:rFonts w:hint="default" w:ascii="Times New Roman" w:hAnsi="Times New Roman" w:eastAsia="宋体" w:cs="Times New Roman"/>
          <w:color w:val="auto"/>
          <w:sz w:val="24"/>
          <w:szCs w:val="24"/>
          <w:highlight w:val="none"/>
          <w:lang w:val="zh-CN"/>
        </w:rPr>
        <w:instrText xml:space="preserve"> = 3 \* GB3 </w:instrText>
      </w:r>
      <w:r>
        <w:rPr>
          <w:rFonts w:hint="default" w:ascii="Times New Roman" w:hAnsi="Times New Roman" w:eastAsia="宋体" w:cs="Times New Roman"/>
          <w:color w:val="auto"/>
          <w:sz w:val="24"/>
          <w:szCs w:val="24"/>
          <w:highlight w:val="none"/>
          <w:lang w:val="zh-CN"/>
        </w:rPr>
        <w:fldChar w:fldCharType="separate"/>
      </w:r>
      <w:r>
        <w:rPr>
          <w:rFonts w:hint="default" w:ascii="Times New Roman" w:hAnsi="Times New Roman" w:eastAsia="宋体" w:cs="Times New Roman"/>
          <w:color w:val="auto"/>
          <w:sz w:val="24"/>
          <w:szCs w:val="24"/>
          <w:highlight w:val="none"/>
          <w:lang w:val="zh-CN"/>
        </w:rPr>
        <w:t>③</w:t>
      </w:r>
      <w:r>
        <w:rPr>
          <w:rFonts w:hint="default" w:ascii="Times New Roman" w:hAnsi="Times New Roman" w:eastAsia="宋体" w:cs="Times New Roman"/>
          <w:color w:val="auto"/>
          <w:sz w:val="24"/>
          <w:szCs w:val="24"/>
          <w:highlight w:val="none"/>
          <w:lang w:val="zh-CN"/>
        </w:rPr>
        <w:fldChar w:fldCharType="end"/>
      </w:r>
      <w:r>
        <w:rPr>
          <w:rFonts w:hint="default" w:ascii="Times New Roman" w:hAnsi="Times New Roman" w:eastAsia="宋体" w:cs="Times New Roman"/>
          <w:color w:val="auto"/>
          <w:sz w:val="24"/>
          <w:szCs w:val="24"/>
          <w:highlight w:val="none"/>
          <w:lang w:val="en-US" w:eastAsia="zh-CN"/>
        </w:rPr>
        <w:t>黑膜厌氧池</w:t>
      </w:r>
      <w:r>
        <w:rPr>
          <w:rFonts w:hint="default" w:ascii="Times New Roman" w:hAnsi="Times New Roman" w:eastAsia="宋体" w:cs="Times New Roman"/>
          <w:color w:val="auto"/>
          <w:sz w:val="24"/>
          <w:szCs w:val="24"/>
          <w:highlight w:val="none"/>
        </w:rPr>
        <w:t>防渗砼结构，周边挖排水沟、建拦水坝，防止雨水进入。</w:t>
      </w:r>
    </w:p>
    <w:p w14:paraId="49F052AC">
      <w:pPr>
        <w:pStyle w:val="94"/>
        <w:keepNext w:val="0"/>
        <w:keepLines w:val="0"/>
        <w:pageBreakBefore w:val="0"/>
        <w:widowControl/>
        <w:kinsoku/>
        <w:wordWrap/>
        <w:overflowPunct/>
        <w:topLinePunct w:val="0"/>
        <w:autoSpaceDE/>
        <w:autoSpaceDN/>
        <w:bidi w:val="0"/>
        <w:spacing w:line="360" w:lineRule="auto"/>
        <w:ind w:firstLine="480" w:firstLineChars="200"/>
        <w:textAlignment w:val="auto"/>
        <w:rPr>
          <w:rFonts w:hint="eastAsia" w:ascii="Times New Roman" w:hAnsi="Times New Roman" w:cs="Times New Roman"/>
          <w:snapToGrid w:val="0"/>
          <w:color w:val="auto"/>
          <w:sz w:val="24"/>
          <w:szCs w:val="24"/>
          <w:highlight w:val="none"/>
          <w:lang w:val="en-US" w:eastAsia="zh-CN" w:bidi="ar"/>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4 \* GB3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④</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地下水防渗：</w:t>
      </w:r>
      <w:r>
        <w:rPr>
          <w:rFonts w:hint="eastAsia" w:ascii="Times New Roman" w:hAnsi="Times New Roman" w:cs="Times New Roman"/>
          <w:snapToGrid w:val="0"/>
          <w:color w:val="auto"/>
          <w:sz w:val="24"/>
          <w:szCs w:val="24"/>
          <w:highlight w:val="none"/>
          <w:lang w:val="en-US" w:eastAsia="zh-CN" w:bidi="ar"/>
        </w:rPr>
        <w:t>黑膜厌氧池、沼液贮存池、医疗废物暂存间防渗措施为高密度聚乙烯（HDPE）防渗膜（渗透系数K≤10</w:t>
      </w:r>
      <w:r>
        <w:rPr>
          <w:rFonts w:hint="eastAsia" w:ascii="Times New Roman" w:hAnsi="Times New Roman" w:cs="Times New Roman"/>
          <w:snapToGrid w:val="0"/>
          <w:color w:val="auto"/>
          <w:sz w:val="24"/>
          <w:szCs w:val="24"/>
          <w:highlight w:val="none"/>
          <w:vertAlign w:val="superscript"/>
          <w:lang w:val="en-US" w:eastAsia="zh-CN" w:bidi="ar"/>
        </w:rPr>
        <w:t>-12</w:t>
      </w:r>
      <w:r>
        <w:rPr>
          <w:rFonts w:hint="eastAsia" w:ascii="Times New Roman" w:hAnsi="Times New Roman" w:cs="Times New Roman"/>
          <w:snapToGrid w:val="0"/>
          <w:color w:val="auto"/>
          <w:sz w:val="24"/>
          <w:szCs w:val="24"/>
          <w:highlight w:val="none"/>
          <w:lang w:val="en-US" w:eastAsia="zh-CN" w:bidi="ar"/>
        </w:rPr>
        <w:t>cm/s，等效黏土防渗层Mb≥6.0m），满足《环境影响评价技术导则 地下水环境》（HJ610-2016）的防渗要求。</w:t>
      </w:r>
    </w:p>
    <w:p w14:paraId="1D8D74C4">
      <w:pPr>
        <w:pStyle w:val="94"/>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
        </w:rPr>
      </w:pPr>
      <w:r>
        <w:rPr>
          <w:rFonts w:hint="eastAsia" w:ascii="Times New Roman" w:hAnsi="Times New Roman" w:cs="Times New Roman"/>
          <w:snapToGrid w:val="0"/>
          <w:color w:val="auto"/>
          <w:sz w:val="24"/>
          <w:szCs w:val="24"/>
          <w:highlight w:val="none"/>
          <w:lang w:val="en-US" w:eastAsia="zh-CN" w:bidi="ar"/>
        </w:rPr>
        <w:t>医疗废物暂存间应采取防风、防雨、防晒、防渗、防漏和防止危险废物流失、扬散等措施。</w:t>
      </w:r>
      <w:r>
        <w:rPr>
          <w:rFonts w:hint="default" w:ascii="Times New Roman" w:hAnsi="Times New Roman" w:eastAsia="宋体" w:cs="Times New Roman"/>
          <w:snapToGrid w:val="0"/>
          <w:color w:val="auto"/>
          <w:sz w:val="24"/>
          <w:szCs w:val="24"/>
          <w:highlight w:val="none"/>
          <w:lang w:val="en-US" w:bidi="ar"/>
        </w:rPr>
        <w:t>猪舍、</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、固液分离间为</w:t>
      </w:r>
      <w:r>
        <w:rPr>
          <w:rFonts w:hint="default" w:ascii="Times New Roman" w:hAnsi="Times New Roman" w:eastAsia="宋体" w:cs="Times New Roman"/>
          <w:snapToGrid w:val="0"/>
          <w:color w:val="auto"/>
          <w:sz w:val="24"/>
          <w:szCs w:val="24"/>
          <w:highlight w:val="none"/>
          <w:lang w:val="en-US" w:bidi="ar"/>
        </w:rPr>
        <w:t>一般防渗区</w:t>
      </w:r>
      <w:r>
        <w:rPr>
          <w:rFonts w:hint="default" w:ascii="Times New Roman" w:hAnsi="Times New Roman" w:eastAsia="宋体" w:cs="Times New Roman"/>
          <w:snapToGrid w:val="0"/>
          <w:color w:val="auto"/>
          <w:sz w:val="24"/>
          <w:szCs w:val="24"/>
          <w:highlight w:val="none"/>
          <w:lang w:val="en-US" w:eastAsia="zh-CN" w:bidi="ar"/>
        </w:rPr>
        <w:t>，</w:t>
      </w:r>
      <w:r>
        <w:rPr>
          <w:rFonts w:hint="eastAsia" w:ascii="Times New Roman" w:hAnsi="Times New Roman" w:cs="Times New Roman"/>
          <w:snapToGrid w:val="0"/>
          <w:color w:val="auto"/>
          <w:sz w:val="24"/>
          <w:szCs w:val="24"/>
          <w:highlight w:val="none"/>
          <w:lang w:val="en-US" w:eastAsia="zh-CN" w:bidi="ar"/>
        </w:rPr>
        <w:t>地面及墙面采用水泥混凝土防渗，等效黏土防渗层Mb≥1.5m，K≤1.0×10</w:t>
      </w:r>
      <w:r>
        <w:rPr>
          <w:rFonts w:hint="eastAsia" w:ascii="Times New Roman" w:hAnsi="Times New Roman" w:cs="Times New Roman"/>
          <w:snapToGrid w:val="0"/>
          <w:color w:val="auto"/>
          <w:sz w:val="24"/>
          <w:szCs w:val="24"/>
          <w:highlight w:val="none"/>
          <w:vertAlign w:val="superscript"/>
          <w:lang w:val="en-US" w:eastAsia="zh-CN" w:bidi="ar"/>
        </w:rPr>
        <w:t>-7</w:t>
      </w:r>
      <w:r>
        <w:rPr>
          <w:rFonts w:hint="eastAsia" w:ascii="Times New Roman" w:hAnsi="Times New Roman" w:cs="Times New Roman"/>
          <w:snapToGrid w:val="0"/>
          <w:color w:val="auto"/>
          <w:sz w:val="24"/>
          <w:szCs w:val="24"/>
          <w:highlight w:val="none"/>
          <w:lang w:val="en-US" w:eastAsia="zh-CN" w:bidi="ar"/>
        </w:rPr>
        <w:t>cm/s满足《环境影响评价技术导则 地下水环境》（HJ610-2016）的防渗要求。</w:t>
      </w:r>
      <w:r>
        <w:rPr>
          <w:rFonts w:hint="default" w:ascii="Times New Roman" w:hAnsi="Times New Roman" w:eastAsia="宋体" w:cs="Times New Roman"/>
          <w:snapToGrid w:val="0"/>
          <w:color w:val="auto"/>
          <w:sz w:val="24"/>
          <w:szCs w:val="24"/>
          <w:highlight w:val="none"/>
          <w:lang w:val="en-US" w:bidi="ar"/>
        </w:rPr>
        <w:t>其他建筑物及道路采取简单防渗，地面</w:t>
      </w:r>
      <w:r>
        <w:rPr>
          <w:rFonts w:hint="default" w:ascii="Times New Roman" w:hAnsi="Times New Roman" w:eastAsia="宋体" w:cs="Times New Roman"/>
          <w:snapToGrid w:val="0"/>
          <w:color w:val="auto"/>
          <w:sz w:val="24"/>
          <w:szCs w:val="24"/>
          <w:highlight w:val="none"/>
          <w:lang w:val="en-US" w:eastAsia="zh-CN" w:bidi="ar"/>
        </w:rPr>
        <w:t>均用水泥进行一般地面硬化。</w:t>
      </w:r>
      <w:r>
        <w:rPr>
          <w:rFonts w:hint="default" w:ascii="Times New Roman" w:hAnsi="Times New Roman" w:eastAsia="宋体" w:cs="Times New Roman"/>
          <w:snapToGrid w:val="0"/>
          <w:color w:val="auto"/>
          <w:kern w:val="0"/>
          <w:sz w:val="24"/>
          <w:szCs w:val="24"/>
          <w:highlight w:val="none"/>
          <w:lang w:val="en-US" w:eastAsia="zh-CN" w:bidi="ar"/>
        </w:rPr>
        <w:t>医疗废物暂存间应采取防风、防雨、防晒、防渗、防漏和防止危险废物流失、扬散等措施；</w:t>
      </w:r>
    </w:p>
    <w:p w14:paraId="2EF860ED">
      <w:pPr>
        <w:pStyle w:val="94"/>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default" w:ascii="Times New Roman" w:hAnsi="Times New Roman" w:cs="Times New Roman"/>
          <w:color w:val="auto"/>
          <w:highlight w:val="none"/>
        </w:rPr>
        <w:t>黑膜厌氧池等各池体安装泄漏监测装置</w:t>
      </w:r>
      <w:r>
        <w:rPr>
          <w:rFonts w:hint="default" w:ascii="Times New Roman" w:hAnsi="Times New Roman" w:cs="Times New Roman"/>
          <w:color w:val="auto"/>
          <w:highlight w:val="none"/>
          <w:lang w:eastAsia="zh-CN"/>
        </w:rPr>
        <w:t>。</w:t>
      </w:r>
    </w:p>
    <w:p w14:paraId="1630E7F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（3）社会公开的信息内容</w:t>
      </w:r>
    </w:p>
    <w:p w14:paraId="1A211CF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企业应积极主动对污染物定期监测信息进行公开，采用张贴公示版等形式对污染物排放情况、污染防治措施运行情况进行公开，保证公众知情权。</w:t>
      </w:r>
    </w:p>
    <w:p w14:paraId="04ACE9E6">
      <w:pPr>
        <w:pStyle w:val="5"/>
        <w:bidi w:val="0"/>
        <w:rPr>
          <w:rFonts w:hint="default"/>
          <w:highlight w:val="none"/>
        </w:rPr>
      </w:pPr>
      <w:bookmarkStart w:id="1185" w:name="_Toc480447684"/>
      <w:bookmarkStart w:id="1186" w:name="_Toc29149"/>
      <w:bookmarkStart w:id="1187" w:name="_Toc5482"/>
      <w:bookmarkStart w:id="1188" w:name="_Toc18547"/>
      <w:bookmarkStart w:id="1189" w:name="_Toc3371"/>
      <w:bookmarkStart w:id="1190" w:name="_Toc19735"/>
      <w:r>
        <w:rPr>
          <w:rFonts w:hint="default"/>
          <w:highlight w:val="none"/>
        </w:rPr>
        <w:t>8.2环境监测</w:t>
      </w:r>
      <w:bookmarkEnd w:id="1173"/>
      <w:bookmarkEnd w:id="1174"/>
      <w:bookmarkEnd w:id="1175"/>
      <w:bookmarkEnd w:id="1185"/>
      <w:bookmarkEnd w:id="1186"/>
      <w:bookmarkEnd w:id="1187"/>
      <w:bookmarkEnd w:id="1188"/>
      <w:bookmarkEnd w:id="1189"/>
      <w:bookmarkEnd w:id="1190"/>
    </w:p>
    <w:p w14:paraId="2EBD97C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监测是项目环境保护的“眼睛”，是基本的手段和信息基础，环境监测的特点是以样品的监测结果来推断总体环境质量。因此，必须把握好各个技术环节，包括确定环境监测的项目的范围，采样的位置和数量，采样的时间和方法，样品的分析和数据处理等及其质量保证工作。保证监测数据具有完整的质量特征，准确性、精密性、完整性、代表性和可比性。</w:t>
      </w:r>
    </w:p>
    <w:p w14:paraId="37099CE7">
      <w:pPr>
        <w:pStyle w:val="7"/>
        <w:bidi w:val="0"/>
        <w:rPr>
          <w:rFonts w:hint="default"/>
          <w:highlight w:val="none"/>
        </w:rPr>
      </w:pPr>
      <w:bookmarkStart w:id="1191" w:name="_Toc13941"/>
      <w:bookmarkStart w:id="1192" w:name="_Toc19875"/>
      <w:bookmarkStart w:id="1193" w:name="_Toc22853"/>
      <w:bookmarkStart w:id="1194" w:name="_Toc13158"/>
      <w:r>
        <w:rPr>
          <w:rFonts w:hint="default"/>
          <w:highlight w:val="none"/>
        </w:rPr>
        <w:t>8.2.1环境监测的必要性</w:t>
      </w:r>
      <w:bookmarkEnd w:id="1191"/>
      <w:bookmarkEnd w:id="1192"/>
      <w:bookmarkEnd w:id="1193"/>
      <w:bookmarkEnd w:id="1194"/>
    </w:p>
    <w:p w14:paraId="54884A7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监测既是项目执行管理的需要，也是环保部门了解项目执行情况、研究对策，实行宏观指导的依据。通过现场监测，能及时发现问题和了解运行数据是否理想，达到总结经验、解决问题、改善管理的目的，以确保项目顺利实现预期目的。</w:t>
      </w:r>
    </w:p>
    <w:p w14:paraId="6EE9A018">
      <w:pPr>
        <w:pStyle w:val="7"/>
        <w:bidi w:val="0"/>
        <w:rPr>
          <w:rFonts w:hint="default"/>
          <w:highlight w:val="none"/>
        </w:rPr>
      </w:pPr>
      <w:bookmarkStart w:id="1195" w:name="_Toc6992"/>
      <w:bookmarkStart w:id="1196" w:name="_Toc11461"/>
      <w:bookmarkStart w:id="1197" w:name="_Toc20231"/>
      <w:bookmarkStart w:id="1198" w:name="_Toc8067"/>
      <w:r>
        <w:rPr>
          <w:rFonts w:hint="default"/>
          <w:highlight w:val="none"/>
        </w:rPr>
        <w:t>8.2.2环境监测机构设置</w:t>
      </w:r>
      <w:bookmarkEnd w:id="1195"/>
      <w:bookmarkEnd w:id="1196"/>
      <w:bookmarkEnd w:id="1197"/>
      <w:bookmarkEnd w:id="1198"/>
    </w:p>
    <w:p w14:paraId="3B3115AD">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为了及时准确地了解项目的污染物排放情况和污染物治理设施的运行状况，企业应委托有资质的监测机构进行常规监测。</w:t>
      </w:r>
    </w:p>
    <w:p w14:paraId="3BF62C67">
      <w:pPr>
        <w:pStyle w:val="7"/>
        <w:bidi w:val="0"/>
        <w:rPr>
          <w:rFonts w:hint="default"/>
          <w:highlight w:val="none"/>
        </w:rPr>
      </w:pPr>
      <w:bookmarkStart w:id="1199" w:name="_Toc12929"/>
      <w:bookmarkStart w:id="1200" w:name="_Toc7337"/>
      <w:bookmarkStart w:id="1201" w:name="_Toc19975"/>
      <w:bookmarkStart w:id="1202" w:name="_Toc32686"/>
      <w:r>
        <w:rPr>
          <w:rFonts w:hint="default"/>
          <w:highlight w:val="none"/>
        </w:rPr>
        <w:t>8.2.3环境监测职责</w:t>
      </w:r>
      <w:bookmarkEnd w:id="1199"/>
      <w:bookmarkEnd w:id="1200"/>
      <w:bookmarkEnd w:id="1201"/>
      <w:bookmarkEnd w:id="1202"/>
    </w:p>
    <w:p w14:paraId="73F5FDB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国家和主管部门颁布的环保法规、污染物排放标准以及企业内部的要求，制订监测站的工作计划和实施方案。对生产过程中污染物的排放状况和污染治理设施的处理效果进行定期监测，为设施的运行控制提供依据。监督黑膜厌氧池出口处污染物排放的达标情况。对监测仪器设备进行维护和校验，确保监测数据的准确性、可靠性。作好监测数据的整理记录工作，作好企业污染物排放情况动态变化的档案记载工作。努力学习，不断提高站内工作人员的业务素质和工作能力。</w:t>
      </w:r>
    </w:p>
    <w:p w14:paraId="3EF3A4E5">
      <w:pPr>
        <w:pStyle w:val="7"/>
        <w:bidi w:val="0"/>
        <w:rPr>
          <w:rFonts w:hint="default"/>
          <w:highlight w:val="none"/>
        </w:rPr>
      </w:pPr>
      <w:bookmarkStart w:id="1203" w:name="_Toc26034"/>
      <w:bookmarkStart w:id="1204" w:name="_Toc60"/>
      <w:bookmarkStart w:id="1205" w:name="_Toc8130"/>
      <w:bookmarkStart w:id="1206" w:name="_Toc2109"/>
      <w:r>
        <w:rPr>
          <w:rFonts w:hint="default"/>
          <w:highlight w:val="none"/>
        </w:rPr>
        <w:t>8.2.4设立排放口（源）标识</w:t>
      </w:r>
      <w:bookmarkEnd w:id="1203"/>
      <w:bookmarkEnd w:id="1204"/>
      <w:bookmarkEnd w:id="1205"/>
      <w:bookmarkEnd w:id="1206"/>
    </w:p>
    <w:p w14:paraId="4FE44E5D">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的各排污口按照环境管理要求，必须进行规范化建设，在本项目的黑膜厌氧池排放口、大气排放源、噪声、固废排放源设立规范的环境保护图形标志，按照《环境保护图形标志―排放口（源）》（GB15562.1-1995）执行，以利于环境保护行政主管部门对各排放口的监督管理。标志牌制作由国家环境保护总局统一监制，标志牌应设置在与之功能相应的醒目处。</w:t>
      </w:r>
    </w:p>
    <w:p w14:paraId="6325383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污水排放口、废气排放口、固废噪声排放源图形符号分为提示图形符号和警告图形符号两种，图形符号与说明见下</w:t>
      </w:r>
      <w:r>
        <w:rPr>
          <w:rFonts w:hint="default" w:ascii="Times New Roman" w:hAnsi="Times New Roman" w:cs="Times New Roman"/>
          <w:snapToGrid w:val="0"/>
          <w:color w:val="auto"/>
          <w:highlight w:val="none"/>
          <w:lang w:val="en-US" w:eastAsia="zh-CN"/>
        </w:rPr>
        <w:t>表</w:t>
      </w:r>
      <w:r>
        <w:rPr>
          <w:rFonts w:hint="default" w:ascii="Times New Roman" w:hAnsi="Times New Roman" w:eastAsia="宋体" w:cs="Times New Roman"/>
          <w:snapToGrid w:val="0"/>
          <w:color w:val="auto"/>
          <w:highlight w:val="none"/>
        </w:rPr>
        <w:t>。</w:t>
      </w:r>
    </w:p>
    <w:p w14:paraId="54FE19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zh-CN" w:eastAsia="zh-CN" w:bidi="ar-SA"/>
        </w:rPr>
        <w:t>-1 排污口图形符号</w:t>
      </w:r>
    </w:p>
    <w:tbl>
      <w:tblPr>
        <w:tblStyle w:val="48"/>
        <w:tblW w:w="8534" w:type="dxa"/>
        <w:jc w:val="center"/>
        <w:tblCellSpacing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138"/>
        <w:gridCol w:w="2134"/>
        <w:gridCol w:w="2134"/>
        <w:gridCol w:w="2128"/>
      </w:tblGrid>
      <w:tr w14:paraId="5F3A4B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68" w:hRule="atLeast"/>
          <w:tblCellSpacing w:w="0" w:type="dxa"/>
          <w:jc w:val="center"/>
        </w:trPr>
        <w:tc>
          <w:tcPr>
            <w:tcW w:w="2138" w:type="dxa"/>
            <w:noWrap w:val="0"/>
            <w:tcMar>
              <w:top w:w="15" w:type="dxa"/>
              <w:left w:w="15" w:type="dxa"/>
              <w:bottom w:w="15" w:type="dxa"/>
              <w:right w:w="15" w:type="dxa"/>
            </w:tcMar>
            <w:vAlign w:val="center"/>
          </w:tcPr>
          <w:p w14:paraId="47B31B42">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721995" cy="721995"/>
                  <wp:effectExtent l="0" t="0" r="1905" b="1905"/>
                  <wp:docPr id="129" name="图片 10" descr="HP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 descr="HP003"/>
                          <pic:cNvPicPr>
                            <a:picLocks noChangeAspect="1"/>
                          </pic:cNvPicPr>
                        </pic:nvPicPr>
                        <pic:blipFill>
                          <a:blip r:embed="rId113"/>
                          <a:stretch>
                            <a:fillRect/>
                          </a:stretch>
                        </pic:blipFill>
                        <pic:spPr>
                          <a:xfrm>
                            <a:off x="0" y="0"/>
                            <a:ext cx="721995" cy="721995"/>
                          </a:xfrm>
                          <a:prstGeom prst="rect">
                            <a:avLst/>
                          </a:prstGeom>
                          <a:noFill/>
                          <a:ln>
                            <a:noFill/>
                          </a:ln>
                        </pic:spPr>
                      </pic:pic>
                    </a:graphicData>
                  </a:graphic>
                </wp:inline>
              </w:drawing>
            </w:r>
          </w:p>
        </w:tc>
        <w:tc>
          <w:tcPr>
            <w:tcW w:w="2134" w:type="dxa"/>
            <w:noWrap w:val="0"/>
            <w:tcMar>
              <w:top w:w="15" w:type="dxa"/>
              <w:left w:w="15" w:type="dxa"/>
              <w:bottom w:w="15" w:type="dxa"/>
              <w:right w:w="15" w:type="dxa"/>
            </w:tcMar>
            <w:vAlign w:val="center"/>
          </w:tcPr>
          <w:p w14:paraId="33C7FA0C">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770255" cy="721995"/>
                  <wp:effectExtent l="0" t="0" r="10795" b="1905"/>
                  <wp:docPr id="130" name="图片 11" descr="HP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descr="HP004"/>
                          <pic:cNvPicPr>
                            <a:picLocks noChangeAspect="1"/>
                          </pic:cNvPicPr>
                        </pic:nvPicPr>
                        <pic:blipFill>
                          <a:blip r:embed="rId114"/>
                          <a:stretch>
                            <a:fillRect/>
                          </a:stretch>
                        </pic:blipFill>
                        <pic:spPr>
                          <a:xfrm>
                            <a:off x="0" y="0"/>
                            <a:ext cx="770255" cy="721995"/>
                          </a:xfrm>
                          <a:prstGeom prst="rect">
                            <a:avLst/>
                          </a:prstGeom>
                          <a:noFill/>
                          <a:ln>
                            <a:noFill/>
                          </a:ln>
                        </pic:spPr>
                      </pic:pic>
                    </a:graphicData>
                  </a:graphic>
                </wp:inline>
              </w:drawing>
            </w:r>
          </w:p>
        </w:tc>
        <w:tc>
          <w:tcPr>
            <w:tcW w:w="2134" w:type="dxa"/>
            <w:noWrap w:val="0"/>
            <w:tcMar>
              <w:top w:w="15" w:type="dxa"/>
              <w:left w:w="15" w:type="dxa"/>
              <w:bottom w:w="15" w:type="dxa"/>
              <w:right w:w="15" w:type="dxa"/>
            </w:tcMar>
            <w:vAlign w:val="center"/>
          </w:tcPr>
          <w:p w14:paraId="645A3344">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673735" cy="673735"/>
                  <wp:effectExtent l="0" t="0" r="12065" b="12065"/>
                  <wp:docPr id="90" name="图片 12" descr="HP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descr="HP005"/>
                          <pic:cNvPicPr>
                            <a:picLocks noChangeAspect="1"/>
                          </pic:cNvPicPr>
                        </pic:nvPicPr>
                        <pic:blipFill>
                          <a:blip r:embed="rId115"/>
                          <a:stretch>
                            <a:fillRect/>
                          </a:stretch>
                        </pic:blipFill>
                        <pic:spPr>
                          <a:xfrm>
                            <a:off x="0" y="0"/>
                            <a:ext cx="673735" cy="673735"/>
                          </a:xfrm>
                          <a:prstGeom prst="rect">
                            <a:avLst/>
                          </a:prstGeom>
                          <a:noFill/>
                          <a:ln>
                            <a:noFill/>
                          </a:ln>
                        </pic:spPr>
                      </pic:pic>
                    </a:graphicData>
                  </a:graphic>
                </wp:inline>
              </w:drawing>
            </w:r>
          </w:p>
        </w:tc>
        <w:tc>
          <w:tcPr>
            <w:tcW w:w="2128" w:type="dxa"/>
            <w:noWrap w:val="0"/>
            <w:tcMar>
              <w:top w:w="15" w:type="dxa"/>
              <w:left w:w="15" w:type="dxa"/>
              <w:bottom w:w="15" w:type="dxa"/>
              <w:right w:w="15" w:type="dxa"/>
            </w:tcMar>
            <w:vAlign w:val="center"/>
          </w:tcPr>
          <w:p w14:paraId="290CBE11">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865505" cy="721995"/>
                  <wp:effectExtent l="0" t="0" r="10795" b="1905"/>
                  <wp:docPr id="109" name="图片 13" descr="HP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3" descr="HP006"/>
                          <pic:cNvPicPr>
                            <a:picLocks noChangeAspect="1"/>
                          </pic:cNvPicPr>
                        </pic:nvPicPr>
                        <pic:blipFill>
                          <a:blip r:embed="rId116"/>
                          <a:stretch>
                            <a:fillRect/>
                          </a:stretch>
                        </pic:blipFill>
                        <pic:spPr>
                          <a:xfrm>
                            <a:off x="0" y="0"/>
                            <a:ext cx="865505" cy="721995"/>
                          </a:xfrm>
                          <a:prstGeom prst="rect">
                            <a:avLst/>
                          </a:prstGeom>
                          <a:noFill/>
                          <a:ln>
                            <a:noFill/>
                          </a:ln>
                        </pic:spPr>
                      </pic:pic>
                    </a:graphicData>
                  </a:graphic>
                </wp:inline>
              </w:drawing>
            </w:r>
          </w:p>
        </w:tc>
      </w:tr>
      <w:tr w14:paraId="2618F7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5" w:hRule="atLeast"/>
          <w:tblCellSpacing w:w="0" w:type="dxa"/>
          <w:jc w:val="center"/>
        </w:trPr>
        <w:tc>
          <w:tcPr>
            <w:tcW w:w="2138" w:type="dxa"/>
            <w:noWrap w:val="0"/>
            <w:tcMar>
              <w:top w:w="15" w:type="dxa"/>
              <w:left w:w="15" w:type="dxa"/>
              <w:bottom w:w="15" w:type="dxa"/>
              <w:right w:w="15" w:type="dxa"/>
            </w:tcMar>
            <w:vAlign w:val="center"/>
          </w:tcPr>
          <w:p w14:paraId="15043D9F">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废气排放口</w:t>
            </w:r>
          </w:p>
        </w:tc>
        <w:tc>
          <w:tcPr>
            <w:tcW w:w="2134" w:type="dxa"/>
            <w:noWrap w:val="0"/>
            <w:tcMar>
              <w:top w:w="15" w:type="dxa"/>
              <w:left w:w="15" w:type="dxa"/>
              <w:bottom w:w="15" w:type="dxa"/>
              <w:right w:w="15" w:type="dxa"/>
            </w:tcMar>
            <w:vAlign w:val="center"/>
          </w:tcPr>
          <w:p w14:paraId="015CE76B">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废气排放口</w:t>
            </w:r>
          </w:p>
        </w:tc>
        <w:tc>
          <w:tcPr>
            <w:tcW w:w="2134" w:type="dxa"/>
            <w:noWrap w:val="0"/>
            <w:tcMar>
              <w:top w:w="15" w:type="dxa"/>
              <w:left w:w="15" w:type="dxa"/>
              <w:bottom w:w="15" w:type="dxa"/>
              <w:right w:w="15" w:type="dxa"/>
            </w:tcMar>
            <w:vAlign w:val="center"/>
          </w:tcPr>
          <w:p w14:paraId="79C84407">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噪声排放源</w:t>
            </w:r>
          </w:p>
        </w:tc>
        <w:tc>
          <w:tcPr>
            <w:tcW w:w="2128" w:type="dxa"/>
            <w:noWrap w:val="0"/>
            <w:tcMar>
              <w:top w:w="15" w:type="dxa"/>
              <w:left w:w="15" w:type="dxa"/>
              <w:bottom w:w="15" w:type="dxa"/>
              <w:right w:w="15" w:type="dxa"/>
            </w:tcMar>
            <w:vAlign w:val="center"/>
          </w:tcPr>
          <w:p w14:paraId="56C41068">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噪声排放源</w:t>
            </w:r>
          </w:p>
        </w:tc>
      </w:tr>
      <w:tr w14:paraId="1C9376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tblCellSpacing w:w="0" w:type="dxa"/>
          <w:jc w:val="center"/>
        </w:trPr>
        <w:tc>
          <w:tcPr>
            <w:tcW w:w="2138" w:type="dxa"/>
            <w:noWrap w:val="0"/>
            <w:tcMar>
              <w:top w:w="15" w:type="dxa"/>
              <w:left w:w="15" w:type="dxa"/>
              <w:bottom w:w="15" w:type="dxa"/>
              <w:right w:w="15" w:type="dxa"/>
            </w:tcMar>
            <w:vAlign w:val="center"/>
          </w:tcPr>
          <w:p w14:paraId="54411CF6">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721995" cy="721995"/>
                  <wp:effectExtent l="0" t="0" r="1905" b="1905"/>
                  <wp:docPr id="110" name="图片 14" descr="HP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4" descr="HP007"/>
                          <pic:cNvPicPr>
                            <a:picLocks noChangeAspect="1"/>
                          </pic:cNvPicPr>
                        </pic:nvPicPr>
                        <pic:blipFill>
                          <a:blip r:embed="rId117"/>
                          <a:stretch>
                            <a:fillRect/>
                          </a:stretch>
                        </pic:blipFill>
                        <pic:spPr>
                          <a:xfrm>
                            <a:off x="0" y="0"/>
                            <a:ext cx="721995" cy="721995"/>
                          </a:xfrm>
                          <a:prstGeom prst="rect">
                            <a:avLst/>
                          </a:prstGeom>
                          <a:noFill/>
                          <a:ln>
                            <a:noFill/>
                          </a:ln>
                        </pic:spPr>
                      </pic:pic>
                    </a:graphicData>
                  </a:graphic>
                </wp:inline>
              </w:drawing>
            </w:r>
          </w:p>
        </w:tc>
        <w:tc>
          <w:tcPr>
            <w:tcW w:w="2134" w:type="dxa"/>
            <w:noWrap w:val="0"/>
            <w:tcMar>
              <w:top w:w="15" w:type="dxa"/>
              <w:left w:w="15" w:type="dxa"/>
              <w:bottom w:w="15" w:type="dxa"/>
              <w:right w:w="15" w:type="dxa"/>
            </w:tcMar>
            <w:vAlign w:val="center"/>
          </w:tcPr>
          <w:p w14:paraId="3C5AF737">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770255" cy="721995"/>
                  <wp:effectExtent l="0" t="0" r="10795" b="1905"/>
                  <wp:docPr id="127" name="图片 15" descr="HP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5" descr="HP008"/>
                          <pic:cNvPicPr>
                            <a:picLocks noChangeAspect="1"/>
                          </pic:cNvPicPr>
                        </pic:nvPicPr>
                        <pic:blipFill>
                          <a:blip r:embed="rId118"/>
                          <a:stretch>
                            <a:fillRect/>
                          </a:stretch>
                        </pic:blipFill>
                        <pic:spPr>
                          <a:xfrm>
                            <a:off x="0" y="0"/>
                            <a:ext cx="770255" cy="721995"/>
                          </a:xfrm>
                          <a:prstGeom prst="rect">
                            <a:avLst/>
                          </a:prstGeom>
                          <a:noFill/>
                          <a:ln>
                            <a:noFill/>
                          </a:ln>
                        </pic:spPr>
                      </pic:pic>
                    </a:graphicData>
                  </a:graphic>
                </wp:inline>
              </w:drawing>
            </w:r>
          </w:p>
        </w:tc>
        <w:tc>
          <w:tcPr>
            <w:tcW w:w="2134" w:type="dxa"/>
            <w:noWrap w:val="0"/>
            <w:tcMar>
              <w:top w:w="15" w:type="dxa"/>
              <w:left w:w="15" w:type="dxa"/>
              <w:bottom w:w="15" w:type="dxa"/>
              <w:right w:w="15" w:type="dxa"/>
            </w:tcMar>
            <w:vAlign w:val="center"/>
          </w:tcPr>
          <w:p w14:paraId="58842766">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highlight w:val="none"/>
              </w:rPr>
              <w:drawing>
                <wp:inline distT="0" distB="0" distL="114300" distR="114300">
                  <wp:extent cx="808355" cy="800735"/>
                  <wp:effectExtent l="0" t="0" r="10795" b="18415"/>
                  <wp:docPr id="1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6"/>
                          <pic:cNvPicPr>
                            <a:picLocks noChangeAspect="1"/>
                          </pic:cNvPicPr>
                        </pic:nvPicPr>
                        <pic:blipFill>
                          <a:blip r:embed="rId119"/>
                          <a:stretch>
                            <a:fillRect/>
                          </a:stretch>
                        </pic:blipFill>
                        <pic:spPr>
                          <a:xfrm>
                            <a:off x="0" y="0"/>
                            <a:ext cx="808355" cy="800735"/>
                          </a:xfrm>
                          <a:prstGeom prst="rect">
                            <a:avLst/>
                          </a:prstGeom>
                          <a:noFill/>
                          <a:ln>
                            <a:noFill/>
                          </a:ln>
                        </pic:spPr>
                      </pic:pic>
                    </a:graphicData>
                  </a:graphic>
                </wp:inline>
              </w:drawing>
            </w:r>
          </w:p>
        </w:tc>
        <w:tc>
          <w:tcPr>
            <w:tcW w:w="2128" w:type="dxa"/>
            <w:noWrap w:val="0"/>
            <w:tcMar>
              <w:top w:w="15" w:type="dxa"/>
              <w:left w:w="15" w:type="dxa"/>
              <w:bottom w:w="15" w:type="dxa"/>
              <w:right w:w="15" w:type="dxa"/>
            </w:tcMar>
            <w:vAlign w:val="center"/>
          </w:tcPr>
          <w:p w14:paraId="28F47CD3">
            <w:pPr>
              <w:adjustRightInd w:val="0"/>
              <w:snapToGrid w:val="0"/>
              <w:spacing w:line="0" w:lineRule="atLeast"/>
              <w:jc w:val="center"/>
              <w:rPr>
                <w:rFonts w:hint="default" w:ascii="Times New Roman" w:hAnsi="Times New Roman" w:cs="Times New Roman"/>
                <w:color w:val="auto"/>
                <w:position w:val="-6"/>
                <w:szCs w:val="21"/>
                <w:highlight w:val="none"/>
              </w:rPr>
            </w:pPr>
          </w:p>
        </w:tc>
      </w:tr>
      <w:tr w14:paraId="300DB8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5" w:hRule="atLeast"/>
          <w:tblCellSpacing w:w="0" w:type="dxa"/>
          <w:jc w:val="center"/>
        </w:trPr>
        <w:tc>
          <w:tcPr>
            <w:tcW w:w="2138" w:type="dxa"/>
            <w:noWrap w:val="0"/>
            <w:tcMar>
              <w:top w:w="15" w:type="dxa"/>
              <w:left w:w="15" w:type="dxa"/>
              <w:bottom w:w="15" w:type="dxa"/>
              <w:right w:w="15" w:type="dxa"/>
            </w:tcMar>
            <w:vAlign w:val="center"/>
          </w:tcPr>
          <w:p w14:paraId="356F1782">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一般固体废物</w:t>
            </w:r>
          </w:p>
        </w:tc>
        <w:tc>
          <w:tcPr>
            <w:tcW w:w="2134" w:type="dxa"/>
            <w:noWrap w:val="0"/>
            <w:tcMar>
              <w:top w:w="15" w:type="dxa"/>
              <w:left w:w="15" w:type="dxa"/>
              <w:bottom w:w="15" w:type="dxa"/>
              <w:right w:w="15" w:type="dxa"/>
            </w:tcMar>
            <w:vAlign w:val="center"/>
          </w:tcPr>
          <w:p w14:paraId="615D8087">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一般固体废物</w:t>
            </w:r>
          </w:p>
        </w:tc>
        <w:tc>
          <w:tcPr>
            <w:tcW w:w="2134" w:type="dxa"/>
            <w:noWrap w:val="0"/>
            <w:tcMar>
              <w:top w:w="15" w:type="dxa"/>
              <w:left w:w="15" w:type="dxa"/>
              <w:bottom w:w="15" w:type="dxa"/>
              <w:right w:w="15" w:type="dxa"/>
            </w:tcMar>
            <w:vAlign w:val="center"/>
          </w:tcPr>
          <w:p w14:paraId="4D165F89">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危险废物</w:t>
            </w:r>
          </w:p>
        </w:tc>
        <w:tc>
          <w:tcPr>
            <w:tcW w:w="2128" w:type="dxa"/>
            <w:noWrap w:val="0"/>
            <w:tcMar>
              <w:top w:w="15" w:type="dxa"/>
              <w:left w:w="15" w:type="dxa"/>
              <w:bottom w:w="15" w:type="dxa"/>
              <w:right w:w="15" w:type="dxa"/>
            </w:tcMar>
            <w:vAlign w:val="center"/>
          </w:tcPr>
          <w:p w14:paraId="7D8620A6">
            <w:pPr>
              <w:adjustRightInd w:val="0"/>
              <w:snapToGrid w:val="0"/>
              <w:spacing w:line="0" w:lineRule="atLeast"/>
              <w:jc w:val="center"/>
              <w:rPr>
                <w:rFonts w:hint="default" w:ascii="Times New Roman" w:hAnsi="Times New Roman" w:cs="Times New Roman"/>
                <w:color w:val="auto"/>
                <w:position w:val="-6"/>
                <w:szCs w:val="21"/>
                <w:highlight w:val="none"/>
              </w:rPr>
            </w:pPr>
          </w:p>
        </w:tc>
      </w:tr>
    </w:tbl>
    <w:p w14:paraId="0B090ECB">
      <w:pPr>
        <w:pStyle w:val="7"/>
        <w:bidi w:val="0"/>
        <w:rPr>
          <w:rFonts w:hint="default"/>
          <w:highlight w:val="none"/>
        </w:rPr>
      </w:pPr>
      <w:bookmarkStart w:id="1207" w:name="_Toc21344"/>
      <w:bookmarkStart w:id="1208" w:name="_Toc31320"/>
      <w:bookmarkStart w:id="1209" w:name="_Toc16384"/>
      <w:bookmarkStart w:id="1210" w:name="_Toc7973"/>
      <w:r>
        <w:rPr>
          <w:rFonts w:hint="default"/>
          <w:highlight w:val="none"/>
        </w:rPr>
        <w:t>8.2.5环境监测计划</w:t>
      </w:r>
      <w:bookmarkEnd w:id="1207"/>
      <w:bookmarkEnd w:id="1208"/>
      <w:bookmarkEnd w:id="1209"/>
      <w:bookmarkEnd w:id="1210"/>
    </w:p>
    <w:p w14:paraId="1B42354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保法》第四十二条明确提出“重点排污单位应当按照国家有关规定和监测规范安装使用监测设备，保证监测设备正常运行，保存原始监测记录”；第五十五条要求“重点排污单位应当如实向社会公开其主要污染物的名称、排放方式、排放浓度和总量、超标排放情况，以及防治污染设施的建设和运行情况，接受社会监督”。根据《排污单位自行监测技术指南 总则》（HJ819-2017）、《排污许可证申请与核发技术规范 畜禽养殖行业》（HJ 1029—2019），排污单位应掌握本单位的污染排放状况及其对周边环境质量的影响，对污染物排放、周边环境质量影响进行监测。</w:t>
      </w:r>
    </w:p>
    <w:p w14:paraId="41450AC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（1）污染物排放监测</w:t>
      </w:r>
    </w:p>
    <w:p w14:paraId="3B7D2AD5">
      <w:pPr>
        <w:pStyle w:val="94"/>
        <w:ind w:firstLine="480"/>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本项目污染源监测计划见表8-2-</w:t>
      </w:r>
      <w:r>
        <w:rPr>
          <w:rFonts w:hint="default"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。企业委托有资质的监测单位进行污染源监测，并将监测报告存档。</w:t>
      </w:r>
    </w:p>
    <w:p w14:paraId="5E357C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2  </w:t>
      </w:r>
      <w:r>
        <w:rPr>
          <w:rFonts w:hint="default" w:ascii="Times New Roman" w:hAnsi="Times New Roman" w:eastAsia="黑体" w:cs="Times New Roman"/>
          <w:b w:val="0"/>
          <w:bCs/>
          <w:smallCaps w:val="0"/>
          <w:snapToGrid/>
          <w:color w:val="auto"/>
          <w:kern w:val="2"/>
          <w:sz w:val="21"/>
          <w:szCs w:val="24"/>
          <w:highlight w:val="none"/>
          <w:lang w:val="zh-CN" w:eastAsia="zh-CN" w:bidi="ar-SA"/>
        </w:rPr>
        <w:t>污染源监测计划一览表</w:t>
      </w:r>
    </w:p>
    <w:tbl>
      <w:tblPr>
        <w:tblStyle w:val="4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1404"/>
        <w:gridCol w:w="1404"/>
        <w:gridCol w:w="1585"/>
        <w:gridCol w:w="1406"/>
        <w:gridCol w:w="2549"/>
        <w:gridCol w:w="1094"/>
        <w:gridCol w:w="1565"/>
        <w:gridCol w:w="2470"/>
      </w:tblGrid>
      <w:tr w14:paraId="1E099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 w:type="pct"/>
            <w:noWrap w:val="0"/>
            <w:vAlign w:val="center"/>
          </w:tcPr>
          <w:p w14:paraId="1C97E151">
            <w:pPr>
              <w:pStyle w:val="152"/>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项目</w:t>
            </w:r>
          </w:p>
        </w:tc>
        <w:tc>
          <w:tcPr>
            <w:tcW w:w="495" w:type="pct"/>
            <w:noWrap w:val="0"/>
            <w:vAlign w:val="center"/>
          </w:tcPr>
          <w:p w14:paraId="779BFA02">
            <w:pPr>
              <w:pStyle w:val="152"/>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污染源</w:t>
            </w:r>
          </w:p>
        </w:tc>
        <w:tc>
          <w:tcPr>
            <w:tcW w:w="495" w:type="pct"/>
            <w:noWrap w:val="0"/>
            <w:vAlign w:val="center"/>
          </w:tcPr>
          <w:p w14:paraId="72ADE41A">
            <w:pPr>
              <w:pStyle w:val="152"/>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监测指标</w:t>
            </w:r>
          </w:p>
        </w:tc>
        <w:tc>
          <w:tcPr>
            <w:tcW w:w="559" w:type="pct"/>
            <w:noWrap w:val="0"/>
            <w:vAlign w:val="center"/>
          </w:tcPr>
          <w:p w14:paraId="6B490C1D">
            <w:pPr>
              <w:pStyle w:val="152"/>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环境保护措施</w:t>
            </w:r>
          </w:p>
        </w:tc>
        <w:tc>
          <w:tcPr>
            <w:tcW w:w="496" w:type="pct"/>
            <w:noWrap w:val="0"/>
            <w:vAlign w:val="center"/>
          </w:tcPr>
          <w:p w14:paraId="30695C4B">
            <w:pPr>
              <w:pStyle w:val="152"/>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监测点位</w:t>
            </w:r>
          </w:p>
        </w:tc>
        <w:tc>
          <w:tcPr>
            <w:tcW w:w="899" w:type="pct"/>
            <w:noWrap w:val="0"/>
            <w:vAlign w:val="center"/>
          </w:tcPr>
          <w:p w14:paraId="77070F68">
            <w:pPr>
              <w:pStyle w:val="152"/>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执行标准</w:t>
            </w:r>
          </w:p>
        </w:tc>
        <w:tc>
          <w:tcPr>
            <w:tcW w:w="386" w:type="pct"/>
            <w:noWrap w:val="0"/>
            <w:vAlign w:val="center"/>
          </w:tcPr>
          <w:p w14:paraId="1DF7EE6C">
            <w:pPr>
              <w:pStyle w:val="152"/>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监测频次</w:t>
            </w:r>
          </w:p>
        </w:tc>
        <w:tc>
          <w:tcPr>
            <w:tcW w:w="552" w:type="pct"/>
            <w:noWrap w:val="0"/>
            <w:vAlign w:val="center"/>
          </w:tcPr>
          <w:p w14:paraId="3F5EB16A">
            <w:pPr>
              <w:pStyle w:val="152"/>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监测技术</w:t>
            </w:r>
          </w:p>
        </w:tc>
        <w:tc>
          <w:tcPr>
            <w:tcW w:w="871" w:type="pct"/>
            <w:noWrap w:val="0"/>
            <w:vAlign w:val="center"/>
          </w:tcPr>
          <w:p w14:paraId="39A756C3">
            <w:pPr>
              <w:pStyle w:val="152"/>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采样方法</w:t>
            </w:r>
          </w:p>
        </w:tc>
      </w:tr>
      <w:tr w14:paraId="39916C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242" w:type="pct"/>
            <w:vMerge w:val="restart"/>
            <w:noWrap w:val="0"/>
            <w:vAlign w:val="center"/>
          </w:tcPr>
          <w:p w14:paraId="59F7A012">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废气</w:t>
            </w:r>
          </w:p>
          <w:p w14:paraId="517A1778">
            <w:pPr>
              <w:pStyle w:val="152"/>
              <w:rPr>
                <w:rFonts w:hint="default" w:ascii="Times New Roman" w:hAnsi="Times New Roman" w:eastAsia="宋体" w:cs="Times New Roman"/>
                <w:snapToGrid w:val="0"/>
                <w:color w:val="auto"/>
                <w:sz w:val="21"/>
                <w:szCs w:val="21"/>
                <w:highlight w:val="none"/>
              </w:rPr>
            </w:pPr>
          </w:p>
        </w:tc>
        <w:tc>
          <w:tcPr>
            <w:tcW w:w="495" w:type="pct"/>
            <w:vMerge w:val="restart"/>
            <w:noWrap w:val="0"/>
            <w:vAlign w:val="center"/>
          </w:tcPr>
          <w:p w14:paraId="715EA986">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养殖区及</w:t>
            </w:r>
            <w:r>
              <w:rPr>
                <w:rFonts w:hint="default" w:ascii="Times New Roman" w:hAnsi="Times New Roman" w:eastAsia="宋体" w:cs="Times New Roman"/>
                <w:snapToGrid w:val="0"/>
                <w:color w:val="auto"/>
                <w:sz w:val="21"/>
                <w:szCs w:val="21"/>
                <w:highlight w:val="none"/>
                <w:lang w:eastAsia="zh-CN"/>
              </w:rPr>
              <w:t>粪污贮存区</w:t>
            </w:r>
            <w:r>
              <w:rPr>
                <w:rFonts w:hint="default" w:ascii="Times New Roman" w:hAnsi="Times New Roman" w:eastAsia="宋体" w:cs="Times New Roman"/>
                <w:snapToGrid w:val="0"/>
                <w:color w:val="auto"/>
                <w:sz w:val="21"/>
                <w:szCs w:val="21"/>
                <w:highlight w:val="none"/>
              </w:rPr>
              <w:t>无组织排放</w:t>
            </w:r>
          </w:p>
        </w:tc>
        <w:tc>
          <w:tcPr>
            <w:tcW w:w="495" w:type="pct"/>
            <w:noWrap w:val="0"/>
            <w:vAlign w:val="center"/>
          </w:tcPr>
          <w:p w14:paraId="17A0F282">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559" w:type="pct"/>
            <w:vMerge w:val="restart"/>
            <w:noWrap w:val="0"/>
            <w:vAlign w:val="center"/>
          </w:tcPr>
          <w:p w14:paraId="085E962C">
            <w:pPr>
              <w:pStyle w:val="152"/>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低氮日粮，喷洒除臭剂</w:t>
            </w:r>
          </w:p>
        </w:tc>
        <w:tc>
          <w:tcPr>
            <w:tcW w:w="496" w:type="pct"/>
            <w:vMerge w:val="restart"/>
            <w:noWrap w:val="0"/>
            <w:vAlign w:val="center"/>
          </w:tcPr>
          <w:p w14:paraId="506C39C4">
            <w:pPr>
              <w:pStyle w:val="152"/>
              <w:ind w:left="0" w:leftChars="0" w:firstLine="0" w:firstLineChars="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0"/>
                <w:sz w:val="21"/>
                <w:szCs w:val="21"/>
                <w:highlight w:val="none"/>
                <w:lang w:val="zh-CN"/>
              </w:rPr>
              <w:t>厂界</w:t>
            </w:r>
          </w:p>
        </w:tc>
        <w:tc>
          <w:tcPr>
            <w:tcW w:w="899" w:type="pct"/>
            <w:vMerge w:val="restart"/>
            <w:noWrap w:val="0"/>
            <w:vAlign w:val="center"/>
          </w:tcPr>
          <w:p w14:paraId="668A684E">
            <w:pPr>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《恶臭污染物排放标准》（GB14554-1993）表1恶臭污染物厂界标准值中二级新改扩建标准</w:t>
            </w:r>
          </w:p>
        </w:tc>
        <w:tc>
          <w:tcPr>
            <w:tcW w:w="386" w:type="pct"/>
            <w:vMerge w:val="restart"/>
            <w:noWrap w:val="0"/>
            <w:vAlign w:val="center"/>
          </w:tcPr>
          <w:p w14:paraId="12924AA1">
            <w:pPr>
              <w:pStyle w:val="152"/>
              <w:spacing w:line="400" w:lineRule="exact"/>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1次/年</w:t>
            </w:r>
          </w:p>
        </w:tc>
        <w:tc>
          <w:tcPr>
            <w:tcW w:w="552" w:type="pct"/>
            <w:vMerge w:val="restart"/>
            <w:noWrap w:val="0"/>
            <w:vAlign w:val="center"/>
          </w:tcPr>
          <w:p w14:paraId="1DA858A0">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手工监测技术</w:t>
            </w:r>
          </w:p>
          <w:p w14:paraId="2A18B08C">
            <w:pPr>
              <w:pStyle w:val="152"/>
              <w:rPr>
                <w:rFonts w:hint="default" w:ascii="Times New Roman" w:hAnsi="Times New Roman" w:eastAsia="宋体" w:cs="Times New Roman"/>
                <w:snapToGrid w:val="0"/>
                <w:color w:val="auto"/>
                <w:sz w:val="21"/>
                <w:szCs w:val="21"/>
                <w:highlight w:val="none"/>
              </w:rPr>
            </w:pPr>
          </w:p>
        </w:tc>
        <w:tc>
          <w:tcPr>
            <w:tcW w:w="871" w:type="pct"/>
            <w:vMerge w:val="restart"/>
            <w:noWrap w:val="0"/>
            <w:vAlign w:val="center"/>
          </w:tcPr>
          <w:p w14:paraId="110B76AD">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参照《恶臭污染物排放标准》</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GB14554-93</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及GB/T16157、HJ/T397等执行</w:t>
            </w:r>
          </w:p>
        </w:tc>
      </w:tr>
      <w:tr w14:paraId="2C3D3E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242" w:type="pct"/>
            <w:vMerge w:val="continue"/>
            <w:noWrap w:val="0"/>
            <w:vAlign w:val="center"/>
          </w:tcPr>
          <w:p w14:paraId="4DE6400C">
            <w:pPr>
              <w:pStyle w:val="152"/>
              <w:rPr>
                <w:rFonts w:hint="default" w:ascii="Times New Roman" w:hAnsi="Times New Roman" w:eastAsia="宋体" w:cs="Times New Roman"/>
                <w:snapToGrid w:val="0"/>
                <w:color w:val="auto"/>
                <w:sz w:val="21"/>
                <w:szCs w:val="21"/>
                <w:highlight w:val="none"/>
              </w:rPr>
            </w:pPr>
          </w:p>
        </w:tc>
        <w:tc>
          <w:tcPr>
            <w:tcW w:w="495" w:type="pct"/>
            <w:vMerge w:val="continue"/>
            <w:noWrap w:val="0"/>
            <w:vAlign w:val="center"/>
          </w:tcPr>
          <w:p w14:paraId="7FFE25CF">
            <w:pPr>
              <w:pStyle w:val="152"/>
              <w:rPr>
                <w:rFonts w:hint="default" w:ascii="Times New Roman" w:hAnsi="Times New Roman" w:eastAsia="宋体" w:cs="Times New Roman"/>
                <w:snapToGrid w:val="0"/>
                <w:color w:val="auto"/>
                <w:sz w:val="21"/>
                <w:szCs w:val="21"/>
                <w:highlight w:val="none"/>
              </w:rPr>
            </w:pPr>
          </w:p>
        </w:tc>
        <w:tc>
          <w:tcPr>
            <w:tcW w:w="495" w:type="pct"/>
            <w:noWrap w:val="0"/>
            <w:vAlign w:val="center"/>
          </w:tcPr>
          <w:p w14:paraId="74143FA4">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559" w:type="pct"/>
            <w:vMerge w:val="continue"/>
            <w:noWrap w:val="0"/>
            <w:vAlign w:val="center"/>
          </w:tcPr>
          <w:p w14:paraId="0C7EC13A">
            <w:pPr>
              <w:pStyle w:val="152"/>
              <w:rPr>
                <w:rFonts w:hint="default" w:ascii="Times New Roman" w:hAnsi="Times New Roman" w:eastAsia="宋体" w:cs="Times New Roman"/>
                <w:snapToGrid w:val="0"/>
                <w:color w:val="auto"/>
                <w:sz w:val="21"/>
                <w:szCs w:val="21"/>
                <w:highlight w:val="none"/>
              </w:rPr>
            </w:pPr>
          </w:p>
        </w:tc>
        <w:tc>
          <w:tcPr>
            <w:tcW w:w="496" w:type="pct"/>
            <w:vMerge w:val="continue"/>
            <w:noWrap w:val="0"/>
            <w:vAlign w:val="center"/>
          </w:tcPr>
          <w:p w14:paraId="72EC3029">
            <w:pPr>
              <w:pStyle w:val="152"/>
              <w:rPr>
                <w:rFonts w:hint="default" w:ascii="Times New Roman" w:hAnsi="Times New Roman" w:eastAsia="宋体" w:cs="Times New Roman"/>
                <w:snapToGrid w:val="0"/>
                <w:color w:val="auto"/>
                <w:sz w:val="21"/>
                <w:szCs w:val="21"/>
                <w:highlight w:val="none"/>
              </w:rPr>
            </w:pPr>
          </w:p>
        </w:tc>
        <w:tc>
          <w:tcPr>
            <w:tcW w:w="899" w:type="pct"/>
            <w:vMerge w:val="continue"/>
            <w:noWrap w:val="0"/>
            <w:vAlign w:val="center"/>
          </w:tcPr>
          <w:p w14:paraId="4E20B163">
            <w:pPr>
              <w:pStyle w:val="152"/>
              <w:rPr>
                <w:rFonts w:hint="default" w:ascii="Times New Roman" w:hAnsi="Times New Roman" w:eastAsia="宋体" w:cs="Times New Roman"/>
                <w:snapToGrid w:val="0"/>
                <w:color w:val="auto"/>
                <w:sz w:val="21"/>
                <w:szCs w:val="21"/>
                <w:highlight w:val="none"/>
              </w:rPr>
            </w:pPr>
          </w:p>
        </w:tc>
        <w:tc>
          <w:tcPr>
            <w:tcW w:w="386" w:type="pct"/>
            <w:vMerge w:val="continue"/>
            <w:noWrap w:val="0"/>
            <w:vAlign w:val="center"/>
          </w:tcPr>
          <w:p w14:paraId="0EEAC778">
            <w:pPr>
              <w:pStyle w:val="152"/>
              <w:rPr>
                <w:rFonts w:hint="default" w:ascii="Times New Roman" w:hAnsi="Times New Roman" w:eastAsia="宋体" w:cs="Times New Roman"/>
                <w:snapToGrid w:val="0"/>
                <w:color w:val="auto"/>
                <w:sz w:val="21"/>
                <w:szCs w:val="21"/>
                <w:highlight w:val="none"/>
              </w:rPr>
            </w:pPr>
          </w:p>
        </w:tc>
        <w:tc>
          <w:tcPr>
            <w:tcW w:w="552" w:type="pct"/>
            <w:vMerge w:val="continue"/>
            <w:noWrap w:val="0"/>
            <w:vAlign w:val="center"/>
          </w:tcPr>
          <w:p w14:paraId="610A70B2">
            <w:pPr>
              <w:pStyle w:val="152"/>
              <w:rPr>
                <w:rFonts w:hint="default" w:ascii="Times New Roman" w:hAnsi="Times New Roman" w:eastAsia="宋体" w:cs="Times New Roman"/>
                <w:snapToGrid w:val="0"/>
                <w:color w:val="auto"/>
                <w:sz w:val="21"/>
                <w:szCs w:val="21"/>
                <w:highlight w:val="none"/>
              </w:rPr>
            </w:pPr>
          </w:p>
        </w:tc>
        <w:tc>
          <w:tcPr>
            <w:tcW w:w="871" w:type="pct"/>
            <w:vMerge w:val="continue"/>
            <w:noWrap w:val="0"/>
            <w:vAlign w:val="center"/>
          </w:tcPr>
          <w:p w14:paraId="314FF3DB">
            <w:pPr>
              <w:pStyle w:val="152"/>
              <w:rPr>
                <w:rFonts w:hint="default" w:ascii="Times New Roman" w:hAnsi="Times New Roman" w:eastAsia="宋体" w:cs="Times New Roman"/>
                <w:snapToGrid w:val="0"/>
                <w:color w:val="auto"/>
                <w:sz w:val="21"/>
                <w:szCs w:val="21"/>
                <w:highlight w:val="none"/>
              </w:rPr>
            </w:pPr>
          </w:p>
        </w:tc>
      </w:tr>
      <w:tr w14:paraId="1134A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242" w:type="pct"/>
            <w:vMerge w:val="continue"/>
            <w:noWrap w:val="0"/>
            <w:vAlign w:val="center"/>
          </w:tcPr>
          <w:p w14:paraId="11A47FC5">
            <w:pPr>
              <w:pStyle w:val="152"/>
              <w:rPr>
                <w:rFonts w:hint="default" w:ascii="Times New Roman" w:hAnsi="Times New Roman" w:eastAsia="宋体" w:cs="Times New Roman"/>
                <w:snapToGrid w:val="0"/>
                <w:color w:val="auto"/>
                <w:sz w:val="21"/>
                <w:szCs w:val="21"/>
                <w:highlight w:val="none"/>
              </w:rPr>
            </w:pPr>
          </w:p>
        </w:tc>
        <w:tc>
          <w:tcPr>
            <w:tcW w:w="495" w:type="pct"/>
            <w:vMerge w:val="continue"/>
            <w:noWrap w:val="0"/>
            <w:vAlign w:val="center"/>
          </w:tcPr>
          <w:p w14:paraId="0F69FB77">
            <w:pPr>
              <w:pStyle w:val="152"/>
              <w:rPr>
                <w:rFonts w:hint="default" w:ascii="Times New Roman" w:hAnsi="Times New Roman" w:eastAsia="宋体" w:cs="Times New Roman"/>
                <w:snapToGrid w:val="0"/>
                <w:color w:val="auto"/>
                <w:sz w:val="21"/>
                <w:szCs w:val="21"/>
                <w:highlight w:val="none"/>
              </w:rPr>
            </w:pPr>
          </w:p>
        </w:tc>
        <w:tc>
          <w:tcPr>
            <w:tcW w:w="495" w:type="pct"/>
            <w:noWrap w:val="0"/>
            <w:vAlign w:val="center"/>
          </w:tcPr>
          <w:p w14:paraId="79086237">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臭气浓度</w:t>
            </w:r>
          </w:p>
        </w:tc>
        <w:tc>
          <w:tcPr>
            <w:tcW w:w="559" w:type="pct"/>
            <w:vMerge w:val="continue"/>
            <w:noWrap w:val="0"/>
            <w:vAlign w:val="center"/>
          </w:tcPr>
          <w:p w14:paraId="0E436FA4">
            <w:pPr>
              <w:pStyle w:val="152"/>
              <w:rPr>
                <w:rFonts w:hint="default" w:ascii="Times New Roman" w:hAnsi="Times New Roman" w:eastAsia="宋体" w:cs="Times New Roman"/>
                <w:snapToGrid w:val="0"/>
                <w:color w:val="auto"/>
                <w:sz w:val="21"/>
                <w:szCs w:val="21"/>
                <w:highlight w:val="none"/>
              </w:rPr>
            </w:pPr>
          </w:p>
        </w:tc>
        <w:tc>
          <w:tcPr>
            <w:tcW w:w="496" w:type="pct"/>
            <w:vMerge w:val="continue"/>
            <w:noWrap w:val="0"/>
            <w:vAlign w:val="center"/>
          </w:tcPr>
          <w:p w14:paraId="26D52DBD">
            <w:pPr>
              <w:pStyle w:val="152"/>
              <w:rPr>
                <w:rFonts w:hint="default" w:ascii="Times New Roman" w:hAnsi="Times New Roman" w:eastAsia="宋体" w:cs="Times New Roman"/>
                <w:snapToGrid w:val="0"/>
                <w:color w:val="auto"/>
                <w:sz w:val="21"/>
                <w:szCs w:val="21"/>
                <w:highlight w:val="none"/>
              </w:rPr>
            </w:pPr>
          </w:p>
        </w:tc>
        <w:tc>
          <w:tcPr>
            <w:tcW w:w="899" w:type="pct"/>
            <w:noWrap w:val="0"/>
            <w:vAlign w:val="center"/>
          </w:tcPr>
          <w:p w14:paraId="4C704245">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《畜禽养殖业污染物排放标准》（GB18596-2001）中表7标准</w:t>
            </w:r>
          </w:p>
        </w:tc>
        <w:tc>
          <w:tcPr>
            <w:tcW w:w="386" w:type="pct"/>
            <w:vMerge w:val="continue"/>
            <w:noWrap w:val="0"/>
            <w:vAlign w:val="center"/>
          </w:tcPr>
          <w:p w14:paraId="56942BDA">
            <w:pPr>
              <w:pStyle w:val="152"/>
              <w:rPr>
                <w:rFonts w:hint="default" w:ascii="Times New Roman" w:hAnsi="Times New Roman" w:eastAsia="宋体" w:cs="Times New Roman"/>
                <w:snapToGrid w:val="0"/>
                <w:color w:val="auto"/>
                <w:sz w:val="21"/>
                <w:szCs w:val="21"/>
                <w:highlight w:val="none"/>
              </w:rPr>
            </w:pPr>
          </w:p>
        </w:tc>
        <w:tc>
          <w:tcPr>
            <w:tcW w:w="552" w:type="pct"/>
            <w:vMerge w:val="continue"/>
            <w:noWrap w:val="0"/>
            <w:vAlign w:val="center"/>
          </w:tcPr>
          <w:p w14:paraId="02E63BC3">
            <w:pPr>
              <w:pStyle w:val="152"/>
              <w:rPr>
                <w:rFonts w:hint="default" w:ascii="Times New Roman" w:hAnsi="Times New Roman" w:eastAsia="宋体" w:cs="Times New Roman"/>
                <w:snapToGrid w:val="0"/>
                <w:color w:val="auto"/>
                <w:sz w:val="21"/>
                <w:szCs w:val="21"/>
                <w:highlight w:val="none"/>
              </w:rPr>
            </w:pPr>
          </w:p>
        </w:tc>
        <w:tc>
          <w:tcPr>
            <w:tcW w:w="871" w:type="pct"/>
            <w:noWrap w:val="0"/>
            <w:vAlign w:val="center"/>
          </w:tcPr>
          <w:p w14:paraId="7BE238CF">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参照《畜禽养殖业污染物排放标准》（GB18596-2001）及HJ/T55、HJ733等执行</w:t>
            </w:r>
          </w:p>
        </w:tc>
      </w:tr>
      <w:tr w14:paraId="484A6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242" w:type="pct"/>
            <w:vMerge w:val="continue"/>
            <w:noWrap w:val="0"/>
            <w:vAlign w:val="center"/>
          </w:tcPr>
          <w:p w14:paraId="6A873156">
            <w:pPr>
              <w:pStyle w:val="152"/>
              <w:rPr>
                <w:rFonts w:hint="default" w:ascii="Times New Roman" w:hAnsi="Times New Roman" w:eastAsia="宋体" w:cs="Times New Roman"/>
                <w:snapToGrid w:val="0"/>
                <w:color w:val="auto"/>
                <w:sz w:val="21"/>
                <w:szCs w:val="21"/>
                <w:highlight w:val="none"/>
              </w:rPr>
            </w:pPr>
          </w:p>
        </w:tc>
        <w:tc>
          <w:tcPr>
            <w:tcW w:w="495" w:type="pct"/>
            <w:vMerge w:val="restart"/>
            <w:noWrap w:val="0"/>
            <w:vAlign w:val="center"/>
          </w:tcPr>
          <w:p w14:paraId="23320838">
            <w:pPr>
              <w:pStyle w:val="152"/>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干粪堆积场</w:t>
            </w:r>
            <w:r>
              <w:rPr>
                <w:rFonts w:hint="default" w:ascii="Times New Roman" w:hAnsi="Times New Roman" w:eastAsia="宋体" w:cs="Times New Roman"/>
                <w:snapToGrid w:val="0"/>
                <w:color w:val="auto"/>
                <w:sz w:val="21"/>
                <w:szCs w:val="21"/>
                <w:highlight w:val="none"/>
                <w:lang w:val="en-US" w:eastAsia="zh-CN"/>
              </w:rPr>
              <w:t>有</w:t>
            </w:r>
            <w:r>
              <w:rPr>
                <w:rFonts w:hint="default" w:ascii="Times New Roman" w:hAnsi="Times New Roman" w:eastAsia="宋体" w:cs="Times New Roman"/>
                <w:snapToGrid w:val="0"/>
                <w:color w:val="auto"/>
                <w:sz w:val="21"/>
                <w:szCs w:val="21"/>
                <w:highlight w:val="none"/>
              </w:rPr>
              <w:t>组织排放</w:t>
            </w:r>
            <w:r>
              <w:rPr>
                <w:rFonts w:hint="default" w:ascii="Times New Roman" w:hAnsi="Times New Roman" w:eastAsia="宋体" w:cs="Times New Roman"/>
                <w:snapToGrid w:val="0"/>
                <w:color w:val="auto"/>
                <w:sz w:val="21"/>
                <w:szCs w:val="21"/>
                <w:highlight w:val="none"/>
                <w:lang w:val="en-US" w:eastAsia="zh-CN"/>
              </w:rPr>
              <w:t>DA001</w:t>
            </w:r>
          </w:p>
        </w:tc>
        <w:tc>
          <w:tcPr>
            <w:tcW w:w="495" w:type="pct"/>
            <w:noWrap w:val="0"/>
            <w:vAlign w:val="center"/>
          </w:tcPr>
          <w:p w14:paraId="7C1FCDA9">
            <w:pPr>
              <w:pStyle w:val="152"/>
              <w:ind w:left="0" w:leftChars="0" w:firstLine="0" w:firstLineChars="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559" w:type="pct"/>
            <w:vMerge w:val="restart"/>
            <w:noWrap w:val="0"/>
            <w:vAlign w:val="center"/>
          </w:tcPr>
          <w:p w14:paraId="5FAC3207">
            <w:pPr>
              <w:pStyle w:val="152"/>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活性炭吸附装置+15m高排气筒</w:t>
            </w:r>
          </w:p>
        </w:tc>
        <w:tc>
          <w:tcPr>
            <w:tcW w:w="496" w:type="pct"/>
            <w:vMerge w:val="restart"/>
            <w:noWrap w:val="0"/>
            <w:vAlign w:val="center"/>
          </w:tcPr>
          <w:p w14:paraId="4D5E2525">
            <w:pPr>
              <w:pStyle w:val="152"/>
              <w:ind w:left="0" w:leftChars="0" w:firstLine="0" w:firstLineChars="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排气筒</w:t>
            </w:r>
          </w:p>
        </w:tc>
        <w:tc>
          <w:tcPr>
            <w:tcW w:w="899" w:type="pct"/>
            <w:vMerge w:val="restart"/>
            <w:noWrap w:val="0"/>
            <w:vAlign w:val="center"/>
          </w:tcPr>
          <w:p w14:paraId="3D3A9E66">
            <w:pPr>
              <w:pStyle w:val="152"/>
              <w:rPr>
                <w:rFonts w:hint="eastAsia"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color w:val="auto"/>
                <w:sz w:val="21"/>
                <w:szCs w:val="21"/>
                <w:highlight w:val="none"/>
              </w:rPr>
              <w:t>《恶臭污染物排放标准》（GB14554-1993）表</w:t>
            </w:r>
            <w:r>
              <w:rPr>
                <w:rFonts w:hint="eastAsia" w:ascii="Times New Roman" w:hAnsi="Times New Roman" w:eastAsia="宋体" w:cs="Times New Roman"/>
                <w:color w:val="auto"/>
                <w:sz w:val="21"/>
                <w:szCs w:val="21"/>
                <w:highlight w:val="none"/>
                <w:lang w:val="en-US" w:eastAsia="zh-CN"/>
              </w:rPr>
              <w:t>2</w:t>
            </w:r>
          </w:p>
        </w:tc>
        <w:tc>
          <w:tcPr>
            <w:tcW w:w="386" w:type="pct"/>
            <w:vMerge w:val="restart"/>
            <w:noWrap w:val="0"/>
            <w:vAlign w:val="center"/>
          </w:tcPr>
          <w:p w14:paraId="7E6508A0">
            <w:pPr>
              <w:pStyle w:val="152"/>
              <w:spacing w:line="400" w:lineRule="exact"/>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1次/年</w:t>
            </w:r>
          </w:p>
        </w:tc>
        <w:tc>
          <w:tcPr>
            <w:tcW w:w="552" w:type="pct"/>
            <w:vMerge w:val="restart"/>
            <w:noWrap w:val="0"/>
            <w:vAlign w:val="center"/>
          </w:tcPr>
          <w:p w14:paraId="4B3EF88C">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手工监测技术</w:t>
            </w:r>
          </w:p>
        </w:tc>
        <w:tc>
          <w:tcPr>
            <w:tcW w:w="871" w:type="pct"/>
            <w:vMerge w:val="restart"/>
            <w:noWrap w:val="0"/>
            <w:vAlign w:val="center"/>
          </w:tcPr>
          <w:p w14:paraId="3F485A39">
            <w:pPr>
              <w:pStyle w:val="152"/>
              <w:ind w:left="0" w:leftChars="0" w:firstLine="0" w:firstLineChars="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参照《恶臭污染物排放标准》</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GB14554-93</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及GB/T16157、HJ/T397等执行</w:t>
            </w:r>
          </w:p>
        </w:tc>
      </w:tr>
      <w:tr w14:paraId="150798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242" w:type="pct"/>
            <w:vMerge w:val="continue"/>
            <w:noWrap w:val="0"/>
            <w:vAlign w:val="center"/>
          </w:tcPr>
          <w:p w14:paraId="030C2B7F">
            <w:pPr>
              <w:pStyle w:val="152"/>
              <w:rPr>
                <w:rFonts w:hint="default" w:ascii="Times New Roman" w:hAnsi="Times New Roman" w:eastAsia="宋体" w:cs="Times New Roman"/>
                <w:snapToGrid w:val="0"/>
                <w:color w:val="auto"/>
                <w:sz w:val="21"/>
                <w:szCs w:val="21"/>
                <w:highlight w:val="none"/>
              </w:rPr>
            </w:pPr>
          </w:p>
        </w:tc>
        <w:tc>
          <w:tcPr>
            <w:tcW w:w="495" w:type="pct"/>
            <w:vMerge w:val="continue"/>
            <w:noWrap w:val="0"/>
            <w:vAlign w:val="center"/>
          </w:tcPr>
          <w:p w14:paraId="5D402D1C">
            <w:pPr>
              <w:pStyle w:val="152"/>
              <w:rPr>
                <w:rFonts w:hint="default" w:ascii="Times New Roman" w:hAnsi="Times New Roman" w:eastAsia="宋体" w:cs="Times New Roman"/>
                <w:snapToGrid w:val="0"/>
                <w:color w:val="auto"/>
                <w:sz w:val="21"/>
                <w:szCs w:val="21"/>
                <w:highlight w:val="none"/>
              </w:rPr>
            </w:pPr>
          </w:p>
        </w:tc>
        <w:tc>
          <w:tcPr>
            <w:tcW w:w="495" w:type="pct"/>
            <w:noWrap w:val="0"/>
            <w:vAlign w:val="center"/>
          </w:tcPr>
          <w:p w14:paraId="0A18B505">
            <w:pPr>
              <w:pStyle w:val="152"/>
              <w:ind w:left="0" w:leftChars="0" w:firstLine="0" w:firstLineChars="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559" w:type="pct"/>
            <w:vMerge w:val="continue"/>
            <w:noWrap w:val="0"/>
            <w:vAlign w:val="center"/>
          </w:tcPr>
          <w:p w14:paraId="1DC3F3E1">
            <w:pPr>
              <w:pStyle w:val="152"/>
              <w:rPr>
                <w:rFonts w:hint="default" w:ascii="Times New Roman" w:hAnsi="Times New Roman" w:eastAsia="宋体" w:cs="Times New Roman"/>
                <w:snapToGrid w:val="0"/>
                <w:color w:val="auto"/>
                <w:sz w:val="21"/>
                <w:szCs w:val="21"/>
                <w:highlight w:val="none"/>
              </w:rPr>
            </w:pPr>
          </w:p>
        </w:tc>
        <w:tc>
          <w:tcPr>
            <w:tcW w:w="496" w:type="pct"/>
            <w:vMerge w:val="continue"/>
            <w:noWrap w:val="0"/>
            <w:vAlign w:val="center"/>
          </w:tcPr>
          <w:p w14:paraId="626C8753">
            <w:pPr>
              <w:pStyle w:val="152"/>
              <w:rPr>
                <w:rFonts w:hint="default" w:ascii="Times New Roman" w:hAnsi="Times New Roman" w:eastAsia="宋体" w:cs="Times New Roman"/>
                <w:snapToGrid w:val="0"/>
                <w:color w:val="auto"/>
                <w:sz w:val="21"/>
                <w:szCs w:val="21"/>
                <w:highlight w:val="none"/>
              </w:rPr>
            </w:pPr>
          </w:p>
        </w:tc>
        <w:tc>
          <w:tcPr>
            <w:tcW w:w="899" w:type="pct"/>
            <w:vMerge w:val="continue"/>
            <w:noWrap w:val="0"/>
            <w:vAlign w:val="center"/>
          </w:tcPr>
          <w:p w14:paraId="6C7D6159">
            <w:pPr>
              <w:pStyle w:val="152"/>
              <w:rPr>
                <w:rFonts w:hint="default" w:ascii="Times New Roman" w:hAnsi="Times New Roman" w:eastAsia="宋体" w:cs="Times New Roman"/>
                <w:snapToGrid w:val="0"/>
                <w:color w:val="auto"/>
                <w:sz w:val="21"/>
                <w:szCs w:val="21"/>
                <w:highlight w:val="none"/>
              </w:rPr>
            </w:pPr>
          </w:p>
        </w:tc>
        <w:tc>
          <w:tcPr>
            <w:tcW w:w="386" w:type="pct"/>
            <w:vMerge w:val="continue"/>
            <w:noWrap w:val="0"/>
            <w:vAlign w:val="center"/>
          </w:tcPr>
          <w:p w14:paraId="55F115DB">
            <w:pPr>
              <w:pStyle w:val="152"/>
              <w:ind w:left="0" w:leftChars="0" w:firstLine="0" w:firstLineChars="0"/>
              <w:rPr>
                <w:rFonts w:hint="default" w:ascii="Times New Roman" w:hAnsi="Times New Roman" w:eastAsia="宋体" w:cs="Times New Roman"/>
                <w:snapToGrid w:val="0"/>
                <w:color w:val="auto"/>
                <w:sz w:val="21"/>
                <w:szCs w:val="21"/>
                <w:highlight w:val="none"/>
              </w:rPr>
            </w:pPr>
          </w:p>
        </w:tc>
        <w:tc>
          <w:tcPr>
            <w:tcW w:w="552" w:type="pct"/>
            <w:vMerge w:val="continue"/>
            <w:noWrap w:val="0"/>
            <w:vAlign w:val="center"/>
          </w:tcPr>
          <w:p w14:paraId="3BA3B210">
            <w:pPr>
              <w:pStyle w:val="152"/>
              <w:ind w:left="0" w:leftChars="0" w:firstLine="0" w:firstLineChars="0"/>
              <w:rPr>
                <w:rFonts w:hint="default" w:ascii="Times New Roman" w:hAnsi="Times New Roman" w:eastAsia="宋体" w:cs="Times New Roman"/>
                <w:snapToGrid w:val="0"/>
                <w:color w:val="auto"/>
                <w:sz w:val="21"/>
                <w:szCs w:val="21"/>
                <w:highlight w:val="none"/>
              </w:rPr>
            </w:pPr>
          </w:p>
        </w:tc>
        <w:tc>
          <w:tcPr>
            <w:tcW w:w="871" w:type="pct"/>
            <w:vMerge w:val="continue"/>
            <w:noWrap w:val="0"/>
            <w:vAlign w:val="center"/>
          </w:tcPr>
          <w:p w14:paraId="4171DB4C">
            <w:pPr>
              <w:pStyle w:val="152"/>
              <w:ind w:left="0" w:leftChars="0" w:firstLine="0" w:firstLineChars="0"/>
              <w:rPr>
                <w:rFonts w:hint="default" w:ascii="Times New Roman" w:hAnsi="Times New Roman" w:eastAsia="宋体" w:cs="Times New Roman"/>
                <w:snapToGrid w:val="0"/>
                <w:color w:val="auto"/>
                <w:sz w:val="21"/>
                <w:szCs w:val="21"/>
                <w:highlight w:val="none"/>
              </w:rPr>
            </w:pPr>
          </w:p>
        </w:tc>
      </w:tr>
      <w:tr w14:paraId="2457C1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42" w:type="pct"/>
            <w:noWrap w:val="0"/>
            <w:vAlign w:val="center"/>
          </w:tcPr>
          <w:p w14:paraId="37856E70">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厂界噪声</w:t>
            </w:r>
          </w:p>
        </w:tc>
        <w:tc>
          <w:tcPr>
            <w:tcW w:w="495" w:type="pct"/>
            <w:noWrap w:val="0"/>
            <w:vAlign w:val="center"/>
          </w:tcPr>
          <w:p w14:paraId="304A8307">
            <w:pPr>
              <w:pStyle w:val="152"/>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厂界</w:t>
            </w:r>
          </w:p>
        </w:tc>
        <w:tc>
          <w:tcPr>
            <w:tcW w:w="495" w:type="pct"/>
            <w:noWrap w:val="0"/>
            <w:vAlign w:val="center"/>
          </w:tcPr>
          <w:p w14:paraId="0E4C94EF">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昼夜噪声等效A声级</w:t>
            </w:r>
          </w:p>
        </w:tc>
        <w:tc>
          <w:tcPr>
            <w:tcW w:w="559" w:type="pct"/>
            <w:noWrap w:val="0"/>
            <w:vAlign w:val="center"/>
          </w:tcPr>
          <w:p w14:paraId="2E441E3A">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为水泵、固液分离机等设备采取隔声、减振降噪措施</w:t>
            </w:r>
          </w:p>
        </w:tc>
        <w:tc>
          <w:tcPr>
            <w:tcW w:w="496" w:type="pct"/>
            <w:noWrap w:val="0"/>
            <w:vAlign w:val="center"/>
          </w:tcPr>
          <w:p w14:paraId="145B2393">
            <w:pPr>
              <w:pStyle w:val="152"/>
              <w:ind w:left="0" w:leftChars="0" w:firstLine="0" w:firstLineChars="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zh-CN"/>
              </w:rPr>
              <w:t>厂界外</w:t>
            </w:r>
            <w:r>
              <w:rPr>
                <w:rFonts w:hint="default" w:ascii="Times New Roman" w:hAnsi="Times New Roman" w:eastAsia="宋体" w:cs="Times New Roman"/>
                <w:snapToGrid w:val="0"/>
                <w:color w:val="auto"/>
                <w:sz w:val="21"/>
                <w:szCs w:val="21"/>
                <w:highlight w:val="none"/>
              </w:rPr>
              <w:t>1</w:t>
            </w:r>
            <w:r>
              <w:rPr>
                <w:rFonts w:hint="default" w:ascii="Times New Roman" w:hAnsi="Times New Roman" w:eastAsia="宋体" w:cs="Times New Roman"/>
                <w:snapToGrid w:val="0"/>
                <w:color w:val="auto"/>
                <w:sz w:val="21"/>
                <w:szCs w:val="21"/>
                <w:highlight w:val="none"/>
                <w:vertAlign w:val="baseline"/>
                <w:lang w:eastAsia="zh-CN"/>
              </w:rPr>
              <w:t>m</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val="zh-CN"/>
              </w:rPr>
              <w:t>高度</w:t>
            </w:r>
            <w:r>
              <w:rPr>
                <w:rFonts w:hint="default" w:ascii="Times New Roman" w:hAnsi="Times New Roman" w:eastAsia="宋体" w:cs="Times New Roman"/>
                <w:snapToGrid w:val="0"/>
                <w:color w:val="auto"/>
                <w:sz w:val="21"/>
                <w:szCs w:val="21"/>
                <w:highlight w:val="none"/>
              </w:rPr>
              <w:t>1.2</w:t>
            </w:r>
            <w:r>
              <w:rPr>
                <w:rFonts w:hint="default" w:ascii="Times New Roman" w:hAnsi="Times New Roman" w:eastAsia="宋体" w:cs="Times New Roman"/>
                <w:snapToGrid w:val="0"/>
                <w:color w:val="auto"/>
                <w:sz w:val="21"/>
                <w:szCs w:val="21"/>
                <w:highlight w:val="none"/>
                <w:vertAlign w:val="baseline"/>
                <w:lang w:eastAsia="zh-CN"/>
              </w:rPr>
              <w:t>m</w:t>
            </w:r>
            <w:r>
              <w:rPr>
                <w:rFonts w:hint="default" w:ascii="Times New Roman" w:hAnsi="Times New Roman" w:eastAsia="宋体" w:cs="Times New Roman"/>
                <w:snapToGrid w:val="0"/>
                <w:color w:val="auto"/>
                <w:sz w:val="21"/>
                <w:szCs w:val="21"/>
                <w:highlight w:val="none"/>
                <w:lang w:val="zh-CN"/>
              </w:rPr>
              <w:t>以上</w:t>
            </w:r>
          </w:p>
        </w:tc>
        <w:tc>
          <w:tcPr>
            <w:tcW w:w="899" w:type="pct"/>
            <w:noWrap w:val="0"/>
            <w:vAlign w:val="center"/>
          </w:tcPr>
          <w:p w14:paraId="63555B5B">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满足《工业企业厂界环境噪声排放标准》（GB12348-2008）表1中的</w:t>
            </w:r>
            <w:r>
              <w:rPr>
                <w:rFonts w:hint="default" w:ascii="Times New Roman" w:hAnsi="Times New Roman" w:eastAsia="宋体" w:cs="Times New Roman"/>
                <w:snapToGrid w:val="0"/>
                <w:color w:val="auto"/>
                <w:sz w:val="21"/>
                <w:szCs w:val="21"/>
                <w:highlight w:val="none"/>
                <w:lang w:eastAsia="zh-CN"/>
              </w:rPr>
              <w:t>1类</w:t>
            </w:r>
            <w:r>
              <w:rPr>
                <w:rFonts w:hint="default" w:ascii="Times New Roman" w:hAnsi="Times New Roman" w:eastAsia="宋体" w:cs="Times New Roman"/>
                <w:snapToGrid w:val="0"/>
                <w:color w:val="auto"/>
                <w:sz w:val="21"/>
                <w:szCs w:val="21"/>
                <w:highlight w:val="none"/>
              </w:rPr>
              <w:t>标准</w:t>
            </w:r>
          </w:p>
        </w:tc>
        <w:tc>
          <w:tcPr>
            <w:tcW w:w="386" w:type="pct"/>
            <w:noWrap w:val="0"/>
            <w:vAlign w:val="center"/>
          </w:tcPr>
          <w:p w14:paraId="16BA5605">
            <w:pPr>
              <w:pStyle w:val="152"/>
              <w:spacing w:line="400" w:lineRule="exact"/>
              <w:rPr>
                <w:rFonts w:hint="eastAsia"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rPr>
              <w:t>1次/</w:t>
            </w:r>
            <w:r>
              <w:rPr>
                <w:rFonts w:hint="eastAsia" w:ascii="Times New Roman" w:hAnsi="Times New Roman" w:eastAsia="宋体" w:cs="Times New Roman"/>
                <w:snapToGrid w:val="0"/>
                <w:color w:val="auto"/>
                <w:sz w:val="21"/>
                <w:szCs w:val="21"/>
                <w:highlight w:val="none"/>
                <w:lang w:val="en-US" w:eastAsia="zh-CN"/>
              </w:rPr>
              <w:t>季度</w:t>
            </w:r>
          </w:p>
        </w:tc>
        <w:tc>
          <w:tcPr>
            <w:tcW w:w="552" w:type="pct"/>
            <w:noWrap w:val="0"/>
            <w:vAlign w:val="center"/>
          </w:tcPr>
          <w:p w14:paraId="04BB26FF">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手工监测技术</w:t>
            </w:r>
          </w:p>
        </w:tc>
        <w:tc>
          <w:tcPr>
            <w:tcW w:w="871" w:type="pct"/>
            <w:noWrap w:val="0"/>
            <w:vAlign w:val="center"/>
          </w:tcPr>
          <w:p w14:paraId="31C01C9D">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参照《工业企业厂界环境噪声排放标准》（GB12348-2008）</w:t>
            </w:r>
          </w:p>
        </w:tc>
      </w:tr>
      <w:tr w14:paraId="20CCC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 w:type="pct"/>
            <w:noWrap w:val="0"/>
            <w:vAlign w:val="center"/>
          </w:tcPr>
          <w:p w14:paraId="2CCB9289">
            <w:pPr>
              <w:pStyle w:val="152"/>
              <w:rPr>
                <w:rFonts w:hint="default"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w:t>
            </w:r>
            <w:r>
              <w:rPr>
                <w:rFonts w:hint="default" w:ascii="Times New Roman" w:hAnsi="Times New Roman" w:eastAsia="宋体" w:cs="Times New Roman"/>
                <w:snapToGrid w:val="0"/>
                <w:color w:val="auto"/>
                <w:sz w:val="21"/>
                <w:szCs w:val="21"/>
                <w:highlight w:val="none"/>
              </w:rPr>
              <w:t>地下水</w:t>
            </w:r>
          </w:p>
        </w:tc>
        <w:tc>
          <w:tcPr>
            <w:tcW w:w="495" w:type="pct"/>
            <w:noWrap w:val="0"/>
            <w:vAlign w:val="center"/>
          </w:tcPr>
          <w:p w14:paraId="0001A1EC">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w:t>
            </w:r>
          </w:p>
        </w:tc>
        <w:tc>
          <w:tcPr>
            <w:tcW w:w="495" w:type="pct"/>
            <w:noWrap w:val="0"/>
            <w:vAlign w:val="center"/>
          </w:tcPr>
          <w:p w14:paraId="4F8B3163">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COD、氨氮</w:t>
            </w:r>
          </w:p>
        </w:tc>
        <w:tc>
          <w:tcPr>
            <w:tcW w:w="559" w:type="pct"/>
            <w:noWrap w:val="0"/>
            <w:vAlign w:val="center"/>
          </w:tcPr>
          <w:p w14:paraId="0D84A7F6">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w:t>
            </w:r>
          </w:p>
        </w:tc>
        <w:tc>
          <w:tcPr>
            <w:tcW w:w="496" w:type="pct"/>
            <w:noWrap w:val="0"/>
            <w:vAlign w:val="center"/>
          </w:tcPr>
          <w:p w14:paraId="038DE01C">
            <w:pPr>
              <w:pStyle w:val="152"/>
              <w:ind w:left="0" w:leftChars="0" w:firstLine="0" w:firstLineChars="0"/>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shd w:val="clear" w:color="auto" w:fill="auto"/>
                <w:lang w:val="zh-CN"/>
              </w:rPr>
              <w:t>监测井</w:t>
            </w:r>
          </w:p>
        </w:tc>
        <w:tc>
          <w:tcPr>
            <w:tcW w:w="899" w:type="pct"/>
            <w:noWrap w:val="0"/>
            <w:vAlign w:val="center"/>
          </w:tcPr>
          <w:p w14:paraId="7E41D981">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《地下水质量标准》（GB/T14848-2017）中的Ⅲ类标准限值</w:t>
            </w:r>
          </w:p>
        </w:tc>
        <w:tc>
          <w:tcPr>
            <w:tcW w:w="386" w:type="pct"/>
            <w:noWrap w:val="0"/>
            <w:vAlign w:val="center"/>
          </w:tcPr>
          <w:p w14:paraId="1E913CE3">
            <w:pPr>
              <w:pStyle w:val="152"/>
              <w:spacing w:line="400" w:lineRule="exact"/>
              <w:rPr>
                <w:rFonts w:hint="eastAsia"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rPr>
              <w:t>1次/</w:t>
            </w:r>
            <w:r>
              <w:rPr>
                <w:rFonts w:hint="eastAsia" w:ascii="Times New Roman" w:hAnsi="Times New Roman" w:eastAsia="宋体" w:cs="Times New Roman"/>
                <w:snapToGrid w:val="0"/>
                <w:color w:val="auto"/>
                <w:sz w:val="21"/>
                <w:szCs w:val="21"/>
                <w:highlight w:val="none"/>
                <w:lang w:val="en-US" w:eastAsia="zh-CN"/>
              </w:rPr>
              <w:t>季度</w:t>
            </w:r>
          </w:p>
        </w:tc>
        <w:tc>
          <w:tcPr>
            <w:tcW w:w="552" w:type="pct"/>
            <w:noWrap w:val="0"/>
            <w:vAlign w:val="center"/>
          </w:tcPr>
          <w:p w14:paraId="0C637DC9">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手工监测技术</w:t>
            </w:r>
          </w:p>
        </w:tc>
        <w:tc>
          <w:tcPr>
            <w:tcW w:w="871" w:type="pct"/>
            <w:noWrap w:val="0"/>
            <w:vAlign w:val="center"/>
          </w:tcPr>
          <w:p w14:paraId="165EC618">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w:t>
            </w:r>
          </w:p>
        </w:tc>
      </w:tr>
      <w:tr w14:paraId="650814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 w:type="pct"/>
            <w:noWrap w:val="0"/>
            <w:vAlign w:val="center"/>
          </w:tcPr>
          <w:p w14:paraId="29C2EFC0">
            <w:pPr>
              <w:pStyle w:val="152"/>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2#</w:t>
            </w:r>
            <w:r>
              <w:rPr>
                <w:rFonts w:hint="default" w:ascii="Times New Roman" w:hAnsi="Times New Roman" w:eastAsia="宋体" w:cs="Times New Roman"/>
                <w:snapToGrid w:val="0"/>
                <w:color w:val="auto"/>
                <w:sz w:val="21"/>
                <w:szCs w:val="21"/>
                <w:highlight w:val="none"/>
              </w:rPr>
              <w:t>地下水</w:t>
            </w:r>
          </w:p>
        </w:tc>
        <w:tc>
          <w:tcPr>
            <w:tcW w:w="495" w:type="pct"/>
            <w:shd w:val="clear" w:color="auto" w:fill="auto"/>
            <w:noWrap w:val="0"/>
            <w:vAlign w:val="center"/>
          </w:tcPr>
          <w:p w14:paraId="0C0C152B">
            <w:pPr>
              <w:pStyle w:val="152"/>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w:t>
            </w:r>
          </w:p>
        </w:tc>
        <w:tc>
          <w:tcPr>
            <w:tcW w:w="495" w:type="pct"/>
            <w:shd w:val="clear" w:color="auto" w:fill="auto"/>
            <w:noWrap w:val="0"/>
            <w:vAlign w:val="center"/>
          </w:tcPr>
          <w:p w14:paraId="741BDDED">
            <w:pPr>
              <w:pStyle w:val="152"/>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COD、氨氮</w:t>
            </w:r>
          </w:p>
        </w:tc>
        <w:tc>
          <w:tcPr>
            <w:tcW w:w="559" w:type="pct"/>
            <w:shd w:val="clear" w:color="auto" w:fill="auto"/>
            <w:noWrap w:val="0"/>
            <w:vAlign w:val="center"/>
          </w:tcPr>
          <w:p w14:paraId="27C4F1A0">
            <w:pPr>
              <w:pStyle w:val="152"/>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w:t>
            </w:r>
          </w:p>
        </w:tc>
        <w:tc>
          <w:tcPr>
            <w:tcW w:w="496" w:type="pct"/>
            <w:shd w:val="clear" w:color="auto" w:fill="auto"/>
            <w:noWrap w:val="0"/>
            <w:vAlign w:val="center"/>
          </w:tcPr>
          <w:p w14:paraId="5E31AEE6">
            <w:pPr>
              <w:pStyle w:val="152"/>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shd w:val="clear" w:color="auto" w:fill="auto"/>
                <w:lang w:val="zh-CN"/>
              </w:rPr>
              <w:t>监测井</w:t>
            </w:r>
          </w:p>
        </w:tc>
        <w:tc>
          <w:tcPr>
            <w:tcW w:w="899" w:type="pct"/>
            <w:shd w:val="clear" w:color="auto" w:fill="auto"/>
            <w:noWrap w:val="0"/>
            <w:vAlign w:val="center"/>
          </w:tcPr>
          <w:p w14:paraId="31C7E886">
            <w:pPr>
              <w:pStyle w:val="152"/>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color w:val="auto"/>
                <w:sz w:val="21"/>
                <w:szCs w:val="21"/>
                <w:highlight w:val="none"/>
              </w:rPr>
              <w:t>《地下水质量标准》（GB/T14848-2017）中的Ⅲ类标准限值</w:t>
            </w:r>
          </w:p>
        </w:tc>
        <w:tc>
          <w:tcPr>
            <w:tcW w:w="386" w:type="pct"/>
            <w:shd w:val="clear" w:color="auto" w:fill="auto"/>
            <w:noWrap w:val="0"/>
            <w:vAlign w:val="center"/>
          </w:tcPr>
          <w:p w14:paraId="1C9B471D">
            <w:pPr>
              <w:pStyle w:val="152"/>
              <w:spacing w:line="400" w:lineRule="exact"/>
              <w:ind w:left="0" w:leftChars="0" w:firstLine="0" w:firstLineChars="0"/>
              <w:rPr>
                <w:rFonts w:hint="eastAsia"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1次/</w:t>
            </w:r>
            <w:r>
              <w:rPr>
                <w:rFonts w:hint="eastAsia" w:ascii="Times New Roman" w:hAnsi="Times New Roman" w:eastAsia="宋体" w:cs="Times New Roman"/>
                <w:snapToGrid w:val="0"/>
                <w:color w:val="auto"/>
                <w:sz w:val="21"/>
                <w:szCs w:val="21"/>
                <w:highlight w:val="none"/>
                <w:lang w:val="en-US" w:eastAsia="zh-CN"/>
              </w:rPr>
              <w:t>季度</w:t>
            </w:r>
          </w:p>
        </w:tc>
        <w:tc>
          <w:tcPr>
            <w:tcW w:w="552" w:type="pct"/>
            <w:shd w:val="clear" w:color="auto" w:fill="auto"/>
            <w:noWrap w:val="0"/>
            <w:vAlign w:val="center"/>
          </w:tcPr>
          <w:p w14:paraId="06CDAD21">
            <w:pPr>
              <w:pStyle w:val="152"/>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手工监测技术</w:t>
            </w:r>
          </w:p>
        </w:tc>
        <w:tc>
          <w:tcPr>
            <w:tcW w:w="871" w:type="pct"/>
            <w:shd w:val="clear" w:color="auto" w:fill="auto"/>
            <w:noWrap w:val="0"/>
            <w:vAlign w:val="center"/>
          </w:tcPr>
          <w:p w14:paraId="20965421">
            <w:pPr>
              <w:pStyle w:val="152"/>
              <w:ind w:left="0" w:leftChars="0" w:firstLine="0" w:firstLineChars="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w:t>
            </w:r>
          </w:p>
        </w:tc>
      </w:tr>
    </w:tbl>
    <w:p w14:paraId="7A4234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p>
    <w:p w14:paraId="0DF5F313">
      <w:pPr>
        <w:spacing w:line="360" w:lineRule="auto"/>
        <w:ind w:firstLine="420"/>
        <w:jc w:val="both"/>
        <w:rPr>
          <w:rFonts w:hint="default" w:ascii="Times New Roman" w:hAnsi="Times New Roman" w:eastAsia="宋体" w:cs="Times New Roman"/>
          <w:snapToGrid w:val="0"/>
          <w:color w:val="auto"/>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9260967">
      <w:pPr>
        <w:spacing w:line="360" w:lineRule="auto"/>
        <w:ind w:firstLine="420"/>
        <w:jc w:val="both"/>
        <w:rPr>
          <w:rFonts w:hint="default" w:ascii="Times New Roman" w:hAnsi="Times New Roman" w:eastAsia="宋体" w:cs="Times New Roman"/>
          <w:color w:val="auto"/>
          <w:highlight w:val="none"/>
        </w:rPr>
      </w:pPr>
      <w:bookmarkStart w:id="1211" w:name="_Toc480447685"/>
      <w:bookmarkStart w:id="1212" w:name="_Toc456590419"/>
      <w:bookmarkStart w:id="1213" w:name="_Toc342462535"/>
      <w:bookmarkStart w:id="1214" w:name="_Toc455043911"/>
      <w:r>
        <w:rPr>
          <w:rFonts w:hint="default" w:ascii="Times New Roman" w:hAnsi="Times New Roman" w:eastAsia="宋体" w:cs="Times New Roman"/>
          <w:color w:val="auto"/>
          <w:highlight w:val="none"/>
        </w:rPr>
        <w:t>（2）信息报告</w:t>
      </w:r>
    </w:p>
    <w:p w14:paraId="25C1C71D">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排污单位应编写自行监测年度报告，年度报告至少应包含以下内容：</w:t>
      </w:r>
    </w:p>
    <w:p w14:paraId="61213BA0">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a）监测方案的调整变化情况及变更原因；</w:t>
      </w:r>
    </w:p>
    <w:p w14:paraId="2527947B">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b）企业及各主要生产设施（至少涵盖废气主要污染源相关生产设施）全年运行天数，</w:t>
      </w:r>
    </w:p>
    <w:p w14:paraId="103B868A">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各监测点、各监测指标全年监测次数、超标情况、浓度分布情况；</w:t>
      </w:r>
    </w:p>
    <w:p w14:paraId="6DA1BC51">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c）按要求开展的周边环境质量影响状况监测结果；</w:t>
      </w:r>
    </w:p>
    <w:p w14:paraId="0734B7F3">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d）自行监测开展的其他情况说明；</w:t>
      </w:r>
    </w:p>
    <w:p w14:paraId="08A645D5">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e）排污单位实现达标排放所采取的主要措施。</w:t>
      </w:r>
    </w:p>
    <w:p w14:paraId="4B4A5349">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（3）应急报告</w:t>
      </w:r>
    </w:p>
    <w:p w14:paraId="5630D3B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结果出现超标的，排污单位应加密监测，并检查超标原因。短期内无法实现稳定达标排放的，应向环境保护主管部门提交事故分析报告，说明事故发生的原因，采取减轻或防止污染的措施，以及今后的预防及改进措施等；若因发生事故或者其他突发事件，排放的污水可能危及城镇排水与黑膜厌氧池设施安全运行的，应当立即采取措施消除危害，并及时向城镇排水主管部门和环境保护主管部门等有关部门报告。</w:t>
      </w:r>
    </w:p>
    <w:p w14:paraId="259D524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（4）信息公开</w:t>
      </w:r>
    </w:p>
    <w:p w14:paraId="5183E33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污单位自行监测信息公开内容及方式按照《企业事业单位环境信息公开办法》（环境保护部令第31号）及《国家重点监控企业自行监测及信息公开办法（试行）》（环发[2013]81号）执行。非重点排污单位的信息公开要求由地方环境保护主管部门确定。</w:t>
      </w:r>
    </w:p>
    <w:p w14:paraId="0A467DC1">
      <w:pPr>
        <w:pStyle w:val="5"/>
        <w:bidi w:val="0"/>
        <w:rPr>
          <w:rFonts w:hint="default"/>
          <w:highlight w:val="none"/>
        </w:rPr>
      </w:pPr>
      <w:bookmarkStart w:id="1215" w:name="_Toc29114"/>
      <w:bookmarkStart w:id="1216" w:name="_Toc3379"/>
      <w:bookmarkStart w:id="1217" w:name="_Toc6549"/>
      <w:bookmarkStart w:id="1218" w:name="_Toc24823"/>
      <w:bookmarkStart w:id="1219" w:name="_Toc25630"/>
      <w:r>
        <w:rPr>
          <w:rFonts w:hint="default"/>
          <w:highlight w:val="none"/>
        </w:rPr>
        <w:t>8.3环境保护竣工验收</w:t>
      </w:r>
      <w:bookmarkEnd w:id="1211"/>
      <w:bookmarkEnd w:id="1215"/>
      <w:bookmarkEnd w:id="1216"/>
      <w:bookmarkEnd w:id="1217"/>
      <w:bookmarkEnd w:id="1218"/>
      <w:bookmarkEnd w:id="1219"/>
    </w:p>
    <w:p w14:paraId="135E86E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本项目中的污染防治措施必须与主体工程同时设计、同时施工、同时投产使用。防治污染的设施必须经原审批环境影响报告书的环境保护行政主管部门验收合格后，项目方可投入生产和使用。</w:t>
      </w:r>
    </w:p>
    <w:p w14:paraId="02DB5BC7">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拟建项目建成后，环境保护措施竣工验收情况详见表8-3-1。</w:t>
      </w:r>
    </w:p>
    <w:p w14:paraId="65344969">
      <w:pPr>
        <w:pStyle w:val="216"/>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3-1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建设项目竣工环境保护验收一览表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1154"/>
        <w:gridCol w:w="987"/>
        <w:gridCol w:w="1163"/>
        <w:gridCol w:w="5583"/>
        <w:gridCol w:w="4437"/>
      </w:tblGrid>
      <w:tr w14:paraId="5EB19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97" w:hRule="atLeast"/>
        </w:trPr>
        <w:tc>
          <w:tcPr>
            <w:tcW w:w="300" w:type="pct"/>
            <w:vAlign w:val="center"/>
          </w:tcPr>
          <w:p w14:paraId="617F322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类型</w:t>
            </w:r>
          </w:p>
        </w:tc>
        <w:tc>
          <w:tcPr>
            <w:tcW w:w="407" w:type="pct"/>
            <w:vAlign w:val="center"/>
          </w:tcPr>
          <w:p w14:paraId="11AA7EC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类别</w:t>
            </w:r>
          </w:p>
        </w:tc>
        <w:tc>
          <w:tcPr>
            <w:tcW w:w="348" w:type="pct"/>
            <w:vAlign w:val="center"/>
          </w:tcPr>
          <w:p w14:paraId="397FA0E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污染源</w:t>
            </w:r>
          </w:p>
        </w:tc>
        <w:tc>
          <w:tcPr>
            <w:tcW w:w="410" w:type="pct"/>
            <w:vAlign w:val="center"/>
          </w:tcPr>
          <w:p w14:paraId="3C61168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w:t>
            </w:r>
          </w:p>
        </w:tc>
        <w:tc>
          <w:tcPr>
            <w:tcW w:w="1969" w:type="pct"/>
            <w:vAlign w:val="center"/>
          </w:tcPr>
          <w:p w14:paraId="171FAEB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建设内容</w:t>
            </w:r>
          </w:p>
        </w:tc>
        <w:tc>
          <w:tcPr>
            <w:tcW w:w="1565" w:type="pct"/>
            <w:vAlign w:val="center"/>
          </w:tcPr>
          <w:p w14:paraId="349A9C8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验收标准</w:t>
            </w:r>
          </w:p>
        </w:tc>
      </w:tr>
      <w:tr w14:paraId="10BFC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300" w:type="pct"/>
            <w:vMerge w:val="restart"/>
            <w:vAlign w:val="center"/>
          </w:tcPr>
          <w:p w14:paraId="7C936C6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w:t>
            </w:r>
          </w:p>
        </w:tc>
        <w:tc>
          <w:tcPr>
            <w:tcW w:w="407" w:type="pct"/>
            <w:vAlign w:val="center"/>
          </w:tcPr>
          <w:p w14:paraId="546A42C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养殖废水</w:t>
            </w:r>
          </w:p>
          <w:p w14:paraId="43A2628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生活污水</w:t>
            </w:r>
          </w:p>
        </w:tc>
        <w:tc>
          <w:tcPr>
            <w:tcW w:w="348" w:type="pct"/>
            <w:vAlign w:val="center"/>
          </w:tcPr>
          <w:p w14:paraId="7C271D3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猪舍</w:t>
            </w:r>
          </w:p>
          <w:p w14:paraId="3DDA604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生活区</w:t>
            </w:r>
          </w:p>
        </w:tc>
        <w:tc>
          <w:tcPr>
            <w:tcW w:w="410" w:type="pct"/>
            <w:vAlign w:val="center"/>
          </w:tcPr>
          <w:p w14:paraId="064EE1B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p w14:paraId="4EF9A30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1969" w:type="pct"/>
            <w:vAlign w:val="center"/>
          </w:tcPr>
          <w:p w14:paraId="768F7CD0">
            <w:pPr>
              <w:pStyle w:val="152"/>
              <w:adjustRightInd w:val="0"/>
              <w:snapToGrid w:val="0"/>
              <w:jc w:val="both"/>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cs="Times New Roman"/>
                <w:snapToGrid w:val="0"/>
                <w:color w:val="auto"/>
                <w:highlight w:val="none"/>
                <w:lang w:val="zh-CN" w:eastAsia="zh-CN"/>
              </w:rPr>
              <w:t>沼液贮存池</w:t>
            </w:r>
            <w:r>
              <w:rPr>
                <w:rFonts w:hint="default" w:ascii="Times New Roman" w:hAnsi="Times New Roman" w:cs="Times New Roman"/>
                <w:snapToGrid w:val="0"/>
                <w:color w:val="auto"/>
                <w:highlight w:val="none"/>
                <w:lang w:val="zh-CN"/>
              </w:rPr>
              <w:t>。</w:t>
            </w:r>
            <w:r>
              <w:rPr>
                <w:rFonts w:hint="default" w:ascii="Times New Roman" w:hAnsi="Times New Roman" w:cs="Times New Roman"/>
                <w:snapToGrid w:val="0"/>
                <w:color w:val="auto"/>
                <w:highlight w:val="none"/>
              </w:rPr>
              <w:t>采取雨污分流方式，雨水采用明沟排放。</w:t>
            </w:r>
          </w:p>
        </w:tc>
        <w:tc>
          <w:tcPr>
            <w:tcW w:w="1565" w:type="pct"/>
            <w:vAlign w:val="center"/>
          </w:tcPr>
          <w:p w14:paraId="72789C9F">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沼液冬天储存，夏季还用于农田</w:t>
            </w:r>
          </w:p>
        </w:tc>
      </w:tr>
      <w:tr w14:paraId="6A12D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7" w:hRule="atLeast"/>
        </w:trPr>
        <w:tc>
          <w:tcPr>
            <w:tcW w:w="300" w:type="pct"/>
            <w:vMerge w:val="continue"/>
            <w:vAlign w:val="center"/>
          </w:tcPr>
          <w:p w14:paraId="5A1758AC">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restart"/>
            <w:vAlign w:val="center"/>
          </w:tcPr>
          <w:p w14:paraId="58E18CD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地下水污染防治</w:t>
            </w:r>
          </w:p>
        </w:tc>
        <w:tc>
          <w:tcPr>
            <w:tcW w:w="348" w:type="pct"/>
            <w:vAlign w:val="center"/>
          </w:tcPr>
          <w:p w14:paraId="1615D45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猪舍、</w:t>
            </w:r>
            <w:r>
              <w:rPr>
                <w:rFonts w:hint="default" w:ascii="Times New Roman" w:hAnsi="Times New Roman" w:cs="Times New Roman"/>
                <w:snapToGrid w:val="0"/>
                <w:color w:val="auto"/>
                <w:highlight w:val="none"/>
                <w:lang w:val="en-US" w:eastAsia="zh-CN"/>
              </w:rPr>
              <w:t>黑膜厌氧池、沼液贮存池</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固液分离间</w:t>
            </w:r>
            <w:r>
              <w:rPr>
                <w:rFonts w:hint="default" w:ascii="Times New Roman" w:hAnsi="Times New Roman" w:cs="Times New Roman"/>
                <w:snapToGrid w:val="0"/>
                <w:color w:val="auto"/>
                <w:highlight w:val="none"/>
                <w:lang w:val="en-US" w:eastAsia="zh-CN"/>
              </w:rPr>
              <w:t>、医疗废物暂存间</w:t>
            </w:r>
            <w:r>
              <w:rPr>
                <w:rFonts w:hint="default" w:ascii="Times New Roman" w:hAnsi="Times New Roman" w:eastAsia="宋体" w:cs="Times New Roman"/>
                <w:snapToGrid w:val="0"/>
                <w:color w:val="auto"/>
                <w:highlight w:val="none"/>
              </w:rPr>
              <w:t>等及场区建筑地面等</w:t>
            </w:r>
          </w:p>
        </w:tc>
        <w:tc>
          <w:tcPr>
            <w:tcW w:w="410" w:type="pct"/>
            <w:vAlign w:val="center"/>
          </w:tcPr>
          <w:p w14:paraId="4652B37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p w14:paraId="6AA0E20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1969" w:type="pct"/>
            <w:vAlign w:val="center"/>
          </w:tcPr>
          <w:p w14:paraId="023D6FAD">
            <w:pPr>
              <w:pStyle w:val="152"/>
              <w:adjustRightInd w:val="0"/>
              <w:snapToGrid w:val="0"/>
              <w:jc w:val="left"/>
              <w:rPr>
                <w:rFonts w:hint="eastAsia" w:ascii="Times New Roman" w:hAnsi="Times New Roman"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bidi="ar"/>
              </w:rPr>
              <w:t>①</w:t>
            </w:r>
            <w:r>
              <w:rPr>
                <w:rFonts w:hint="eastAsia" w:ascii="Times New Roman" w:hAnsi="Times New Roman" w:cs="Times New Roman"/>
                <w:snapToGrid w:val="0"/>
                <w:color w:val="auto"/>
                <w:szCs w:val="21"/>
                <w:highlight w:val="none"/>
                <w:lang w:val="en-US" w:eastAsia="zh-CN" w:bidi="ar"/>
              </w:rPr>
              <w:t>黑膜厌氧池、沼液贮存池、医疗废物暂存间防渗措施为高密度聚乙烯（HDPE）防渗膜（渗透系数K≤10</w:t>
            </w:r>
            <w:r>
              <w:rPr>
                <w:rFonts w:hint="eastAsia" w:ascii="Times New Roman" w:hAnsi="Times New Roman" w:cs="Times New Roman"/>
                <w:snapToGrid w:val="0"/>
                <w:color w:val="auto"/>
                <w:szCs w:val="21"/>
                <w:highlight w:val="none"/>
                <w:vertAlign w:val="superscript"/>
                <w:lang w:val="en-US" w:eastAsia="zh-CN" w:bidi="ar"/>
              </w:rPr>
              <w:t>-12</w:t>
            </w:r>
            <w:r>
              <w:rPr>
                <w:rFonts w:hint="eastAsia" w:ascii="Times New Roman" w:hAnsi="Times New Roman" w:cs="Times New Roman"/>
                <w:snapToGrid w:val="0"/>
                <w:color w:val="auto"/>
                <w:szCs w:val="21"/>
                <w:highlight w:val="none"/>
                <w:lang w:val="en-US" w:eastAsia="zh-CN" w:bidi="ar"/>
              </w:rPr>
              <w:t>cm/s，等效黏土防渗层Mb≥6.0m），满足《环境影响评价技术导则 地下水环境》（HJ610-2016）的防渗要求。</w:t>
            </w:r>
          </w:p>
          <w:p w14:paraId="52BA4A35">
            <w:pPr>
              <w:pStyle w:val="152"/>
              <w:adjustRightInd w:val="0"/>
              <w:snapToGrid w:val="0"/>
              <w:jc w:val="left"/>
              <w:rPr>
                <w:rFonts w:hint="default" w:ascii="Times New Roman" w:hAnsi="Times New Roman" w:cs="Times New Roman"/>
                <w:snapToGrid w:val="0"/>
                <w:color w:val="auto"/>
                <w:szCs w:val="21"/>
                <w:highlight w:val="none"/>
                <w:lang w:val="en-US" w:bidi="ar"/>
              </w:rPr>
            </w:pPr>
            <w:r>
              <w:rPr>
                <w:rFonts w:hint="eastAsia" w:ascii="Times New Roman" w:hAnsi="Times New Roman" w:cs="Times New Roman"/>
                <w:snapToGrid w:val="0"/>
                <w:color w:val="auto"/>
                <w:szCs w:val="21"/>
                <w:highlight w:val="none"/>
                <w:lang w:val="en-US" w:eastAsia="zh-CN" w:bidi="ar"/>
              </w:rPr>
              <w:t>医疗废物暂存间应采取防风、防雨、防晒、防渗、防漏和防止危险废物流失、扬散等措施。</w:t>
            </w:r>
          </w:p>
          <w:p w14:paraId="7DCCF508">
            <w:pPr>
              <w:pStyle w:val="152"/>
              <w:adjustRightInd w:val="0"/>
              <w:snapToGrid w:val="0"/>
              <w:jc w:val="left"/>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bidi="ar"/>
              </w:rPr>
              <w:fldChar w:fldCharType="begin"/>
            </w:r>
            <w:r>
              <w:rPr>
                <w:rFonts w:hint="default" w:ascii="Times New Roman" w:hAnsi="Times New Roman" w:cs="Times New Roman"/>
                <w:snapToGrid w:val="0"/>
                <w:color w:val="auto"/>
                <w:szCs w:val="21"/>
                <w:highlight w:val="none"/>
                <w:lang w:val="en-US" w:bidi="ar"/>
              </w:rPr>
              <w:instrText xml:space="preserve"> = 2 \* GB3 </w:instrText>
            </w:r>
            <w:r>
              <w:rPr>
                <w:rFonts w:hint="default" w:ascii="Times New Roman" w:hAnsi="Times New Roman" w:cs="Times New Roman"/>
                <w:snapToGrid w:val="0"/>
                <w:color w:val="auto"/>
                <w:szCs w:val="21"/>
                <w:highlight w:val="none"/>
                <w:lang w:val="en-US" w:bidi="ar"/>
              </w:rPr>
              <w:fldChar w:fldCharType="separate"/>
            </w:r>
            <w:r>
              <w:rPr>
                <w:rFonts w:hint="default" w:ascii="Times New Roman" w:hAnsi="Times New Roman" w:cs="Times New Roman"/>
                <w:snapToGrid w:val="0"/>
                <w:color w:val="auto"/>
                <w:szCs w:val="21"/>
                <w:highlight w:val="none"/>
                <w:lang w:val="en-US" w:bidi="ar"/>
              </w:rPr>
              <w:t>②</w:t>
            </w:r>
            <w:r>
              <w:rPr>
                <w:rFonts w:hint="default" w:ascii="Times New Roman" w:hAnsi="Times New Roman" w:cs="Times New Roman"/>
                <w:snapToGrid w:val="0"/>
                <w:color w:val="auto"/>
                <w:szCs w:val="21"/>
                <w:highlight w:val="none"/>
                <w:lang w:val="en-US" w:bidi="ar"/>
              </w:rPr>
              <w:fldChar w:fldCharType="end"/>
            </w:r>
            <w:r>
              <w:rPr>
                <w:rFonts w:hint="default" w:ascii="Times New Roman" w:hAnsi="Times New Roman" w:cs="Times New Roman"/>
                <w:snapToGrid w:val="0"/>
                <w:color w:val="auto"/>
                <w:szCs w:val="21"/>
                <w:highlight w:val="none"/>
                <w:lang w:val="en-US" w:bidi="ar"/>
              </w:rPr>
              <w:t>猪舍、</w:t>
            </w:r>
            <w:r>
              <w:rPr>
                <w:rFonts w:hint="eastAsia" w:ascii="Times New Roman" w:hAnsi="Times New Roman" w:cs="Times New Roman"/>
                <w:snapToGrid w:val="0"/>
                <w:color w:val="auto"/>
                <w:szCs w:val="21"/>
                <w:highlight w:val="none"/>
                <w:lang w:val="en-US" w:eastAsia="zh-CN" w:bidi="ar"/>
              </w:rPr>
              <w:t>干粪堆积场</w:t>
            </w:r>
            <w:r>
              <w:rPr>
                <w:rFonts w:hint="default" w:ascii="Times New Roman" w:hAnsi="Times New Roman" w:cs="Times New Roman"/>
                <w:snapToGrid w:val="0"/>
                <w:color w:val="auto"/>
                <w:szCs w:val="21"/>
                <w:highlight w:val="none"/>
                <w:lang w:val="en-US" w:eastAsia="zh-CN" w:bidi="ar"/>
              </w:rPr>
              <w:t>、固液分离间为</w:t>
            </w:r>
            <w:r>
              <w:rPr>
                <w:rFonts w:hint="default" w:ascii="Times New Roman" w:hAnsi="Times New Roman" w:cs="Times New Roman"/>
                <w:snapToGrid w:val="0"/>
                <w:color w:val="auto"/>
                <w:szCs w:val="21"/>
                <w:highlight w:val="none"/>
                <w:lang w:val="en-US" w:bidi="ar"/>
              </w:rPr>
              <w:t>一般防渗区</w:t>
            </w:r>
            <w:r>
              <w:rPr>
                <w:rFonts w:hint="default" w:ascii="Times New Roman" w:hAnsi="Times New Roman" w:cs="Times New Roman"/>
                <w:snapToGrid w:val="0"/>
                <w:color w:val="auto"/>
                <w:szCs w:val="21"/>
                <w:highlight w:val="none"/>
                <w:lang w:val="en-US" w:eastAsia="zh-CN" w:bidi="ar"/>
              </w:rPr>
              <w:t>，</w:t>
            </w:r>
            <w:r>
              <w:rPr>
                <w:rFonts w:hint="eastAsia" w:ascii="Times New Roman" w:hAnsi="Times New Roman" w:cs="Times New Roman"/>
                <w:snapToGrid w:val="0"/>
                <w:color w:val="auto"/>
                <w:szCs w:val="21"/>
                <w:highlight w:val="none"/>
                <w:lang w:val="en-US" w:eastAsia="zh-CN" w:bidi="ar"/>
              </w:rPr>
              <w:t>地面及墙面采用水泥混凝土防渗，等效黏土防渗层Mb≥1.5m，K≤1.0×10</w:t>
            </w:r>
            <w:r>
              <w:rPr>
                <w:rFonts w:hint="eastAsia" w:ascii="Times New Roman" w:hAnsi="Times New Roman" w:cs="Times New Roman"/>
                <w:snapToGrid w:val="0"/>
                <w:color w:val="auto"/>
                <w:szCs w:val="21"/>
                <w:highlight w:val="none"/>
                <w:vertAlign w:val="superscript"/>
                <w:lang w:val="en-US" w:eastAsia="zh-CN" w:bidi="ar"/>
              </w:rPr>
              <w:t>-7c</w:t>
            </w:r>
            <w:r>
              <w:rPr>
                <w:rFonts w:hint="eastAsia" w:ascii="Times New Roman" w:hAnsi="Times New Roman" w:cs="Times New Roman"/>
                <w:snapToGrid w:val="0"/>
                <w:color w:val="auto"/>
                <w:szCs w:val="21"/>
                <w:highlight w:val="none"/>
                <w:lang w:val="en-US" w:eastAsia="zh-CN" w:bidi="ar"/>
              </w:rPr>
              <w:t>m/s满足《环境影响评价技术导则 地下水环境》（HJ610-2016）的防渗要求。</w:t>
            </w:r>
          </w:p>
          <w:p w14:paraId="1904C09B">
            <w:pPr>
              <w:pStyle w:val="152"/>
              <w:adjustRightInd w:val="0"/>
              <w:snapToGrid w:val="0"/>
              <w:jc w:val="left"/>
              <w:rPr>
                <w:rFonts w:hint="default" w:ascii="Times New Roman" w:hAnsi="Times New Roman"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bidi="ar"/>
              </w:rPr>
              <w:fldChar w:fldCharType="begin"/>
            </w:r>
            <w:r>
              <w:rPr>
                <w:rFonts w:hint="default" w:ascii="Times New Roman" w:hAnsi="Times New Roman" w:cs="Times New Roman"/>
                <w:snapToGrid w:val="0"/>
                <w:color w:val="auto"/>
                <w:szCs w:val="21"/>
                <w:highlight w:val="none"/>
                <w:lang w:val="en-US" w:bidi="ar"/>
              </w:rPr>
              <w:instrText xml:space="preserve"> = 3 \* GB3 </w:instrText>
            </w:r>
            <w:r>
              <w:rPr>
                <w:rFonts w:hint="default" w:ascii="Times New Roman" w:hAnsi="Times New Roman" w:cs="Times New Roman"/>
                <w:snapToGrid w:val="0"/>
                <w:color w:val="auto"/>
                <w:szCs w:val="21"/>
                <w:highlight w:val="none"/>
                <w:lang w:val="en-US" w:bidi="ar"/>
              </w:rPr>
              <w:fldChar w:fldCharType="separate"/>
            </w:r>
            <w:r>
              <w:rPr>
                <w:rFonts w:hint="default" w:ascii="Times New Roman" w:hAnsi="Times New Roman" w:cs="Times New Roman"/>
                <w:snapToGrid w:val="0"/>
                <w:color w:val="auto"/>
                <w:szCs w:val="21"/>
                <w:highlight w:val="none"/>
                <w:lang w:val="en-US" w:bidi="ar"/>
              </w:rPr>
              <w:t>③</w:t>
            </w:r>
            <w:r>
              <w:rPr>
                <w:rFonts w:hint="default" w:ascii="Times New Roman" w:hAnsi="Times New Roman" w:cs="Times New Roman"/>
                <w:snapToGrid w:val="0"/>
                <w:color w:val="auto"/>
                <w:szCs w:val="21"/>
                <w:highlight w:val="none"/>
                <w:lang w:val="en-US" w:bidi="ar"/>
              </w:rPr>
              <w:fldChar w:fldCharType="end"/>
            </w:r>
            <w:r>
              <w:rPr>
                <w:rFonts w:hint="default" w:ascii="Times New Roman" w:hAnsi="Times New Roman" w:cs="Times New Roman"/>
                <w:snapToGrid w:val="0"/>
                <w:color w:val="auto"/>
                <w:szCs w:val="21"/>
                <w:highlight w:val="none"/>
                <w:lang w:val="en-US" w:bidi="ar"/>
              </w:rPr>
              <w:t>其他建筑物及道路采取简单防渗，地面</w:t>
            </w:r>
            <w:r>
              <w:rPr>
                <w:rFonts w:hint="default" w:ascii="Times New Roman" w:hAnsi="Times New Roman" w:cs="Times New Roman"/>
                <w:snapToGrid w:val="0"/>
                <w:color w:val="auto"/>
                <w:szCs w:val="21"/>
                <w:highlight w:val="none"/>
                <w:lang w:val="en-US" w:eastAsia="zh-CN" w:bidi="ar"/>
              </w:rPr>
              <w:t>均用水泥进行一般地面硬化。</w:t>
            </w:r>
          </w:p>
          <w:p w14:paraId="789CE667">
            <w:pPr>
              <w:pStyle w:val="152"/>
              <w:adjustRightInd w:val="0"/>
              <w:snapToGrid w:val="0"/>
              <w:jc w:val="left"/>
              <w:rPr>
                <w:rFonts w:hint="default" w:ascii="Times New Roman" w:hAnsi="Times New Roman" w:cs="Times New Roman"/>
                <w:snapToGrid w:val="0"/>
                <w:color w:val="auto"/>
                <w:kern w:val="0"/>
                <w:sz w:val="21"/>
                <w:szCs w:val="21"/>
                <w:highlight w:val="none"/>
                <w:lang w:val="en-US" w:eastAsia="zh-CN" w:bidi="ar"/>
              </w:rPr>
            </w:pPr>
            <w:r>
              <w:rPr>
                <w:rFonts w:hint="default" w:ascii="Times New Roman" w:hAnsi="Times New Roman" w:cs="Times New Roman"/>
                <w:snapToGrid w:val="0"/>
                <w:color w:val="auto"/>
                <w:szCs w:val="21"/>
                <w:highlight w:val="none"/>
                <w:lang w:val="en-US" w:eastAsia="zh-CN"/>
              </w:rPr>
              <w:t>④</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p w14:paraId="082D8D9A">
            <w:pPr>
              <w:pStyle w:val="152"/>
              <w:adjustRightInd w:val="0"/>
              <w:snapToGrid w:val="0"/>
              <w:jc w:val="left"/>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lang w:val="en-US" w:eastAsia="zh-CN"/>
              </w:rPr>
              <w:t>⑤</w:t>
            </w:r>
            <w:r>
              <w:rPr>
                <w:rFonts w:hint="default" w:ascii="Times New Roman" w:hAnsi="Times New Roman" w:cs="Times New Roman"/>
                <w:snapToGrid w:val="0"/>
                <w:color w:val="auto"/>
                <w:highlight w:val="none"/>
              </w:rPr>
              <w:t>黑膜厌氧池等各池体安装泄漏监测装置</w:t>
            </w:r>
            <w:r>
              <w:rPr>
                <w:rFonts w:hint="default" w:ascii="Times New Roman" w:hAnsi="Times New Roman" w:cs="Times New Roman"/>
                <w:snapToGrid w:val="0"/>
                <w:color w:val="auto"/>
                <w:highlight w:val="none"/>
                <w:lang w:eastAsia="zh-CN"/>
              </w:rPr>
              <w:t>。</w:t>
            </w:r>
          </w:p>
        </w:tc>
        <w:tc>
          <w:tcPr>
            <w:tcW w:w="1565" w:type="pct"/>
            <w:vAlign w:val="center"/>
          </w:tcPr>
          <w:p w14:paraId="14F6D51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06B83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300" w:type="pct"/>
            <w:vMerge w:val="continue"/>
            <w:vAlign w:val="center"/>
          </w:tcPr>
          <w:p w14:paraId="65786F17">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392D5F7C">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5CC83E3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地下水监测井</w:t>
            </w:r>
          </w:p>
        </w:tc>
        <w:tc>
          <w:tcPr>
            <w:tcW w:w="410" w:type="pct"/>
            <w:vAlign w:val="center"/>
          </w:tcPr>
          <w:p w14:paraId="2E37AFF0">
            <w:pPr>
              <w:pStyle w:val="152"/>
              <w:adjustRightInd w:val="0"/>
              <w:snapToGrid w:val="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氨氮</w:t>
            </w:r>
          </w:p>
          <w:p w14:paraId="6CB5590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zh-CN"/>
              </w:rPr>
              <w:t>COD</w:t>
            </w:r>
          </w:p>
        </w:tc>
        <w:tc>
          <w:tcPr>
            <w:tcW w:w="1969" w:type="pct"/>
            <w:vAlign w:val="center"/>
          </w:tcPr>
          <w:p w14:paraId="65301624">
            <w:pPr>
              <w:pStyle w:val="152"/>
              <w:adjustRightInd w:val="0"/>
              <w:snapToGrid w:val="0"/>
              <w:jc w:val="both"/>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建设地下水跟踪监测井，场区场界内的监测井，监测频次1次/</w:t>
            </w:r>
            <w:r>
              <w:rPr>
                <w:rFonts w:hint="eastAsia" w:ascii="Times New Roman" w:hAnsi="Times New Roman" w:cs="Times New Roman"/>
                <w:snapToGrid w:val="0"/>
                <w:color w:val="auto"/>
                <w:highlight w:val="none"/>
                <w:lang w:val="en-US" w:eastAsia="zh-CN"/>
              </w:rPr>
              <w:t>季度</w:t>
            </w:r>
          </w:p>
        </w:tc>
        <w:tc>
          <w:tcPr>
            <w:tcW w:w="1565" w:type="pct"/>
            <w:vAlign w:val="center"/>
          </w:tcPr>
          <w:p w14:paraId="4BB8316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编写监测报告向社会公开</w:t>
            </w:r>
          </w:p>
        </w:tc>
      </w:tr>
      <w:bookmarkEnd w:id="1079"/>
      <w:bookmarkEnd w:id="1080"/>
      <w:bookmarkEnd w:id="1081"/>
      <w:bookmarkEnd w:id="1082"/>
      <w:bookmarkEnd w:id="1083"/>
      <w:bookmarkEnd w:id="1212"/>
      <w:bookmarkEnd w:id="1213"/>
      <w:bookmarkEnd w:id="1214"/>
      <w:tr w14:paraId="65456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00" w:type="pct"/>
            <w:vMerge w:val="restart"/>
            <w:vAlign w:val="center"/>
          </w:tcPr>
          <w:p w14:paraId="7EE458F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w:t>
            </w:r>
          </w:p>
        </w:tc>
        <w:tc>
          <w:tcPr>
            <w:tcW w:w="407" w:type="pct"/>
            <w:vMerge w:val="restart"/>
            <w:vAlign w:val="center"/>
          </w:tcPr>
          <w:p w14:paraId="4713426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恶臭治理</w:t>
            </w:r>
          </w:p>
        </w:tc>
        <w:tc>
          <w:tcPr>
            <w:tcW w:w="348" w:type="pct"/>
            <w:vAlign w:val="center"/>
          </w:tcPr>
          <w:p w14:paraId="0DD834A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舍无组织</w:t>
            </w:r>
          </w:p>
        </w:tc>
        <w:tc>
          <w:tcPr>
            <w:tcW w:w="410" w:type="pct"/>
            <w:vMerge w:val="restart"/>
            <w:vAlign w:val="center"/>
          </w:tcPr>
          <w:p w14:paraId="1E92D8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p w14:paraId="76EDF772">
            <w:pPr>
              <w:pStyle w:val="152"/>
              <w:adjustRightInd w:val="0"/>
              <w:snapToGrid w:val="0"/>
              <w:rPr>
                <w:rFonts w:hint="default" w:ascii="Times New Roman" w:hAnsi="Times New Roman" w:eastAsia="宋体" w:cs="Times New Roman"/>
                <w:snapToGrid w:val="0"/>
                <w:color w:val="auto"/>
                <w:highlight w:val="none"/>
                <w:vertAlign w:val="subscript"/>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p w14:paraId="33DFC62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臭气浓度</w:t>
            </w:r>
          </w:p>
        </w:tc>
        <w:tc>
          <w:tcPr>
            <w:tcW w:w="1969" w:type="pct"/>
            <w:vAlign w:val="center"/>
          </w:tcPr>
          <w:p w14:paraId="1129A1C1">
            <w:pPr>
              <w:pStyle w:val="152"/>
              <w:adjustRightInd w:val="0"/>
              <w:snapToGrid w:val="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合理配合日粮和使用添加剂以减少有害气体的排放量，在日粮中添加EM菌、定期喷洒生物除臭剂，保持</w:t>
            </w: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舍的清洁：要经常清扫，及时清除</w:t>
            </w: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舍粪便，定时对</w:t>
            </w: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舍进行冲洗，保持干燥清洁</w:t>
            </w:r>
            <w:r>
              <w:rPr>
                <w:rFonts w:hint="default" w:ascii="Times New Roman" w:hAnsi="Times New Roman" w:eastAsia="宋体" w:cs="Times New Roman"/>
                <w:snapToGrid w:val="0"/>
                <w:color w:val="auto"/>
                <w:sz w:val="21"/>
                <w:szCs w:val="21"/>
                <w:highlight w:val="none"/>
                <w:lang w:val="en-US" w:eastAsia="zh-CN" w:bidi="ar"/>
              </w:rPr>
              <w:t>。</w:t>
            </w:r>
          </w:p>
        </w:tc>
        <w:tc>
          <w:tcPr>
            <w:tcW w:w="1565" w:type="pct"/>
            <w:vMerge w:val="restart"/>
            <w:vAlign w:val="center"/>
          </w:tcPr>
          <w:p w14:paraId="51F3054D">
            <w:pPr>
              <w:pStyle w:val="152"/>
              <w:adjustRightInd w:val="0"/>
              <w:snapToGrid w:val="0"/>
              <w:jc w:val="both"/>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eastAsia" w:ascii="Times New Roman" w:hAnsi="Times New Roman" w:cs="Times New Roman"/>
                <w:snapToGrid w:val="0"/>
                <w:color w:val="auto"/>
                <w:sz w:val="21"/>
                <w:szCs w:val="21"/>
                <w:highlight w:val="none"/>
                <w:lang w:val="en-US" w:eastAsia="zh-CN" w:bidi="ar"/>
              </w:rPr>
              <w:t>，干粪堆积场有组织废气满足</w:t>
            </w:r>
            <w:r>
              <w:rPr>
                <w:rFonts w:hint="default" w:ascii="Times New Roman" w:hAnsi="Times New Roman" w:eastAsia="宋体" w:cs="Times New Roman"/>
                <w:snapToGrid w:val="0"/>
                <w:color w:val="auto"/>
                <w:sz w:val="21"/>
                <w:szCs w:val="21"/>
                <w:highlight w:val="none"/>
              </w:rPr>
              <w:t>《恶臭污染物排放标准》（GB14554-1993）表</w:t>
            </w:r>
            <w:r>
              <w:rPr>
                <w:rFonts w:hint="eastAsia" w:ascii="Times New Roman" w:hAnsi="Times New Roman" w:eastAsia="宋体" w:cs="Times New Roman"/>
                <w:snapToGrid w:val="0"/>
                <w:color w:val="auto"/>
                <w:sz w:val="21"/>
                <w:szCs w:val="21"/>
                <w:highlight w:val="none"/>
                <w:lang w:val="en-US" w:eastAsia="zh-CN"/>
              </w:rPr>
              <w:t>2标准要求</w:t>
            </w:r>
          </w:p>
        </w:tc>
      </w:tr>
      <w:tr w14:paraId="04FCC5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00" w:type="pct"/>
            <w:vMerge w:val="continue"/>
            <w:vAlign w:val="center"/>
          </w:tcPr>
          <w:p w14:paraId="28281FF8">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214A5183">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5BB507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黑膜</w:t>
            </w:r>
            <w:r>
              <w:rPr>
                <w:rFonts w:hint="default" w:ascii="Times New Roman" w:hAnsi="Times New Roman" w:eastAsia="宋体" w:cs="Times New Roman"/>
                <w:snapToGrid w:val="0"/>
                <w:color w:val="auto"/>
                <w:highlight w:val="none"/>
                <w:lang w:val="en-US" w:eastAsia="zh-CN"/>
              </w:rPr>
              <w:t>厌氧</w:t>
            </w:r>
            <w:r>
              <w:rPr>
                <w:rFonts w:hint="default" w:ascii="Times New Roman" w:hAnsi="Times New Roman" w:eastAsia="宋体" w:cs="Times New Roman"/>
                <w:snapToGrid w:val="0"/>
                <w:color w:val="auto"/>
                <w:highlight w:val="none"/>
              </w:rPr>
              <w:t>池</w:t>
            </w:r>
          </w:p>
        </w:tc>
        <w:tc>
          <w:tcPr>
            <w:tcW w:w="410" w:type="pct"/>
            <w:vMerge w:val="continue"/>
            <w:vAlign w:val="center"/>
          </w:tcPr>
          <w:p w14:paraId="652734CA">
            <w:pPr>
              <w:pStyle w:val="152"/>
              <w:adjustRightInd w:val="0"/>
              <w:snapToGrid w:val="0"/>
              <w:rPr>
                <w:rFonts w:hint="default" w:ascii="Times New Roman" w:hAnsi="Times New Roman" w:eastAsia="宋体" w:cs="Times New Roman"/>
                <w:snapToGrid w:val="0"/>
                <w:color w:val="auto"/>
                <w:highlight w:val="none"/>
              </w:rPr>
            </w:pPr>
          </w:p>
        </w:tc>
        <w:tc>
          <w:tcPr>
            <w:tcW w:w="1969" w:type="pct"/>
            <w:vAlign w:val="center"/>
          </w:tcPr>
          <w:p w14:paraId="7E3AAF52">
            <w:pPr>
              <w:pStyle w:val="152"/>
              <w:adjustRightInd w:val="0"/>
              <w:snapToGrid w:val="0"/>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地下结构且</w:t>
            </w:r>
            <w:r>
              <w:rPr>
                <w:rFonts w:hint="default" w:ascii="Times New Roman" w:hAnsi="Times New Roman" w:eastAsia="宋体" w:cs="Times New Roman"/>
                <w:bCs/>
                <w:snapToGrid w:val="0"/>
                <w:color w:val="auto"/>
                <w:sz w:val="21"/>
                <w:szCs w:val="21"/>
                <w:highlight w:val="none"/>
                <w:lang w:val="en-US" w:eastAsia="zh-CN"/>
              </w:rPr>
              <w:t>全封闭</w:t>
            </w:r>
            <w:r>
              <w:rPr>
                <w:rFonts w:hint="default" w:ascii="Times New Roman" w:hAnsi="Times New Roman" w:cs="Times New Roman"/>
                <w:bCs/>
                <w:snapToGrid w:val="0"/>
                <w:color w:val="auto"/>
                <w:sz w:val="21"/>
                <w:szCs w:val="21"/>
                <w:highlight w:val="none"/>
                <w:lang w:val="en-US" w:eastAsia="zh-CN"/>
              </w:rPr>
              <w:t>，</w:t>
            </w:r>
            <w:r>
              <w:rPr>
                <w:rFonts w:hint="default" w:ascii="Times New Roman" w:hAnsi="Times New Roman" w:eastAsia="宋体" w:cs="Times New Roman"/>
                <w:snapToGrid w:val="0"/>
                <w:color w:val="auto"/>
                <w:kern w:val="0"/>
                <w:sz w:val="21"/>
                <w:szCs w:val="21"/>
                <w:highlight w:val="none"/>
                <w:lang w:val="en-US" w:eastAsia="zh-CN" w:bidi="ar"/>
              </w:rPr>
              <w:t>定期喷洒除臭剂</w:t>
            </w:r>
            <w:r>
              <w:rPr>
                <w:rFonts w:hint="default" w:ascii="Times New Roman" w:hAnsi="Times New Roman"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kern w:val="0"/>
                <w:sz w:val="21"/>
                <w:szCs w:val="21"/>
                <w:highlight w:val="none"/>
                <w:lang w:val="en-US" w:eastAsia="zh-CN" w:bidi="ar"/>
              </w:rPr>
              <w:t>黑膜厌氧池</w:t>
            </w:r>
            <w:r>
              <w:rPr>
                <w:rFonts w:hint="default" w:ascii="Times New Roman" w:hAnsi="Times New Roman" w:cs="Times New Roman"/>
                <w:snapToGrid w:val="0"/>
                <w:color w:val="auto"/>
                <w:kern w:val="0"/>
                <w:sz w:val="21"/>
                <w:szCs w:val="21"/>
                <w:highlight w:val="none"/>
                <w:lang w:val="en-US" w:eastAsia="zh-CN" w:bidi="ar"/>
              </w:rPr>
              <w:t>全封闭</w:t>
            </w:r>
          </w:p>
        </w:tc>
        <w:tc>
          <w:tcPr>
            <w:tcW w:w="1565" w:type="pct"/>
            <w:vMerge w:val="continue"/>
            <w:vAlign w:val="center"/>
          </w:tcPr>
          <w:p w14:paraId="46F2F7D8">
            <w:pPr>
              <w:pStyle w:val="152"/>
              <w:adjustRightInd w:val="0"/>
              <w:snapToGrid w:val="0"/>
              <w:jc w:val="both"/>
              <w:rPr>
                <w:rFonts w:hint="default" w:ascii="Times New Roman" w:hAnsi="Times New Roman" w:eastAsia="宋体" w:cs="Times New Roman"/>
                <w:snapToGrid w:val="0"/>
                <w:color w:val="auto"/>
                <w:highlight w:val="none"/>
              </w:rPr>
            </w:pPr>
          </w:p>
        </w:tc>
      </w:tr>
      <w:tr w14:paraId="6F854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00" w:type="pct"/>
            <w:vMerge w:val="continue"/>
            <w:vAlign w:val="center"/>
          </w:tcPr>
          <w:p w14:paraId="333607B0">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336BB165">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27D8C473">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沼液贮存池</w:t>
            </w:r>
          </w:p>
        </w:tc>
        <w:tc>
          <w:tcPr>
            <w:tcW w:w="410" w:type="pct"/>
            <w:vMerge w:val="continue"/>
            <w:vAlign w:val="center"/>
          </w:tcPr>
          <w:p w14:paraId="27EB4367">
            <w:pPr>
              <w:pStyle w:val="152"/>
              <w:adjustRightInd w:val="0"/>
              <w:snapToGrid w:val="0"/>
              <w:rPr>
                <w:rFonts w:hint="default" w:ascii="Times New Roman" w:hAnsi="Times New Roman" w:eastAsia="宋体" w:cs="Times New Roman"/>
                <w:snapToGrid w:val="0"/>
                <w:color w:val="auto"/>
                <w:highlight w:val="none"/>
              </w:rPr>
            </w:pPr>
          </w:p>
        </w:tc>
        <w:tc>
          <w:tcPr>
            <w:tcW w:w="1969" w:type="pct"/>
            <w:vAlign w:val="center"/>
          </w:tcPr>
          <w:p w14:paraId="66331BB3">
            <w:pPr>
              <w:pStyle w:val="152"/>
              <w:adjustRightInd w:val="0"/>
              <w:snapToGrid w:val="0"/>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地下结构且</w:t>
            </w:r>
            <w:r>
              <w:rPr>
                <w:rFonts w:hint="default" w:ascii="Times New Roman" w:hAnsi="Times New Roman" w:eastAsia="宋体" w:cs="Times New Roman"/>
                <w:bCs/>
                <w:snapToGrid w:val="0"/>
                <w:color w:val="auto"/>
                <w:sz w:val="21"/>
                <w:szCs w:val="21"/>
                <w:highlight w:val="none"/>
                <w:lang w:val="en-US" w:eastAsia="zh-CN"/>
              </w:rPr>
              <w:t>全封闭</w:t>
            </w:r>
            <w:r>
              <w:rPr>
                <w:rFonts w:hint="default" w:ascii="Times New Roman" w:hAnsi="Times New Roman" w:cs="Times New Roman"/>
                <w:bCs/>
                <w:snapToGrid w:val="0"/>
                <w:color w:val="auto"/>
                <w:sz w:val="21"/>
                <w:szCs w:val="21"/>
                <w:highlight w:val="none"/>
                <w:lang w:val="en-US" w:eastAsia="zh-CN"/>
              </w:rPr>
              <w:t>，</w:t>
            </w:r>
            <w:r>
              <w:rPr>
                <w:rFonts w:hint="default" w:ascii="Times New Roman" w:hAnsi="Times New Roman" w:eastAsia="宋体" w:cs="Times New Roman"/>
                <w:snapToGrid w:val="0"/>
                <w:color w:val="auto"/>
                <w:kern w:val="0"/>
                <w:sz w:val="21"/>
                <w:szCs w:val="21"/>
                <w:highlight w:val="none"/>
                <w:lang w:val="en-US" w:eastAsia="zh-CN" w:bidi="ar"/>
              </w:rPr>
              <w:t>定期喷洒除臭剂</w:t>
            </w:r>
            <w:r>
              <w:rPr>
                <w:rFonts w:hint="default" w:ascii="Times New Roman" w:hAnsi="Times New Roman" w:cs="Times New Roman"/>
                <w:snapToGrid w:val="0"/>
                <w:color w:val="auto"/>
                <w:kern w:val="0"/>
                <w:sz w:val="21"/>
                <w:szCs w:val="21"/>
                <w:highlight w:val="none"/>
                <w:lang w:val="en-US" w:eastAsia="zh-CN" w:bidi="ar"/>
              </w:rPr>
              <w:t>；沼液贮存池全封闭</w:t>
            </w:r>
          </w:p>
        </w:tc>
        <w:tc>
          <w:tcPr>
            <w:tcW w:w="1565" w:type="pct"/>
            <w:vMerge w:val="continue"/>
            <w:vAlign w:val="center"/>
          </w:tcPr>
          <w:p w14:paraId="267AFA84">
            <w:pPr>
              <w:pStyle w:val="152"/>
              <w:adjustRightInd w:val="0"/>
              <w:snapToGrid w:val="0"/>
              <w:jc w:val="both"/>
              <w:rPr>
                <w:rFonts w:hint="default" w:ascii="Times New Roman" w:hAnsi="Times New Roman" w:eastAsia="宋体" w:cs="Times New Roman"/>
                <w:snapToGrid w:val="0"/>
                <w:color w:val="auto"/>
                <w:highlight w:val="none"/>
              </w:rPr>
            </w:pPr>
          </w:p>
        </w:tc>
      </w:tr>
      <w:tr w14:paraId="36ACC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00" w:type="pct"/>
            <w:vMerge w:val="continue"/>
            <w:vAlign w:val="center"/>
          </w:tcPr>
          <w:p w14:paraId="45C905DB">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261F0372">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7F4DDC4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kern w:val="0"/>
                <w:szCs w:val="24"/>
                <w:highlight w:val="none"/>
              </w:rPr>
              <w:t>固液分离</w:t>
            </w:r>
            <w:r>
              <w:rPr>
                <w:rFonts w:hint="default" w:ascii="Times New Roman" w:hAnsi="Times New Roman" w:eastAsia="宋体" w:cs="Times New Roman"/>
                <w:snapToGrid w:val="0"/>
                <w:color w:val="auto"/>
                <w:kern w:val="0"/>
                <w:szCs w:val="24"/>
                <w:highlight w:val="none"/>
                <w:lang w:val="en-US" w:eastAsia="zh-CN"/>
              </w:rPr>
              <w:t>间</w:t>
            </w:r>
          </w:p>
        </w:tc>
        <w:tc>
          <w:tcPr>
            <w:tcW w:w="410" w:type="pct"/>
            <w:vMerge w:val="continue"/>
            <w:vAlign w:val="center"/>
          </w:tcPr>
          <w:p w14:paraId="3F0DB367">
            <w:pPr>
              <w:pStyle w:val="152"/>
              <w:adjustRightInd w:val="0"/>
              <w:snapToGrid w:val="0"/>
              <w:rPr>
                <w:rFonts w:hint="default" w:ascii="Times New Roman" w:hAnsi="Times New Roman" w:eastAsia="宋体" w:cs="Times New Roman"/>
                <w:snapToGrid w:val="0"/>
                <w:color w:val="auto"/>
                <w:highlight w:val="none"/>
              </w:rPr>
            </w:pPr>
          </w:p>
        </w:tc>
        <w:tc>
          <w:tcPr>
            <w:tcW w:w="1969" w:type="pct"/>
            <w:vAlign w:val="center"/>
          </w:tcPr>
          <w:p w14:paraId="1F17C9D1">
            <w:pPr>
              <w:pStyle w:val="152"/>
              <w:adjustRightInd w:val="0"/>
              <w:snapToGrid w:val="0"/>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1"/>
                <w:szCs w:val="21"/>
                <w:highlight w:val="none"/>
                <w:lang w:val="en-US" w:eastAsia="zh-CN" w:bidi="ar"/>
              </w:rPr>
              <w:t>对处理设施进行封闭，定期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eastAsia="宋体" w:cs="Times New Roman"/>
                <w:snapToGrid w:val="0"/>
                <w:color w:val="auto"/>
                <w:sz w:val="21"/>
                <w:szCs w:val="21"/>
                <w:highlight w:val="none"/>
                <w:lang w:val="en-US" w:eastAsia="zh-CN" w:bidi="ar"/>
              </w:rPr>
              <w:t>。</w:t>
            </w:r>
          </w:p>
        </w:tc>
        <w:tc>
          <w:tcPr>
            <w:tcW w:w="1565" w:type="pct"/>
            <w:vMerge w:val="continue"/>
            <w:vAlign w:val="center"/>
          </w:tcPr>
          <w:p w14:paraId="70EB4450">
            <w:pPr>
              <w:pStyle w:val="152"/>
              <w:adjustRightInd w:val="0"/>
              <w:snapToGrid w:val="0"/>
              <w:jc w:val="both"/>
              <w:rPr>
                <w:rFonts w:hint="default" w:ascii="Times New Roman" w:hAnsi="Times New Roman" w:eastAsia="宋体" w:cs="Times New Roman"/>
                <w:snapToGrid w:val="0"/>
                <w:color w:val="auto"/>
                <w:highlight w:val="none"/>
              </w:rPr>
            </w:pPr>
          </w:p>
        </w:tc>
      </w:tr>
      <w:tr w14:paraId="798EE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00" w:type="pct"/>
            <w:vMerge w:val="continue"/>
            <w:vAlign w:val="center"/>
          </w:tcPr>
          <w:p w14:paraId="5F421CE2">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07BDD8A5">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263C3207">
            <w:pPr>
              <w:pStyle w:val="152"/>
              <w:adjustRightInd w:val="0"/>
              <w:snapToGrid w:val="0"/>
              <w:rPr>
                <w:rFonts w:hint="default" w:ascii="Times New Roman" w:hAnsi="Times New Roman" w:eastAsia="宋体" w:cs="Times New Roman"/>
                <w:snapToGrid w:val="0"/>
                <w:color w:val="auto"/>
                <w:kern w:val="0"/>
                <w:sz w:val="21"/>
                <w:szCs w:val="24"/>
                <w:highlight w:val="none"/>
                <w:lang w:val="zh-CN" w:eastAsia="zh-CN" w:bidi="ar-SA"/>
              </w:rPr>
            </w:pPr>
            <w:r>
              <w:rPr>
                <w:rFonts w:hint="eastAsia" w:ascii="Times New Roman" w:hAnsi="Times New Roman" w:cs="Times New Roman"/>
                <w:snapToGrid w:val="0"/>
                <w:color w:val="auto"/>
                <w:highlight w:val="none"/>
                <w:lang w:val="en-US" w:eastAsia="zh-CN"/>
              </w:rPr>
              <w:t>干粪堆积场</w:t>
            </w:r>
          </w:p>
        </w:tc>
        <w:tc>
          <w:tcPr>
            <w:tcW w:w="410" w:type="pct"/>
            <w:vMerge w:val="continue"/>
            <w:vAlign w:val="center"/>
          </w:tcPr>
          <w:p w14:paraId="382FE85E">
            <w:pPr>
              <w:pStyle w:val="152"/>
              <w:adjustRightInd w:val="0"/>
              <w:snapToGrid w:val="0"/>
              <w:rPr>
                <w:rFonts w:hint="default" w:ascii="Times New Roman" w:hAnsi="Times New Roman" w:eastAsia="宋体" w:cs="Times New Roman"/>
                <w:snapToGrid w:val="0"/>
                <w:color w:val="auto"/>
                <w:kern w:val="0"/>
                <w:sz w:val="21"/>
                <w:szCs w:val="24"/>
                <w:highlight w:val="none"/>
                <w:lang w:val="zh-CN" w:eastAsia="zh-CN" w:bidi="ar-SA"/>
              </w:rPr>
            </w:pPr>
          </w:p>
        </w:tc>
        <w:tc>
          <w:tcPr>
            <w:tcW w:w="1969" w:type="pct"/>
            <w:vAlign w:val="center"/>
          </w:tcPr>
          <w:p w14:paraId="0EC7D3D4">
            <w:pPr>
              <w:pStyle w:val="152"/>
              <w:adjustRightInd w:val="0"/>
              <w:snapToGrid w:val="0"/>
              <w:jc w:val="left"/>
              <w:rPr>
                <w:rFonts w:hint="default" w:ascii="Times New Roman" w:hAnsi="Times New Roman" w:eastAsia="宋体" w:cs="Times New Roman"/>
                <w:snapToGrid w:val="0"/>
                <w:color w:val="auto"/>
                <w:kern w:val="0"/>
                <w:sz w:val="21"/>
                <w:szCs w:val="24"/>
                <w:highlight w:val="none"/>
                <w:lang w:val="en-US" w:eastAsia="zh-CN" w:bidi="ar-SA"/>
              </w:rPr>
            </w:pPr>
            <w:r>
              <w:rPr>
                <w:rFonts w:hint="eastAsia" w:ascii="Times New Roman" w:hAnsi="Times New Roman" w:cs="Times New Roman"/>
                <w:snapToGrid w:val="0"/>
                <w:color w:val="auto"/>
                <w:sz w:val="21"/>
                <w:szCs w:val="21"/>
                <w:highlight w:val="none"/>
                <w:lang w:val="en-US" w:eastAsia="zh-CN" w:bidi="ar"/>
              </w:rPr>
              <w:t>干粪堆积场</w:t>
            </w:r>
            <w:r>
              <w:rPr>
                <w:rFonts w:hint="default" w:ascii="Times New Roman" w:hAnsi="Times New Roman" w:eastAsia="宋体" w:cs="Times New Roman"/>
                <w:snapToGrid w:val="0"/>
                <w:color w:val="auto"/>
                <w:sz w:val="21"/>
                <w:szCs w:val="21"/>
                <w:highlight w:val="none"/>
                <w:lang w:val="en-US" w:eastAsia="zh-CN" w:bidi="ar"/>
              </w:rPr>
              <w:t>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cs="Times New Roman"/>
                <w:bCs/>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及时清运固体粪污；采用好氧堆肥方式</w:t>
            </w:r>
            <w:r>
              <w:rPr>
                <w:rFonts w:hint="default" w:ascii="Times New Roman" w:hAnsi="Times New Roman" w:eastAsia="宋体" w:cs="Times New Roman"/>
                <w:snapToGrid w:val="0"/>
                <w:color w:val="auto"/>
                <w:sz w:val="21"/>
                <w:szCs w:val="21"/>
                <w:highlight w:val="none"/>
                <w:lang w:val="en-US" w:eastAsia="zh-CN" w:bidi="ar"/>
              </w:rPr>
              <w:t>。</w:t>
            </w:r>
            <w:r>
              <w:rPr>
                <w:rFonts w:hint="default" w:ascii="Times New Roman" w:hAnsi="Times New Roman" w:cs="Times New Roman"/>
                <w:snapToGrid w:val="0"/>
                <w:color w:val="auto"/>
                <w:highlight w:val="none"/>
                <w:lang w:eastAsia="zh-CN"/>
              </w:rPr>
              <w:t>恶臭</w:t>
            </w:r>
            <w:r>
              <w:rPr>
                <w:rFonts w:hint="eastAsia" w:ascii="Times New Roman" w:hAnsi="Times New Roman" w:cs="Times New Roman"/>
                <w:snapToGrid w:val="0"/>
                <w:color w:val="auto"/>
                <w:highlight w:val="none"/>
                <w:lang w:val="en-US" w:eastAsia="zh-CN"/>
              </w:rPr>
              <w:t>气体</w:t>
            </w:r>
            <w:r>
              <w:rPr>
                <w:rFonts w:hint="default" w:ascii="Times New Roman" w:hAnsi="Times New Roman" w:cs="Times New Roman"/>
                <w:snapToGrid w:val="0"/>
                <w:color w:val="auto"/>
                <w:highlight w:val="none"/>
                <w:lang w:eastAsia="zh-CN"/>
              </w:rPr>
              <w:t>采用负压收集后（收集效率90%）进入活性炭吸附装置净化处理后（处理效率90%）经15米高排气筒排放，废气量为</w:t>
            </w:r>
            <w:r>
              <w:rPr>
                <w:rFonts w:hint="eastAsia" w:ascii="Times New Roman" w:hAnsi="Times New Roman" w:cs="Times New Roman"/>
                <w:snapToGrid w:val="0"/>
                <w:color w:val="auto"/>
                <w:highlight w:val="none"/>
                <w:lang w:eastAsia="zh-CN"/>
              </w:rPr>
              <w:t>5000</w:t>
            </w:r>
            <w:r>
              <w:rPr>
                <w:rFonts w:hint="default" w:ascii="Times New Roman" w:hAnsi="Times New Roman" w:cs="Times New Roman"/>
                <w:snapToGrid w:val="0"/>
                <w:color w:val="auto"/>
                <w:highlight w:val="none"/>
                <w:lang w:eastAsia="zh-CN"/>
              </w:rPr>
              <w:t>m</w:t>
            </w:r>
            <w:r>
              <w:rPr>
                <w:rFonts w:hint="default" w:ascii="Times New Roman" w:hAnsi="Times New Roman" w:cs="Times New Roman"/>
                <w:snapToGrid w:val="0"/>
                <w:color w:val="auto"/>
                <w:highlight w:val="none"/>
                <w:vertAlign w:val="superscript"/>
                <w:lang w:eastAsia="zh-CN"/>
              </w:rPr>
              <w:t>3</w:t>
            </w:r>
            <w:r>
              <w:rPr>
                <w:rFonts w:hint="default" w:ascii="Times New Roman" w:hAnsi="Times New Roman" w:cs="Times New Roman"/>
                <w:snapToGrid w:val="0"/>
                <w:color w:val="auto"/>
                <w:highlight w:val="none"/>
                <w:lang w:eastAsia="zh-CN"/>
              </w:rPr>
              <w:t>/h</w:t>
            </w:r>
            <w:r>
              <w:rPr>
                <w:rFonts w:hint="eastAsia" w:ascii="Times New Roman" w:hAnsi="Times New Roman" w:cs="Times New Roman"/>
                <w:snapToGrid w:val="0"/>
                <w:color w:val="auto"/>
                <w:sz w:val="21"/>
                <w:szCs w:val="21"/>
                <w:highlight w:val="none"/>
                <w:lang w:val="en-US" w:eastAsia="zh-CN"/>
              </w:rPr>
              <w:t>。</w:t>
            </w:r>
          </w:p>
        </w:tc>
        <w:tc>
          <w:tcPr>
            <w:tcW w:w="1565" w:type="pct"/>
            <w:vMerge w:val="continue"/>
            <w:vAlign w:val="center"/>
          </w:tcPr>
          <w:p w14:paraId="169BE827">
            <w:pPr>
              <w:pStyle w:val="152"/>
              <w:adjustRightInd w:val="0"/>
              <w:snapToGrid w:val="0"/>
              <w:jc w:val="both"/>
              <w:rPr>
                <w:rFonts w:hint="default" w:ascii="Times New Roman" w:hAnsi="Times New Roman" w:eastAsia="宋体" w:cs="Times New Roman"/>
                <w:snapToGrid w:val="0"/>
                <w:color w:val="auto"/>
                <w:highlight w:val="none"/>
              </w:rPr>
            </w:pPr>
          </w:p>
        </w:tc>
      </w:tr>
      <w:tr w14:paraId="6771A0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00" w:type="pct"/>
            <w:vMerge w:val="continue"/>
            <w:vAlign w:val="center"/>
          </w:tcPr>
          <w:p w14:paraId="5EBD8B12">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314CB492">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0D4E91E2">
            <w:pPr>
              <w:pStyle w:val="152"/>
              <w:adjustRightInd w:val="0"/>
              <w:snapToGrid w:val="0"/>
              <w:rPr>
                <w:rFonts w:hint="default" w:ascii="Times New Roman" w:hAnsi="Times New Roman" w:eastAsia="宋体" w:cs="Times New Roman"/>
                <w:b w:val="0"/>
                <w:bCs w:val="0"/>
                <w:snapToGrid w:val="0"/>
                <w:color w:val="auto"/>
                <w:highlight w:val="none"/>
              </w:rPr>
            </w:pPr>
            <w:r>
              <w:rPr>
                <w:rFonts w:hint="default" w:ascii="Times New Roman" w:hAnsi="Times New Roman" w:cs="Times New Roman"/>
                <w:snapToGrid w:val="0"/>
                <w:color w:val="auto"/>
                <w:sz w:val="21"/>
                <w:szCs w:val="21"/>
                <w:highlight w:val="none"/>
                <w:lang w:val="en-US" w:eastAsia="zh-CN" w:bidi="ar"/>
              </w:rPr>
              <w:t>全场</w:t>
            </w:r>
          </w:p>
        </w:tc>
        <w:tc>
          <w:tcPr>
            <w:tcW w:w="410" w:type="pct"/>
            <w:vMerge w:val="continue"/>
            <w:vAlign w:val="center"/>
          </w:tcPr>
          <w:p w14:paraId="55307F20">
            <w:pPr>
              <w:pStyle w:val="152"/>
              <w:adjustRightInd w:val="0"/>
              <w:snapToGrid w:val="0"/>
              <w:rPr>
                <w:rFonts w:hint="default" w:ascii="Times New Roman" w:hAnsi="Times New Roman" w:eastAsia="宋体" w:cs="Times New Roman"/>
                <w:b w:val="0"/>
                <w:bCs w:val="0"/>
                <w:snapToGrid w:val="0"/>
                <w:color w:val="auto"/>
                <w:highlight w:val="none"/>
              </w:rPr>
            </w:pPr>
          </w:p>
        </w:tc>
        <w:tc>
          <w:tcPr>
            <w:tcW w:w="1969" w:type="pct"/>
            <w:vAlign w:val="center"/>
          </w:tcPr>
          <w:p w14:paraId="2B77F793">
            <w:pPr>
              <w:pStyle w:val="152"/>
              <w:adjustRightInd w:val="0"/>
              <w:snapToGrid w:val="0"/>
              <w:jc w:val="left"/>
              <w:rPr>
                <w:rFonts w:hint="default" w:ascii="Times New Roman" w:hAnsi="Times New Roman" w:eastAsia="宋体" w:cs="Times New Roman"/>
                <w:b w:val="0"/>
                <w:bCs w:val="0"/>
                <w:snapToGrid w:val="0"/>
                <w:color w:val="auto"/>
                <w:highlight w:val="none"/>
              </w:rPr>
            </w:pPr>
            <w:r>
              <w:rPr>
                <w:rFonts w:hint="default" w:ascii="Times New Roman" w:hAnsi="Times New Roman" w:eastAsia="宋体" w:cs="Times New Roman"/>
                <w:snapToGrid w:val="0"/>
                <w:color w:val="auto"/>
                <w:kern w:val="0"/>
                <w:sz w:val="21"/>
                <w:szCs w:val="21"/>
                <w:highlight w:val="none"/>
                <w:lang w:val="en-US" w:eastAsia="zh-CN" w:bidi="ar"/>
              </w:rPr>
              <w:t>固体粪污规范还田利用；场区运输道路全硬化、及时清扫、无积灰扬尘、定期洒水抑尘。</w:t>
            </w:r>
          </w:p>
        </w:tc>
        <w:tc>
          <w:tcPr>
            <w:tcW w:w="1565" w:type="pct"/>
            <w:vMerge w:val="continue"/>
            <w:vAlign w:val="center"/>
          </w:tcPr>
          <w:p w14:paraId="77F919EA">
            <w:pPr>
              <w:pStyle w:val="152"/>
              <w:adjustRightInd w:val="0"/>
              <w:snapToGrid w:val="0"/>
              <w:jc w:val="both"/>
              <w:rPr>
                <w:rFonts w:hint="default" w:ascii="Times New Roman" w:hAnsi="Times New Roman" w:eastAsia="宋体" w:cs="Times New Roman"/>
                <w:snapToGrid w:val="0"/>
                <w:color w:val="auto"/>
                <w:highlight w:val="none"/>
              </w:rPr>
            </w:pPr>
          </w:p>
        </w:tc>
      </w:tr>
      <w:tr w14:paraId="3A70A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300" w:type="pct"/>
            <w:vMerge w:val="continue"/>
            <w:vAlign w:val="center"/>
          </w:tcPr>
          <w:p w14:paraId="63650B13">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50F9F2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沼气燃烧废气</w:t>
            </w:r>
          </w:p>
        </w:tc>
        <w:tc>
          <w:tcPr>
            <w:tcW w:w="348" w:type="pct"/>
            <w:vAlign w:val="center"/>
          </w:tcPr>
          <w:p w14:paraId="6EF4AB2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火炬燃烧</w:t>
            </w:r>
          </w:p>
        </w:tc>
        <w:tc>
          <w:tcPr>
            <w:tcW w:w="410" w:type="pct"/>
            <w:vAlign w:val="center"/>
          </w:tcPr>
          <w:p w14:paraId="3823A2D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SO</w:t>
            </w:r>
            <w:r>
              <w:rPr>
                <w:rFonts w:hint="default" w:ascii="Times New Roman" w:hAnsi="Times New Roman" w:eastAsia="宋体" w:cs="Times New Roman"/>
                <w:snapToGrid w:val="0"/>
                <w:color w:val="auto"/>
                <w:highlight w:val="none"/>
                <w:vertAlign w:val="subscript"/>
              </w:rPr>
              <w:t>2</w:t>
            </w:r>
          </w:p>
          <w:p w14:paraId="45778BB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颗粒物</w:t>
            </w:r>
          </w:p>
          <w:p w14:paraId="4984AB94">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NOx</w:t>
            </w:r>
          </w:p>
        </w:tc>
        <w:tc>
          <w:tcPr>
            <w:tcW w:w="1969" w:type="pct"/>
            <w:vAlign w:val="center"/>
          </w:tcPr>
          <w:p w14:paraId="030E2B4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经干法脱硫后火炬10m高排放</w:t>
            </w:r>
          </w:p>
        </w:tc>
        <w:tc>
          <w:tcPr>
            <w:tcW w:w="1565" w:type="pct"/>
            <w:vAlign w:val="center"/>
          </w:tcPr>
          <w:p w14:paraId="1C55552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执行</w:t>
            </w:r>
            <w:r>
              <w:rPr>
                <w:rFonts w:hint="default" w:ascii="Times New Roman" w:hAnsi="Times New Roman" w:eastAsia="宋体" w:cs="Times New Roman"/>
                <w:snapToGrid w:val="0"/>
                <w:color w:val="auto"/>
                <w:highlight w:val="none"/>
                <w:lang w:val="en-US" w:eastAsia="zh-CN"/>
              </w:rPr>
              <w:t>《大气污染物综合排放标准》(GB16297-1996)表2二级标准</w:t>
            </w:r>
          </w:p>
        </w:tc>
      </w:tr>
      <w:tr w14:paraId="3E05A0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300" w:type="pct"/>
            <w:vAlign w:val="center"/>
          </w:tcPr>
          <w:p w14:paraId="42B4827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407" w:type="pct"/>
            <w:vAlign w:val="center"/>
          </w:tcPr>
          <w:p w14:paraId="70D51FA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噪声控制</w:t>
            </w:r>
          </w:p>
        </w:tc>
        <w:tc>
          <w:tcPr>
            <w:tcW w:w="348" w:type="pct"/>
            <w:vAlign w:val="center"/>
          </w:tcPr>
          <w:p w14:paraId="2C954D5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设备噪声、猪叫等</w:t>
            </w:r>
          </w:p>
        </w:tc>
        <w:tc>
          <w:tcPr>
            <w:tcW w:w="410" w:type="pct"/>
            <w:vAlign w:val="center"/>
          </w:tcPr>
          <w:p w14:paraId="69E552F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1969" w:type="pct"/>
            <w:vAlign w:val="center"/>
          </w:tcPr>
          <w:p w14:paraId="7EAB83EB">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隔声、减振</w:t>
            </w:r>
          </w:p>
        </w:tc>
        <w:tc>
          <w:tcPr>
            <w:tcW w:w="1565" w:type="pct"/>
            <w:vAlign w:val="center"/>
          </w:tcPr>
          <w:p w14:paraId="520E646A">
            <w:pPr>
              <w:pStyle w:val="152"/>
              <w:adjustRightInd w:val="0"/>
              <w:snapToGrid w:val="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场界执行《工业企业厂界环境噪声排放标准》表1中的</w:t>
            </w:r>
            <w:r>
              <w:rPr>
                <w:rFonts w:hint="eastAsia" w:ascii="Times New Roman" w:hAnsi="Times New Roman" w:cs="Times New Roman"/>
                <w:snapToGrid w:val="0"/>
                <w:color w:val="auto"/>
                <w:highlight w:val="none"/>
                <w:lang w:val="en-US" w:eastAsia="zh-CN"/>
              </w:rPr>
              <w:t>1类</w:t>
            </w:r>
            <w:r>
              <w:rPr>
                <w:rFonts w:hint="default" w:ascii="Times New Roman" w:hAnsi="Times New Roman" w:eastAsia="宋体" w:cs="Times New Roman"/>
                <w:snapToGrid w:val="0"/>
                <w:color w:val="auto"/>
                <w:highlight w:val="none"/>
              </w:rPr>
              <w:t>标准</w:t>
            </w:r>
          </w:p>
        </w:tc>
      </w:tr>
      <w:tr w14:paraId="78A49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0" w:type="pct"/>
            <w:vMerge w:val="restart"/>
            <w:vAlign w:val="center"/>
          </w:tcPr>
          <w:p w14:paraId="754ADD6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kern w:val="0"/>
                <w:szCs w:val="20"/>
                <w:highlight w:val="none"/>
                <w:lang w:val="zh-CN"/>
              </w:rPr>
              <w:t>固废</w:t>
            </w:r>
          </w:p>
        </w:tc>
        <w:tc>
          <w:tcPr>
            <w:tcW w:w="407" w:type="pct"/>
            <w:vAlign w:val="center"/>
          </w:tcPr>
          <w:p w14:paraId="32906F9E">
            <w:pPr>
              <w:pStyle w:val="152"/>
              <w:adjustRightInd w:val="0"/>
              <w:snapToGrid w:val="0"/>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固液分离</w:t>
            </w:r>
            <w:r>
              <w:rPr>
                <w:rFonts w:hint="eastAsia" w:ascii="Times New Roman" w:hAnsi="Times New Roman" w:cs="Times New Roman"/>
                <w:snapToGrid w:val="0"/>
                <w:color w:val="auto"/>
                <w:highlight w:val="none"/>
                <w:lang w:val="en-US" w:eastAsia="zh-CN"/>
              </w:rPr>
              <w:t>间</w:t>
            </w:r>
          </w:p>
        </w:tc>
        <w:tc>
          <w:tcPr>
            <w:tcW w:w="348" w:type="pct"/>
            <w:vAlign w:val="center"/>
          </w:tcPr>
          <w:p w14:paraId="74EB616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固液分离</w:t>
            </w:r>
          </w:p>
        </w:tc>
        <w:tc>
          <w:tcPr>
            <w:tcW w:w="410" w:type="pct"/>
            <w:vAlign w:val="center"/>
          </w:tcPr>
          <w:p w14:paraId="759CD2C2">
            <w:pPr>
              <w:pStyle w:val="152"/>
              <w:adjustRightInd w:val="0"/>
              <w:snapToGrid w:val="0"/>
              <w:rPr>
                <w:rFonts w:hint="eastAsia"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干粪</w:t>
            </w:r>
          </w:p>
        </w:tc>
        <w:tc>
          <w:tcPr>
            <w:tcW w:w="1969" w:type="pct"/>
            <w:vAlign w:val="center"/>
          </w:tcPr>
          <w:p w14:paraId="4B13BDB7">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运至干粪堆积场堆</w:t>
            </w:r>
            <w:r>
              <w:rPr>
                <w:rFonts w:hint="default" w:ascii="Times New Roman" w:hAnsi="Times New Roman" w:eastAsia="宋体" w:cs="Times New Roman"/>
                <w:snapToGrid w:val="0"/>
                <w:color w:val="auto"/>
                <w:highlight w:val="none"/>
              </w:rPr>
              <w:t>肥</w:t>
            </w:r>
          </w:p>
        </w:tc>
        <w:tc>
          <w:tcPr>
            <w:tcW w:w="1565" w:type="pct"/>
            <w:vMerge w:val="restart"/>
            <w:vAlign w:val="center"/>
          </w:tcPr>
          <w:p w14:paraId="7DE4C78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不外排，处理率达100%</w:t>
            </w:r>
          </w:p>
        </w:tc>
      </w:tr>
      <w:tr w14:paraId="734CC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0" w:type="pct"/>
            <w:vMerge w:val="continue"/>
            <w:vAlign w:val="center"/>
          </w:tcPr>
          <w:p w14:paraId="42140EE3">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1F26FD4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沼气处理</w:t>
            </w:r>
          </w:p>
        </w:tc>
        <w:tc>
          <w:tcPr>
            <w:tcW w:w="348" w:type="pct"/>
            <w:vAlign w:val="center"/>
          </w:tcPr>
          <w:p w14:paraId="4A9316D8">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黑膜</w:t>
            </w:r>
            <w:r>
              <w:rPr>
                <w:rFonts w:hint="default" w:ascii="Times New Roman" w:hAnsi="Times New Roman" w:eastAsia="宋体" w:cs="Times New Roman"/>
                <w:snapToGrid w:val="0"/>
                <w:color w:val="auto"/>
                <w:highlight w:val="none"/>
                <w:lang w:val="en-US" w:eastAsia="zh-CN"/>
              </w:rPr>
              <w:t>厌氧</w:t>
            </w:r>
            <w:r>
              <w:rPr>
                <w:rFonts w:hint="default" w:ascii="Times New Roman" w:hAnsi="Times New Roman" w:eastAsia="宋体" w:cs="Times New Roman"/>
                <w:snapToGrid w:val="0"/>
                <w:color w:val="auto"/>
                <w:highlight w:val="none"/>
              </w:rPr>
              <w:t>池</w:t>
            </w:r>
          </w:p>
        </w:tc>
        <w:tc>
          <w:tcPr>
            <w:tcW w:w="410" w:type="pct"/>
            <w:vAlign w:val="center"/>
          </w:tcPr>
          <w:p w14:paraId="2973DAC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沼渣</w:t>
            </w:r>
          </w:p>
        </w:tc>
        <w:tc>
          <w:tcPr>
            <w:tcW w:w="1969" w:type="pct"/>
            <w:vAlign w:val="center"/>
          </w:tcPr>
          <w:p w14:paraId="32C5871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与猪粪一起堆肥</w:t>
            </w:r>
          </w:p>
        </w:tc>
        <w:tc>
          <w:tcPr>
            <w:tcW w:w="1565" w:type="pct"/>
            <w:vMerge w:val="continue"/>
            <w:vAlign w:val="center"/>
          </w:tcPr>
          <w:p w14:paraId="4406081E">
            <w:pPr>
              <w:pStyle w:val="152"/>
              <w:adjustRightInd w:val="0"/>
              <w:snapToGrid w:val="0"/>
              <w:rPr>
                <w:rFonts w:hint="default" w:ascii="Times New Roman" w:hAnsi="Times New Roman" w:eastAsia="宋体" w:cs="Times New Roman"/>
                <w:snapToGrid w:val="0"/>
                <w:color w:val="auto"/>
                <w:highlight w:val="none"/>
              </w:rPr>
            </w:pPr>
          </w:p>
        </w:tc>
      </w:tr>
      <w:tr w14:paraId="45DEA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0" w:type="pct"/>
            <w:vMerge w:val="continue"/>
            <w:vAlign w:val="center"/>
          </w:tcPr>
          <w:p w14:paraId="7994035D">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0FEF628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生活区</w:t>
            </w:r>
          </w:p>
        </w:tc>
        <w:tc>
          <w:tcPr>
            <w:tcW w:w="348" w:type="pct"/>
            <w:vAlign w:val="center"/>
          </w:tcPr>
          <w:p w14:paraId="3DC0D1E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生活区</w:t>
            </w:r>
          </w:p>
        </w:tc>
        <w:tc>
          <w:tcPr>
            <w:tcW w:w="410" w:type="pct"/>
            <w:vAlign w:val="center"/>
          </w:tcPr>
          <w:p w14:paraId="49D41CC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生活垃圾</w:t>
            </w:r>
          </w:p>
        </w:tc>
        <w:tc>
          <w:tcPr>
            <w:tcW w:w="1969" w:type="pct"/>
            <w:vAlign w:val="center"/>
          </w:tcPr>
          <w:p w14:paraId="71884FC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收集后交由环卫部门处置</w:t>
            </w:r>
          </w:p>
        </w:tc>
        <w:tc>
          <w:tcPr>
            <w:tcW w:w="1565" w:type="pct"/>
            <w:vAlign w:val="center"/>
          </w:tcPr>
          <w:p w14:paraId="2ACEC03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由环卫部门</w:t>
            </w:r>
            <w:r>
              <w:rPr>
                <w:rFonts w:hint="default" w:ascii="Times New Roman" w:hAnsi="Times New Roman" w:eastAsia="宋体" w:cs="Times New Roman"/>
                <w:snapToGrid w:val="0"/>
                <w:color w:val="auto"/>
                <w:highlight w:val="none"/>
                <w:lang w:val="en-US" w:eastAsia="zh-CN"/>
              </w:rPr>
              <w:t>统一</w:t>
            </w:r>
            <w:r>
              <w:rPr>
                <w:rFonts w:hint="default" w:ascii="Times New Roman" w:hAnsi="Times New Roman" w:eastAsia="宋体" w:cs="Times New Roman"/>
                <w:snapToGrid w:val="0"/>
                <w:color w:val="auto"/>
                <w:highlight w:val="none"/>
              </w:rPr>
              <w:t>处置</w:t>
            </w:r>
          </w:p>
        </w:tc>
      </w:tr>
      <w:tr w14:paraId="1D8FF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0" w:type="pct"/>
            <w:vMerge w:val="continue"/>
            <w:vAlign w:val="center"/>
          </w:tcPr>
          <w:p w14:paraId="5D68B5E8">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0E213F2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w:t>
            </w:r>
            <w:r>
              <w:rPr>
                <w:rFonts w:hint="default" w:ascii="Times New Roman" w:hAnsi="Times New Roman" w:eastAsia="宋体" w:cs="Times New Roman"/>
                <w:snapToGrid w:val="0"/>
                <w:color w:val="auto"/>
                <w:highlight w:val="none"/>
                <w:lang w:val="en-US" w:eastAsia="zh-CN"/>
              </w:rPr>
              <w:t>猪及胎盘</w:t>
            </w:r>
          </w:p>
        </w:tc>
        <w:tc>
          <w:tcPr>
            <w:tcW w:w="348" w:type="pct"/>
            <w:vAlign w:val="center"/>
          </w:tcPr>
          <w:p w14:paraId="7CD3BED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养殖区</w:t>
            </w:r>
          </w:p>
        </w:tc>
        <w:tc>
          <w:tcPr>
            <w:tcW w:w="410" w:type="pct"/>
            <w:vAlign w:val="center"/>
          </w:tcPr>
          <w:p w14:paraId="6D45BC8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w:t>
            </w:r>
            <w:r>
              <w:rPr>
                <w:rFonts w:hint="default" w:ascii="Times New Roman" w:hAnsi="Times New Roman" w:eastAsia="宋体" w:cs="Times New Roman"/>
                <w:snapToGrid w:val="0"/>
                <w:color w:val="auto"/>
                <w:highlight w:val="none"/>
                <w:lang w:val="en-US" w:eastAsia="zh-CN"/>
              </w:rPr>
              <w:t>猪及胎盘</w:t>
            </w:r>
          </w:p>
        </w:tc>
        <w:tc>
          <w:tcPr>
            <w:tcW w:w="1969" w:type="pct"/>
            <w:vAlign w:val="center"/>
          </w:tcPr>
          <w:p w14:paraId="7718C77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病死猪及胎盘委托</w:t>
            </w:r>
            <w:r>
              <w:rPr>
                <w:rFonts w:hint="eastAsia" w:ascii="Times New Roman" w:hAnsi="Times New Roman" w:cs="Times New Roman"/>
                <w:snapToGrid w:val="0"/>
                <w:color w:val="auto"/>
                <w:highlight w:val="none"/>
                <w:lang w:eastAsia="zh-CN"/>
              </w:rPr>
              <w:t>鸡西市鑫农源固废处理有限公司进行无害化集中处理</w:t>
            </w:r>
            <w:r>
              <w:rPr>
                <w:rFonts w:hint="default" w:ascii="Times New Roman" w:hAnsi="Times New Roman" w:eastAsia="宋体" w:cs="Times New Roman"/>
                <w:snapToGrid w:val="0"/>
                <w:color w:val="auto"/>
                <w:highlight w:val="none"/>
              </w:rPr>
              <w:t>。</w:t>
            </w:r>
          </w:p>
        </w:tc>
        <w:tc>
          <w:tcPr>
            <w:tcW w:w="1565" w:type="pct"/>
            <w:vAlign w:val="center"/>
          </w:tcPr>
          <w:p w14:paraId="5AD4B8E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满足《畜禽养殖业污染防治技术规范》（HJ/T81-2001）要求</w:t>
            </w:r>
          </w:p>
        </w:tc>
      </w:tr>
      <w:tr w14:paraId="6DA83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0" w:type="pct"/>
            <w:vMerge w:val="continue"/>
            <w:vAlign w:val="center"/>
          </w:tcPr>
          <w:p w14:paraId="18149F52">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3B3DF7D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沼气净化</w:t>
            </w:r>
          </w:p>
        </w:tc>
        <w:tc>
          <w:tcPr>
            <w:tcW w:w="348" w:type="pct"/>
            <w:vAlign w:val="center"/>
          </w:tcPr>
          <w:p w14:paraId="224ED22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沼气脱硫</w:t>
            </w:r>
          </w:p>
        </w:tc>
        <w:tc>
          <w:tcPr>
            <w:tcW w:w="410" w:type="pct"/>
            <w:vAlign w:val="center"/>
          </w:tcPr>
          <w:p w14:paraId="7B72230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脱硫剂</w:t>
            </w:r>
          </w:p>
        </w:tc>
        <w:tc>
          <w:tcPr>
            <w:tcW w:w="1969" w:type="pct"/>
            <w:vAlign w:val="center"/>
          </w:tcPr>
          <w:p w14:paraId="10E56E7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厂家回收</w:t>
            </w:r>
          </w:p>
        </w:tc>
        <w:tc>
          <w:tcPr>
            <w:tcW w:w="1565" w:type="pct"/>
            <w:vMerge w:val="restart"/>
            <w:vAlign w:val="center"/>
          </w:tcPr>
          <w:p w14:paraId="5F379F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不外排，处理率达100%</w:t>
            </w:r>
          </w:p>
        </w:tc>
      </w:tr>
      <w:tr w14:paraId="5EC18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0" w:type="pct"/>
            <w:vMerge w:val="continue"/>
            <w:vAlign w:val="center"/>
          </w:tcPr>
          <w:p w14:paraId="70FBF862">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restart"/>
            <w:vAlign w:val="center"/>
          </w:tcPr>
          <w:p w14:paraId="16FE931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除臭</w:t>
            </w:r>
          </w:p>
        </w:tc>
        <w:tc>
          <w:tcPr>
            <w:tcW w:w="348" w:type="pct"/>
            <w:vAlign w:val="center"/>
          </w:tcPr>
          <w:p w14:paraId="4B9DC89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废除臭剂桶</w:t>
            </w:r>
          </w:p>
        </w:tc>
        <w:tc>
          <w:tcPr>
            <w:tcW w:w="410" w:type="pct"/>
            <w:vAlign w:val="center"/>
          </w:tcPr>
          <w:p w14:paraId="3A4082C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废除臭剂桶</w:t>
            </w:r>
          </w:p>
        </w:tc>
        <w:tc>
          <w:tcPr>
            <w:tcW w:w="1969" w:type="pct"/>
            <w:vAlign w:val="center"/>
          </w:tcPr>
          <w:p w14:paraId="34B8841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厂家回收</w:t>
            </w:r>
          </w:p>
        </w:tc>
        <w:tc>
          <w:tcPr>
            <w:tcW w:w="1565" w:type="pct"/>
            <w:vMerge w:val="continue"/>
            <w:vAlign w:val="center"/>
          </w:tcPr>
          <w:p w14:paraId="762642B2">
            <w:pPr>
              <w:pStyle w:val="152"/>
              <w:adjustRightInd w:val="0"/>
              <w:snapToGrid w:val="0"/>
              <w:rPr>
                <w:rFonts w:hint="default" w:ascii="Times New Roman" w:hAnsi="Times New Roman" w:eastAsia="宋体" w:cs="Times New Roman"/>
                <w:snapToGrid w:val="0"/>
                <w:color w:val="auto"/>
                <w:highlight w:val="none"/>
              </w:rPr>
            </w:pPr>
          </w:p>
        </w:tc>
      </w:tr>
      <w:tr w14:paraId="566E69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300" w:type="pct"/>
            <w:vMerge w:val="continue"/>
            <w:vAlign w:val="center"/>
          </w:tcPr>
          <w:p w14:paraId="11335CAF">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3176F452">
            <w:pPr>
              <w:pStyle w:val="152"/>
              <w:adjustRightInd w:val="0"/>
              <w:snapToGrid w:val="0"/>
              <w:rPr>
                <w:rFonts w:hint="default" w:ascii="Times New Roman" w:hAnsi="Times New Roman" w:eastAsia="宋体" w:cs="Times New Roman"/>
                <w:snapToGrid w:val="0"/>
                <w:color w:val="auto"/>
                <w:highlight w:val="none"/>
                <w:lang w:val="en-US" w:eastAsia="zh-CN"/>
              </w:rPr>
            </w:pPr>
          </w:p>
        </w:tc>
        <w:tc>
          <w:tcPr>
            <w:tcW w:w="348" w:type="pct"/>
            <w:vAlign w:val="center"/>
          </w:tcPr>
          <w:p w14:paraId="473395A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活性炭吸附装置除臭系统</w:t>
            </w:r>
          </w:p>
        </w:tc>
        <w:tc>
          <w:tcPr>
            <w:tcW w:w="410" w:type="pct"/>
            <w:vAlign w:val="center"/>
          </w:tcPr>
          <w:p w14:paraId="6C181B8F">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废活性炭</w:t>
            </w:r>
          </w:p>
        </w:tc>
        <w:tc>
          <w:tcPr>
            <w:tcW w:w="1969" w:type="pct"/>
            <w:vAlign w:val="center"/>
          </w:tcPr>
          <w:p w14:paraId="64729AB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厂家回收</w:t>
            </w:r>
          </w:p>
        </w:tc>
        <w:tc>
          <w:tcPr>
            <w:tcW w:w="1565" w:type="pct"/>
            <w:vMerge w:val="continue"/>
            <w:vAlign w:val="center"/>
          </w:tcPr>
          <w:p w14:paraId="0FAC0246">
            <w:pPr>
              <w:pStyle w:val="152"/>
              <w:adjustRightInd w:val="0"/>
              <w:snapToGrid w:val="0"/>
              <w:rPr>
                <w:rFonts w:hint="default" w:ascii="Times New Roman" w:hAnsi="Times New Roman" w:eastAsia="宋体" w:cs="Times New Roman"/>
                <w:snapToGrid w:val="0"/>
                <w:color w:val="auto"/>
                <w:highlight w:val="none"/>
              </w:rPr>
            </w:pPr>
          </w:p>
        </w:tc>
      </w:tr>
      <w:tr w14:paraId="0945B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300" w:type="pct"/>
            <w:vMerge w:val="continue"/>
            <w:vAlign w:val="center"/>
          </w:tcPr>
          <w:p w14:paraId="49C0F271">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2D50E00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348" w:type="pct"/>
            <w:vAlign w:val="center"/>
          </w:tcPr>
          <w:p w14:paraId="43D852C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养殖区</w:t>
            </w:r>
          </w:p>
        </w:tc>
        <w:tc>
          <w:tcPr>
            <w:tcW w:w="410" w:type="pct"/>
            <w:vAlign w:val="center"/>
          </w:tcPr>
          <w:p w14:paraId="4988A285">
            <w:pPr>
              <w:pStyle w:val="152"/>
              <w:adjustRightInd w:val="0"/>
              <w:snapToGrid w:val="0"/>
              <w:rPr>
                <w:rFonts w:hint="eastAsia"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动物医疗废物（</w:t>
            </w:r>
            <w:r>
              <w:rPr>
                <w:rFonts w:hint="eastAsia" w:ascii="Times New Roman" w:hAnsi="Times New Roman" w:cs="Times New Roman"/>
                <w:snapToGrid w:val="0"/>
                <w:color w:val="auto"/>
                <w:highlight w:val="none"/>
                <w:lang w:eastAsia="zh-CN"/>
              </w:rPr>
              <w:t>废疫苗瓶、棉签、棉球、医疗卫生用品、一次性医疗器械等）</w:t>
            </w:r>
          </w:p>
        </w:tc>
        <w:tc>
          <w:tcPr>
            <w:tcW w:w="1969" w:type="pct"/>
            <w:vAlign w:val="center"/>
          </w:tcPr>
          <w:p w14:paraId="72EBA48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委托有资质单位处置</w:t>
            </w:r>
          </w:p>
        </w:tc>
        <w:tc>
          <w:tcPr>
            <w:tcW w:w="1565" w:type="pct"/>
            <w:vMerge w:val="continue"/>
            <w:vAlign w:val="center"/>
          </w:tcPr>
          <w:p w14:paraId="6677FED7">
            <w:pPr>
              <w:pStyle w:val="152"/>
              <w:adjustRightInd w:val="0"/>
              <w:snapToGrid w:val="0"/>
              <w:rPr>
                <w:rFonts w:hint="default" w:ascii="Times New Roman" w:hAnsi="Times New Roman" w:eastAsia="宋体" w:cs="Times New Roman"/>
                <w:snapToGrid w:val="0"/>
                <w:color w:val="auto"/>
                <w:highlight w:val="none"/>
              </w:rPr>
            </w:pPr>
          </w:p>
        </w:tc>
      </w:tr>
    </w:tbl>
    <w:p w14:paraId="71313B0C">
      <w:pPr>
        <w:bidi w:val="0"/>
        <w:rPr>
          <w:rFonts w:hint="default"/>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20C53191">
      <w:pPr>
        <w:pStyle w:val="5"/>
        <w:bidi w:val="0"/>
        <w:rPr>
          <w:rFonts w:hint="default"/>
          <w:highlight w:val="none"/>
          <w:lang w:val="en-US" w:eastAsia="zh-CN"/>
        </w:rPr>
      </w:pPr>
      <w:bookmarkStart w:id="1220" w:name="_Toc4371"/>
      <w:bookmarkStart w:id="1221" w:name="_Toc24320"/>
      <w:bookmarkStart w:id="1222" w:name="_Toc23358"/>
      <w:bookmarkStart w:id="1223" w:name="_Toc23479"/>
      <w:bookmarkStart w:id="1224" w:name="_Toc5552"/>
      <w:r>
        <w:rPr>
          <w:rFonts w:hint="default"/>
          <w:highlight w:val="none"/>
          <w:lang w:val="en-US" w:eastAsia="zh-CN"/>
        </w:rPr>
        <w:t>8.4</w:t>
      </w:r>
      <w:r>
        <w:rPr>
          <w:rFonts w:hint="default"/>
          <w:highlight w:val="none"/>
        </w:rPr>
        <w:t>排污许可证制度衔接</w:t>
      </w:r>
      <w:bookmarkEnd w:id="1220"/>
      <w:bookmarkEnd w:id="1221"/>
      <w:bookmarkEnd w:id="1222"/>
      <w:bookmarkEnd w:id="1223"/>
      <w:bookmarkEnd w:id="1224"/>
    </w:p>
    <w:p w14:paraId="18A0333C">
      <w:pPr>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目前我国正在推进排污许可制度改革工作。环保部也大力推进排污许可证制度，并作为“十三五”国家环境管理的核心，《国务院办公厅关于印发控制污染物排放许可制实施方案的通知》（国办发[2016]81号）明确将排污许可制建设成为污染源环境管理的核心制度，作为企业守法、部门执法、社会监督的依据，为提高环境管理效能和改善环境质量奠定坚实基础。</w:t>
      </w:r>
    </w:p>
    <w:p w14:paraId="3F6AD09E">
      <w:pPr>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应严格按照国家排污许可证改革的要求，推进刷卡排污及污染源“一证式”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对违法排污行为实施严厉打击。</w:t>
      </w:r>
    </w:p>
    <w:p w14:paraId="09B23E9E">
      <w:pPr>
        <w:bidi w:val="0"/>
        <w:spacing w:line="360" w:lineRule="auto"/>
        <w:ind w:firstLine="480" w:firstLineChars="200"/>
        <w:rPr>
          <w:rFonts w:hint="default"/>
          <w:highlight w:val="none"/>
        </w:rPr>
      </w:pPr>
      <w:r>
        <w:rPr>
          <w:rFonts w:hint="default" w:ascii="Times New Roman" w:hAnsi="Times New Roman" w:eastAsia="宋体" w:cs="Times New Roman"/>
          <w:color w:val="auto"/>
          <w:highlight w:val="none"/>
        </w:rPr>
        <w:t>根据《关于做好环境影响评价制度与排污许可制衔接相关工作的通知》（环办环评[2017]84号），建设项目发生实际排污行为之前，排污单位应当按照国家环境保护相关法律法规以及《排污许可证申请与核发技术规范畜禽养殖行业》</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HJ1029</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2019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要求申请排污许可证，不得无证排污或不按证排污。环境影响报告书（表）2015年1月1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具体内容详见报告书各章节。企业在设计，建设和运营过程中，需按照许可证管理要求进行监测和申报，自证守法；许可证内容发生变更应进行申报，重大变更应重新环评和申请许可证变更。环保管理部门对许可证内容进行定期和不定期的监督核查。</w:t>
      </w:r>
    </w:p>
    <w:p w14:paraId="0C701002">
      <w:pPr>
        <w:pStyle w:val="5"/>
        <w:bidi w:val="0"/>
        <w:rPr>
          <w:rFonts w:hint="default"/>
          <w:highlight w:val="none"/>
          <w:lang w:val="en-US" w:eastAsia="zh-CN"/>
        </w:rPr>
      </w:pPr>
      <w:bookmarkStart w:id="1225" w:name="_Toc28198"/>
      <w:bookmarkStart w:id="1226" w:name="_Toc10300"/>
      <w:bookmarkStart w:id="1227" w:name="_Toc8976"/>
      <w:bookmarkStart w:id="1228" w:name="_Toc13639"/>
      <w:bookmarkStart w:id="1229" w:name="_Toc7894"/>
      <w:bookmarkStart w:id="1230" w:name="_Toc12918"/>
      <w:r>
        <w:rPr>
          <w:rFonts w:hint="default"/>
          <w:highlight w:val="none"/>
          <w:lang w:val="en-US" w:eastAsia="zh-CN"/>
        </w:rPr>
        <w:t>8.</w:t>
      </w:r>
      <w:bookmarkStart w:id="1231" w:name="_Toc7542"/>
      <w:bookmarkStart w:id="1232" w:name="_Toc3837"/>
      <w:r>
        <w:rPr>
          <w:rFonts w:hint="default"/>
          <w:highlight w:val="none"/>
          <w:lang w:val="en-US" w:eastAsia="zh-CN"/>
        </w:rPr>
        <w:t>5</w:t>
      </w:r>
      <w:r>
        <w:rPr>
          <w:rFonts w:hint="default"/>
          <w:highlight w:val="none"/>
        </w:rPr>
        <w:t>污染物排放总量控制</w:t>
      </w:r>
      <w:bookmarkEnd w:id="1225"/>
      <w:bookmarkEnd w:id="1226"/>
      <w:bookmarkEnd w:id="1227"/>
      <w:bookmarkEnd w:id="1228"/>
      <w:bookmarkEnd w:id="1229"/>
      <w:bookmarkEnd w:id="1230"/>
      <w:bookmarkEnd w:id="1231"/>
      <w:bookmarkEnd w:id="1232"/>
    </w:p>
    <w:p w14:paraId="05523BBB">
      <w:pPr>
        <w:pStyle w:val="94"/>
        <w:ind w:firstLine="480"/>
        <w:rPr>
          <w:rFonts w:hint="eastAsia"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根据《关于进一步做好当前生猪规模养殖环评管理相关工作的通知》（环办环评函〔2019〕872号）中要求：</w:t>
      </w:r>
      <w:r>
        <w:rPr>
          <w:rFonts w:hint="default" w:ascii="Times New Roman" w:hAnsi="Times New Roman" w:eastAsia="宋体" w:cs="Times New Roman"/>
          <w:snapToGrid w:val="0"/>
          <w:color w:val="auto"/>
          <w:highlight w:val="none"/>
        </w:rPr>
        <w:t>做好环评与排污许可、主要污染物排放总量管理的衔接，对规模以下生猪养殖项目和不设置污水排放口的规模以上生猪养殖项目，不得要求申领排污许可证和取得总量指标</w:t>
      </w:r>
      <w:r>
        <w:rPr>
          <w:rFonts w:hint="eastAsia" w:ascii="Times New Roman" w:hAnsi="Times New Roman" w:cs="Times New Roman"/>
          <w:snapToGrid w:val="0"/>
          <w:color w:val="auto"/>
          <w:highlight w:val="none"/>
          <w:lang w:eastAsia="zh-CN"/>
        </w:rPr>
        <w:t>。</w:t>
      </w:r>
    </w:p>
    <w:p w14:paraId="74BF422B">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snapToGrid w:val="0"/>
          <w:color w:val="auto"/>
          <w:highlight w:val="none"/>
          <w:lang w:val="en-US" w:eastAsia="zh-CN"/>
        </w:rPr>
        <w:t>本</w:t>
      </w:r>
      <w:r>
        <w:rPr>
          <w:rFonts w:hint="default" w:ascii="Times New Roman" w:hAnsi="Times New Roman" w:eastAsia="宋体" w:cs="Times New Roman"/>
          <w:snapToGrid w:val="0"/>
          <w:color w:val="auto"/>
          <w:highlight w:val="none"/>
        </w:rPr>
        <w:t>项目运行后，所产生的污水经场区内黑膜厌氧池处理后，</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eastAsia="宋体" w:cs="Times New Roman"/>
          <w:color w:val="auto"/>
          <w:kern w:val="0"/>
          <w:sz w:val="24"/>
          <w:szCs w:val="24"/>
          <w:highlight w:val="none"/>
          <w:lang w:val="en-US" w:eastAsia="zh-CN" w:bidi="ar-SA"/>
        </w:rPr>
        <w:t>沼液贮存池</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snapToGrid w:val="0"/>
          <w:color w:val="auto"/>
          <w:highlight w:val="none"/>
        </w:rPr>
        <w:t>不设置污水排放口</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snapToGrid w:val="0"/>
          <w:color w:val="auto"/>
          <w:highlight w:val="none"/>
        </w:rPr>
        <w:t>因此本项目污染物不需申请总量。</w:t>
      </w:r>
    </w:p>
    <w:p w14:paraId="3AAF23D3">
      <w:pPr>
        <w:rPr>
          <w:rFonts w:hint="default"/>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F779A4D">
      <w:pPr>
        <w:pStyle w:val="4"/>
        <w:bidi w:val="0"/>
        <w:rPr>
          <w:rFonts w:hint="eastAsia"/>
          <w:highlight w:val="none"/>
          <w:lang w:eastAsia="zh-CN"/>
        </w:rPr>
      </w:pPr>
      <w:bookmarkStart w:id="1233" w:name="_Toc11622"/>
      <w:bookmarkStart w:id="1234" w:name="_Toc480447686"/>
      <w:bookmarkStart w:id="1235" w:name="_Toc277178465"/>
      <w:bookmarkStart w:id="1236" w:name="_Toc32707"/>
      <w:bookmarkStart w:id="1237" w:name="_Toc255202340"/>
      <w:bookmarkStart w:id="1238" w:name="_Toc2772"/>
      <w:bookmarkStart w:id="1239" w:name="_Toc20239"/>
      <w:bookmarkStart w:id="1240" w:name="_Toc18271"/>
      <w:bookmarkStart w:id="1241" w:name="_Toc456590420"/>
      <w:bookmarkStart w:id="1242" w:name="_Toc346267817"/>
      <w:bookmarkStart w:id="1243" w:name="_Toc277178450"/>
      <w:bookmarkStart w:id="1244" w:name="_Toc255202323"/>
      <w:r>
        <w:rPr>
          <w:rFonts w:hint="default"/>
          <w:highlight w:val="none"/>
        </w:rPr>
        <w:t>9环境影响评价结论</w:t>
      </w:r>
      <w:bookmarkEnd w:id="1233"/>
      <w:bookmarkEnd w:id="1234"/>
      <w:bookmarkEnd w:id="1235"/>
      <w:bookmarkEnd w:id="1236"/>
      <w:bookmarkEnd w:id="1237"/>
      <w:bookmarkEnd w:id="1238"/>
      <w:bookmarkEnd w:id="1239"/>
      <w:bookmarkEnd w:id="1240"/>
    </w:p>
    <w:p w14:paraId="7D7D4601">
      <w:pPr>
        <w:pStyle w:val="5"/>
        <w:bidi w:val="0"/>
        <w:rPr>
          <w:rFonts w:hint="default"/>
          <w:highlight w:val="none"/>
        </w:rPr>
      </w:pPr>
      <w:bookmarkStart w:id="1245" w:name="_Toc15183"/>
      <w:bookmarkStart w:id="1246" w:name="_Toc415146736"/>
      <w:bookmarkStart w:id="1247" w:name="_Toc20526"/>
      <w:bookmarkStart w:id="1248" w:name="_Toc18786"/>
      <w:bookmarkStart w:id="1249" w:name="_Toc31104"/>
      <w:bookmarkStart w:id="1250" w:name="_Toc480447687"/>
      <w:bookmarkStart w:id="1251" w:name="_Toc2019"/>
      <w:r>
        <w:rPr>
          <w:rFonts w:hint="default"/>
          <w:highlight w:val="none"/>
        </w:rPr>
        <w:t>9.1评价结论</w:t>
      </w:r>
      <w:bookmarkEnd w:id="1245"/>
      <w:bookmarkEnd w:id="1246"/>
      <w:bookmarkEnd w:id="1247"/>
      <w:bookmarkEnd w:id="1248"/>
      <w:bookmarkEnd w:id="1249"/>
      <w:bookmarkEnd w:id="1250"/>
      <w:bookmarkEnd w:id="1251"/>
    </w:p>
    <w:p w14:paraId="1843C0FB">
      <w:pPr>
        <w:pStyle w:val="7"/>
        <w:bidi w:val="0"/>
        <w:rPr>
          <w:rFonts w:hint="default"/>
          <w:highlight w:val="none"/>
        </w:rPr>
      </w:pPr>
      <w:bookmarkStart w:id="1252" w:name="_Toc9612"/>
      <w:bookmarkStart w:id="1253" w:name="_Toc11498"/>
      <w:bookmarkStart w:id="1254" w:name="_Toc23414"/>
      <w:bookmarkStart w:id="1255" w:name="_Toc32272"/>
      <w:r>
        <w:rPr>
          <w:rFonts w:hint="default"/>
          <w:highlight w:val="none"/>
        </w:rPr>
        <w:t>9.1.1建设项目概况</w:t>
      </w:r>
      <w:bookmarkEnd w:id="1252"/>
      <w:bookmarkEnd w:id="1253"/>
      <w:bookmarkEnd w:id="1254"/>
      <w:bookmarkEnd w:id="1255"/>
    </w:p>
    <w:p w14:paraId="09031CD4">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鸡西市密山市柳毛乡团结村4组</w:t>
      </w:r>
      <w:r>
        <w:rPr>
          <w:rFonts w:hint="default" w:ascii="Times New Roman" w:hAnsi="Times New Roman" w:eastAsia="宋体" w:cs="Times New Roman"/>
          <w:color w:val="auto"/>
          <w:highlight w:val="none"/>
        </w:rPr>
        <w:t>，</w:t>
      </w:r>
      <w:r>
        <w:rPr>
          <w:rFonts w:hint="default" w:ascii="Times New Roman" w:hAnsi="Times New Roman" w:cs="Times New Roman"/>
          <w:color w:val="auto"/>
          <w:sz w:val="24"/>
          <w:highlight w:val="none"/>
          <w:lang w:val="en-US" w:eastAsia="zh-CN"/>
        </w:rPr>
        <w:t>工程</w:t>
      </w:r>
      <w:r>
        <w:rPr>
          <w:rFonts w:hint="eastAsia" w:ascii="Times New Roman" w:hAnsi="Times New Roman" w:cs="Times New Roman"/>
          <w:color w:val="auto"/>
          <w:sz w:val="24"/>
          <w:highlight w:val="none"/>
          <w:lang w:val="en-US" w:eastAsia="zh-CN"/>
        </w:rPr>
        <w:t>总</w:t>
      </w:r>
      <w:r>
        <w:rPr>
          <w:rFonts w:hint="default" w:ascii="Times New Roman" w:hAnsi="Times New Roman" w:cs="Times New Roman"/>
          <w:color w:val="auto"/>
          <w:sz w:val="24"/>
          <w:highlight w:val="none"/>
          <w:lang w:val="en-US" w:eastAsia="zh-CN"/>
        </w:rPr>
        <w:t>占地面积为</w:t>
      </w:r>
      <w:r>
        <w:rPr>
          <w:rFonts w:hint="eastAsia" w:ascii="Times New Roman" w:hAnsi="Times New Roman" w:cs="Times New Roman"/>
          <w:snapToGrid w:val="0"/>
          <w:color w:val="auto"/>
          <w:highlight w:val="none"/>
          <w:lang w:eastAsia="zh-CN"/>
        </w:rPr>
        <w:t>27000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vertAlign w:val="baseline"/>
          <w:lang w:eastAsia="zh-CN"/>
        </w:rPr>
        <w:t>，</w:t>
      </w:r>
      <w:r>
        <w:rPr>
          <w:rFonts w:hint="eastAsia" w:ascii="Times New Roman" w:hAnsi="Times New Roman" w:cs="Times New Roman"/>
          <w:color w:val="auto"/>
          <w:highlight w:val="none"/>
          <w:vertAlign w:val="baseline"/>
          <w:lang w:val="en-US" w:eastAsia="zh-CN"/>
        </w:rPr>
        <w:t>建设区域占地为9690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eastAsia" w:ascii="Times New Roman" w:hAnsi="Times New Roman" w:cs="Times New Roman"/>
          <w:color w:val="auto"/>
          <w:highlight w:val="none"/>
          <w:vertAlign w:val="baseline"/>
          <w:lang w:val="en-US" w:eastAsia="zh-CN"/>
        </w:rPr>
        <w:t>。</w:t>
      </w: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cs="Times New Roman"/>
          <w:color w:val="auto"/>
          <w:sz w:val="24"/>
          <w:highlight w:val="none"/>
          <w:lang w:val="en-US" w:eastAsia="zh-CN"/>
        </w:rPr>
        <w:t>建</w:t>
      </w:r>
      <w:r>
        <w:rPr>
          <w:rFonts w:hint="eastAsia" w:ascii="Times New Roman" w:hAnsi="Times New Roman" w:cs="Times New Roman"/>
          <w:color w:val="auto"/>
          <w:sz w:val="24"/>
          <w:highlight w:val="none"/>
          <w:lang w:val="en-US" w:eastAsia="zh-CN"/>
        </w:rPr>
        <w:t>成投产</w:t>
      </w:r>
      <w:r>
        <w:rPr>
          <w:rFonts w:hint="default" w:ascii="Times New Roman" w:hAnsi="Times New Roman" w:cs="Times New Roman"/>
          <w:color w:val="auto"/>
          <w:sz w:val="24"/>
          <w:highlight w:val="none"/>
          <w:lang w:val="en-US" w:eastAsia="zh-CN"/>
        </w:rPr>
        <w:t>后</w:t>
      </w:r>
      <w:r>
        <w:rPr>
          <w:rFonts w:hint="default" w:ascii="Times New Roman" w:hAnsi="Times New Roman" w:eastAsia="宋体" w:cs="Times New Roman"/>
          <w:color w:val="auto"/>
          <w:sz w:val="24"/>
          <w:highlight w:val="none"/>
          <w:lang w:val="en-US" w:eastAsia="zh-CN"/>
        </w:rPr>
        <w:t>年存栏规模为</w:t>
      </w:r>
      <w:r>
        <w:rPr>
          <w:rFonts w:hint="eastAsia" w:ascii="Times New Roman" w:hAnsi="Times New Roman" w:cs="Times New Roman"/>
          <w:color w:val="auto"/>
          <w:sz w:val="24"/>
          <w:highlight w:val="none"/>
          <w:lang w:val="en-US" w:eastAsia="zh-CN"/>
        </w:rPr>
        <w:t>8000</w:t>
      </w:r>
      <w:r>
        <w:rPr>
          <w:rFonts w:hint="default" w:ascii="Times New Roman" w:hAnsi="Times New Roman" w:eastAsia="宋体" w:cs="Times New Roman"/>
          <w:color w:val="auto"/>
          <w:sz w:val="24"/>
          <w:highlight w:val="none"/>
          <w:lang w:val="en-US" w:eastAsia="zh-CN"/>
        </w:rPr>
        <w:t>头，年出栏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p>
    <w:p w14:paraId="4D6F8835">
      <w:pPr>
        <w:pStyle w:val="7"/>
        <w:bidi w:val="0"/>
        <w:rPr>
          <w:rFonts w:hint="default"/>
          <w:highlight w:val="none"/>
        </w:rPr>
      </w:pPr>
      <w:bookmarkStart w:id="1256" w:name="_Toc22335"/>
      <w:bookmarkStart w:id="1257" w:name="_Toc7529"/>
      <w:bookmarkStart w:id="1258" w:name="_Toc21358"/>
      <w:bookmarkStart w:id="1259" w:name="_Toc725"/>
      <w:r>
        <w:rPr>
          <w:rFonts w:hint="default"/>
          <w:highlight w:val="none"/>
        </w:rPr>
        <w:t>9.1.2项目符合性结论</w:t>
      </w:r>
      <w:bookmarkEnd w:id="1256"/>
      <w:bookmarkEnd w:id="1257"/>
      <w:bookmarkEnd w:id="1258"/>
      <w:bookmarkEnd w:id="1259"/>
    </w:p>
    <w:p w14:paraId="2D2F05ED">
      <w:pPr>
        <w:pStyle w:val="8"/>
        <w:bidi w:val="0"/>
        <w:rPr>
          <w:rFonts w:hint="default"/>
          <w:highlight w:val="none"/>
        </w:rPr>
      </w:pPr>
      <w:bookmarkStart w:id="1260" w:name="_Toc17894"/>
      <w:bookmarkStart w:id="1261" w:name="_Toc28250"/>
      <w:r>
        <w:rPr>
          <w:rFonts w:hint="default"/>
          <w:highlight w:val="none"/>
        </w:rPr>
        <w:t>9.1.2.1产业政策符合性结论</w:t>
      </w:r>
      <w:bookmarkEnd w:id="1260"/>
      <w:bookmarkEnd w:id="1261"/>
    </w:p>
    <w:p w14:paraId="7731363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根据国家发改委发布的《产业结构调整指导目录（</w:t>
      </w:r>
      <w:r>
        <w:rPr>
          <w:rFonts w:hint="default" w:ascii="Times New Roman" w:hAnsi="Times New Roman" w:eastAsia="宋体" w:cs="Times New Roman"/>
          <w:color w:val="auto"/>
          <w:highlight w:val="none"/>
          <w:lang w:val="en-US" w:eastAsia="zh-CN"/>
        </w:rPr>
        <w:t>2024</w:t>
      </w:r>
      <w:r>
        <w:rPr>
          <w:rFonts w:hint="default" w:ascii="Times New Roman" w:hAnsi="Times New Roman" w:eastAsia="宋体" w:cs="Times New Roman"/>
          <w:color w:val="auto"/>
          <w:highlight w:val="none"/>
        </w:rPr>
        <w:t>年本）》</w:t>
      </w:r>
      <w:r>
        <w:rPr>
          <w:rFonts w:hint="default" w:ascii="Times New Roman" w:hAnsi="Times New Roman" w:eastAsia="宋体" w:cs="Times New Roman"/>
          <w:snapToGrid w:val="0"/>
          <w:color w:val="auto"/>
          <w:highlight w:val="none"/>
        </w:rPr>
        <w:t>有关条款</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属于目录中第一类鼓励类</w:t>
      </w:r>
      <w:r>
        <w:rPr>
          <w:rFonts w:hint="default" w:ascii="Times New Roman" w:hAnsi="Times New Roman" w:eastAsia="宋体" w:cs="Times New Roman"/>
          <w:color w:val="auto"/>
          <w:highlight w:val="none"/>
          <w:lang w:val="en-US" w:eastAsia="zh-CN"/>
        </w:rPr>
        <w:t>农林牧渔业</w:t>
      </w:r>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val="en-US" w:eastAsia="zh-CN"/>
        </w:rPr>
        <w:t>14</w:t>
      </w:r>
      <w:r>
        <w:rPr>
          <w:rFonts w:hint="default" w:ascii="Times New Roman" w:hAnsi="Times New Roman" w:eastAsia="宋体" w:cs="Times New Roman"/>
          <w:color w:val="auto"/>
          <w:highlight w:val="none"/>
        </w:rPr>
        <w:t>条规定：</w:t>
      </w:r>
      <w:r>
        <w:rPr>
          <w:rFonts w:hint="default" w:ascii="Times New Roman" w:hAnsi="Times New Roman" w:eastAsia="宋体" w:cs="Times New Roman"/>
          <w:color w:val="auto"/>
          <w:highlight w:val="none"/>
          <w:lang w:val="en-US" w:eastAsia="zh-CN"/>
        </w:rPr>
        <w:t>现代畜牧业及水产生态健康养殖：畜禽标准化规模养殖技术开发与应用</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cs="Times New Roman"/>
          <w:color w:val="auto"/>
          <w:sz w:val="24"/>
          <w:highlight w:val="none"/>
          <w:lang w:val="en-US" w:eastAsia="zh-CN"/>
        </w:rPr>
        <w:t>建</w:t>
      </w:r>
      <w:r>
        <w:rPr>
          <w:rFonts w:hint="eastAsia" w:ascii="Times New Roman" w:hAnsi="Times New Roman" w:cs="Times New Roman"/>
          <w:color w:val="auto"/>
          <w:sz w:val="24"/>
          <w:highlight w:val="none"/>
          <w:lang w:val="en-US" w:eastAsia="zh-CN"/>
        </w:rPr>
        <w:t>成投产</w:t>
      </w:r>
      <w:r>
        <w:rPr>
          <w:rFonts w:hint="default" w:ascii="Times New Roman" w:hAnsi="Times New Roman" w:cs="Times New Roman"/>
          <w:color w:val="auto"/>
          <w:sz w:val="24"/>
          <w:highlight w:val="none"/>
          <w:lang w:val="en-US" w:eastAsia="zh-CN"/>
        </w:rPr>
        <w:t>后</w:t>
      </w:r>
      <w:r>
        <w:rPr>
          <w:rFonts w:hint="default" w:ascii="Times New Roman" w:hAnsi="Times New Roman" w:eastAsia="宋体" w:cs="Times New Roman"/>
          <w:color w:val="auto"/>
          <w:sz w:val="24"/>
          <w:highlight w:val="none"/>
          <w:lang w:val="en-US" w:eastAsia="zh-CN"/>
        </w:rPr>
        <w:t>年存栏规模为</w:t>
      </w:r>
      <w:r>
        <w:rPr>
          <w:rFonts w:hint="eastAsia" w:ascii="Times New Roman" w:hAnsi="Times New Roman" w:cs="Times New Roman"/>
          <w:color w:val="auto"/>
          <w:sz w:val="24"/>
          <w:highlight w:val="none"/>
          <w:lang w:val="en-US" w:eastAsia="zh-CN"/>
        </w:rPr>
        <w:t>8000头</w:t>
      </w:r>
      <w:r>
        <w:rPr>
          <w:rFonts w:hint="default" w:ascii="Times New Roman" w:hAnsi="Times New Roman" w:eastAsia="宋体" w:cs="Times New Roman"/>
          <w:color w:val="auto"/>
          <w:sz w:val="24"/>
          <w:highlight w:val="none"/>
          <w:lang w:val="en-US" w:eastAsia="zh-CN"/>
        </w:rPr>
        <w:t>，年出栏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snapToGrid w:val="0"/>
          <w:color w:val="auto"/>
          <w:highlight w:val="none"/>
        </w:rPr>
        <w:t>属标准化规模养殖项目，项目建设符合该产业政策的要求。</w:t>
      </w:r>
    </w:p>
    <w:p w14:paraId="5B930B8F">
      <w:pPr>
        <w:pStyle w:val="8"/>
        <w:bidi w:val="0"/>
        <w:rPr>
          <w:rFonts w:hint="default"/>
          <w:highlight w:val="none"/>
        </w:rPr>
      </w:pPr>
      <w:bookmarkStart w:id="1262" w:name="_Toc27672"/>
      <w:bookmarkStart w:id="1263" w:name="_Toc10210"/>
      <w:r>
        <w:rPr>
          <w:rFonts w:hint="default"/>
          <w:highlight w:val="none"/>
        </w:rPr>
        <w:t>9.1.2.2选址合理性结论</w:t>
      </w:r>
      <w:bookmarkEnd w:id="1262"/>
      <w:bookmarkEnd w:id="1263"/>
    </w:p>
    <w:p w14:paraId="7BEB10C1">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rPr>
        <w:t>项目评价区域内无生活饮用水水源保护区、风景名胜区</w:t>
      </w:r>
      <w:r>
        <w:rPr>
          <w:rFonts w:hint="default" w:ascii="Times New Roman" w:hAnsi="Times New Roman" w:eastAsia="宋体" w:cs="Times New Roman"/>
          <w:snapToGrid w:val="0"/>
          <w:color w:val="auto"/>
          <w:highlight w:val="none"/>
          <w:lang w:val="zh-CN"/>
        </w:rPr>
        <w:t>，</w:t>
      </w:r>
      <w:r>
        <w:rPr>
          <w:rFonts w:hint="default" w:ascii="Times New Roman" w:hAnsi="Times New Roman" w:eastAsia="宋体" w:cs="Times New Roman"/>
          <w:snapToGrid w:val="0"/>
          <w:color w:val="auto"/>
          <w:highlight w:val="none"/>
        </w:rPr>
        <w:t>符合《畜禽养殖业污染防治技术规范》（HJ/T81-2001）中规定的“新建改建、扩建的畜禽养殖场选址应避开以上禁建区域。在禁建区域附近建设的，应设在禁建区域常年主导风向的下风向或侧风向处，场界与禁建区域边界的最小距离不得小于500m”的要求；选址不涉及城市和城镇中居民区等人口集中地区、不属于当地政府划定的禁养区区域、也不属于法律法规规定需特殊保护的其他区域，项目占地为</w:t>
      </w:r>
      <w:r>
        <w:rPr>
          <w:rFonts w:hint="eastAsia" w:ascii="Times New Roman" w:hAnsi="Times New Roman" w:cs="Times New Roman"/>
          <w:snapToGrid w:val="0"/>
          <w:color w:val="auto"/>
          <w:highlight w:val="none"/>
          <w:lang w:val="en-US" w:eastAsia="zh-CN"/>
        </w:rPr>
        <w:t>设施农用地</w:t>
      </w:r>
      <w:r>
        <w:rPr>
          <w:rFonts w:hint="default" w:ascii="Times New Roman" w:hAnsi="Times New Roman" w:eastAsia="宋体" w:cs="Times New Roman"/>
          <w:snapToGrid w:val="0"/>
          <w:color w:val="auto"/>
          <w:highlight w:val="none"/>
        </w:rPr>
        <w:t>，周边</w:t>
      </w:r>
      <w:r>
        <w:rPr>
          <w:rFonts w:hint="eastAsia" w:ascii="Times New Roman" w:hAnsi="Times New Roman" w:cs="Times New Roman"/>
          <w:snapToGrid w:val="0"/>
          <w:color w:val="auto"/>
          <w:highlight w:val="none"/>
          <w:lang w:val="en-US" w:eastAsia="zh-CN"/>
        </w:rPr>
        <w:t>耕地、林地</w:t>
      </w:r>
      <w:r>
        <w:rPr>
          <w:rFonts w:hint="default" w:ascii="Times New Roman" w:hAnsi="Times New Roman" w:eastAsia="宋体" w:cs="Times New Roman"/>
          <w:snapToGrid w:val="0"/>
          <w:color w:val="auto"/>
          <w:highlight w:val="none"/>
        </w:rPr>
        <w:t>面积较大，便于养殖废水处理后施用于农田，粪便堆肥处理后还田，有利于该项目污水资源化利用，实现种养结合，发展生态农业。</w:t>
      </w:r>
    </w:p>
    <w:p w14:paraId="1961B43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项目选址符合《畜禽规模养殖污染防治条例》、《畜禽养殖业污染防治技术规范》</w:t>
      </w:r>
      <w:r>
        <w:rPr>
          <w:rFonts w:hint="default" w:ascii="Times New Roman" w:hAnsi="Times New Roman" w:eastAsia="宋体" w:cs="Times New Roman"/>
          <w:color w:val="auto"/>
          <w:highlight w:val="none"/>
        </w:rPr>
        <w:t>（HJ/T81-2001）</w:t>
      </w:r>
      <w:r>
        <w:rPr>
          <w:rFonts w:hint="default" w:ascii="Times New Roman" w:hAnsi="Times New Roman" w:eastAsia="宋体" w:cs="Times New Roman"/>
          <w:snapToGrid w:val="0"/>
          <w:color w:val="auto"/>
          <w:highlight w:val="none"/>
        </w:rPr>
        <w:t>等相关规定的要求。因此，项目选址从环境影响评价的角度分析，是合理可行的。</w:t>
      </w:r>
    </w:p>
    <w:p w14:paraId="4E428409">
      <w:pPr>
        <w:pStyle w:val="7"/>
        <w:bidi w:val="0"/>
        <w:rPr>
          <w:rFonts w:hint="default"/>
          <w:highlight w:val="none"/>
        </w:rPr>
      </w:pPr>
      <w:bookmarkStart w:id="1264" w:name="_Toc21363"/>
      <w:bookmarkStart w:id="1265" w:name="_Toc16994"/>
      <w:bookmarkStart w:id="1266" w:name="_Toc10868"/>
      <w:bookmarkStart w:id="1267" w:name="_Toc28821"/>
      <w:r>
        <w:rPr>
          <w:rFonts w:hint="default"/>
          <w:highlight w:val="none"/>
        </w:rPr>
        <w:t>9.1.3环境质量现状评价结论</w:t>
      </w:r>
      <w:bookmarkEnd w:id="1264"/>
      <w:bookmarkEnd w:id="1265"/>
      <w:bookmarkEnd w:id="1266"/>
      <w:bookmarkEnd w:id="1267"/>
    </w:p>
    <w:p w14:paraId="321C565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（1）地表水环境质量现状评价结论</w:t>
      </w:r>
    </w:p>
    <w:p w14:paraId="114123C6">
      <w:pPr>
        <w:pStyle w:val="94"/>
        <w:ind w:firstLine="48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本项目无生产废水及生活污水外排，</w:t>
      </w:r>
      <w:r>
        <w:rPr>
          <w:rFonts w:hint="default" w:ascii="Times New Roman" w:hAnsi="Times New Roman" w:eastAsia="宋体" w:cs="Times New Roman"/>
          <w:color w:val="auto"/>
          <w:sz w:val="24"/>
          <w:szCs w:val="24"/>
          <w:highlight w:val="none"/>
          <w:lang w:val="en-US" w:eastAsia="zh-CN"/>
        </w:rPr>
        <w:t>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，属于穆棱河水系。</w:t>
      </w: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highlight w:val="none"/>
          <w:lang w:val="en-US" w:eastAsia="zh-CN"/>
        </w:rPr>
        <w:t>《全国重要江河湖泊水功能区划（2011—2030年）》</w:t>
      </w:r>
      <w:r>
        <w:rPr>
          <w:rFonts w:hint="default" w:ascii="Times New Roman" w:hAnsi="Times New Roman" w:cs="Times New Roman"/>
          <w:color w:val="auto"/>
          <w:sz w:val="24"/>
          <w:highlight w:val="none"/>
        </w:rPr>
        <w:t>规定，本</w:t>
      </w:r>
      <w:r>
        <w:rPr>
          <w:rFonts w:hint="default" w:ascii="Times New Roman" w:hAnsi="Times New Roman" w:cs="Times New Roman"/>
          <w:color w:val="auto"/>
          <w:sz w:val="24"/>
          <w:highlight w:val="none"/>
          <w:lang w:eastAsia="zh-CN"/>
        </w:rPr>
        <w:t>项目区域</w:t>
      </w:r>
      <w:r>
        <w:rPr>
          <w:rFonts w:hint="default" w:ascii="Times New Roman" w:hAnsi="Times New Roman" w:cs="Times New Roman"/>
          <w:color w:val="auto"/>
          <w:sz w:val="24"/>
          <w:highlight w:val="none"/>
          <w:lang w:val="en-US" w:eastAsia="zh-CN"/>
        </w:rPr>
        <w:t>穆棱河断面水质执行</w:t>
      </w:r>
      <w:r>
        <w:rPr>
          <w:rFonts w:hint="default" w:ascii="Times New Roman" w:hAnsi="Times New Roman" w:cs="Times New Roman"/>
          <w:color w:val="auto"/>
          <w:highlight w:val="none"/>
          <w:lang w:val="en-US" w:eastAsia="zh-CN"/>
        </w:rPr>
        <w:t>执行《地表水环境质量标准》（GB3838-2002）中</w:t>
      </w:r>
      <w:r>
        <w:rPr>
          <w:rFonts w:hint="default" w:ascii="Times New Roman" w:hAnsi="Times New Roman" w:cs="Times New Roman"/>
          <w:color w:val="auto"/>
          <w:sz w:val="24"/>
          <w:highlight w:val="none"/>
        </w:rPr>
        <w:t>Ⅲ类</w:t>
      </w:r>
      <w:r>
        <w:rPr>
          <w:rFonts w:hint="default"/>
          <w:color w:val="auto"/>
          <w:highlight w:val="none"/>
          <w:lang w:val="en-US" w:eastAsia="zh-CN"/>
        </w:rPr>
        <w:t>标准</w:t>
      </w:r>
      <w:r>
        <w:rPr>
          <w:rFonts w:hint="eastAsia"/>
          <w:color w:val="auto"/>
          <w:highlight w:val="none"/>
          <w:lang w:val="en-US" w:eastAsia="zh-CN"/>
        </w:rPr>
        <w:t>，</w:t>
      </w:r>
      <w:r>
        <w:rPr>
          <w:rFonts w:hint="default" w:ascii="Times New Roman" w:hAnsi="Times New Roman" w:cs="Times New Roman"/>
          <w:color w:val="auto"/>
          <w:sz w:val="24"/>
          <w:highlight w:val="none"/>
        </w:rPr>
        <w:t>本</w:t>
      </w:r>
      <w:r>
        <w:rPr>
          <w:rFonts w:hint="eastAsia" w:ascii="Times New Roman" w:hAnsi="Times New Roman" w:cs="Times New Roman"/>
          <w:color w:val="auto"/>
          <w:sz w:val="24"/>
          <w:highlight w:val="none"/>
          <w:lang w:eastAsia="zh-CN"/>
        </w:rPr>
        <w:t>项目附近水体柳毛河</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穆棱河一级支流</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参照</w:t>
      </w:r>
      <w:r>
        <w:rPr>
          <w:rFonts w:hint="default" w:ascii="Times New Roman" w:hAnsi="Times New Roman" w:cs="Times New Roman"/>
          <w:color w:val="auto"/>
          <w:sz w:val="24"/>
          <w:highlight w:val="none"/>
        </w:rPr>
        <w:t>Ⅲ类功能水体，因此本工程地表水环境质量执行《地表水环境质量标准》（GB3838-2002）中Ⅲ类水体标准</w:t>
      </w:r>
      <w:r>
        <w:rPr>
          <w:rFonts w:hint="default" w:ascii="Times New Roman" w:hAnsi="Times New Roman" w:eastAsia="宋体" w:cs="Times New Roman"/>
          <w:color w:val="auto"/>
          <w:sz w:val="24"/>
          <w:szCs w:val="24"/>
          <w:highlight w:val="none"/>
          <w:lang w:val="en-US" w:eastAsia="zh-CN"/>
        </w:rPr>
        <w:t>。</w:t>
      </w:r>
    </w:p>
    <w:p w14:paraId="0355B35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（2）地下水环境质量现状评价结论</w:t>
      </w:r>
    </w:p>
    <w:p w14:paraId="495FEF8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各监测点位地下水监测指标均符合《地下水质量标准》（GB/T14848-2017）中</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类标准，地下水/环境质量良好。</w:t>
      </w:r>
    </w:p>
    <w:p w14:paraId="1BA3039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（3）大气环境质量现状评价结论</w:t>
      </w:r>
    </w:p>
    <w:p w14:paraId="08938CFE">
      <w:pPr>
        <w:pStyle w:val="94"/>
        <w:keepNext w:val="0"/>
        <w:keepLines w:val="0"/>
        <w:pageBreakBefore w:val="0"/>
        <w:widowControl/>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lang w:val="en-US" w:eastAsia="zh-CN"/>
        </w:rPr>
        <w:t>根据《</w:t>
      </w:r>
      <w:r>
        <w:rPr>
          <w:rFonts w:hint="eastAsia" w:ascii="Times New Roman" w:hAnsi="Times New Roman" w:cs="Times New Roman"/>
          <w:color w:val="auto"/>
          <w:sz w:val="24"/>
          <w:szCs w:val="24"/>
          <w:highlight w:val="none"/>
          <w:lang w:val="en-US" w:eastAsia="zh-CN"/>
        </w:rPr>
        <w:t>2024年鸡西市生态环境质量状况</w:t>
      </w:r>
      <w:r>
        <w:rPr>
          <w:rFonts w:hint="default" w:ascii="Times New Roman" w:hAnsi="Times New Roman" w:eastAsia="宋体" w:cs="Times New Roman"/>
          <w:color w:val="auto"/>
          <w:sz w:val="24"/>
          <w:szCs w:val="24"/>
          <w:highlight w:val="none"/>
          <w:lang w:val="en-US" w:eastAsia="zh-CN"/>
        </w:rPr>
        <w:t>》，2024年，鸡西市各项污染物平均浓度均达二级标准。PM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lang w:val="en-US" w:eastAsia="zh-CN"/>
        </w:rPr>
        <w:t>、PM</w:t>
      </w:r>
      <w:r>
        <w:rPr>
          <w:rFonts w:hint="default" w:ascii="Times New Roman" w:hAnsi="Times New Roman" w:eastAsia="宋体" w:cs="Times New Roman"/>
          <w:color w:val="auto"/>
          <w:sz w:val="24"/>
          <w:szCs w:val="24"/>
          <w:highlight w:val="none"/>
          <w:vertAlign w:val="subscript"/>
          <w:lang w:val="en-US" w:eastAsia="zh-CN"/>
        </w:rPr>
        <w:t>10</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、CO-95per和O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-8h-90per平均浓度分别为27μg/m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、46μg/m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、8μg/m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、17μg/m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、1.0mg/m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和90μg/m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。与上年相比，SO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和CO-95per的浓度保持不变，其他4项污染物浓度同比均下降。综合指数为2.79，同比下降7.0%</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kern w:val="0"/>
          <w:sz w:val="24"/>
          <w:highlight w:val="none"/>
          <w:lang w:val="zh-CN"/>
        </w:rPr>
        <w:t>基本污染物均能满足《环境空气质量标准》（GB3095-2012）及其修改单中二级标准限值，鸡西市区域属于环境空气质量达标区</w:t>
      </w:r>
      <w:r>
        <w:rPr>
          <w:rFonts w:hint="default" w:ascii="Times New Roman" w:hAnsi="Times New Roman" w:eastAsia="宋体" w:cs="Times New Roman"/>
          <w:color w:val="auto"/>
          <w:highlight w:val="none"/>
        </w:rPr>
        <w:t>。</w:t>
      </w:r>
    </w:p>
    <w:p w14:paraId="4ED02E6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lang w:val="en-US" w:eastAsia="zh-CN"/>
        </w:rPr>
        <w:t>根据补充监测，各现状监测点NH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S、TSP、臭气浓度均达标，本项目其他污染物NH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S的1h平均浓度均满足《环境影响评价技术导则大气环境》（HJ2.2-2018）中的附录D其他污染物空气质量浓度参考限值要求；TSP的24小时平均浓度满足《环境空气质量标准》（GB3095-2012）及其修改单中二级标准要求。</w:t>
      </w:r>
    </w:p>
    <w:p w14:paraId="3CF14E1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（4）声环境质量现状评价结论</w:t>
      </w:r>
    </w:p>
    <w:p w14:paraId="7F33882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监测点环境噪声昼夜值满足《声环境质量标准》（GB3096-2008）中的</w:t>
      </w:r>
      <w:r>
        <w:rPr>
          <w:rFonts w:hint="eastAsia" w:ascii="Times New Roman" w:hAnsi="Times New Roman" w:cs="Times New Roman"/>
          <w:color w:val="auto"/>
          <w:highlight w:val="none"/>
          <w:lang w:val="en-US" w:eastAsia="zh-CN"/>
        </w:rPr>
        <w:t>1类</w:t>
      </w:r>
      <w:r>
        <w:rPr>
          <w:rFonts w:hint="default" w:ascii="Times New Roman" w:hAnsi="Times New Roman" w:eastAsia="宋体" w:cs="Times New Roman"/>
          <w:color w:val="auto"/>
          <w:highlight w:val="none"/>
        </w:rPr>
        <w:t>标准。</w:t>
      </w:r>
    </w:p>
    <w:p w14:paraId="25AC4CBA">
      <w:pPr>
        <w:pStyle w:val="7"/>
        <w:bidi w:val="0"/>
        <w:rPr>
          <w:rFonts w:hint="default"/>
          <w:highlight w:val="none"/>
        </w:rPr>
      </w:pPr>
      <w:bookmarkStart w:id="1268" w:name="_Toc6243"/>
      <w:bookmarkStart w:id="1269" w:name="_Toc18150"/>
      <w:bookmarkStart w:id="1270" w:name="_Toc8995"/>
      <w:bookmarkStart w:id="1271" w:name="_Toc22747"/>
      <w:r>
        <w:rPr>
          <w:rFonts w:hint="default"/>
          <w:highlight w:val="none"/>
        </w:rPr>
        <w:t>9.1.4污染物排放情况</w:t>
      </w:r>
      <w:bookmarkEnd w:id="1268"/>
      <w:bookmarkEnd w:id="1269"/>
      <w:bookmarkEnd w:id="1270"/>
      <w:bookmarkEnd w:id="1271"/>
    </w:p>
    <w:p w14:paraId="0AADFFA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（1）大气污染物排放情况</w:t>
      </w:r>
    </w:p>
    <w:p w14:paraId="6598F42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恶臭</w:t>
      </w:r>
    </w:p>
    <w:p w14:paraId="07E681A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4"/>
          <w:szCs w:val="24"/>
          <w:highlight w:val="none"/>
        </w:rPr>
        <w:t>项目运行期猪舍及时清粪、通风换气、日粮中添加EM菌、喷洒</w:t>
      </w:r>
      <w:r>
        <w:rPr>
          <w:rFonts w:hint="default" w:ascii="Times New Roman" w:hAnsi="Times New Roman" w:eastAsia="宋体" w:cs="Times New Roman"/>
          <w:snapToGrid w:val="0"/>
          <w:color w:val="auto"/>
          <w:sz w:val="24"/>
          <w:szCs w:val="24"/>
          <w:highlight w:val="none"/>
          <w:lang w:val="en-US" w:eastAsia="zh-CN"/>
        </w:rPr>
        <w:t>生物除臭剂</w:t>
      </w:r>
      <w:r>
        <w:rPr>
          <w:rFonts w:hint="default" w:ascii="Times New Roman" w:hAnsi="Times New Roman" w:eastAsia="宋体" w:cs="Times New Roman"/>
          <w:snapToGrid w:val="0"/>
          <w:color w:val="auto"/>
          <w:sz w:val="24"/>
          <w:szCs w:val="24"/>
          <w:highlight w:val="none"/>
        </w:rPr>
        <w:t>的除臭方式；</w:t>
      </w:r>
      <w:r>
        <w:rPr>
          <w:rFonts w:hint="eastAsia" w:ascii="Times New Roman" w:hAnsi="Times New Roman" w:cs="Times New Roman"/>
          <w:color w:val="auto"/>
          <w:sz w:val="24"/>
          <w:szCs w:val="24"/>
          <w:highlight w:val="none"/>
          <w:lang w:eastAsia="zh-CN"/>
        </w:rPr>
        <w:t>固液分离间</w:t>
      </w:r>
      <w:r>
        <w:rPr>
          <w:rFonts w:hint="default" w:ascii="Times New Roman" w:hAnsi="Times New Roman" w:eastAsia="宋体" w:cs="Times New Roman"/>
          <w:snapToGrid w:val="0"/>
          <w:color w:val="auto"/>
          <w:sz w:val="24"/>
          <w:szCs w:val="24"/>
          <w:highlight w:val="none"/>
        </w:rPr>
        <w:t>喷洒</w:t>
      </w:r>
      <w:r>
        <w:rPr>
          <w:rFonts w:hint="default" w:ascii="Times New Roman" w:hAnsi="Times New Roman" w:eastAsia="宋体" w:cs="Times New Roman"/>
          <w:snapToGrid w:val="0"/>
          <w:color w:val="auto"/>
          <w:sz w:val="24"/>
          <w:szCs w:val="24"/>
          <w:highlight w:val="none"/>
          <w:lang w:val="en-US" w:eastAsia="zh-CN"/>
        </w:rPr>
        <w:t>生物除臭剂</w:t>
      </w:r>
      <w:r>
        <w:rPr>
          <w:rFonts w:hint="default" w:ascii="Times New Roman" w:hAnsi="Times New Roman" w:eastAsia="宋体" w:cs="Times New Roman"/>
          <w:snapToGrid w:val="0"/>
          <w:color w:val="auto"/>
          <w:sz w:val="24"/>
          <w:szCs w:val="24"/>
          <w:highlight w:val="none"/>
        </w:rPr>
        <w:t>除臭方式；</w:t>
      </w:r>
      <w:r>
        <w:rPr>
          <w:rFonts w:hint="default" w:ascii="Times New Roman" w:hAnsi="Times New Roman" w:eastAsia="宋体" w:cs="Times New Roman"/>
          <w:snapToGrid w:val="0"/>
          <w:color w:val="auto"/>
          <w:sz w:val="24"/>
          <w:szCs w:val="24"/>
          <w:highlight w:val="none"/>
          <w:lang w:val="en-US" w:eastAsia="zh-CN"/>
        </w:rPr>
        <w:t>黑膜厌氧池</w:t>
      </w:r>
      <w:r>
        <w:rPr>
          <w:rFonts w:hint="default" w:ascii="Times New Roman" w:hAnsi="Times New Roman" w:eastAsia="宋体" w:cs="Times New Roman"/>
          <w:snapToGrid w:val="0"/>
          <w:color w:val="auto"/>
          <w:sz w:val="24"/>
          <w:szCs w:val="24"/>
          <w:highlight w:val="none"/>
        </w:rPr>
        <w:t>喷洒</w:t>
      </w:r>
      <w:r>
        <w:rPr>
          <w:rFonts w:hint="default" w:ascii="Times New Roman" w:hAnsi="Times New Roman" w:eastAsia="宋体" w:cs="Times New Roman"/>
          <w:snapToGrid w:val="0"/>
          <w:color w:val="auto"/>
          <w:sz w:val="24"/>
          <w:szCs w:val="24"/>
          <w:highlight w:val="none"/>
          <w:lang w:val="en-US" w:eastAsia="zh-CN"/>
        </w:rPr>
        <w:t>生物除臭剂</w:t>
      </w:r>
      <w:r>
        <w:rPr>
          <w:rFonts w:hint="default" w:ascii="Times New Roman" w:hAnsi="Times New Roman" w:eastAsia="宋体" w:cs="Times New Roman"/>
          <w:snapToGrid w:val="0"/>
          <w:color w:val="auto"/>
          <w:sz w:val="24"/>
          <w:szCs w:val="24"/>
          <w:highlight w:val="none"/>
        </w:rPr>
        <w:t>除臭方式</w:t>
      </w:r>
      <w:r>
        <w:rPr>
          <w:rFonts w:hint="default" w:ascii="Times New Roman" w:hAnsi="Times New Roman" w:cs="Times New Roman"/>
          <w:snapToGrid w:val="0"/>
          <w:color w:val="auto"/>
          <w:sz w:val="24"/>
          <w:szCs w:val="24"/>
          <w:highlight w:val="none"/>
          <w:lang w:eastAsia="zh-CN"/>
        </w:rPr>
        <w:t>，</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bCs/>
          <w:snapToGrid w:val="0"/>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及时清运固体粪污；采用好氧堆肥方式；恶臭采用负压收集后（收集效率90%）进入活性炭吸附装置净化处理后（处理效率90%）经15米高排气筒排放，废气量为</w:t>
      </w:r>
      <w:r>
        <w:rPr>
          <w:rFonts w:hint="eastAsia" w:ascii="Times New Roman" w:hAnsi="Times New Roman" w:cs="Times New Roman"/>
          <w:color w:val="auto"/>
          <w:sz w:val="24"/>
          <w:szCs w:val="24"/>
          <w:highlight w:val="none"/>
          <w:lang w:val="en-US" w:eastAsia="zh-CN"/>
        </w:rPr>
        <w:t>5000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/h，减少恶臭气体对周围环境的影响</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H</w:t>
      </w:r>
      <w:r>
        <w:rPr>
          <w:rFonts w:hint="eastAsia" w:ascii="Times New Roman" w:hAnsi="Times New Roman" w:cs="Times New Roman"/>
          <w:b w:val="0"/>
          <w:bCs w:val="0"/>
          <w:smallCap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S、NH</w:t>
      </w:r>
      <w:r>
        <w:rPr>
          <w:rFonts w:hint="eastAsia" w:ascii="Times New Roman" w:hAnsi="Times New Roman" w:cs="Times New Roman"/>
          <w:b w:val="0"/>
          <w:bCs w:val="0"/>
          <w:smallCaps/>
          <w:snapToGrid w:val="0"/>
          <w:color w:val="auto"/>
          <w:kern w:val="0"/>
          <w:sz w:val="24"/>
          <w:szCs w:val="24"/>
          <w:highlight w:val="none"/>
          <w:vertAlign w:val="subscript"/>
          <w:lang w:val="en-US" w:eastAsia="zh-CN" w:bidi="ar-SA"/>
        </w:rPr>
        <w:t>3</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有</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组织排放浓度执行《恶臭污染物排放标准》（GB14554-93）表</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中</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恶臭污染物排放标准限值</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；运营期恶臭污染物H</w:t>
      </w:r>
      <w:r>
        <w:rPr>
          <w:rFonts w:hint="default" w:ascii="Times New Roman" w:hAnsi="Times New Roman" w:eastAsia="宋体" w:cs="Times New Roman"/>
          <w:b w:val="0"/>
          <w:bCs w:val="0"/>
          <w:smallCap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S、NH</w:t>
      </w:r>
      <w:r>
        <w:rPr>
          <w:rFonts w:hint="default" w:ascii="Times New Roman" w:hAnsi="Times New Roman" w:eastAsia="宋体" w:cs="Times New Roman"/>
          <w:b w:val="0"/>
          <w:bCs w:val="0"/>
          <w:smallCaps/>
          <w:snapToGrid w:val="0"/>
          <w:color w:val="auto"/>
          <w:kern w:val="0"/>
          <w:sz w:val="24"/>
          <w:szCs w:val="24"/>
          <w:highlight w:val="none"/>
          <w:vertAlign w:val="subscript"/>
          <w:lang w:val="en-US" w:eastAsia="zh-CN" w:bidi="ar-SA"/>
        </w:rPr>
        <w:t>3</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无组织排放浓度执行《恶臭污染物排放标准》（GB14554-93）表1中二级新扩改建标准限值</w:t>
      </w:r>
      <w:r>
        <w:rPr>
          <w:rFonts w:hint="default" w:ascii="Times New Roman" w:hAnsi="Times New Roman" w:eastAsia="宋体" w:cs="Times New Roman"/>
          <w:snapToGrid w:val="0"/>
          <w:color w:val="auto"/>
          <w:highlight w:val="none"/>
        </w:rPr>
        <w:t>。</w:t>
      </w:r>
    </w:p>
    <w:p w14:paraId="316F8A2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沼气燃烧废气</w:t>
      </w:r>
    </w:p>
    <w:p w14:paraId="5598A281">
      <w:pPr>
        <w:spacing w:line="360" w:lineRule="auto"/>
        <w:ind w:firstLine="42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highlight w:val="none"/>
        </w:rPr>
        <w:t>沼气脱硫后，经</w:t>
      </w:r>
      <w:r>
        <w:rPr>
          <w:rFonts w:hint="default" w:ascii="Times New Roman" w:hAnsi="Times New Roman" w:eastAsia="宋体" w:cs="Times New Roman"/>
          <w:snapToGrid w:val="0"/>
          <w:color w:val="auto"/>
          <w:sz w:val="24"/>
          <w:szCs w:val="24"/>
          <w:highlight w:val="none"/>
        </w:rPr>
        <w:t>沼气火炬</w:t>
      </w:r>
      <w:r>
        <w:rPr>
          <w:rFonts w:hint="eastAsia" w:ascii="Times New Roman" w:hAnsi="Times New Roman" w:cs="Times New Roman"/>
          <w:snapToGrid w:val="0"/>
          <w:color w:val="auto"/>
          <w:sz w:val="24"/>
          <w:szCs w:val="24"/>
          <w:highlight w:val="none"/>
          <w:lang w:val="en-US" w:eastAsia="zh-CN"/>
        </w:rPr>
        <w:t>沼气</w:t>
      </w:r>
      <w:r>
        <w:rPr>
          <w:rFonts w:hint="default" w:ascii="Times New Roman" w:hAnsi="Times New Roman" w:eastAsia="宋体" w:cs="Times New Roman"/>
          <w:snapToGrid w:val="0"/>
          <w:color w:val="auto"/>
          <w:sz w:val="24"/>
          <w:szCs w:val="24"/>
          <w:highlight w:val="none"/>
        </w:rPr>
        <w:t>燃烧排放的废气经干法脱硫</w:t>
      </w:r>
      <w:r>
        <w:rPr>
          <w:rFonts w:hint="eastAsia" w:ascii="Times New Roman" w:hAnsi="Times New Roman" w:cs="Times New Roman"/>
          <w:snapToGrid w:val="0"/>
          <w:color w:val="auto"/>
          <w:sz w:val="24"/>
          <w:szCs w:val="24"/>
          <w:highlight w:val="none"/>
          <w:lang w:val="en-US" w:eastAsia="zh-CN"/>
        </w:rPr>
        <w:t>后</w:t>
      </w:r>
      <w:r>
        <w:rPr>
          <w:rFonts w:hint="default" w:ascii="Times New Roman" w:hAnsi="Times New Roman" w:eastAsia="宋体" w:cs="Times New Roman"/>
          <w:snapToGrid w:val="0"/>
          <w:color w:val="auto"/>
          <w:sz w:val="24"/>
          <w:szCs w:val="24"/>
          <w:highlight w:val="none"/>
        </w:rPr>
        <w:t>火炬</w:t>
      </w:r>
      <w:r>
        <w:rPr>
          <w:rFonts w:hint="eastAsia" w:ascii="Times New Roman" w:hAnsi="Times New Roman" w:cs="Times New Roman"/>
          <w:snapToGrid w:val="0"/>
          <w:color w:val="auto"/>
          <w:sz w:val="24"/>
          <w:szCs w:val="24"/>
          <w:highlight w:val="none"/>
          <w:lang w:val="en-US" w:eastAsia="zh-CN"/>
        </w:rPr>
        <w:t>10m高排放</w:t>
      </w:r>
      <w:r>
        <w:rPr>
          <w:rFonts w:hint="default" w:ascii="Times New Roman" w:hAnsi="Times New Roman" w:eastAsia="宋体" w:cs="Times New Roman"/>
          <w:snapToGrid w:val="0"/>
          <w:color w:val="auto"/>
          <w:sz w:val="24"/>
          <w:szCs w:val="24"/>
          <w:highlight w:val="none"/>
        </w:rPr>
        <w:t>，颗粒物、NOx、SO</w:t>
      </w:r>
      <w:r>
        <w:rPr>
          <w:rFonts w:hint="default" w:ascii="Times New Roman" w:hAnsi="Times New Roman" w:eastAsia="宋体" w:cs="Times New Roman"/>
          <w:snapToGrid w:val="0"/>
          <w:color w:val="auto"/>
          <w:sz w:val="24"/>
          <w:szCs w:val="24"/>
          <w:highlight w:val="none"/>
          <w:vertAlign w:val="subscript"/>
        </w:rPr>
        <w:t>2</w:t>
      </w:r>
      <w:r>
        <w:rPr>
          <w:rFonts w:hint="default" w:ascii="Times New Roman" w:hAnsi="Times New Roman" w:eastAsia="宋体" w:cs="Times New Roman"/>
          <w:snapToGrid w:val="0"/>
          <w:color w:val="auto"/>
          <w:sz w:val="24"/>
          <w:szCs w:val="24"/>
          <w:highlight w:val="none"/>
        </w:rPr>
        <w:t>排放量均较小，</w:t>
      </w:r>
      <w:r>
        <w:rPr>
          <w:rFonts w:hint="eastAsia" w:ascii="Times New Roman" w:hAnsi="Times New Roman" w:cs="Times New Roman"/>
          <w:snapToGrid w:val="0"/>
          <w:color w:val="auto"/>
          <w:sz w:val="24"/>
          <w:szCs w:val="24"/>
          <w:highlight w:val="none"/>
          <w:lang w:val="en-US" w:eastAsia="zh-CN"/>
        </w:rPr>
        <w:t>排放浓度达到《大气污染物综合排放标准》(GB16297-1996)表2二级排放标准，</w:t>
      </w:r>
      <w:r>
        <w:rPr>
          <w:rFonts w:hint="default" w:ascii="Times New Roman" w:hAnsi="Times New Roman" w:eastAsia="宋体" w:cs="Times New Roman"/>
          <w:snapToGrid w:val="0"/>
          <w:color w:val="auto"/>
          <w:sz w:val="24"/>
          <w:szCs w:val="24"/>
          <w:highlight w:val="none"/>
        </w:rPr>
        <w:t>对环境影响很小，可以被环境接受。</w:t>
      </w:r>
    </w:p>
    <w:p w14:paraId="655A7BF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（2）废水排放情况</w:t>
      </w:r>
    </w:p>
    <w:p w14:paraId="13284303">
      <w:pPr>
        <w:spacing w:line="360" w:lineRule="auto"/>
        <w:ind w:firstLine="420"/>
        <w:jc w:val="both"/>
        <w:rPr>
          <w:rFonts w:hint="default" w:ascii="Times New Roman" w:hAnsi="Times New Roman" w:cs="Times New Roman"/>
          <w:snapToGrid w:val="0"/>
          <w:color w:val="auto"/>
          <w:highlight w:val="none"/>
          <w:lang w:val="zh-CN"/>
        </w:rPr>
      </w:pPr>
      <w:r>
        <w:rPr>
          <w:rFonts w:hint="default" w:ascii="Times New Roman" w:hAnsi="Times New Roman" w:cs="Times New Roman"/>
          <w:snapToGrid w:val="0"/>
          <w:color w:val="auto"/>
          <w:highlight w:val="none"/>
        </w:rPr>
        <w:t>本项目采取</w:t>
      </w:r>
      <w:r>
        <w:rPr>
          <w:rFonts w:hint="eastAsia" w:ascii="Times New Roman" w:hAnsi="Times New Roman" w:cs="Times New Roman"/>
          <w:snapToGrid w:val="0"/>
          <w:color w:val="auto"/>
          <w:highlight w:val="none"/>
          <w:lang w:eastAsia="zh-CN"/>
        </w:rPr>
        <w:t>尿泡粪—干清粪</w:t>
      </w:r>
      <w:r>
        <w:rPr>
          <w:rFonts w:hint="default" w:ascii="Times New Roman" w:hAnsi="Times New Roman" w:cs="Times New Roman"/>
          <w:snapToGrid w:val="0"/>
          <w:color w:val="auto"/>
          <w:highlight w:val="none"/>
        </w:rPr>
        <w:t>工艺，废水主要包括养殖废水、职工生活污水。</w:t>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eastAsia="宋体" w:cs="Times New Roman"/>
          <w:color w:val="auto"/>
          <w:kern w:val="0"/>
          <w:sz w:val="24"/>
          <w:szCs w:val="24"/>
          <w:highlight w:val="none"/>
          <w:lang w:val="en-US" w:eastAsia="zh-CN" w:bidi="ar-SA"/>
        </w:rPr>
        <w:t>沼液贮存池</w:t>
      </w:r>
      <w:r>
        <w:rPr>
          <w:rFonts w:hint="default" w:ascii="Times New Roman" w:hAnsi="Times New Roman" w:cs="Times New Roman"/>
          <w:snapToGrid w:val="0"/>
          <w:color w:val="auto"/>
          <w:highlight w:val="none"/>
          <w:lang w:val="zh-CN"/>
        </w:rPr>
        <w:t>。</w:t>
      </w:r>
    </w:p>
    <w:p w14:paraId="49611E90">
      <w:pPr>
        <w:spacing w:line="360" w:lineRule="auto"/>
        <w:ind w:firstLine="420"/>
        <w:jc w:val="both"/>
        <w:rPr>
          <w:rFonts w:hint="default" w:ascii="Times New Roman" w:hAnsi="Times New Roman" w:cs="Times New Roman"/>
          <w:snapToGrid w:val="0"/>
          <w:color w:val="auto"/>
          <w:highlight w:val="none"/>
          <w:lang w:val="zh-CN"/>
        </w:rPr>
      </w:pPr>
      <w:r>
        <w:rPr>
          <w:rFonts w:hint="default" w:ascii="Times New Roman" w:hAnsi="Times New Roman" w:cs="Times New Roman"/>
          <w:color w:val="auto"/>
          <w:highlight w:val="none"/>
        </w:rPr>
        <w:t>本项目地处北方地区，冬季寒冷不能施肥，因此冬季采用发酵处理猪粪尿。养殖场夏季所排污水经黑膜厌氧池处理用于施肥。在做好黑膜厌氧池</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kern w:val="0"/>
          <w:sz w:val="24"/>
          <w:szCs w:val="24"/>
          <w:highlight w:val="none"/>
          <w:lang w:val="en-US" w:eastAsia="zh-CN" w:bidi="ar-SA"/>
        </w:rPr>
        <w:t>沼液贮存池</w:t>
      </w:r>
      <w:r>
        <w:rPr>
          <w:rFonts w:hint="default" w:ascii="Times New Roman" w:hAnsi="Times New Roman" w:cs="Times New Roman"/>
          <w:color w:val="auto"/>
          <w:highlight w:val="none"/>
        </w:rPr>
        <w:t>等防渗工作的前提下，不会对场区周围地下水产生明显影响。但如果发生渗漏，也有可能对当地地下水造成污染。本区域地下水流动缓慢，如污染物渗入地下水，污染物随地下水迁移速度较慢，区域地下水流向为自</w:t>
      </w:r>
      <w:r>
        <w:rPr>
          <w:rFonts w:hint="eastAsia" w:ascii="Times New Roman" w:hAnsi="Times New Roman" w:cs="Times New Roman"/>
          <w:color w:val="auto"/>
          <w:highlight w:val="none"/>
          <w:lang w:val="en-US" w:eastAsia="zh-CN"/>
        </w:rPr>
        <w:t>西南到东北</w:t>
      </w:r>
      <w:r>
        <w:rPr>
          <w:rFonts w:hint="default" w:ascii="Times New Roman" w:hAnsi="Times New Roman" w:cs="Times New Roman"/>
          <w:color w:val="auto"/>
          <w:highlight w:val="none"/>
        </w:rPr>
        <w:t>，非正常工况发生泄漏情况下，</w:t>
      </w:r>
      <w:r>
        <w:rPr>
          <w:rFonts w:hint="default" w:ascii="Times New Roman" w:hAnsi="Times New Roman" w:cs="Times New Roman"/>
          <w:color w:val="auto"/>
          <w:highlight w:val="none"/>
          <w:lang w:val="en-US" w:eastAsia="zh-CN"/>
        </w:rPr>
        <w:t>主要污染为</w:t>
      </w:r>
      <w:r>
        <w:rPr>
          <w:rFonts w:hint="default" w:ascii="Times New Roman" w:hAnsi="Times New Roman" w:cs="Times New Roman"/>
          <w:color w:val="auto"/>
          <w:highlight w:val="none"/>
        </w:rPr>
        <w:t>COD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氨氮。</w:t>
      </w:r>
    </w:p>
    <w:p w14:paraId="17D3A20E">
      <w:pPr>
        <w:spacing w:line="360" w:lineRule="auto"/>
        <w:ind w:firstLine="420"/>
        <w:jc w:val="both"/>
        <w:rPr>
          <w:rFonts w:hint="default" w:ascii="Times New Roman" w:hAnsi="Times New Roman" w:eastAsia="宋体" w:cs="Times New Roman"/>
          <w:snapToGrid w:val="0"/>
          <w:color w:val="auto"/>
          <w:szCs w:val="20"/>
          <w:highlight w:val="none"/>
        </w:rPr>
      </w:pPr>
      <w:r>
        <w:rPr>
          <w:rFonts w:hint="default" w:ascii="Times New Roman" w:hAnsi="Times New Roman" w:eastAsia="宋体" w:cs="Times New Roman"/>
          <w:snapToGrid w:val="0"/>
          <w:color w:val="auto"/>
          <w:szCs w:val="20"/>
          <w:highlight w:val="none"/>
        </w:rPr>
        <w:t>（3）噪声</w:t>
      </w:r>
      <w:r>
        <w:rPr>
          <w:rFonts w:hint="default" w:ascii="Times New Roman" w:hAnsi="Times New Roman" w:eastAsia="宋体" w:cs="Times New Roman"/>
          <w:snapToGrid w:val="0"/>
          <w:color w:val="auto"/>
          <w:highlight w:val="none"/>
        </w:rPr>
        <w:t>排放情况</w:t>
      </w:r>
    </w:p>
    <w:p w14:paraId="397ABDC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项目噪声源主要为水泵、风机、猪叫等，建筑上采取隔声、吸声措施，振动较大的设备采取独立基础，设置减震器。项目运行后满足《工业企业厂界环境噪声排放标准》（GB12348-2008）表1中的</w:t>
      </w:r>
      <w:r>
        <w:rPr>
          <w:rFonts w:hint="eastAsia" w:ascii="Times New Roman" w:hAnsi="Times New Roman" w:cs="Times New Roman"/>
          <w:snapToGrid w:val="0"/>
          <w:color w:val="auto"/>
          <w:highlight w:val="none"/>
          <w:lang w:val="en-US" w:eastAsia="zh-CN"/>
        </w:rPr>
        <w:t>1类</w:t>
      </w:r>
      <w:r>
        <w:rPr>
          <w:rFonts w:hint="default" w:ascii="Times New Roman" w:hAnsi="Times New Roman" w:eastAsia="宋体" w:cs="Times New Roman"/>
          <w:snapToGrid w:val="0"/>
          <w:color w:val="auto"/>
          <w:highlight w:val="none"/>
        </w:rPr>
        <w:t>功能区标准，区域声环境功能不下降。</w:t>
      </w:r>
    </w:p>
    <w:p w14:paraId="6CCD462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（4）固体废物排放情况</w:t>
      </w:r>
    </w:p>
    <w:p w14:paraId="77D41B3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猪粪及沼渣</w:t>
      </w:r>
    </w:p>
    <w:p w14:paraId="2B354A9D">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项目采取</w:t>
      </w:r>
      <w:r>
        <w:rPr>
          <w:rFonts w:hint="eastAsia" w:ascii="Times New Roman" w:hAnsi="Times New Roman" w:cs="Times New Roman"/>
          <w:snapToGrid w:val="0"/>
          <w:color w:val="auto"/>
          <w:kern w:val="0"/>
          <w:sz w:val="24"/>
          <w:szCs w:val="24"/>
          <w:highlight w:val="none"/>
          <w:lang w:val="en-US" w:eastAsia="zh-CN" w:bidi="ar-SA"/>
        </w:rPr>
        <w:t>尿泡粪—干清粪</w:t>
      </w:r>
      <w:r>
        <w:rPr>
          <w:rFonts w:hint="default" w:ascii="Times New Roman" w:hAnsi="Times New Roman" w:eastAsia="宋体" w:cs="Times New Roman"/>
          <w:snapToGrid w:val="0"/>
          <w:color w:val="auto"/>
          <w:kern w:val="0"/>
          <w:sz w:val="24"/>
          <w:szCs w:val="24"/>
          <w:highlight w:val="none"/>
          <w:lang w:val="en-US" w:eastAsia="zh-CN" w:bidi="ar-SA"/>
        </w:rPr>
        <w:t>方式进行清粪，</w:t>
      </w:r>
      <w:r>
        <w:rPr>
          <w:rFonts w:hint="eastAsia" w:ascii="Times New Roman" w:hAnsi="Times New Roman" w:cs="Times New Roman"/>
          <w:snapToGrid w:val="0"/>
          <w:color w:val="auto"/>
          <w:kern w:val="0"/>
          <w:sz w:val="24"/>
          <w:szCs w:val="24"/>
          <w:highlight w:val="none"/>
          <w:lang w:val="en-US" w:eastAsia="zh-CN" w:bidi="ar-SA"/>
        </w:rPr>
        <w:t>尿泡粪—干清粪是粪尿冲洗和饲养管理用水一并通过漏缝地板流入集粪沟中。粪便在粪沟内浸泡稀释成粪液，储存一定时间后，粪液顺粪沟进入集粪池。粪液在集粪池内达到一定量时，经污水泵进入固液分离机，经固液分离后，含水率降至20%，分离出的干物质送至干粪堆积场堆肥发酵后还田</w:t>
      </w:r>
      <w:r>
        <w:rPr>
          <w:rFonts w:hint="eastAsia" w:ascii="Times New Roman" w:hAnsi="Times New Roman" w:eastAsia="宋体" w:cs="Times New Roman"/>
          <w:snapToGrid w:val="0"/>
          <w:color w:val="auto"/>
          <w:kern w:val="0"/>
          <w:sz w:val="24"/>
          <w:szCs w:val="24"/>
          <w:highlight w:val="none"/>
          <w:lang w:val="en-US" w:eastAsia="zh-CN" w:bidi="ar-SA"/>
        </w:rPr>
        <w:t>。根据《畜禽养殖业污染治理工程技术规范》的资料性附录 A“畜禽养殖废水水质和粪污产生量”猪粪量为398kg/头▪a，本项目常年存栏量8000头，产粪量总计8.723t/d、3184t/a。</w:t>
      </w:r>
    </w:p>
    <w:p w14:paraId="32A1F8FC">
      <w:pPr>
        <w:spacing w:line="360" w:lineRule="auto"/>
        <w:ind w:firstLine="480" w:firstLineChars="200"/>
        <w:jc w:val="both"/>
        <w:rPr>
          <w:rFonts w:hint="default" w:ascii="Times New Roman" w:hAnsi="Times New Roman" w:cs="Times New Roman"/>
          <w:snapToGrid w:val="0"/>
          <w:color w:val="auto"/>
          <w:highlight w:val="none"/>
        </w:rPr>
      </w:pPr>
      <w:r>
        <w:rPr>
          <w:rFonts w:hint="eastAsia" w:ascii="Times New Roman" w:hAnsi="Times New Roman" w:eastAsia="宋体" w:cs="Times New Roman"/>
          <w:snapToGrid w:val="0"/>
          <w:color w:val="auto"/>
          <w:kern w:val="0"/>
          <w:sz w:val="24"/>
          <w:szCs w:val="24"/>
          <w:highlight w:val="none"/>
          <w:lang w:val="en-US" w:eastAsia="zh-CN" w:bidi="ar-SA"/>
        </w:rPr>
        <w:t>则干粪</w:t>
      </w:r>
      <w:r>
        <w:rPr>
          <w:rFonts w:hint="default" w:ascii="Times New Roman" w:hAnsi="Times New Roman" w:eastAsia="宋体" w:cs="Times New Roman"/>
          <w:snapToGrid w:val="0"/>
          <w:color w:val="auto"/>
          <w:kern w:val="0"/>
          <w:sz w:val="24"/>
          <w:szCs w:val="24"/>
          <w:highlight w:val="none"/>
          <w:lang w:val="en-US" w:eastAsia="zh-CN" w:bidi="ar-SA"/>
        </w:rPr>
        <w:t>产生量为</w:t>
      </w:r>
      <w:r>
        <w:rPr>
          <w:rFonts w:hint="eastAsia" w:ascii="Times New Roman" w:hAnsi="Times New Roman" w:eastAsia="宋体" w:cs="Times New Roman"/>
          <w:snapToGrid w:val="0"/>
          <w:color w:val="auto"/>
          <w:kern w:val="0"/>
          <w:sz w:val="24"/>
          <w:szCs w:val="24"/>
          <w:highlight w:val="none"/>
          <w:lang w:val="en-US" w:eastAsia="zh-CN" w:bidi="ar-SA"/>
        </w:rPr>
        <w:t>1.7446t/d、636.779t/a</w:t>
      </w:r>
      <w:r>
        <w:rPr>
          <w:rFonts w:hint="default" w:ascii="Times New Roman" w:hAnsi="Times New Roman" w:eastAsia="宋体" w:cs="Times New Roman"/>
          <w:snapToGrid w:val="0"/>
          <w:color w:val="auto"/>
          <w:kern w:val="0"/>
          <w:sz w:val="24"/>
          <w:szCs w:val="24"/>
          <w:highlight w:val="none"/>
          <w:lang w:val="en-US" w:eastAsia="zh-CN" w:bidi="ar-SA"/>
        </w:rPr>
        <w:t>。可作为肥料施用于项目周边区域的农田。</w:t>
      </w:r>
      <w:r>
        <w:rPr>
          <w:rFonts w:hint="default" w:ascii="Times New Roman" w:hAnsi="Times New Roman" w:eastAsia="宋体" w:cs="Times New Roman"/>
          <w:color w:val="auto"/>
          <w:kern w:val="0"/>
          <w:sz w:val="24"/>
          <w:szCs w:val="24"/>
          <w:highlight w:val="none"/>
          <w:lang w:val="en-US" w:eastAsia="zh-CN" w:bidi="ar-SA"/>
        </w:rPr>
        <w:t>本项目</w:t>
      </w:r>
      <w:r>
        <w:rPr>
          <w:rFonts w:hint="eastAsia" w:ascii="Times New Roman" w:hAnsi="Times New Roman" w:cs="Times New Roman"/>
          <w:color w:val="auto"/>
          <w:kern w:val="0"/>
          <w:sz w:val="24"/>
          <w:szCs w:val="24"/>
          <w:highlight w:val="none"/>
          <w:lang w:val="en-US" w:eastAsia="zh-CN" w:bidi="ar-SA"/>
        </w:rPr>
        <w:t>尿泡粪—干清粪</w:t>
      </w:r>
      <w:r>
        <w:rPr>
          <w:rFonts w:hint="default" w:ascii="Times New Roman" w:hAnsi="Times New Roman" w:eastAsia="宋体" w:cs="Times New Roman"/>
          <w:color w:val="auto"/>
          <w:kern w:val="0"/>
          <w:sz w:val="24"/>
          <w:szCs w:val="24"/>
          <w:highlight w:val="none"/>
          <w:lang w:val="en-US" w:eastAsia="zh-CN" w:bidi="ar-SA"/>
        </w:rPr>
        <w:t>后猪粪（</w:t>
      </w:r>
      <w:r>
        <w:rPr>
          <w:rFonts w:hint="eastAsia" w:ascii="Times New Roman" w:hAnsi="Times New Roman" w:eastAsia="宋体" w:cs="Times New Roman"/>
          <w:color w:val="auto"/>
          <w:kern w:val="0"/>
          <w:sz w:val="24"/>
          <w:szCs w:val="24"/>
          <w:highlight w:val="none"/>
          <w:lang w:val="en-US" w:eastAsia="zh-CN" w:bidi="ar-SA"/>
        </w:rPr>
        <w:t>3184</w:t>
      </w:r>
      <w:r>
        <w:rPr>
          <w:rFonts w:hint="default" w:ascii="Times New Roman" w:hAnsi="Times New Roman" w:eastAsia="宋体" w:cs="Times New Roman"/>
          <w:color w:val="auto"/>
          <w:kern w:val="0"/>
          <w:sz w:val="24"/>
          <w:szCs w:val="24"/>
          <w:highlight w:val="none"/>
          <w:lang w:val="en-US" w:eastAsia="zh-CN" w:bidi="ar-SA"/>
        </w:rPr>
        <w:t>t/a）随尿液进入固液分离间，粪便和废水经固液分离后的干物质（</w:t>
      </w:r>
      <w:r>
        <w:rPr>
          <w:rFonts w:hint="eastAsia" w:ascii="Times New Roman" w:hAnsi="Times New Roman" w:eastAsia="宋体" w:cs="Times New Roman"/>
          <w:color w:val="auto"/>
          <w:kern w:val="0"/>
          <w:sz w:val="24"/>
          <w:szCs w:val="24"/>
          <w:highlight w:val="none"/>
          <w:lang w:val="en-US" w:eastAsia="zh-CN" w:bidi="ar-SA"/>
        </w:rPr>
        <w:t>636.779t/a</w:t>
      </w:r>
      <w:r>
        <w:rPr>
          <w:rFonts w:hint="default" w:ascii="Times New Roman" w:hAnsi="Times New Roman" w:eastAsia="宋体" w:cs="Times New Roman"/>
          <w:color w:val="auto"/>
          <w:kern w:val="0"/>
          <w:sz w:val="24"/>
          <w:szCs w:val="24"/>
          <w:highlight w:val="none"/>
          <w:lang w:val="en-US" w:eastAsia="zh-CN" w:bidi="ar-SA"/>
        </w:rPr>
        <w:t>）被分离出来变成</w:t>
      </w:r>
      <w:r>
        <w:rPr>
          <w:rFonts w:hint="eastAsia" w:ascii="Times New Roman" w:hAnsi="Times New Roman" w:eastAsia="宋体" w:cs="Times New Roman"/>
          <w:color w:val="auto"/>
          <w:kern w:val="0"/>
          <w:sz w:val="24"/>
          <w:szCs w:val="24"/>
          <w:highlight w:val="none"/>
          <w:lang w:val="en-US" w:eastAsia="zh-CN" w:bidi="ar-SA"/>
        </w:rPr>
        <w:t>干粪</w:t>
      </w:r>
      <w:r>
        <w:rPr>
          <w:rFonts w:hint="default" w:ascii="Times New Roman" w:hAnsi="Times New Roman" w:eastAsia="宋体" w:cs="Times New Roman"/>
          <w:color w:val="auto"/>
          <w:kern w:val="0"/>
          <w:sz w:val="24"/>
          <w:szCs w:val="24"/>
          <w:highlight w:val="none"/>
          <w:lang w:val="en-US" w:eastAsia="zh-CN" w:bidi="ar-SA"/>
        </w:rPr>
        <w:t>，剩余物质（</w:t>
      </w:r>
      <w:r>
        <w:rPr>
          <w:rFonts w:hint="eastAsia" w:ascii="Times New Roman" w:hAnsi="Times New Roman" w:eastAsia="宋体" w:cs="Times New Roman"/>
          <w:snapToGrid w:val="0"/>
          <w:color w:val="auto"/>
          <w:kern w:val="0"/>
          <w:sz w:val="24"/>
          <w:szCs w:val="24"/>
          <w:highlight w:val="none"/>
          <w:lang w:val="en-US" w:eastAsia="zh-CN" w:bidi="ar-SA"/>
        </w:rPr>
        <w:t>2547.2</w:t>
      </w:r>
      <w:r>
        <w:rPr>
          <w:rFonts w:hint="default" w:ascii="Times New Roman" w:hAnsi="Times New Roman" w:eastAsia="宋体" w:cs="Times New Roman"/>
          <w:color w:val="auto"/>
          <w:kern w:val="0"/>
          <w:sz w:val="24"/>
          <w:szCs w:val="24"/>
          <w:highlight w:val="none"/>
          <w:lang w:val="en-US" w:eastAsia="zh-CN" w:bidi="ar-SA"/>
        </w:rPr>
        <w:t>t/a）进入黑膜厌氧反应池进行厌氧反应，经过厌氧发酵后，60%的干物质被分解，40%的干物质生成沼渣。沼渣含水率为65%，则沼渣产生量约为</w:t>
      </w:r>
      <w:r>
        <w:rPr>
          <w:rFonts w:hint="eastAsia" w:ascii="Times New Roman" w:hAnsi="Times New Roman" w:eastAsia="宋体" w:cs="Times New Roman"/>
          <w:color w:val="auto"/>
          <w:kern w:val="0"/>
          <w:sz w:val="24"/>
          <w:szCs w:val="24"/>
          <w:highlight w:val="none"/>
          <w:lang w:val="en-US" w:eastAsia="zh-CN" w:bidi="ar-SA"/>
        </w:rPr>
        <w:t>0.977</w:t>
      </w:r>
      <w:r>
        <w:rPr>
          <w:rFonts w:hint="default" w:ascii="Times New Roman" w:hAnsi="Times New Roman" w:eastAsia="宋体" w:cs="Times New Roman"/>
          <w:color w:val="auto"/>
          <w:kern w:val="0"/>
          <w:sz w:val="24"/>
          <w:szCs w:val="24"/>
          <w:highlight w:val="none"/>
          <w:lang w:val="en-US" w:eastAsia="zh-CN" w:bidi="ar-SA"/>
        </w:rPr>
        <w:t>t/d（即</w:t>
      </w:r>
      <w:r>
        <w:rPr>
          <w:rFonts w:hint="eastAsia" w:ascii="Times New Roman" w:hAnsi="Times New Roman" w:eastAsia="宋体" w:cs="Times New Roman"/>
          <w:color w:val="auto"/>
          <w:kern w:val="0"/>
          <w:sz w:val="24"/>
          <w:szCs w:val="24"/>
          <w:highlight w:val="none"/>
          <w:lang w:val="en-US" w:eastAsia="zh-CN" w:bidi="ar-SA"/>
        </w:rPr>
        <w:t>356.608</w:t>
      </w:r>
      <w:r>
        <w:rPr>
          <w:rFonts w:hint="default" w:ascii="Times New Roman" w:hAnsi="Times New Roman" w:eastAsia="宋体" w:cs="Times New Roman"/>
          <w:color w:val="auto"/>
          <w:kern w:val="0"/>
          <w:sz w:val="24"/>
          <w:szCs w:val="24"/>
          <w:highlight w:val="none"/>
          <w:lang w:val="en-US" w:eastAsia="zh-CN" w:bidi="ar-SA"/>
        </w:rPr>
        <w:t>t/a）。产生的沼渣运至</w:t>
      </w:r>
      <w:r>
        <w:rPr>
          <w:rFonts w:hint="eastAsia" w:ascii="Times New Roman" w:hAnsi="Times New Roman" w:eastAsia="宋体" w:cs="Times New Roman"/>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发酵后还田</w:t>
      </w:r>
      <w:r>
        <w:rPr>
          <w:rFonts w:hint="default" w:ascii="Times New Roman" w:hAnsi="Times New Roman" w:cs="Times New Roman"/>
          <w:color w:val="auto"/>
          <w:highlight w:val="none"/>
          <w:lang w:eastAsia="zh-CN"/>
        </w:rPr>
        <w:t>。</w:t>
      </w:r>
    </w:p>
    <w:p w14:paraId="2812063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生活垃圾</w:t>
      </w:r>
    </w:p>
    <w:p w14:paraId="23F7701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在生活区内设置一处生活垃圾收集箱，生活垃圾由当地环卫部门统一收集处理，不外排。</w:t>
      </w:r>
    </w:p>
    <w:p w14:paraId="7036F41C">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3 \* GB3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病死猪及胎盘</w:t>
      </w:r>
    </w:p>
    <w:p w14:paraId="20738F17">
      <w:pPr>
        <w:pStyle w:val="94"/>
        <w:ind w:firstLine="480"/>
        <w:rPr>
          <w:rFonts w:hint="default" w:ascii="Times New Roman" w:hAnsi="Times New Roman" w:cs="Times New Roman"/>
          <w:color w:val="auto"/>
          <w:sz w:val="24"/>
          <w:highlight w:val="none"/>
          <w:lang w:val="en-US" w:eastAsia="zh-CN" w:bidi="ar"/>
        </w:rPr>
      </w:pPr>
      <w:r>
        <w:rPr>
          <w:rFonts w:hint="default" w:ascii="Times New Roman" w:hAnsi="Times New Roman" w:eastAsia="宋体" w:cs="Times New Roman"/>
          <w:snapToGrid w:val="0"/>
          <w:color w:val="auto"/>
          <w:highlight w:val="none"/>
        </w:rPr>
        <w:t>本项目正常死亡及普通疫病的病死猪</w:t>
      </w:r>
      <w:r>
        <w:rPr>
          <w:rFonts w:hint="default"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胎盘。</w:t>
      </w:r>
      <w:r>
        <w:rPr>
          <w:rFonts w:hint="default" w:ascii="Times New Roman" w:hAnsi="Times New Roman" w:cs="Times New Roman"/>
          <w:color w:val="auto"/>
          <w:sz w:val="24"/>
          <w:highlight w:val="none"/>
          <w:lang w:val="en-US" w:eastAsia="zh-CN" w:bidi="ar"/>
        </w:rPr>
        <w:t>病死猪及胎盘委托</w:t>
      </w:r>
      <w:r>
        <w:rPr>
          <w:rFonts w:hint="eastAsia" w:ascii="Times New Roman" w:hAnsi="Times New Roman" w:cs="Times New Roman"/>
          <w:color w:val="auto"/>
          <w:sz w:val="24"/>
          <w:highlight w:val="none"/>
          <w:lang w:val="en-US" w:eastAsia="zh-CN" w:bidi="ar"/>
        </w:rPr>
        <w:t>鸡西市鑫农源固废处理有限公司进行无害化集中处理</w:t>
      </w:r>
      <w:r>
        <w:rPr>
          <w:rFonts w:hint="default" w:ascii="Times New Roman" w:hAnsi="Times New Roman" w:cs="Times New Roman"/>
          <w:color w:val="auto"/>
          <w:sz w:val="24"/>
          <w:highlight w:val="none"/>
          <w:lang w:val="en-US" w:eastAsia="zh-CN" w:bidi="ar"/>
        </w:rPr>
        <w:t>（具体协议见附件）。</w:t>
      </w:r>
    </w:p>
    <w:p w14:paraId="7A24F24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4 \* GB3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废脱硫剂</w:t>
      </w:r>
    </w:p>
    <w:p w14:paraId="0E13C6B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本项目每年产生废脱硫剂</w:t>
      </w:r>
      <w:r>
        <w:rPr>
          <w:rFonts w:hint="default"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每年需更换2次，废脱硫剂由厂家回收。</w:t>
      </w:r>
    </w:p>
    <w:p w14:paraId="069BCDC1">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eastAsia" w:ascii="Times New Roman" w:hAnsi="Times New Roman" w:cs="Times New Roman"/>
          <w:color w:val="auto"/>
          <w:highlight w:val="none"/>
          <w:lang w:eastAsia="zh-CN"/>
        </w:rPr>
        <w:t>动物医疗废物</w:t>
      </w:r>
    </w:p>
    <w:p w14:paraId="1EA672CB">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eastAsia="zh-CN"/>
        </w:rPr>
        <w:t>动物医疗废物</w:t>
      </w:r>
      <w:r>
        <w:rPr>
          <w:rFonts w:hint="default" w:ascii="Times New Roman" w:hAnsi="Times New Roman" w:eastAsia="宋体" w:cs="Times New Roman"/>
          <w:snapToGrid w:val="0"/>
          <w:color w:val="auto"/>
          <w:highlight w:val="none"/>
        </w:rPr>
        <w:t>单独收集于医疗废物暂存间，交由有资质单位处置。</w:t>
      </w:r>
    </w:p>
    <w:p w14:paraId="469E1F0F">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⑥废活性炭</w:t>
      </w:r>
    </w:p>
    <w:p w14:paraId="0B2B286F">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厂区废活性炭每季度更换一次，由厂家回收处置，不在厂区暂存。</w:t>
      </w:r>
    </w:p>
    <w:p w14:paraId="08AE9D06">
      <w:pPr>
        <w:pStyle w:val="7"/>
        <w:bidi w:val="0"/>
        <w:rPr>
          <w:rFonts w:hint="default"/>
          <w:highlight w:val="none"/>
        </w:rPr>
      </w:pPr>
      <w:bookmarkStart w:id="1272" w:name="_Toc10270"/>
      <w:bookmarkStart w:id="1273" w:name="_Toc23141"/>
      <w:bookmarkStart w:id="1274" w:name="_Toc357"/>
      <w:bookmarkStart w:id="1275" w:name="_Toc30358"/>
      <w:r>
        <w:rPr>
          <w:rFonts w:hint="default"/>
          <w:highlight w:val="none"/>
        </w:rPr>
        <w:t>9.1.5环境影响评价结论</w:t>
      </w:r>
      <w:bookmarkEnd w:id="1272"/>
      <w:bookmarkEnd w:id="1273"/>
      <w:bookmarkEnd w:id="1274"/>
      <w:bookmarkEnd w:id="1275"/>
    </w:p>
    <w:p w14:paraId="2F4AA27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（1）大气环境影响评价结论</w:t>
      </w:r>
    </w:p>
    <w:p w14:paraId="4C48DB5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恶臭</w:t>
      </w:r>
    </w:p>
    <w:p w14:paraId="22779456">
      <w:pPr>
        <w:pStyle w:val="94"/>
        <w:ind w:firstLine="48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项目运行期猪舍及时清粪、通风换气、日粮中添加EM菌、喷洒</w:t>
      </w:r>
      <w:r>
        <w:rPr>
          <w:rFonts w:hint="default" w:ascii="Times New Roman" w:hAnsi="Times New Roman" w:eastAsia="宋体" w:cs="Times New Roman"/>
          <w:snapToGrid w:val="0"/>
          <w:color w:val="auto"/>
          <w:sz w:val="24"/>
          <w:szCs w:val="24"/>
          <w:highlight w:val="none"/>
          <w:lang w:val="en-US" w:eastAsia="zh-CN"/>
        </w:rPr>
        <w:t>生物除臭剂</w:t>
      </w:r>
      <w:r>
        <w:rPr>
          <w:rFonts w:hint="default" w:ascii="Times New Roman" w:hAnsi="Times New Roman" w:eastAsia="宋体" w:cs="Times New Roman"/>
          <w:snapToGrid w:val="0"/>
          <w:color w:val="auto"/>
          <w:sz w:val="24"/>
          <w:szCs w:val="24"/>
          <w:highlight w:val="none"/>
        </w:rPr>
        <w:t>的除臭方式；</w:t>
      </w:r>
      <w:r>
        <w:rPr>
          <w:rFonts w:hint="eastAsia" w:ascii="Times New Roman" w:hAnsi="Times New Roman" w:cs="Times New Roman"/>
          <w:color w:val="auto"/>
          <w:sz w:val="24"/>
          <w:szCs w:val="24"/>
          <w:highlight w:val="none"/>
          <w:lang w:eastAsia="zh-CN"/>
        </w:rPr>
        <w:t>固液分离间</w:t>
      </w:r>
      <w:r>
        <w:rPr>
          <w:rFonts w:hint="default" w:ascii="Times New Roman" w:hAnsi="Times New Roman" w:eastAsia="宋体" w:cs="Times New Roman"/>
          <w:snapToGrid w:val="0"/>
          <w:color w:val="auto"/>
          <w:sz w:val="24"/>
          <w:szCs w:val="24"/>
          <w:highlight w:val="none"/>
        </w:rPr>
        <w:t>喷洒</w:t>
      </w:r>
      <w:r>
        <w:rPr>
          <w:rFonts w:hint="default" w:ascii="Times New Roman" w:hAnsi="Times New Roman" w:eastAsia="宋体" w:cs="Times New Roman"/>
          <w:snapToGrid w:val="0"/>
          <w:color w:val="auto"/>
          <w:sz w:val="24"/>
          <w:szCs w:val="24"/>
          <w:highlight w:val="none"/>
          <w:lang w:val="en-US" w:eastAsia="zh-CN"/>
        </w:rPr>
        <w:t>生物除臭剂</w:t>
      </w:r>
      <w:r>
        <w:rPr>
          <w:rFonts w:hint="default" w:ascii="Times New Roman" w:hAnsi="Times New Roman" w:eastAsia="宋体" w:cs="Times New Roman"/>
          <w:snapToGrid w:val="0"/>
          <w:color w:val="auto"/>
          <w:sz w:val="24"/>
          <w:szCs w:val="24"/>
          <w:highlight w:val="none"/>
        </w:rPr>
        <w:t>除臭方式；</w:t>
      </w:r>
      <w:r>
        <w:rPr>
          <w:rFonts w:hint="default" w:ascii="Times New Roman" w:hAnsi="Times New Roman" w:eastAsia="宋体" w:cs="Times New Roman"/>
          <w:snapToGrid w:val="0"/>
          <w:color w:val="auto"/>
          <w:sz w:val="24"/>
          <w:szCs w:val="24"/>
          <w:highlight w:val="none"/>
          <w:lang w:val="en-US" w:eastAsia="zh-CN"/>
        </w:rPr>
        <w:t>黑膜厌氧池</w:t>
      </w:r>
      <w:r>
        <w:rPr>
          <w:rFonts w:hint="default" w:ascii="Times New Roman" w:hAnsi="Times New Roman" w:eastAsia="宋体" w:cs="Times New Roman"/>
          <w:snapToGrid w:val="0"/>
          <w:color w:val="auto"/>
          <w:sz w:val="24"/>
          <w:szCs w:val="24"/>
          <w:highlight w:val="none"/>
        </w:rPr>
        <w:t>喷洒</w:t>
      </w:r>
      <w:r>
        <w:rPr>
          <w:rFonts w:hint="default" w:ascii="Times New Roman" w:hAnsi="Times New Roman" w:eastAsia="宋体" w:cs="Times New Roman"/>
          <w:snapToGrid w:val="0"/>
          <w:color w:val="auto"/>
          <w:sz w:val="24"/>
          <w:szCs w:val="24"/>
          <w:highlight w:val="none"/>
          <w:lang w:val="en-US" w:eastAsia="zh-CN"/>
        </w:rPr>
        <w:t>生物除臭剂</w:t>
      </w:r>
      <w:r>
        <w:rPr>
          <w:rFonts w:hint="default" w:ascii="Times New Roman" w:hAnsi="Times New Roman" w:eastAsia="宋体" w:cs="Times New Roman"/>
          <w:snapToGrid w:val="0"/>
          <w:color w:val="auto"/>
          <w:sz w:val="24"/>
          <w:szCs w:val="24"/>
          <w:highlight w:val="none"/>
        </w:rPr>
        <w:t>除臭方式</w:t>
      </w:r>
      <w:r>
        <w:rPr>
          <w:rFonts w:hint="default" w:ascii="Times New Roman" w:hAnsi="Times New Roman" w:cs="Times New Roman"/>
          <w:snapToGrid w:val="0"/>
          <w:color w:val="auto"/>
          <w:sz w:val="24"/>
          <w:szCs w:val="24"/>
          <w:highlight w:val="none"/>
          <w:lang w:eastAsia="zh-CN"/>
        </w:rPr>
        <w:t>，</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bCs/>
          <w:snapToGrid w:val="0"/>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及时清运固体粪污；采用好氧堆肥方式；恶臭采用负压收集后（收集效率90%）进入活性炭吸附装置净化处理后（处理效率90%）经15米高排气筒排放，废气量为</w:t>
      </w:r>
      <w:r>
        <w:rPr>
          <w:rFonts w:hint="eastAsia" w:ascii="Times New Roman" w:hAnsi="Times New Roman" w:cs="Times New Roman"/>
          <w:color w:val="auto"/>
          <w:sz w:val="24"/>
          <w:szCs w:val="24"/>
          <w:highlight w:val="none"/>
          <w:lang w:val="en-US" w:eastAsia="zh-CN"/>
        </w:rPr>
        <w:t>5000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/h，减少恶臭气体对周围环境的影响</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H</w:t>
      </w:r>
      <w:r>
        <w:rPr>
          <w:rFonts w:hint="eastAsia" w:ascii="Times New Roman" w:hAnsi="Times New Roman" w:cs="Times New Roman"/>
          <w:b w:val="0"/>
          <w:bCs w:val="0"/>
          <w:smallCap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S、NH</w:t>
      </w:r>
      <w:r>
        <w:rPr>
          <w:rFonts w:hint="eastAsia" w:ascii="Times New Roman" w:hAnsi="Times New Roman" w:cs="Times New Roman"/>
          <w:b w:val="0"/>
          <w:bCs w:val="0"/>
          <w:smallCaps/>
          <w:snapToGrid w:val="0"/>
          <w:color w:val="auto"/>
          <w:kern w:val="0"/>
          <w:sz w:val="24"/>
          <w:szCs w:val="24"/>
          <w:highlight w:val="none"/>
          <w:vertAlign w:val="subscript"/>
          <w:lang w:val="en-US" w:eastAsia="zh-CN" w:bidi="ar-SA"/>
        </w:rPr>
        <w:t>3</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有</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组织排放浓度执行《恶臭污染物排放标准》（GB14554-93）表</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中</w:t>
      </w:r>
      <w:r>
        <w:rPr>
          <w:rFonts w:hint="eastAsia" w:ascii="Times New Roman" w:hAnsi="Times New Roman" w:eastAsia="宋体" w:cs="Times New Roman"/>
          <w:b w:val="0"/>
          <w:bCs w:val="0"/>
          <w:smallCaps/>
          <w:snapToGrid w:val="0"/>
          <w:color w:val="auto"/>
          <w:kern w:val="0"/>
          <w:sz w:val="24"/>
          <w:szCs w:val="24"/>
          <w:highlight w:val="none"/>
          <w:lang w:val="en-US" w:eastAsia="zh-CN" w:bidi="ar-SA"/>
        </w:rPr>
        <w:t>恶臭污染物排放标准限值</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；运营期恶臭污染物H</w:t>
      </w:r>
      <w:r>
        <w:rPr>
          <w:rFonts w:hint="default" w:ascii="Times New Roman" w:hAnsi="Times New Roman" w:eastAsia="宋体" w:cs="Times New Roman"/>
          <w:b w:val="0"/>
          <w:bCs w:val="0"/>
          <w:smallCap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S、NH</w:t>
      </w:r>
      <w:r>
        <w:rPr>
          <w:rFonts w:hint="default" w:ascii="Times New Roman" w:hAnsi="Times New Roman" w:eastAsia="宋体" w:cs="Times New Roman"/>
          <w:b w:val="0"/>
          <w:bCs w:val="0"/>
          <w:smallCaps/>
          <w:snapToGrid w:val="0"/>
          <w:color w:val="auto"/>
          <w:kern w:val="0"/>
          <w:sz w:val="24"/>
          <w:szCs w:val="24"/>
          <w:highlight w:val="none"/>
          <w:vertAlign w:val="subscript"/>
          <w:lang w:val="en-US" w:eastAsia="zh-CN" w:bidi="ar-SA"/>
        </w:rPr>
        <w:t>3</w:t>
      </w:r>
      <w:r>
        <w:rPr>
          <w:rFonts w:hint="default" w:ascii="Times New Roman" w:hAnsi="Times New Roman" w:eastAsia="宋体" w:cs="Times New Roman"/>
          <w:b w:val="0"/>
          <w:bCs w:val="0"/>
          <w:smallCaps/>
          <w:snapToGrid w:val="0"/>
          <w:color w:val="auto"/>
          <w:kern w:val="0"/>
          <w:sz w:val="24"/>
          <w:szCs w:val="24"/>
          <w:highlight w:val="none"/>
          <w:lang w:val="en-US" w:eastAsia="zh-CN" w:bidi="ar-SA"/>
        </w:rPr>
        <w:t>无组织排放浓度执行《恶臭污染物排放标准》（GB14554-93）表1中二级新扩改建标准限值</w:t>
      </w:r>
      <w:r>
        <w:rPr>
          <w:rFonts w:hint="default" w:ascii="Times New Roman" w:hAnsi="Times New Roman" w:cs="Times New Roman"/>
          <w:snapToGrid w:val="0"/>
          <w:color w:val="auto"/>
          <w:sz w:val="24"/>
          <w:szCs w:val="24"/>
          <w:highlight w:val="none"/>
          <w:lang w:val="en-US" w:eastAsia="zh-CN" w:bidi="ar"/>
        </w:rPr>
        <w:t>。</w:t>
      </w:r>
    </w:p>
    <w:p w14:paraId="66BAFED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2 \* GB3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沼气燃烧废气</w:t>
      </w:r>
    </w:p>
    <w:p w14:paraId="4AD4F9E2">
      <w:pPr>
        <w:pStyle w:val="94"/>
        <w:ind w:firstLine="48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highlight w:val="none"/>
        </w:rPr>
        <w:t>沼气脱硫后，经</w:t>
      </w:r>
      <w:r>
        <w:rPr>
          <w:rFonts w:hint="default" w:ascii="Times New Roman" w:hAnsi="Times New Roman" w:eastAsia="宋体" w:cs="Times New Roman"/>
          <w:snapToGrid w:val="0"/>
          <w:color w:val="auto"/>
          <w:sz w:val="24"/>
          <w:szCs w:val="24"/>
          <w:highlight w:val="none"/>
        </w:rPr>
        <w:t>沼气火炬</w:t>
      </w:r>
      <w:r>
        <w:rPr>
          <w:rFonts w:hint="eastAsia" w:ascii="Times New Roman" w:hAnsi="Times New Roman" w:cs="Times New Roman"/>
          <w:snapToGrid w:val="0"/>
          <w:color w:val="auto"/>
          <w:sz w:val="24"/>
          <w:szCs w:val="24"/>
          <w:highlight w:val="none"/>
          <w:lang w:val="en-US" w:eastAsia="zh-CN"/>
        </w:rPr>
        <w:t>沼气</w:t>
      </w:r>
      <w:r>
        <w:rPr>
          <w:rFonts w:hint="default" w:ascii="Times New Roman" w:hAnsi="Times New Roman" w:eastAsia="宋体" w:cs="Times New Roman"/>
          <w:snapToGrid w:val="0"/>
          <w:color w:val="auto"/>
          <w:sz w:val="24"/>
          <w:szCs w:val="24"/>
          <w:highlight w:val="none"/>
        </w:rPr>
        <w:t>燃烧排放的废气经干法脱硫</w:t>
      </w:r>
      <w:r>
        <w:rPr>
          <w:rFonts w:hint="eastAsia" w:ascii="Times New Roman" w:hAnsi="Times New Roman" w:cs="Times New Roman"/>
          <w:snapToGrid w:val="0"/>
          <w:color w:val="auto"/>
          <w:sz w:val="24"/>
          <w:szCs w:val="24"/>
          <w:highlight w:val="none"/>
          <w:lang w:val="en-US" w:eastAsia="zh-CN"/>
        </w:rPr>
        <w:t>后</w:t>
      </w:r>
      <w:r>
        <w:rPr>
          <w:rFonts w:hint="default" w:ascii="Times New Roman" w:hAnsi="Times New Roman" w:eastAsia="宋体" w:cs="Times New Roman"/>
          <w:snapToGrid w:val="0"/>
          <w:color w:val="auto"/>
          <w:sz w:val="24"/>
          <w:szCs w:val="24"/>
          <w:highlight w:val="none"/>
        </w:rPr>
        <w:t>火炬</w:t>
      </w:r>
      <w:r>
        <w:rPr>
          <w:rFonts w:hint="eastAsia" w:ascii="Times New Roman" w:hAnsi="Times New Roman" w:cs="Times New Roman"/>
          <w:snapToGrid w:val="0"/>
          <w:color w:val="auto"/>
          <w:sz w:val="24"/>
          <w:szCs w:val="24"/>
          <w:highlight w:val="none"/>
          <w:lang w:val="en-US" w:eastAsia="zh-CN"/>
        </w:rPr>
        <w:t>10m高排放</w:t>
      </w:r>
      <w:r>
        <w:rPr>
          <w:rFonts w:hint="default" w:ascii="Times New Roman" w:hAnsi="Times New Roman" w:eastAsia="宋体" w:cs="Times New Roman"/>
          <w:snapToGrid w:val="0"/>
          <w:color w:val="auto"/>
          <w:sz w:val="24"/>
          <w:szCs w:val="24"/>
          <w:highlight w:val="none"/>
        </w:rPr>
        <w:t>，颗粒物、NOx、SO</w:t>
      </w:r>
      <w:r>
        <w:rPr>
          <w:rFonts w:hint="default" w:ascii="Times New Roman" w:hAnsi="Times New Roman" w:eastAsia="宋体" w:cs="Times New Roman"/>
          <w:snapToGrid w:val="0"/>
          <w:color w:val="auto"/>
          <w:sz w:val="24"/>
          <w:szCs w:val="24"/>
          <w:highlight w:val="none"/>
          <w:vertAlign w:val="subscript"/>
        </w:rPr>
        <w:t>2</w:t>
      </w:r>
      <w:r>
        <w:rPr>
          <w:rFonts w:hint="default" w:ascii="Times New Roman" w:hAnsi="Times New Roman" w:eastAsia="宋体" w:cs="Times New Roman"/>
          <w:snapToGrid w:val="0"/>
          <w:color w:val="auto"/>
          <w:sz w:val="24"/>
          <w:szCs w:val="24"/>
          <w:highlight w:val="none"/>
        </w:rPr>
        <w:t>排放量均较小，</w:t>
      </w:r>
      <w:r>
        <w:rPr>
          <w:rFonts w:hint="eastAsia" w:ascii="Times New Roman" w:hAnsi="Times New Roman" w:cs="Times New Roman"/>
          <w:snapToGrid w:val="0"/>
          <w:color w:val="auto"/>
          <w:sz w:val="24"/>
          <w:szCs w:val="24"/>
          <w:highlight w:val="none"/>
          <w:lang w:val="en-US" w:eastAsia="zh-CN"/>
        </w:rPr>
        <w:t>排放浓度达到《大气污染物综合排放标准》(GB16297-1996)表2二级排放标准，</w:t>
      </w:r>
      <w:r>
        <w:rPr>
          <w:rFonts w:hint="default" w:ascii="Times New Roman" w:hAnsi="Times New Roman" w:eastAsia="宋体" w:cs="Times New Roman"/>
          <w:snapToGrid w:val="0"/>
          <w:color w:val="auto"/>
          <w:sz w:val="24"/>
          <w:szCs w:val="24"/>
          <w:highlight w:val="none"/>
        </w:rPr>
        <w:t>对环境影响很小，可以被环境接受。</w:t>
      </w:r>
    </w:p>
    <w:p w14:paraId="55962B7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项目运行期采取了积极有效的污染治理措施，各大气污染物对环境空气的贡献值均不大，并且可以达标排放，对周围环境影响不大，从环境空气的角度来看，该项目是可行的。</w:t>
      </w:r>
    </w:p>
    <w:p w14:paraId="11E2560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（2）水环境影响评价结论</w:t>
      </w:r>
    </w:p>
    <w:p w14:paraId="1564F2FA">
      <w:pPr>
        <w:spacing w:line="360" w:lineRule="auto"/>
        <w:ind w:firstLine="420"/>
        <w:jc w:val="both"/>
        <w:rPr>
          <w:rFonts w:hint="default" w:ascii="Times New Roman" w:hAnsi="Times New Roman" w:cs="Times New Roman"/>
          <w:snapToGrid w:val="0"/>
          <w:color w:val="auto"/>
          <w:highlight w:val="none"/>
          <w:lang w:val="zh-CN"/>
        </w:rPr>
      </w:pPr>
      <w:r>
        <w:rPr>
          <w:rFonts w:hint="default" w:ascii="Times New Roman" w:hAnsi="Times New Roman" w:cs="Times New Roman"/>
          <w:snapToGrid w:val="0"/>
          <w:color w:val="auto"/>
          <w:highlight w:val="none"/>
        </w:rPr>
        <w:t>本项目采取</w:t>
      </w:r>
      <w:r>
        <w:rPr>
          <w:rFonts w:hint="eastAsia" w:ascii="Times New Roman" w:hAnsi="Times New Roman" w:cs="Times New Roman"/>
          <w:snapToGrid w:val="0"/>
          <w:color w:val="auto"/>
          <w:highlight w:val="none"/>
          <w:lang w:eastAsia="zh-CN"/>
        </w:rPr>
        <w:t>尿泡粪—干清粪</w:t>
      </w:r>
      <w:r>
        <w:rPr>
          <w:rFonts w:hint="default" w:ascii="Times New Roman" w:hAnsi="Times New Roman" w:cs="Times New Roman"/>
          <w:snapToGrid w:val="0"/>
          <w:color w:val="auto"/>
          <w:highlight w:val="none"/>
        </w:rPr>
        <w:t>工艺，废水主要包括养殖废水、职工生活污水。</w:t>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w:t>
      </w:r>
      <w:r>
        <w:rPr>
          <w:rFonts w:hint="default" w:ascii="Times New Roman" w:hAnsi="Times New Roman" w:eastAsia="宋体" w:cs="Times New Roman"/>
          <w:color w:val="auto"/>
          <w:kern w:val="0"/>
          <w:sz w:val="24"/>
          <w:szCs w:val="24"/>
          <w:highlight w:val="none"/>
          <w:lang w:val="en-US" w:eastAsia="zh-CN" w:bidi="ar-SA"/>
        </w:rPr>
        <w:t>沼液贮存池</w:t>
      </w:r>
      <w:r>
        <w:rPr>
          <w:rFonts w:hint="default" w:ascii="Times New Roman" w:hAnsi="Times New Roman" w:cs="Times New Roman"/>
          <w:snapToGrid w:val="0"/>
          <w:color w:val="auto"/>
          <w:highlight w:val="none"/>
          <w:lang w:val="zh-CN"/>
        </w:rPr>
        <w:t>。</w:t>
      </w:r>
      <w:r>
        <w:rPr>
          <w:rFonts w:hint="default" w:ascii="Times New Roman" w:hAnsi="Times New Roman" w:cs="Times New Roman"/>
          <w:color w:val="auto"/>
          <w:highlight w:val="none"/>
        </w:rPr>
        <w:t>本项目地处北方地区，冬季寒冷不能施肥，因此冬季采用发酵处理猪粪尿。养殖场夏季所排污水经黑膜厌氧池处理用于施肥。在做好黑膜厌氧池</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kern w:val="0"/>
          <w:sz w:val="24"/>
          <w:szCs w:val="24"/>
          <w:highlight w:val="none"/>
          <w:lang w:val="en-US" w:eastAsia="zh-CN" w:bidi="ar-SA"/>
        </w:rPr>
        <w:t>沼液贮存池</w:t>
      </w:r>
      <w:r>
        <w:rPr>
          <w:rFonts w:hint="default" w:ascii="Times New Roman" w:hAnsi="Times New Roman" w:cs="Times New Roman"/>
          <w:color w:val="auto"/>
          <w:highlight w:val="none"/>
        </w:rPr>
        <w:t>等防渗工作的前提下，不会对场区周围地下水产生明显影响。但如果发生渗漏，也有可能对当地地下水造成污染。本区域地下水流动缓慢，如污染物渗入地下水，污染物随地下水迁移速度较慢，区域地下水流向为自</w:t>
      </w:r>
      <w:r>
        <w:rPr>
          <w:rFonts w:hint="eastAsia" w:ascii="Times New Roman" w:hAnsi="Times New Roman" w:cs="Times New Roman"/>
          <w:color w:val="auto"/>
          <w:highlight w:val="none"/>
          <w:lang w:val="en-US" w:eastAsia="zh-CN"/>
        </w:rPr>
        <w:t>西南到东北</w:t>
      </w:r>
      <w:r>
        <w:rPr>
          <w:rFonts w:hint="default" w:ascii="Times New Roman" w:hAnsi="Times New Roman" w:cs="Times New Roman"/>
          <w:color w:val="auto"/>
          <w:highlight w:val="none"/>
        </w:rPr>
        <w:t>，</w:t>
      </w:r>
      <w:r>
        <w:rPr>
          <w:rFonts w:hint="default" w:ascii="Times New Roman" w:hAnsi="Times New Roman" w:cs="Times New Roman"/>
          <w:snapToGrid w:val="0"/>
          <w:color w:val="auto"/>
          <w:highlight w:val="none"/>
        </w:rPr>
        <w:t>本项目非正常状况下COD 100d最远影响距离为</w:t>
      </w:r>
      <w:r>
        <w:rPr>
          <w:rFonts w:hint="eastAsia" w:ascii="Times New Roman" w:hAnsi="Times New Roman" w:cs="Times New Roman"/>
          <w:snapToGrid w:val="0"/>
          <w:color w:val="auto"/>
          <w:highlight w:val="none"/>
          <w:lang w:val="en-US" w:eastAsia="zh-CN"/>
        </w:rPr>
        <w:t>7</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m，1000d最远影响距离为</w:t>
      </w:r>
      <w:r>
        <w:rPr>
          <w:rFonts w:hint="eastAsia" w:ascii="Times New Roman" w:hAnsi="Times New Roman" w:cs="Times New Roman"/>
          <w:snapToGrid w:val="0"/>
          <w:color w:val="auto"/>
          <w:highlight w:val="none"/>
          <w:lang w:val="en-US" w:eastAsia="zh-CN"/>
        </w:rPr>
        <w:t>430</w:t>
      </w:r>
      <w:r>
        <w:rPr>
          <w:rFonts w:hint="default" w:ascii="Times New Roman" w:hAnsi="Times New Roman" w:cs="Times New Roman"/>
          <w:snapToGrid w:val="0"/>
          <w:color w:val="auto"/>
          <w:highlight w:val="none"/>
        </w:rPr>
        <w:t>m；氨氮100d最远影响距离为</w:t>
      </w:r>
      <w:r>
        <w:rPr>
          <w:rFonts w:hint="eastAsia" w:ascii="Times New Roman" w:hAnsi="Times New Roman" w:cs="Times New Roman"/>
          <w:snapToGrid w:val="0"/>
          <w:color w:val="auto"/>
          <w:highlight w:val="none"/>
          <w:lang w:val="en-US" w:eastAsia="zh-CN"/>
        </w:rPr>
        <w:t>130</w:t>
      </w:r>
      <w:r>
        <w:rPr>
          <w:rFonts w:hint="default" w:ascii="Times New Roman" w:hAnsi="Times New Roman" w:cs="Times New Roman"/>
          <w:snapToGrid w:val="0"/>
          <w:color w:val="auto"/>
          <w:highlight w:val="none"/>
        </w:rPr>
        <w:t>m，1000d最远影响距离为</w:t>
      </w:r>
      <w:r>
        <w:rPr>
          <w:rFonts w:hint="default" w:ascii="Times New Roman" w:hAnsi="Times New Roman" w:cs="Times New Roman"/>
          <w:snapToGrid w:val="0"/>
          <w:color w:val="auto"/>
          <w:highlight w:val="none"/>
          <w:lang w:val="en-US" w:eastAsia="zh-CN"/>
        </w:rPr>
        <w:t>4</w:t>
      </w:r>
      <w:r>
        <w:rPr>
          <w:rFonts w:hint="eastAsia" w:ascii="Times New Roman" w:hAnsi="Times New Roman" w:cs="Times New Roman"/>
          <w:snapToGrid w:val="0"/>
          <w:color w:val="auto"/>
          <w:highlight w:val="none"/>
          <w:lang w:val="en-US" w:eastAsia="zh-CN"/>
        </w:rPr>
        <w:t>2</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m。项目下游</w:t>
      </w:r>
      <w:r>
        <w:rPr>
          <w:rFonts w:hint="eastAsia" w:ascii="Times New Roman" w:hAnsi="Times New Roman" w:cs="Times New Roman"/>
          <w:snapToGrid w:val="0"/>
          <w:color w:val="auto"/>
          <w:highlight w:val="none"/>
          <w:lang w:val="en-US" w:eastAsia="zh-CN"/>
        </w:rPr>
        <w:t>420</w:t>
      </w:r>
      <w:r>
        <w:rPr>
          <w:rFonts w:hint="default" w:ascii="Times New Roman" w:hAnsi="Times New Roman" w:cs="Times New Roman"/>
          <w:snapToGrid w:val="0"/>
          <w:color w:val="auto"/>
          <w:highlight w:val="none"/>
        </w:rPr>
        <w:t>m范围内无地下水敏感目标，所以非正常工况下，污水泄漏不会对地下水流向下游居民点地下饮用水造成影响。项目建设对区域地下水环境影响较小。</w:t>
      </w:r>
      <w:r>
        <w:rPr>
          <w:rFonts w:hint="default" w:ascii="Times New Roman" w:hAnsi="Times New Roman" w:cs="Times New Roman"/>
          <w:color w:val="auto"/>
          <w:highlight w:val="none"/>
        </w:rPr>
        <w:t>评价要求在地下水下游设置监测井，并1次/季度对该口井水氨氮及COD进行监测，制定应急预案，及时发现，及时处理，防止非正常状况下对附近潜层地下水造成污染。所以非正常工况下，污水泄漏不会对地下水流向下游居民点地下饮用水造成影响。项目建设对区域地下水环境影响较小。</w:t>
      </w:r>
    </w:p>
    <w:p w14:paraId="7B03042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（3）声环境影响评价结论</w:t>
      </w:r>
    </w:p>
    <w:p w14:paraId="4908DD0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在落实本</w:t>
      </w:r>
      <w:r>
        <w:rPr>
          <w:rFonts w:hint="default" w:ascii="Times New Roman" w:hAnsi="Times New Roman" w:eastAsia="宋体" w:cs="Times New Roman"/>
          <w:bCs/>
          <w:snapToGrid w:val="0"/>
          <w:color w:val="auto"/>
          <w:highlight w:val="none"/>
          <w:lang w:val="zh-CN"/>
        </w:rPr>
        <w:t>报告</w:t>
      </w:r>
      <w:r>
        <w:rPr>
          <w:rFonts w:hint="default" w:ascii="Times New Roman" w:hAnsi="Times New Roman" w:eastAsia="宋体" w:cs="Times New Roman"/>
          <w:snapToGrid w:val="0"/>
          <w:color w:val="auto"/>
          <w:highlight w:val="none"/>
        </w:rPr>
        <w:t>表提出的各项噪声污染控制措施后，项目运行期可满足《工业企业厂界噪声标准》（GB12348-2008）中的声环境</w:t>
      </w:r>
      <w:r>
        <w:rPr>
          <w:rFonts w:hint="eastAsia" w:ascii="Times New Roman" w:hAnsi="Times New Roman" w:cs="Times New Roman"/>
          <w:snapToGrid w:val="0"/>
          <w:color w:val="auto"/>
          <w:highlight w:val="none"/>
          <w:lang w:val="en-US" w:eastAsia="zh-CN"/>
        </w:rPr>
        <w:t>1类</w:t>
      </w:r>
      <w:r>
        <w:rPr>
          <w:rFonts w:hint="default" w:ascii="Times New Roman" w:hAnsi="Times New Roman" w:eastAsia="宋体" w:cs="Times New Roman"/>
          <w:snapToGrid w:val="0"/>
          <w:color w:val="auto"/>
          <w:highlight w:val="none"/>
        </w:rPr>
        <w:t>功能区标准，</w:t>
      </w:r>
      <w:r>
        <w:rPr>
          <w:rFonts w:hint="default" w:ascii="Times New Roman" w:hAnsi="Times New Roman" w:eastAsia="宋体" w:cs="Times New Roman"/>
          <w:iCs/>
          <w:snapToGrid w:val="0"/>
          <w:color w:val="auto"/>
          <w:highlight w:val="none"/>
        </w:rPr>
        <w:t>对区域声环境的影响较小。项目运输噪声不会对运输道路两侧及周围村屯产生较大影响。</w:t>
      </w:r>
      <w:r>
        <w:rPr>
          <w:rFonts w:hint="default" w:ascii="Times New Roman" w:hAnsi="Times New Roman" w:eastAsia="宋体" w:cs="Times New Roman"/>
          <w:snapToGrid w:val="0"/>
          <w:color w:val="auto"/>
          <w:highlight w:val="none"/>
        </w:rPr>
        <w:t>本项目建设所产生的噪声，可以被环境所接受，从声环境角度该项目可行。</w:t>
      </w:r>
    </w:p>
    <w:p w14:paraId="18A8F58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（4）固体废物环境影响分析结论</w:t>
      </w:r>
    </w:p>
    <w:p w14:paraId="1DAD061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建设项目产生的固体废物均得到了妥善处置和利用，符合《畜禽养殖业污染防治技术规范》（HJ/T81-2001），不向环境排放，所以本工程固体废物对环境的影响可以接受。</w:t>
      </w:r>
    </w:p>
    <w:p w14:paraId="7E97BC0C">
      <w:pPr>
        <w:pStyle w:val="7"/>
        <w:bidi w:val="0"/>
        <w:rPr>
          <w:rFonts w:hint="default"/>
          <w:highlight w:val="none"/>
          <w:lang w:val="en-US" w:eastAsia="zh-CN"/>
        </w:rPr>
      </w:pPr>
      <w:bookmarkStart w:id="1276" w:name="_Toc28269"/>
      <w:bookmarkStart w:id="1277" w:name="_Toc31207"/>
      <w:bookmarkStart w:id="1278" w:name="_Toc7992"/>
      <w:bookmarkStart w:id="1279" w:name="_Toc24387"/>
      <w:r>
        <w:rPr>
          <w:rFonts w:hint="default"/>
          <w:highlight w:val="none"/>
          <w:lang w:val="en-US" w:eastAsia="zh-CN"/>
        </w:rPr>
        <w:t>9.1.6公众意见采纳情况</w:t>
      </w:r>
      <w:bookmarkEnd w:id="1276"/>
      <w:bookmarkEnd w:id="1277"/>
      <w:bookmarkEnd w:id="1278"/>
      <w:bookmarkEnd w:id="1279"/>
    </w:p>
    <w:p w14:paraId="1A94F177">
      <w:pPr>
        <w:adjustRightInd w:val="0"/>
        <w:snapToGrid w:val="0"/>
        <w:spacing w:line="360" w:lineRule="auto"/>
        <w:ind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项目公众参与由建设单位完成并单独出具报告，公众参与工作采用网络公示、报纸公示相结合的方式以便广泛听取各界对工程建设及环境保护方面的意见和要求。</w:t>
      </w:r>
    </w:p>
    <w:p w14:paraId="69C6101A">
      <w:pPr>
        <w:adjustRightInd w:val="0"/>
        <w:snapToGrid w:val="0"/>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4"/>
          <w:szCs w:val="22"/>
          <w:highlight w:val="none"/>
        </w:rPr>
        <w:t>在公示期间建设单位及环评单位未收到相关反馈，公司承诺一定会加强企业环境管理，强化诚信意识，恪守环保信用，将项目建设得更好，项目运行中主动公开环保信息，接受公众监督。</w:t>
      </w:r>
    </w:p>
    <w:p w14:paraId="7559EC25">
      <w:pPr>
        <w:pStyle w:val="7"/>
        <w:bidi w:val="0"/>
        <w:rPr>
          <w:rFonts w:hint="default"/>
          <w:highlight w:val="none"/>
        </w:rPr>
      </w:pPr>
      <w:bookmarkStart w:id="1280" w:name="_Toc19536"/>
      <w:bookmarkStart w:id="1281" w:name="_Toc28743"/>
      <w:bookmarkStart w:id="1282" w:name="_Toc30067"/>
      <w:bookmarkStart w:id="1283" w:name="_Toc11645"/>
      <w:r>
        <w:rPr>
          <w:rFonts w:hint="default"/>
          <w:highlight w:val="none"/>
        </w:rPr>
        <w:t>9.1.</w:t>
      </w:r>
      <w:r>
        <w:rPr>
          <w:rFonts w:hint="default"/>
          <w:highlight w:val="none"/>
          <w:lang w:val="en-US" w:eastAsia="zh-CN"/>
        </w:rPr>
        <w:t>7</w:t>
      </w:r>
      <w:r>
        <w:rPr>
          <w:rFonts w:hint="default"/>
          <w:highlight w:val="none"/>
        </w:rPr>
        <w:t>环境经济损益分析结论</w:t>
      </w:r>
      <w:bookmarkEnd w:id="1280"/>
      <w:bookmarkEnd w:id="1281"/>
      <w:bookmarkEnd w:id="1282"/>
      <w:bookmarkEnd w:id="1283"/>
    </w:p>
    <w:p w14:paraId="7B0DF2B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该项目的建设可提高养殖生产水平，提高经济效益，同时增加了就业机会，促进农村社会稳定。项目建设达产后，经济效益较显著。项目环保投资合理，获得的环境效益显著。因此本项目的建设从环境经济损益的角度分析是可行的。</w:t>
      </w:r>
    </w:p>
    <w:p w14:paraId="5E799B99">
      <w:pPr>
        <w:pStyle w:val="7"/>
        <w:bidi w:val="0"/>
        <w:rPr>
          <w:rFonts w:hint="default"/>
          <w:highlight w:val="none"/>
        </w:rPr>
      </w:pPr>
      <w:bookmarkStart w:id="1284" w:name="_Toc24902"/>
      <w:bookmarkStart w:id="1285" w:name="_Toc7264"/>
      <w:bookmarkStart w:id="1286" w:name="_Toc3213"/>
      <w:bookmarkStart w:id="1287" w:name="_Toc26106"/>
      <w:r>
        <w:rPr>
          <w:rFonts w:hint="default"/>
          <w:highlight w:val="none"/>
        </w:rPr>
        <w:t>9.1.</w:t>
      </w:r>
      <w:r>
        <w:rPr>
          <w:rFonts w:hint="default"/>
          <w:highlight w:val="none"/>
          <w:lang w:val="en-US" w:eastAsia="zh-CN"/>
        </w:rPr>
        <w:t>8</w:t>
      </w:r>
      <w:r>
        <w:rPr>
          <w:rFonts w:hint="default"/>
          <w:highlight w:val="none"/>
        </w:rPr>
        <w:t>环境管理与监测结论</w:t>
      </w:r>
      <w:bookmarkEnd w:id="1284"/>
      <w:bookmarkEnd w:id="1285"/>
      <w:bookmarkEnd w:id="1286"/>
      <w:bookmarkEnd w:id="1287"/>
    </w:p>
    <w:p w14:paraId="0350A32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运行期通过加强建设和运行期间的环境管理与监控，建立健全安全生产管理制度，制订科学严谨的操作规程，通过职工操作技能培训，提高危险识辨、防护和保护能力，落实责任到人。同时加强厂内各类设备包括污染治理设施的日常运行管理和维护，对生产设备进行定期检测，对关键设备进行不定期探伤测试。增强岗位职责和环保、安全意识，保证生产设施和环保治理设施运行的可靠性、稳定性。</w:t>
      </w:r>
    </w:p>
    <w:p w14:paraId="30BE8CE6">
      <w:pPr>
        <w:pStyle w:val="7"/>
        <w:bidi w:val="0"/>
        <w:rPr>
          <w:rFonts w:hint="default"/>
          <w:highlight w:val="none"/>
        </w:rPr>
      </w:pPr>
      <w:bookmarkStart w:id="1288" w:name="_Toc20434"/>
      <w:bookmarkStart w:id="1289" w:name="_Toc30713"/>
      <w:bookmarkStart w:id="1290" w:name="_Toc31834"/>
      <w:bookmarkStart w:id="1291" w:name="_Toc30831"/>
      <w:r>
        <w:rPr>
          <w:rFonts w:hint="default"/>
          <w:highlight w:val="none"/>
        </w:rPr>
        <w:t>9.1.</w:t>
      </w:r>
      <w:r>
        <w:rPr>
          <w:rFonts w:hint="default"/>
          <w:highlight w:val="none"/>
          <w:lang w:val="en-US" w:eastAsia="zh-CN"/>
        </w:rPr>
        <w:t>9</w:t>
      </w:r>
      <w:r>
        <w:rPr>
          <w:rFonts w:hint="default"/>
          <w:highlight w:val="none"/>
        </w:rPr>
        <w:t>综合结论</w:t>
      </w:r>
      <w:bookmarkEnd w:id="1288"/>
      <w:bookmarkEnd w:id="1289"/>
      <w:bookmarkEnd w:id="1290"/>
      <w:bookmarkEnd w:id="1291"/>
    </w:p>
    <w:p w14:paraId="67FFD7A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本项目建设项目符合国家产业政策要求，项目本着从清洁生产入手，对生猪标准规模养殖产生的粪污采取了源头污染控制的工程措施切实可行，可实现污水</w:t>
      </w:r>
      <w:r>
        <w:rPr>
          <w:rFonts w:hint="eastAsia" w:ascii="Times New Roman" w:hAnsi="Times New Roman" w:cs="Times New Roman"/>
          <w:snapToGrid w:val="0"/>
          <w:color w:val="auto"/>
          <w:highlight w:val="none"/>
          <w:lang w:eastAsia="zh-CN"/>
        </w:rPr>
        <w:t>不外排</w:t>
      </w:r>
      <w:r>
        <w:rPr>
          <w:rFonts w:hint="default" w:ascii="Times New Roman" w:hAnsi="Times New Roman" w:eastAsia="宋体" w:cs="Times New Roman"/>
          <w:snapToGrid w:val="0"/>
          <w:color w:val="auto"/>
          <w:highlight w:val="none"/>
        </w:rPr>
        <w:t>、粪污得到资源化综合利用的环境保护技术要求，在认真落实报告书所述各项污染防治措施后，可实现污染物稳定达标排放，通过加强环境管理和环境监测，杜绝事发生，本项目建设可被周围环境所接受。</w:t>
      </w:r>
    </w:p>
    <w:p w14:paraId="4FA381A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因此，从环境保护角度分析，本项目具有可行性。</w:t>
      </w:r>
    </w:p>
    <w:p w14:paraId="4C192D0B">
      <w:pPr>
        <w:pStyle w:val="5"/>
        <w:bidi w:val="0"/>
        <w:rPr>
          <w:rFonts w:hint="default"/>
          <w:highlight w:val="none"/>
        </w:rPr>
      </w:pPr>
      <w:bookmarkStart w:id="1292" w:name="_Toc415146737"/>
      <w:bookmarkStart w:id="1293" w:name="_Toc480447688"/>
      <w:bookmarkStart w:id="1294" w:name="_Toc3483"/>
      <w:bookmarkStart w:id="1295" w:name="_Toc24996"/>
      <w:bookmarkStart w:id="1296" w:name="_Toc16410"/>
      <w:bookmarkStart w:id="1297" w:name="_Toc24762"/>
      <w:bookmarkStart w:id="1298" w:name="_Toc17872"/>
      <w:r>
        <w:rPr>
          <w:rFonts w:hint="default"/>
          <w:highlight w:val="none"/>
        </w:rPr>
        <w:t>9.2对策与建议</w:t>
      </w:r>
      <w:bookmarkEnd w:id="1292"/>
      <w:bookmarkEnd w:id="1293"/>
      <w:bookmarkEnd w:id="1294"/>
      <w:bookmarkEnd w:id="1295"/>
      <w:bookmarkEnd w:id="1296"/>
      <w:bookmarkEnd w:id="1297"/>
      <w:bookmarkEnd w:id="1298"/>
    </w:p>
    <w:p w14:paraId="6E34BC3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（1）建设单位在项目实施过程中，应认真落实本项目的各项治理措施，加强对环保设施的运行管理，制定有效的管理规章制度，建立环保管理机制，防止出现事故性和非正常污染排放。</w:t>
      </w:r>
    </w:p>
    <w:p w14:paraId="7B15EE6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（2）建设单位在项目实施过程中应严格执行国家环保总局颁布的《畜禽养殖业污染防治技术规范》（HJ/T81-2001）。</w:t>
      </w:r>
    </w:p>
    <w:p w14:paraId="7758BE8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（3）严格执行“三同时”制度，落实各项环保措施，平时注意各项环保设施的维护，及时发现处理设备的隐患，确保处理系统正常运行；开、停、检修要有预案，有严密周全的计划，确保不发生非正常排放。</w:t>
      </w:r>
    </w:p>
    <w:p w14:paraId="6197795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、黑膜厌氧池及除臭设施的设计施工必须由有资质的单位进行。</w:t>
      </w:r>
    </w:p>
    <w:p w14:paraId="4E54382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（5）饲养人员每年应至少进行一次身体检查，如发现患有危害人、畜禽的传染病者，应及时调离，以防传染。</w:t>
      </w:r>
    </w:p>
    <w:p w14:paraId="0A526960">
      <w:pPr>
        <w:pStyle w:val="94"/>
        <w:ind w:firstLine="480"/>
        <w:rPr>
          <w:rFonts w:hint="eastAsia" w:ascii="Times New Roman" w:hAnsi="Times New Roman" w:eastAsia="宋体" w:cs="Times New Roman"/>
          <w:snapToGrid w:val="0"/>
          <w:color w:val="auto"/>
          <w:highlight w:val="none"/>
          <w:lang w:eastAsia="zh-CN"/>
        </w:rPr>
        <w:sectPr>
          <w:headerReference r:id="rId15" w:type="first"/>
          <w:footerReference r:id="rId18" w:type="first"/>
          <w:headerReference r:id="rId13" w:type="default"/>
          <w:footerReference r:id="rId16" w:type="default"/>
          <w:headerReference r:id="rId14" w:type="even"/>
          <w:footerReference r:id="rId17" w:type="even"/>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（6）落实环境监测计划</w:t>
      </w:r>
      <w:bookmarkEnd w:id="1241"/>
      <w:bookmarkEnd w:id="1242"/>
      <w:bookmarkEnd w:id="1243"/>
      <w:bookmarkEnd w:id="1244"/>
      <w:r>
        <w:rPr>
          <w:rFonts w:hint="eastAsia" w:ascii="Times New Roman" w:hAnsi="Times New Roman" w:cs="Times New Roman"/>
          <w:snapToGrid w:val="0"/>
          <w:color w:val="auto"/>
          <w:highlight w:val="none"/>
          <w:lang w:eastAsia="zh-CN"/>
        </w:rPr>
        <w:t>。</w:t>
      </w:r>
    </w:p>
    <w:p w14:paraId="28C662AC">
      <w:pPr>
        <w:pStyle w:val="4"/>
        <w:bidi w:val="0"/>
        <w:rPr>
          <w:rFonts w:hint="default" w:ascii="Times New Roman" w:hAnsi="Times New Roman" w:eastAsia="宋体" w:cs="Times New Roman"/>
          <w:snapToGrid w:val="0"/>
          <w:color w:val="auto"/>
          <w:highlight w:val="none"/>
          <w:lang w:val="en-US" w:eastAsia="zh-CN"/>
        </w:rPr>
      </w:pPr>
      <w:bookmarkStart w:id="1299" w:name="_Toc22034"/>
      <w:r>
        <w:rPr>
          <w:rFonts w:hint="default" w:ascii="Times New Roman" w:hAnsi="Times New Roman" w:eastAsia="宋体" w:cs="Times New Roman"/>
          <w:snapToGrid w:val="0"/>
          <w:color w:val="auto"/>
          <w:highlight w:val="none"/>
          <w:lang w:val="zh-CN"/>
        </w:rPr>
        <w:t>附图1</w:t>
      </w:r>
      <w:r>
        <w:rPr>
          <w:rFonts w:hint="default" w:ascii="Times New Roman" w:hAnsi="Times New Roman" w:eastAsia="宋体" w:cs="Times New Roman"/>
          <w:snapToGrid w:val="0"/>
          <w:color w:val="auto"/>
          <w:highlight w:val="none"/>
          <w:lang w:val="en-US" w:eastAsia="zh-CN"/>
        </w:rPr>
        <w:t xml:space="preserve">  项目</w:t>
      </w:r>
      <w:r>
        <w:rPr>
          <w:rFonts w:hint="default" w:ascii="Times New Roman" w:hAnsi="Times New Roman" w:eastAsia="宋体" w:cs="Times New Roman"/>
          <w:snapToGrid w:val="0"/>
          <w:color w:val="auto"/>
          <w:highlight w:val="none"/>
          <w:lang w:val="zh-CN"/>
        </w:rPr>
        <w:t>地理位置</w:t>
      </w:r>
      <w:r>
        <w:rPr>
          <w:rFonts w:hint="default" w:ascii="Times New Roman" w:hAnsi="Times New Roman" w:eastAsia="宋体" w:cs="Times New Roman"/>
          <w:snapToGrid w:val="0"/>
          <w:color w:val="auto"/>
          <w:highlight w:val="none"/>
          <w:lang w:val="en-US" w:eastAsia="zh-CN"/>
        </w:rPr>
        <w:t>图</w:t>
      </w:r>
      <w:bookmarkEnd w:id="1299"/>
    </w:p>
    <w:p w14:paraId="26C8D11F">
      <w:pPr>
        <w:rPr>
          <w:rFonts w:hint="eastAsia" w:ascii="Times New Roman" w:hAnsi="Times New Roman" w:eastAsia="仿宋" w:cs="Times New Roman"/>
          <w:snapToGrid w:val="0"/>
          <w:color w:val="auto"/>
          <w:highlight w:val="none"/>
          <w:lang w:val="en-US" w:eastAsia="zh-CN"/>
        </w:rPr>
      </w:pPr>
      <w:r>
        <w:rPr>
          <w:highlight w:val="none"/>
        </w:rPr>
        <w:drawing>
          <wp:anchor distT="0" distB="0" distL="114300" distR="114300" simplePos="0" relativeHeight="251678720" behindDoc="0" locked="0" layoutInCell="1" allowOverlap="1">
            <wp:simplePos x="0" y="0"/>
            <wp:positionH relativeFrom="column">
              <wp:posOffset>8047990</wp:posOffset>
            </wp:positionH>
            <wp:positionV relativeFrom="paragraph">
              <wp:posOffset>44450</wp:posOffset>
            </wp:positionV>
            <wp:extent cx="777875" cy="781685"/>
            <wp:effectExtent l="0" t="0" r="3175" b="18415"/>
            <wp:wrapNone/>
            <wp:docPr id="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43"/>
                    <a:stretch>
                      <a:fillRect/>
                    </a:stretch>
                  </pic:blipFill>
                  <pic:spPr>
                    <a:xfrm>
                      <a:off x="0" y="0"/>
                      <a:ext cx="777875" cy="781685"/>
                    </a:xfrm>
                    <a:prstGeom prst="rect">
                      <a:avLst/>
                    </a:prstGeom>
                    <a:noFill/>
                    <a:ln>
                      <a:noFill/>
                    </a:ln>
                  </pic:spPr>
                </pic:pic>
              </a:graphicData>
            </a:graphic>
          </wp:anchor>
        </w:drawing>
      </w:r>
      <w:r>
        <w:rPr>
          <w:sz w:val="24"/>
          <w:highlight w:val="none"/>
        </w:rPr>
        <mc:AlternateContent>
          <mc:Choice Requires="wps">
            <w:drawing>
              <wp:anchor distT="0" distB="0" distL="114300" distR="114300" simplePos="0" relativeHeight="251679744" behindDoc="0" locked="0" layoutInCell="1" allowOverlap="1">
                <wp:simplePos x="0" y="0"/>
                <wp:positionH relativeFrom="column">
                  <wp:posOffset>4351020</wp:posOffset>
                </wp:positionH>
                <wp:positionV relativeFrom="paragraph">
                  <wp:posOffset>1364615</wp:posOffset>
                </wp:positionV>
                <wp:extent cx="1085215" cy="342900"/>
                <wp:effectExtent l="438785" t="12700" r="19050" b="635000"/>
                <wp:wrapNone/>
                <wp:docPr id="38" name="矩形标注 38"/>
                <wp:cNvGraphicFramePr/>
                <a:graphic xmlns:a="http://schemas.openxmlformats.org/drawingml/2006/main">
                  <a:graphicData uri="http://schemas.microsoft.com/office/word/2010/wordprocessingShape">
                    <wps:wsp>
                      <wps:cNvSpPr/>
                      <wps:spPr>
                        <a:xfrm>
                          <a:off x="5817870" y="3216910"/>
                          <a:ext cx="1085215" cy="342900"/>
                        </a:xfrm>
                        <a:prstGeom prst="wedgeRectCallout">
                          <a:avLst>
                            <a:gd name="adj1" fmla="val -89262"/>
                            <a:gd name="adj2" fmla="val 229259"/>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B7C8465">
                            <w:pPr>
                              <w:jc w:val="center"/>
                              <w:rPr>
                                <w:rFonts w:hint="eastAsia" w:eastAsia="宋体"/>
                                <w:color w:val="FF0000"/>
                                <w:lang w:val="en-US" w:eastAsia="zh-CN"/>
                              </w:rPr>
                            </w:pPr>
                            <w:r>
                              <w:rPr>
                                <w:rFonts w:hint="eastAsia"/>
                                <w:color w:val="FF00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2.6pt;margin-top:107.45pt;height:27pt;width:85.45pt;z-index:251679744;v-text-anchor:middle;mso-width-relative:page;mso-height-relative:page;" filled="f" stroked="t" coordsize="21600,21600" o:gfxdata="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OaAznjZAAAACwEAAA8AAAAAAAAAAQAgAAAAIgAAAGRycy9kb3du&#10;cmV2LnhtbFBLAQIUABQAAAAIAIdO4kD7ik8bqQIAADIFAAAOAAAAAAAAAAEAIAAAACgBAABkcnMv&#10;ZTJvRG9jLnhtbFBLBQYAAAAABgAGAFkBAABDBgAAAAA=&#10;" adj="-8481,60320">
                <v:fill on="f" focussize="0,0"/>
                <v:stroke weight="2pt" color="#FFFF00 [2404]" joinstyle="round"/>
                <v:imagedata o:title=""/>
                <o:lock v:ext="edit" aspectratio="f"/>
                <v:textbox>
                  <w:txbxContent>
                    <w:p w14:paraId="7B7C8465">
                      <w:pPr>
                        <w:jc w:val="center"/>
                        <w:rPr>
                          <w:rFonts w:hint="eastAsia" w:eastAsia="宋体"/>
                          <w:color w:val="FF0000"/>
                          <w:lang w:val="en-US" w:eastAsia="zh-CN"/>
                        </w:rPr>
                      </w:pPr>
                      <w:r>
                        <w:rPr>
                          <w:rFonts w:hint="eastAsia"/>
                          <w:color w:val="FF0000"/>
                          <w:lang w:val="en-US" w:eastAsia="zh-CN"/>
                        </w:rPr>
                        <w:t>本项目位置</w:t>
                      </w:r>
                    </w:p>
                  </w:txbxContent>
                </v:textbox>
              </v:shape>
            </w:pict>
          </mc:Fallback>
        </mc:AlternateContent>
      </w:r>
      <w:r>
        <w:rPr>
          <w:highlight w:val="none"/>
        </w:rPr>
        <w:drawing>
          <wp:inline distT="0" distB="0" distL="114300" distR="114300">
            <wp:extent cx="8860155" cy="4508500"/>
            <wp:effectExtent l="0" t="0" r="17145" b="635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120"/>
                    <a:stretch>
                      <a:fillRect/>
                    </a:stretch>
                  </pic:blipFill>
                  <pic:spPr>
                    <a:xfrm>
                      <a:off x="0" y="0"/>
                      <a:ext cx="8860155" cy="4508500"/>
                    </a:xfrm>
                    <a:prstGeom prst="rect">
                      <a:avLst/>
                    </a:prstGeom>
                    <a:noFill/>
                    <a:ln>
                      <a:noFill/>
                    </a:ln>
                  </pic:spPr>
                </pic:pic>
              </a:graphicData>
            </a:graphic>
          </wp:inline>
        </w:drawing>
      </w:r>
    </w:p>
    <w:p w14:paraId="1EB5A7C6">
      <w:pPr>
        <w:rPr>
          <w:rFonts w:hint="eastAsia" w:ascii="Times New Roman" w:hAnsi="Times New Roman" w:eastAsia="仿宋" w:cs="Times New Roman"/>
          <w:snapToGrid w:val="0"/>
          <w:color w:val="auto"/>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AndChars" w:linePitch="326" w:charSpace="0"/>
        </w:sectPr>
      </w:pPr>
    </w:p>
    <w:p w14:paraId="03A5DFEF">
      <w:pPr>
        <w:pStyle w:val="4"/>
        <w:bidi w:val="0"/>
        <w:rPr>
          <w:rFonts w:hint="default" w:ascii="Times New Roman" w:hAnsi="Times New Roman" w:eastAsia="宋体" w:cs="Times New Roman"/>
          <w:highlight w:val="none"/>
          <w:lang w:val="en-US"/>
        </w:rPr>
      </w:pPr>
      <w:bookmarkStart w:id="1300" w:name="_Toc11742"/>
      <w:r>
        <w:rPr>
          <w:highlight w:val="none"/>
        </w:rPr>
        <w:drawing>
          <wp:anchor distT="0" distB="0" distL="114300" distR="114300" simplePos="0" relativeHeight="251687936" behindDoc="0" locked="0" layoutInCell="1" allowOverlap="1">
            <wp:simplePos x="0" y="0"/>
            <wp:positionH relativeFrom="column">
              <wp:posOffset>7777480</wp:posOffset>
            </wp:positionH>
            <wp:positionV relativeFrom="paragraph">
              <wp:posOffset>269875</wp:posOffset>
            </wp:positionV>
            <wp:extent cx="853440" cy="857885"/>
            <wp:effectExtent l="0" t="0" r="3810" b="18415"/>
            <wp:wrapNone/>
            <wp:docPr id="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pic:cNvPicPr>
                      <a:picLocks noChangeAspect="1"/>
                    </pic:cNvPicPr>
                  </pic:nvPicPr>
                  <pic:blipFill>
                    <a:blip r:embed="rId43"/>
                    <a:stretch>
                      <a:fillRect/>
                    </a:stretch>
                  </pic:blipFill>
                  <pic:spPr>
                    <a:xfrm>
                      <a:off x="0" y="0"/>
                      <a:ext cx="853440" cy="857885"/>
                    </a:xfrm>
                    <a:prstGeom prst="rect">
                      <a:avLst/>
                    </a:prstGeom>
                    <a:noFill/>
                    <a:ln>
                      <a:noFill/>
                    </a:ln>
                  </pic:spPr>
                </pic:pic>
              </a:graphicData>
            </a:graphic>
          </wp:anchor>
        </w:drawing>
      </w:r>
      <w:r>
        <w:rPr>
          <w:rFonts w:hint="default" w:ascii="Times New Roman" w:hAnsi="Times New Roman" w:eastAsia="宋体" w:cs="Times New Roman"/>
          <w:highlight w:val="none"/>
          <w:lang w:val="zh-CN"/>
        </w:rPr>
        <w:t>附图</w:t>
      </w:r>
      <w:r>
        <w:rPr>
          <w:rFonts w:hint="default" w:ascii="Times New Roman" w:hAnsi="Times New Roman" w:eastAsia="宋体" w:cs="Times New Roman"/>
          <w:highlight w:val="none"/>
          <w:lang w:val="en-US" w:eastAsia="zh-CN"/>
        </w:rPr>
        <w:t xml:space="preserve">2  </w:t>
      </w:r>
      <w:r>
        <w:rPr>
          <w:rFonts w:hint="eastAsia" w:ascii="Times New Roman" w:hAnsi="Times New Roman" w:eastAsia="宋体" w:cs="Times New Roman"/>
          <w:highlight w:val="none"/>
          <w:lang w:val="en-US" w:eastAsia="zh-CN"/>
        </w:rPr>
        <w:t>现有厂区</w:t>
      </w:r>
      <w:r>
        <w:rPr>
          <w:rFonts w:hint="default" w:ascii="Times New Roman" w:hAnsi="Times New Roman" w:eastAsia="宋体" w:cs="Times New Roman"/>
          <w:highlight w:val="none"/>
          <w:lang w:val="en-US" w:eastAsia="zh-CN"/>
        </w:rPr>
        <w:t>平面布置图</w:t>
      </w:r>
      <w:bookmarkEnd w:id="1300"/>
    </w:p>
    <w:p w14:paraId="0D866CE3">
      <w:pPr>
        <w:pStyle w:val="6"/>
        <w:keepNext w:val="0"/>
        <w:keepLines w:val="0"/>
        <w:pageBreakBefore w:val="0"/>
        <w:widowControl/>
        <w:kinsoku/>
        <w:wordWrap/>
        <w:overflowPunct/>
        <w:topLinePunct w:val="0"/>
        <w:autoSpaceDE/>
        <w:autoSpaceDN/>
        <w:bidi w:val="0"/>
        <w:adjustRightInd/>
        <w:snapToGrid/>
        <w:ind w:left="-1440" w:leftChars="-600" w:firstLine="0"/>
        <w:jc w:val="center"/>
        <w:textAlignment w:val="auto"/>
        <w:rPr>
          <w:rFonts w:hint="eastAsia"/>
          <w:highlight w:val="none"/>
          <w:lang w:eastAsia="zh-CN"/>
        </w:rPr>
      </w:pPr>
      <w:r>
        <w:rPr>
          <w:sz w:val="21"/>
          <w:highlight w:val="none"/>
        </w:rPr>
        <mc:AlternateContent>
          <mc:Choice Requires="wps">
            <w:drawing>
              <wp:anchor distT="0" distB="0" distL="114300" distR="114300" simplePos="0" relativeHeight="251693056" behindDoc="0" locked="0" layoutInCell="1" allowOverlap="1">
                <wp:simplePos x="0" y="0"/>
                <wp:positionH relativeFrom="column">
                  <wp:posOffset>7825105</wp:posOffset>
                </wp:positionH>
                <wp:positionV relativeFrom="paragraph">
                  <wp:posOffset>4352925</wp:posOffset>
                </wp:positionV>
                <wp:extent cx="199390" cy="285750"/>
                <wp:effectExtent l="0" t="0" r="10160" b="0"/>
                <wp:wrapNone/>
                <wp:docPr id="147" name="十字星 147"/>
                <wp:cNvGraphicFramePr/>
                <a:graphic xmlns:a="http://schemas.openxmlformats.org/drawingml/2006/main">
                  <a:graphicData uri="http://schemas.microsoft.com/office/word/2010/wordprocessingShape">
                    <wps:wsp>
                      <wps:cNvSpPr/>
                      <wps:spPr>
                        <a:xfrm>
                          <a:off x="3332480" y="2479040"/>
                          <a:ext cx="199390" cy="285750"/>
                        </a:xfrm>
                        <a:prstGeom prst="star4">
                          <a:avLst/>
                        </a:prstGeom>
                        <a:solidFill>
                          <a:srgbClr val="FFC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616.15pt;margin-top:342.75pt;height:22.5pt;width:15.7pt;z-index:251693056;v-text-anchor:middle;mso-width-relative:page;mso-height-relative:page;" fillcolor="#FFC000" filled="t" stroked="f" coordsize="21600,21600" o:gfxdata="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01QtL3AAAAA0BAAAPAAAAAAAAAAEAIAAAACIAAABkcnMv&#10;ZG93bnJldi54bWxQSwECFAAUAAAACACHTuJACqLkQXECAADHBAAADgAAAAAAAAABACAAAAArAQAA&#10;ZHJzL2Uyb0RvYy54bWxQSwUGAAAAAAYABgBZAQAADgYAAAAA&#10;" adj="81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92032" behindDoc="0" locked="0" layoutInCell="1" allowOverlap="1">
                <wp:simplePos x="0" y="0"/>
                <wp:positionH relativeFrom="column">
                  <wp:posOffset>7821295</wp:posOffset>
                </wp:positionH>
                <wp:positionV relativeFrom="paragraph">
                  <wp:posOffset>4210050</wp:posOffset>
                </wp:positionV>
                <wp:extent cx="182245" cy="138430"/>
                <wp:effectExtent l="0" t="0" r="8255" b="13970"/>
                <wp:wrapNone/>
                <wp:docPr id="146" name="等腰三角形 146"/>
                <wp:cNvGraphicFramePr/>
                <a:graphic xmlns:a="http://schemas.openxmlformats.org/drawingml/2006/main">
                  <a:graphicData uri="http://schemas.microsoft.com/office/word/2010/wordprocessingShape">
                    <wps:wsp>
                      <wps:cNvSpPr/>
                      <wps:spPr>
                        <a:xfrm>
                          <a:off x="4544695" y="2470150"/>
                          <a:ext cx="182245" cy="138430"/>
                        </a:xfrm>
                        <a:prstGeom prst="triangle">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15.85pt;margin-top:331.5pt;height:10.9pt;width:14.35pt;z-index:251692032;v-text-anchor:middle;mso-width-relative:page;mso-height-relative:page;" fillcolor="#FF0000" filled="t" stroked="f" coordsize="21600,21600" o:gfxdata="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N2mgFXZAAAADQEAAA8AAAAAAAAA&#10;AQAgAAAAIgAAAGRycy9kb3ducmV2LnhtbFBLAQIUABQAAAAIAIdO4kCpigj0ggIAANAEAAAOAAAA&#10;AAAAAAEAIAAAACgBAABkcnMvZTJvRG9jLnhtbFBLBQYAAAAABgAGAFkBAAAcBgAAAAA=&#10;" adj="108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91008" behindDoc="0" locked="0" layoutInCell="1" allowOverlap="1">
                <wp:simplePos x="0" y="0"/>
                <wp:positionH relativeFrom="column">
                  <wp:posOffset>7827010</wp:posOffset>
                </wp:positionH>
                <wp:positionV relativeFrom="paragraph">
                  <wp:posOffset>4045585</wp:posOffset>
                </wp:positionV>
                <wp:extent cx="173355" cy="129540"/>
                <wp:effectExtent l="0" t="0" r="17145" b="3810"/>
                <wp:wrapNone/>
                <wp:docPr id="145" name="矩形 145"/>
                <wp:cNvGraphicFramePr/>
                <a:graphic xmlns:a="http://schemas.openxmlformats.org/drawingml/2006/main">
                  <a:graphicData uri="http://schemas.microsoft.com/office/word/2010/wordprocessingShape">
                    <wps:wsp>
                      <wps:cNvSpPr/>
                      <wps:spPr>
                        <a:xfrm>
                          <a:off x="5107940" y="2834005"/>
                          <a:ext cx="173355" cy="129540"/>
                        </a:xfrm>
                        <a:prstGeom prst="rect">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6.3pt;margin-top:318.55pt;height:10.2pt;width:13.65pt;z-index:251691008;v-text-anchor:middle;mso-width-relative:page;mso-height-relative:page;" fillcolor="#92D050" filled="t" stroked="f" coordsize="21600,21600" o:gfxdata="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nF9VX9kAAAANAQAADwAAAAAAAAABACAAAAAiAAAAZHJzL2Rvd25yZXYu&#10;eG1sUEsBAhQAFAAAAAgAh07iQMOU71psAgAAwwQAAA4AAAAAAAAAAQAgAAAAKAEAAGRycy9lMm9E&#10;b2MueG1sUEsFBgAAAAAGAAYAWQEAAAYGAAAAAA==&#10;">
                <v:fill on="t"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689984" behindDoc="0" locked="0" layoutInCell="1" allowOverlap="1">
                <wp:simplePos x="0" y="0"/>
                <wp:positionH relativeFrom="column">
                  <wp:posOffset>7813040</wp:posOffset>
                </wp:positionH>
                <wp:positionV relativeFrom="paragraph">
                  <wp:posOffset>3786505</wp:posOffset>
                </wp:positionV>
                <wp:extent cx="182245" cy="199390"/>
                <wp:effectExtent l="0" t="0" r="8255" b="10160"/>
                <wp:wrapNone/>
                <wp:docPr id="144" name="五角星 144"/>
                <wp:cNvGraphicFramePr/>
                <a:graphic xmlns:a="http://schemas.openxmlformats.org/drawingml/2006/main">
                  <a:graphicData uri="http://schemas.microsoft.com/office/word/2010/wordprocessingShape">
                    <wps:wsp>
                      <wps:cNvSpPr/>
                      <wps:spPr>
                        <a:xfrm>
                          <a:off x="9359265" y="4167505"/>
                          <a:ext cx="182245" cy="199390"/>
                        </a:xfrm>
                        <a:prstGeom prst="star5">
                          <a:avLst/>
                        </a:prstGeom>
                        <a:solidFill>
                          <a:srgbClr val="00B0F0"/>
                        </a:solidFill>
                        <a:ln w="12700" cmpd="sng">
                          <a:no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15.2pt;margin-top:298.15pt;height:15.7pt;width:14.35pt;z-index:251689984;v-text-anchor:middle;mso-width-relative:page;mso-height-relative:page;" fillcolor="#00B0F0" filled="t" stroked="f" coordsize="182245,199390" o:gfxdata="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9D1MT2wAAAA0BAAAPAAAAAAAAAAEAIAAAACIAAABk&#10;cnMvZG93bnJldi54bWxQSwECFAAUAAAACACHTuJAz61p53UCAADHBAAADgAAAAAAAAABACAAAAAq&#10;AQAAZHJzL2Uyb0RvYy54bWxQSwUGAAAAAAYABgBZAQAAEQYAAAAA&#10;" path="m0,76160l69611,76160,91122,0,112633,76160,182244,76160,125927,123229,147439,199389,91122,152319,34805,199389,56317,123229xe">
                <v:path o:connectlocs="91122,0;0,76160;34805,199389;147439,199389;182244,76160" o:connectangles="247,164,82,82,0"/>
                <v:fill on="t" focussize="0,0"/>
                <v:stroke on="f" weight="1pt"/>
                <v:imagedata o:title=""/>
                <o:lock v:ext="edit" aspectratio="f"/>
              </v:shape>
            </w:pict>
          </mc:Fallback>
        </mc:AlternateContent>
      </w:r>
      <w:r>
        <w:rPr>
          <w:sz w:val="21"/>
          <w:highlight w:val="none"/>
        </w:rPr>
        <mc:AlternateContent>
          <mc:Choice Requires="wps">
            <w:drawing>
              <wp:anchor distT="0" distB="0" distL="114300" distR="114300" simplePos="0" relativeHeight="251688960" behindDoc="0" locked="0" layoutInCell="1" allowOverlap="1">
                <wp:simplePos x="0" y="0"/>
                <wp:positionH relativeFrom="column">
                  <wp:posOffset>7611110</wp:posOffset>
                </wp:positionH>
                <wp:positionV relativeFrom="paragraph">
                  <wp:posOffset>3519170</wp:posOffset>
                </wp:positionV>
                <wp:extent cx="1614805" cy="1146175"/>
                <wp:effectExtent l="4445" t="4445" r="19050" b="11430"/>
                <wp:wrapNone/>
                <wp:docPr id="132" name="文本框 132"/>
                <wp:cNvGraphicFramePr/>
                <a:graphic xmlns:a="http://schemas.openxmlformats.org/drawingml/2006/main">
                  <a:graphicData uri="http://schemas.microsoft.com/office/word/2010/wordprocessingShape">
                    <wps:wsp>
                      <wps:cNvSpPr txBox="1"/>
                      <wps:spPr>
                        <a:xfrm>
                          <a:off x="8173085" y="5502275"/>
                          <a:ext cx="1614805" cy="11461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A0D4277">
                            <w:pPr>
                              <w:jc w:val="center"/>
                              <w:rPr>
                                <w:rFonts w:hint="eastAsia"/>
                                <w:sz w:val="21"/>
                                <w:szCs w:val="21"/>
                                <w:lang w:val="en-US" w:eastAsia="zh-CN"/>
                              </w:rPr>
                            </w:pPr>
                            <w:r>
                              <w:rPr>
                                <w:rFonts w:hint="eastAsia"/>
                                <w:sz w:val="21"/>
                                <w:szCs w:val="21"/>
                                <w:lang w:val="en-US" w:eastAsia="zh-CN"/>
                              </w:rPr>
                              <w:t>图 例</w:t>
                            </w:r>
                          </w:p>
                          <w:p w14:paraId="0D7DE5FA">
                            <w:pPr>
                              <w:ind w:leftChars="300"/>
                              <w:jc w:val="center"/>
                              <w:rPr>
                                <w:rFonts w:hint="eastAsia"/>
                                <w:sz w:val="21"/>
                                <w:szCs w:val="21"/>
                                <w:lang w:val="en-US" w:eastAsia="zh-CN"/>
                              </w:rPr>
                            </w:pPr>
                            <w:r>
                              <w:rPr>
                                <w:rFonts w:hint="eastAsia"/>
                                <w:sz w:val="21"/>
                                <w:szCs w:val="21"/>
                                <w:lang w:val="en-US" w:eastAsia="zh-CN"/>
                              </w:rPr>
                              <w:t>地下水井</w:t>
                            </w:r>
                          </w:p>
                          <w:p w14:paraId="0E00E8D3">
                            <w:pPr>
                              <w:ind w:leftChars="300"/>
                              <w:jc w:val="center"/>
                              <w:rPr>
                                <w:rFonts w:hint="eastAsia"/>
                                <w:sz w:val="21"/>
                                <w:szCs w:val="21"/>
                                <w:lang w:val="en-US" w:eastAsia="zh-CN"/>
                              </w:rPr>
                            </w:pPr>
                            <w:r>
                              <w:rPr>
                                <w:rFonts w:hint="eastAsia"/>
                                <w:sz w:val="21"/>
                                <w:szCs w:val="21"/>
                                <w:lang w:val="en-US" w:eastAsia="zh-CN"/>
                              </w:rPr>
                              <w:t>兽医室</w:t>
                            </w:r>
                          </w:p>
                          <w:p w14:paraId="7CF8CA88">
                            <w:pPr>
                              <w:ind w:leftChars="300"/>
                              <w:jc w:val="center"/>
                              <w:rPr>
                                <w:rFonts w:hint="eastAsia"/>
                                <w:sz w:val="21"/>
                                <w:szCs w:val="21"/>
                                <w:lang w:val="en-US" w:eastAsia="zh-CN"/>
                              </w:rPr>
                            </w:pPr>
                            <w:r>
                              <w:rPr>
                                <w:rFonts w:hint="eastAsia"/>
                                <w:sz w:val="21"/>
                                <w:szCs w:val="21"/>
                                <w:lang w:val="en-US" w:eastAsia="zh-CN"/>
                              </w:rPr>
                              <w:t>医疗废物暂存间</w:t>
                            </w:r>
                          </w:p>
                          <w:p w14:paraId="62CC944F">
                            <w:pPr>
                              <w:ind w:leftChars="300"/>
                              <w:jc w:val="center"/>
                              <w:rPr>
                                <w:rFonts w:hint="default"/>
                                <w:sz w:val="21"/>
                                <w:szCs w:val="21"/>
                                <w:lang w:val="en-US" w:eastAsia="zh-CN"/>
                              </w:rPr>
                            </w:pPr>
                            <w:r>
                              <w:rPr>
                                <w:rFonts w:hint="eastAsia"/>
                                <w:sz w:val="21"/>
                                <w:szCs w:val="21"/>
                                <w:lang w:val="en-US" w:eastAsia="zh-CN"/>
                              </w:rPr>
                              <w:t>配电室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9.3pt;margin-top:277.1pt;height:90.25pt;width:127.15pt;z-index:251688960;mso-width-relative:page;mso-height-relative:page;" fillcolor="#FFFFFF [3201]" filled="t" stroked="t" coordsize="21600,21600" o:gfxdata="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0IukK2QAAAA0BAAAPAAAAAAAAAAEAIAAAACIAAABkcnMvZG93bnJldi54bWxQ&#10;SwECFAAUAAAACACHTuJA71sipmgCAADIBAAADgAAAAAAAAABACAAAAAoAQAAZHJzL2Uyb0RvYy54&#10;bWxQSwUGAAAAAAYABgBZAQAAAgYAAAAA&#10;">
                <v:fill on="t" focussize="0,0"/>
                <v:stroke weight="0.5pt" color="#000000 [3204]" joinstyle="round"/>
                <v:imagedata o:title=""/>
                <o:lock v:ext="edit" aspectratio="f"/>
                <v:textbox>
                  <w:txbxContent>
                    <w:p w14:paraId="4A0D4277">
                      <w:pPr>
                        <w:jc w:val="center"/>
                        <w:rPr>
                          <w:rFonts w:hint="eastAsia"/>
                          <w:sz w:val="21"/>
                          <w:szCs w:val="21"/>
                          <w:lang w:val="en-US" w:eastAsia="zh-CN"/>
                        </w:rPr>
                      </w:pPr>
                      <w:r>
                        <w:rPr>
                          <w:rFonts w:hint="eastAsia"/>
                          <w:sz w:val="21"/>
                          <w:szCs w:val="21"/>
                          <w:lang w:val="en-US" w:eastAsia="zh-CN"/>
                        </w:rPr>
                        <w:t>图 例</w:t>
                      </w:r>
                    </w:p>
                    <w:p w14:paraId="0D7DE5FA">
                      <w:pPr>
                        <w:ind w:leftChars="300"/>
                        <w:jc w:val="center"/>
                        <w:rPr>
                          <w:rFonts w:hint="eastAsia"/>
                          <w:sz w:val="21"/>
                          <w:szCs w:val="21"/>
                          <w:lang w:val="en-US" w:eastAsia="zh-CN"/>
                        </w:rPr>
                      </w:pPr>
                      <w:r>
                        <w:rPr>
                          <w:rFonts w:hint="eastAsia"/>
                          <w:sz w:val="21"/>
                          <w:szCs w:val="21"/>
                          <w:lang w:val="en-US" w:eastAsia="zh-CN"/>
                        </w:rPr>
                        <w:t>地下水井</w:t>
                      </w:r>
                    </w:p>
                    <w:p w14:paraId="0E00E8D3">
                      <w:pPr>
                        <w:ind w:leftChars="300"/>
                        <w:jc w:val="center"/>
                        <w:rPr>
                          <w:rFonts w:hint="eastAsia"/>
                          <w:sz w:val="21"/>
                          <w:szCs w:val="21"/>
                          <w:lang w:val="en-US" w:eastAsia="zh-CN"/>
                        </w:rPr>
                      </w:pPr>
                      <w:r>
                        <w:rPr>
                          <w:rFonts w:hint="eastAsia"/>
                          <w:sz w:val="21"/>
                          <w:szCs w:val="21"/>
                          <w:lang w:val="en-US" w:eastAsia="zh-CN"/>
                        </w:rPr>
                        <w:t>兽医室</w:t>
                      </w:r>
                    </w:p>
                    <w:p w14:paraId="7CF8CA88">
                      <w:pPr>
                        <w:ind w:leftChars="300"/>
                        <w:jc w:val="center"/>
                        <w:rPr>
                          <w:rFonts w:hint="eastAsia"/>
                          <w:sz w:val="21"/>
                          <w:szCs w:val="21"/>
                          <w:lang w:val="en-US" w:eastAsia="zh-CN"/>
                        </w:rPr>
                      </w:pPr>
                      <w:r>
                        <w:rPr>
                          <w:rFonts w:hint="eastAsia"/>
                          <w:sz w:val="21"/>
                          <w:szCs w:val="21"/>
                          <w:lang w:val="en-US" w:eastAsia="zh-CN"/>
                        </w:rPr>
                        <w:t>医疗废物暂存间</w:t>
                      </w:r>
                    </w:p>
                    <w:p w14:paraId="62CC944F">
                      <w:pPr>
                        <w:ind w:leftChars="300"/>
                        <w:jc w:val="center"/>
                        <w:rPr>
                          <w:rFonts w:hint="default"/>
                          <w:sz w:val="21"/>
                          <w:szCs w:val="21"/>
                          <w:lang w:val="en-US" w:eastAsia="zh-CN"/>
                        </w:rPr>
                      </w:pPr>
                      <w:r>
                        <w:rPr>
                          <w:rFonts w:hint="eastAsia"/>
                          <w:sz w:val="21"/>
                          <w:szCs w:val="21"/>
                          <w:lang w:val="en-US" w:eastAsia="zh-CN"/>
                        </w:rPr>
                        <w:t>配电室</w:t>
                      </w:r>
                    </w:p>
                  </w:txbxContent>
                </v:textbox>
              </v:shape>
            </w:pict>
          </mc:Fallback>
        </mc:AlternateContent>
      </w:r>
      <w:r>
        <w:rPr>
          <w:highlight w:val="none"/>
        </w:rPr>
        <w:drawing>
          <wp:inline distT="0" distB="0" distL="114300" distR="114300">
            <wp:extent cx="7368540" cy="4530090"/>
            <wp:effectExtent l="0" t="0" r="3810" b="3810"/>
            <wp:docPr id="2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0"/>
                    <pic:cNvPicPr>
                      <a:picLocks noChangeAspect="1"/>
                    </pic:cNvPicPr>
                  </pic:nvPicPr>
                  <pic:blipFill>
                    <a:blip r:embed="rId121"/>
                    <a:stretch>
                      <a:fillRect/>
                    </a:stretch>
                  </pic:blipFill>
                  <pic:spPr>
                    <a:xfrm>
                      <a:off x="0" y="0"/>
                      <a:ext cx="7368540" cy="4530090"/>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717632" behindDoc="0" locked="0" layoutInCell="1" allowOverlap="1">
                <wp:simplePos x="0" y="0"/>
                <wp:positionH relativeFrom="column">
                  <wp:posOffset>122555</wp:posOffset>
                </wp:positionH>
                <wp:positionV relativeFrom="paragraph">
                  <wp:posOffset>4348480</wp:posOffset>
                </wp:positionV>
                <wp:extent cx="1411605" cy="756920"/>
                <wp:effectExtent l="0" t="0" r="0" b="0"/>
                <wp:wrapNone/>
                <wp:docPr id="165" name="文本框 165"/>
                <wp:cNvGraphicFramePr/>
                <a:graphic xmlns:a="http://schemas.openxmlformats.org/drawingml/2006/main">
                  <a:graphicData uri="http://schemas.microsoft.com/office/word/2010/wordprocessingShape">
                    <wps:wsp>
                      <wps:cNvSpPr txBox="1"/>
                      <wps:spPr>
                        <a:xfrm>
                          <a:off x="1060450" y="6078220"/>
                          <a:ext cx="1411605" cy="756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9B46AB">
                            <w:r>
                              <w:drawing>
                                <wp:inline distT="0" distB="0" distL="114300" distR="114300">
                                  <wp:extent cx="925830" cy="405130"/>
                                  <wp:effectExtent l="0" t="0" r="0" b="15240"/>
                                  <wp:docPr id="2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
                                          <pic:cNvPicPr>
                                            <a:picLocks noChangeAspect="1"/>
                                          </pic:cNvPicPr>
                                        </pic:nvPicPr>
                                        <pic:blipFill>
                                          <a:blip r:embed="rId122"/>
                                          <a:stretch>
                                            <a:fillRect/>
                                          </a:stretch>
                                        </pic:blipFill>
                                        <pic:spPr>
                                          <a:xfrm>
                                            <a:off x="0" y="0"/>
                                            <a:ext cx="925830" cy="4051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5pt;margin-top:342.4pt;height:59.6pt;width:111.15pt;z-index:251717632;mso-width-relative:page;mso-height-relative:page;" filled="f" stroked="f" coordsize="21600,21600" o:gfxdata="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cwUES2gAAAAoBAAAPAAAAAAAAAAEA&#10;IAAAACIAAABkcnMvZG93bnJldi54bWxQSwECFAAUAAAACACHTuJAGlsPi0YCAAB2BAAADgAAAAAA&#10;AAABACAAAAApAQAAZHJzL2Uyb0RvYy54bWxQSwUGAAAAAAYABgBZAQAA4QUAAAAA&#10;">
                <v:fill on="f" focussize="0,0"/>
                <v:stroke on="f" weight="0.5pt"/>
                <v:imagedata o:title=""/>
                <o:lock v:ext="edit" aspectratio="f"/>
                <v:textbox>
                  <w:txbxContent>
                    <w:p w14:paraId="229B46AB">
                      <w:r>
                        <w:drawing>
                          <wp:inline distT="0" distB="0" distL="114300" distR="114300">
                            <wp:extent cx="925830" cy="405130"/>
                            <wp:effectExtent l="0" t="0" r="0" b="15240"/>
                            <wp:docPr id="2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
                                    <pic:cNvPicPr>
                                      <a:picLocks noChangeAspect="1"/>
                                    </pic:cNvPicPr>
                                  </pic:nvPicPr>
                                  <pic:blipFill>
                                    <a:blip r:embed="rId122"/>
                                    <a:stretch>
                                      <a:fillRect/>
                                    </a:stretch>
                                  </pic:blipFill>
                                  <pic:spPr>
                                    <a:xfrm>
                                      <a:off x="0" y="0"/>
                                      <a:ext cx="925830" cy="405130"/>
                                    </a:xfrm>
                                    <a:prstGeom prst="rect">
                                      <a:avLst/>
                                    </a:prstGeom>
                                    <a:noFill/>
                                    <a:ln>
                                      <a:noFill/>
                                    </a:ln>
                                  </pic:spPr>
                                </pic:pic>
                              </a:graphicData>
                            </a:graphic>
                          </wp:inline>
                        </w:drawing>
                      </w:r>
                    </w:p>
                  </w:txbxContent>
                </v:textbox>
              </v:shape>
            </w:pict>
          </mc:Fallback>
        </mc:AlternateContent>
      </w:r>
    </w:p>
    <w:p w14:paraId="0925C371">
      <w:pPr>
        <w:pStyle w:val="4"/>
        <w:bidi w:val="0"/>
        <w:rPr>
          <w:rFonts w:hint="default" w:ascii="Times New Roman" w:hAnsi="Times New Roman" w:eastAsia="宋体" w:cs="Times New Roman"/>
          <w:snapToGrid w:val="0"/>
          <w:color w:val="auto"/>
          <w:highlight w:val="none"/>
          <w:lang w:val="en-US" w:eastAsia="zh-CN"/>
        </w:rPr>
      </w:pPr>
      <w:bookmarkStart w:id="1301" w:name="_Toc6324"/>
      <w:r>
        <w:rPr>
          <w:highlight w:val="none"/>
        </w:rPr>
        <w:drawing>
          <wp:anchor distT="0" distB="0" distL="114300" distR="114300" simplePos="0" relativeHeight="251695104" behindDoc="0" locked="0" layoutInCell="1" allowOverlap="1">
            <wp:simplePos x="0" y="0"/>
            <wp:positionH relativeFrom="column">
              <wp:posOffset>7850505</wp:posOffset>
            </wp:positionH>
            <wp:positionV relativeFrom="paragraph">
              <wp:posOffset>241300</wp:posOffset>
            </wp:positionV>
            <wp:extent cx="881380" cy="885825"/>
            <wp:effectExtent l="0" t="0" r="13970" b="9525"/>
            <wp:wrapNone/>
            <wp:docPr id="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
                    <pic:cNvPicPr>
                      <a:picLocks noChangeAspect="1"/>
                    </pic:cNvPicPr>
                  </pic:nvPicPr>
                  <pic:blipFill>
                    <a:blip r:embed="rId43"/>
                    <a:stretch>
                      <a:fillRect/>
                    </a:stretch>
                  </pic:blipFill>
                  <pic:spPr>
                    <a:xfrm>
                      <a:off x="0" y="0"/>
                      <a:ext cx="881380" cy="885825"/>
                    </a:xfrm>
                    <a:prstGeom prst="rect">
                      <a:avLst/>
                    </a:prstGeom>
                    <a:noFill/>
                    <a:ln>
                      <a:noFill/>
                    </a:ln>
                  </pic:spPr>
                </pic:pic>
              </a:graphicData>
            </a:graphic>
          </wp:anchor>
        </w:drawing>
      </w:r>
      <w:r>
        <w:rPr>
          <w:rFonts w:hint="default" w:ascii="Times New Roman" w:hAnsi="Times New Roman" w:eastAsia="宋体" w:cs="Times New Roman"/>
          <w:snapToGrid w:val="0"/>
          <w:color w:val="auto"/>
          <w:highlight w:val="none"/>
          <w:lang w:val="zh-CN"/>
        </w:rPr>
        <w:t>附图</w:t>
      </w:r>
      <w:r>
        <w:rPr>
          <w:rFonts w:hint="eastAsia"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lang w:val="en-US" w:eastAsia="zh-CN"/>
        </w:rPr>
        <w:t xml:space="preserve">  </w:t>
      </w:r>
      <w:r>
        <w:rPr>
          <w:rFonts w:hint="eastAsia" w:ascii="Times New Roman" w:hAnsi="Times New Roman" w:eastAsia="宋体" w:cs="Times New Roman"/>
          <w:snapToGrid w:val="0"/>
          <w:color w:val="auto"/>
          <w:highlight w:val="none"/>
          <w:lang w:val="en-US" w:eastAsia="zh-CN"/>
        </w:rPr>
        <w:t>扩建后厂区</w:t>
      </w:r>
      <w:r>
        <w:rPr>
          <w:rFonts w:hint="default" w:ascii="Times New Roman" w:hAnsi="Times New Roman" w:eastAsia="宋体" w:cs="Times New Roman"/>
          <w:snapToGrid w:val="0"/>
          <w:color w:val="auto"/>
          <w:highlight w:val="none"/>
          <w:lang w:val="en-US" w:eastAsia="zh-CN"/>
        </w:rPr>
        <w:t>平面布置图</w:t>
      </w:r>
      <w:bookmarkEnd w:id="1301"/>
    </w:p>
    <w:p w14:paraId="295E9259">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snapToGrid w:val="0"/>
          <w:color w:val="auto"/>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highlight w:val="none"/>
        </w:rPr>
        <w:drawing>
          <wp:inline distT="0" distB="0" distL="114300" distR="114300">
            <wp:extent cx="7870190" cy="4397375"/>
            <wp:effectExtent l="0" t="0" r="16510" b="3175"/>
            <wp:docPr id="2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4"/>
                    <pic:cNvPicPr>
                      <a:picLocks noChangeAspect="1"/>
                    </pic:cNvPicPr>
                  </pic:nvPicPr>
                  <pic:blipFill>
                    <a:blip r:embed="rId123"/>
                    <a:stretch>
                      <a:fillRect/>
                    </a:stretch>
                  </pic:blipFill>
                  <pic:spPr>
                    <a:xfrm>
                      <a:off x="0" y="0"/>
                      <a:ext cx="7870190" cy="4397375"/>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722752" behindDoc="0" locked="0" layoutInCell="1" allowOverlap="1">
                <wp:simplePos x="0" y="0"/>
                <wp:positionH relativeFrom="column">
                  <wp:posOffset>135890</wp:posOffset>
                </wp:positionH>
                <wp:positionV relativeFrom="paragraph">
                  <wp:posOffset>4350385</wp:posOffset>
                </wp:positionV>
                <wp:extent cx="1411605" cy="756920"/>
                <wp:effectExtent l="0" t="0" r="0" b="0"/>
                <wp:wrapNone/>
                <wp:docPr id="226" name="文本框 226"/>
                <wp:cNvGraphicFramePr/>
                <a:graphic xmlns:a="http://schemas.openxmlformats.org/drawingml/2006/main">
                  <a:graphicData uri="http://schemas.microsoft.com/office/word/2010/wordprocessingShape">
                    <wps:wsp>
                      <wps:cNvSpPr txBox="1"/>
                      <wps:spPr>
                        <a:xfrm>
                          <a:off x="0" y="0"/>
                          <a:ext cx="1411605" cy="756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AF2FEA">
                            <w:r>
                              <w:drawing>
                                <wp:inline distT="0" distB="0" distL="114300" distR="114300">
                                  <wp:extent cx="925830" cy="405130"/>
                                  <wp:effectExtent l="0" t="0" r="0" b="15240"/>
                                  <wp:docPr id="2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6"/>
                                          <pic:cNvPicPr>
                                            <a:picLocks noChangeAspect="1"/>
                                          </pic:cNvPicPr>
                                        </pic:nvPicPr>
                                        <pic:blipFill>
                                          <a:blip r:embed="rId122"/>
                                          <a:stretch>
                                            <a:fillRect/>
                                          </a:stretch>
                                        </pic:blipFill>
                                        <pic:spPr>
                                          <a:xfrm>
                                            <a:off x="0" y="0"/>
                                            <a:ext cx="925830" cy="4051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7pt;margin-top:342.55pt;height:59.6pt;width:111.15pt;z-index:251722752;mso-width-relative:page;mso-height-relative:page;" filled="f" stroked="f" coordsize="21600,21600" o:gfxdata="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V6Ya43AAAAAoBAAAPAAAAAAAAAAEAIAAAACIA&#10;AABkcnMvZG93bnJldi54bWxQSwECFAAUAAAACACHTuJArjq1NT4CAABqBAAADgAAAAAAAAABACAA&#10;AAArAQAAZHJzL2Uyb0RvYy54bWxQSwUGAAAAAAYABgBZAQAA2wUAAAAA&#10;">
                <v:fill on="f" focussize="0,0"/>
                <v:stroke on="f" weight="0.5pt"/>
                <v:imagedata o:title=""/>
                <o:lock v:ext="edit" aspectratio="f"/>
                <v:textbox>
                  <w:txbxContent>
                    <w:p w14:paraId="57AF2FEA">
                      <w:r>
                        <w:drawing>
                          <wp:inline distT="0" distB="0" distL="114300" distR="114300">
                            <wp:extent cx="925830" cy="405130"/>
                            <wp:effectExtent l="0" t="0" r="0" b="15240"/>
                            <wp:docPr id="2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6"/>
                                    <pic:cNvPicPr>
                                      <a:picLocks noChangeAspect="1"/>
                                    </pic:cNvPicPr>
                                  </pic:nvPicPr>
                                  <pic:blipFill>
                                    <a:blip r:embed="rId122"/>
                                    <a:stretch>
                                      <a:fillRect/>
                                    </a:stretch>
                                  </pic:blipFill>
                                  <pic:spPr>
                                    <a:xfrm>
                                      <a:off x="0" y="0"/>
                                      <a:ext cx="925830" cy="405130"/>
                                    </a:xfrm>
                                    <a:prstGeom prst="rect">
                                      <a:avLst/>
                                    </a:prstGeom>
                                    <a:noFill/>
                                    <a:ln>
                                      <a:noFill/>
                                    </a:ln>
                                  </pic:spPr>
                                </pic:pic>
                              </a:graphicData>
                            </a:graphic>
                          </wp:inline>
                        </w:drawing>
                      </w:r>
                    </w:p>
                  </w:txbxContent>
                </v:textbox>
              </v:shape>
            </w:pict>
          </mc:Fallback>
        </mc:AlternateContent>
      </w:r>
      <w:r>
        <w:rPr>
          <w:sz w:val="21"/>
          <w:highlight w:val="none"/>
        </w:rPr>
        <mc:AlternateContent>
          <mc:Choice Requires="wps">
            <w:drawing>
              <wp:anchor distT="0" distB="0" distL="114300" distR="114300" simplePos="0" relativeHeight="251721728" behindDoc="0" locked="0" layoutInCell="1" allowOverlap="1">
                <wp:simplePos x="0" y="0"/>
                <wp:positionH relativeFrom="column">
                  <wp:posOffset>8083550</wp:posOffset>
                </wp:positionH>
                <wp:positionV relativeFrom="paragraph">
                  <wp:posOffset>4050665</wp:posOffset>
                </wp:positionV>
                <wp:extent cx="199390" cy="285750"/>
                <wp:effectExtent l="0" t="0" r="10160" b="0"/>
                <wp:wrapNone/>
                <wp:docPr id="221" name="十字星 221"/>
                <wp:cNvGraphicFramePr/>
                <a:graphic xmlns:a="http://schemas.openxmlformats.org/drawingml/2006/main">
                  <a:graphicData uri="http://schemas.microsoft.com/office/word/2010/wordprocessingShape">
                    <wps:wsp>
                      <wps:cNvSpPr/>
                      <wps:spPr>
                        <a:xfrm>
                          <a:off x="0" y="0"/>
                          <a:ext cx="199390" cy="285750"/>
                        </a:xfrm>
                        <a:prstGeom prst="star4">
                          <a:avLst/>
                        </a:prstGeom>
                        <a:solidFill>
                          <a:srgbClr val="FFC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636.5pt;margin-top:318.95pt;height:22.5pt;width:15.7pt;z-index:251721728;v-text-anchor:middle;mso-width-relative:page;mso-height-relative:page;" fillcolor="#FFC000" filled="t" stroked="f" coordsize="21600,21600" o:gfxdata="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9ZYQqNwAAAANAQAADwAAAAAAAAABACAAAAAiAAAAZHJzL2Rvd25yZXYueG1s&#10;UEsBAhQAFAAAAAgAh07iQBRsHd9mAgAAuwQAAA4AAAAAAAAAAQAgAAAAKwEAAGRycy9lMm9Eb2Mu&#10;eG1sUEsFBgAAAAAGAAYAWQEAAAMGAAAAAA==&#10;" adj="81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720704" behindDoc="0" locked="0" layoutInCell="1" allowOverlap="1">
                <wp:simplePos x="0" y="0"/>
                <wp:positionH relativeFrom="column">
                  <wp:posOffset>8093075</wp:posOffset>
                </wp:positionH>
                <wp:positionV relativeFrom="paragraph">
                  <wp:posOffset>3907790</wp:posOffset>
                </wp:positionV>
                <wp:extent cx="182245" cy="138430"/>
                <wp:effectExtent l="0" t="0" r="8255" b="13970"/>
                <wp:wrapNone/>
                <wp:docPr id="219" name="等腰三角形 219"/>
                <wp:cNvGraphicFramePr/>
                <a:graphic xmlns:a="http://schemas.openxmlformats.org/drawingml/2006/main">
                  <a:graphicData uri="http://schemas.microsoft.com/office/word/2010/wordprocessingShape">
                    <wps:wsp>
                      <wps:cNvSpPr/>
                      <wps:spPr>
                        <a:xfrm>
                          <a:off x="0" y="0"/>
                          <a:ext cx="182245" cy="138430"/>
                        </a:xfrm>
                        <a:prstGeom prst="triangle">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37.25pt;margin-top:307.7pt;height:10.9pt;width:14.35pt;z-index:251720704;v-text-anchor:middle;mso-width-relative:page;mso-height-relative:page;" fillcolor="#FF0000" filled="t" stroked="f" coordsize="21600,21600" o:gfxdata="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3J8atkAAAANAQAADwAAAAAAAAABACAAAAAiAAAAZHJz&#10;L2Rvd25yZXYueG1sUEsBAhQAFAAAAAgAh07iQM1sxj51AgAAxAQAAA4AAAAAAAAAAQAgAAAAKAEA&#10;AGRycy9lMm9Eb2MueG1sUEsFBgAAAAAGAAYAWQEAAA8GAAAAAA==&#10;" adj="108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719680" behindDoc="0" locked="0" layoutInCell="1" allowOverlap="1">
                <wp:simplePos x="0" y="0"/>
                <wp:positionH relativeFrom="column">
                  <wp:posOffset>8085455</wp:posOffset>
                </wp:positionH>
                <wp:positionV relativeFrom="paragraph">
                  <wp:posOffset>3740785</wp:posOffset>
                </wp:positionV>
                <wp:extent cx="173355" cy="129540"/>
                <wp:effectExtent l="0" t="0" r="17145" b="3810"/>
                <wp:wrapNone/>
                <wp:docPr id="216" name="矩形 216"/>
                <wp:cNvGraphicFramePr/>
                <a:graphic xmlns:a="http://schemas.openxmlformats.org/drawingml/2006/main">
                  <a:graphicData uri="http://schemas.microsoft.com/office/word/2010/wordprocessingShape">
                    <wps:wsp>
                      <wps:cNvSpPr/>
                      <wps:spPr>
                        <a:xfrm>
                          <a:off x="0" y="0"/>
                          <a:ext cx="173355" cy="129540"/>
                        </a:xfrm>
                        <a:prstGeom prst="rect">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36.65pt;margin-top:294.55pt;height:10.2pt;width:13.65pt;z-index:251719680;v-text-anchor:middle;mso-width-relative:page;mso-height-relative:page;" fillcolor="#92D050" filled="t" stroked="f" coordsize="21600,21600" o:gfxdata="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Qh0Ng2AAAAA0BAAAPAAAAAAAAAAEAIAAAACIAAABkcnMvZG93bnJldi54bWxQSwECFAAUAAAA&#10;CACHTuJAeugW7mACAAC3BAAADgAAAAAAAAABACAAAAAnAQAAZHJzL2Uyb0RvYy54bWxQSwUGAAAA&#10;AAYABgBZAQAA+QUAAAAA&#10;">
                <v:fill on="t"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18656" behindDoc="0" locked="0" layoutInCell="1" allowOverlap="1">
                <wp:simplePos x="0" y="0"/>
                <wp:positionH relativeFrom="column">
                  <wp:posOffset>8089900</wp:posOffset>
                </wp:positionH>
                <wp:positionV relativeFrom="paragraph">
                  <wp:posOffset>3491865</wp:posOffset>
                </wp:positionV>
                <wp:extent cx="182245" cy="199390"/>
                <wp:effectExtent l="0" t="0" r="8255" b="10160"/>
                <wp:wrapNone/>
                <wp:docPr id="213" name="五角星 213"/>
                <wp:cNvGraphicFramePr/>
                <a:graphic xmlns:a="http://schemas.openxmlformats.org/drawingml/2006/main">
                  <a:graphicData uri="http://schemas.microsoft.com/office/word/2010/wordprocessingShape">
                    <wps:wsp>
                      <wps:cNvSpPr/>
                      <wps:spPr>
                        <a:xfrm>
                          <a:off x="0" y="0"/>
                          <a:ext cx="182245" cy="199390"/>
                        </a:xfrm>
                        <a:prstGeom prst="star5">
                          <a:avLst/>
                        </a:prstGeom>
                        <a:solidFill>
                          <a:srgbClr val="00B0F0"/>
                        </a:solidFill>
                        <a:ln w="12700" cmpd="sng">
                          <a:no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37pt;margin-top:274.95pt;height:15.7pt;width:14.35pt;z-index:251718656;v-text-anchor:middle;mso-width-relative:page;mso-height-relative:page;" fillcolor="#00B0F0" filled="t" stroked="f" coordsize="182245,199390" o:gfxdata="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zBznK2wAAAA0BAAAPAAAAAAAAAAEAIAAAACIAAABkcnMvZG93bnJldi54&#10;bWxQSwECFAAUAAAACACHTuJA+L+Xc2kCAAC7BAAADgAAAAAAAAABACAAAAAqAQAAZHJzL2Uyb0Rv&#10;Yy54bWxQSwUGAAAAAAYABgBZAQAABQYAAAAA&#10;" path="m0,76160l69611,76160,91122,0,112633,76160,182244,76160,125927,123229,147439,199389,91122,152319,34805,199389,56317,123229xe">
                <v:path o:connectlocs="91122,0;0,76160;34805,199389;147439,199389;182244,76160" o:connectangles="247,164,82,82,0"/>
                <v:fill on="t" focussize="0,0"/>
                <v:stroke on="f" weight="1pt"/>
                <v:imagedata o:title=""/>
                <o:lock v:ext="edit" aspectratio="f"/>
              </v:shape>
            </w:pict>
          </mc:Fallback>
        </mc:AlternateContent>
      </w:r>
      <w:r>
        <w:rPr>
          <w:sz w:val="21"/>
          <w:highlight w:val="none"/>
        </w:rPr>
        <mc:AlternateContent>
          <mc:Choice Requires="wps">
            <w:drawing>
              <wp:anchor distT="0" distB="0" distL="114300" distR="114300" simplePos="0" relativeHeight="251694080" behindDoc="0" locked="0" layoutInCell="1" allowOverlap="1">
                <wp:simplePos x="0" y="0"/>
                <wp:positionH relativeFrom="column">
                  <wp:posOffset>7917815</wp:posOffset>
                </wp:positionH>
                <wp:positionV relativeFrom="paragraph">
                  <wp:posOffset>3229610</wp:posOffset>
                </wp:positionV>
                <wp:extent cx="1618615" cy="1167130"/>
                <wp:effectExtent l="5080" t="4445" r="14605" b="9525"/>
                <wp:wrapNone/>
                <wp:docPr id="150" name="文本框 150"/>
                <wp:cNvGraphicFramePr/>
                <a:graphic xmlns:a="http://schemas.openxmlformats.org/drawingml/2006/main">
                  <a:graphicData uri="http://schemas.microsoft.com/office/word/2010/wordprocessingShape">
                    <wps:wsp>
                      <wps:cNvSpPr txBox="1"/>
                      <wps:spPr>
                        <a:xfrm>
                          <a:off x="0" y="0"/>
                          <a:ext cx="1618615" cy="11671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9E4292">
                            <w:pPr>
                              <w:jc w:val="center"/>
                              <w:rPr>
                                <w:rFonts w:hint="eastAsia"/>
                                <w:sz w:val="21"/>
                                <w:szCs w:val="21"/>
                                <w:lang w:val="en-US" w:eastAsia="zh-CN"/>
                              </w:rPr>
                            </w:pPr>
                            <w:r>
                              <w:rPr>
                                <w:rFonts w:hint="eastAsia"/>
                                <w:sz w:val="21"/>
                                <w:szCs w:val="21"/>
                                <w:lang w:val="en-US" w:eastAsia="zh-CN"/>
                              </w:rPr>
                              <w:t>图 例</w:t>
                            </w:r>
                          </w:p>
                          <w:p w14:paraId="25FA71F3">
                            <w:pPr>
                              <w:ind w:leftChars="300"/>
                              <w:jc w:val="center"/>
                              <w:rPr>
                                <w:rFonts w:hint="eastAsia"/>
                                <w:sz w:val="21"/>
                                <w:szCs w:val="21"/>
                                <w:lang w:val="en-US" w:eastAsia="zh-CN"/>
                              </w:rPr>
                            </w:pPr>
                            <w:r>
                              <w:rPr>
                                <w:rFonts w:hint="eastAsia"/>
                                <w:sz w:val="21"/>
                                <w:szCs w:val="21"/>
                                <w:lang w:val="en-US" w:eastAsia="zh-CN"/>
                              </w:rPr>
                              <w:t>地下水井</w:t>
                            </w:r>
                          </w:p>
                          <w:p w14:paraId="25971B56">
                            <w:pPr>
                              <w:ind w:leftChars="300"/>
                              <w:jc w:val="center"/>
                              <w:rPr>
                                <w:rFonts w:hint="eastAsia"/>
                                <w:sz w:val="21"/>
                                <w:szCs w:val="21"/>
                                <w:lang w:val="en-US" w:eastAsia="zh-CN"/>
                              </w:rPr>
                            </w:pPr>
                            <w:r>
                              <w:rPr>
                                <w:rFonts w:hint="eastAsia"/>
                                <w:sz w:val="21"/>
                                <w:szCs w:val="21"/>
                                <w:lang w:val="en-US" w:eastAsia="zh-CN"/>
                              </w:rPr>
                              <w:t>兽医室</w:t>
                            </w:r>
                          </w:p>
                          <w:p w14:paraId="5F234452">
                            <w:pPr>
                              <w:ind w:leftChars="300"/>
                              <w:jc w:val="center"/>
                              <w:rPr>
                                <w:rFonts w:hint="eastAsia"/>
                                <w:sz w:val="21"/>
                                <w:szCs w:val="21"/>
                                <w:lang w:val="en-US" w:eastAsia="zh-CN"/>
                              </w:rPr>
                            </w:pPr>
                            <w:r>
                              <w:rPr>
                                <w:rFonts w:hint="eastAsia"/>
                                <w:sz w:val="21"/>
                                <w:szCs w:val="21"/>
                                <w:lang w:val="en-US" w:eastAsia="zh-CN"/>
                              </w:rPr>
                              <w:t>医疗废物暂存间</w:t>
                            </w:r>
                          </w:p>
                          <w:p w14:paraId="6D3E3DD3">
                            <w:pPr>
                              <w:ind w:leftChars="300"/>
                              <w:jc w:val="center"/>
                              <w:rPr>
                                <w:rFonts w:hint="default"/>
                                <w:sz w:val="21"/>
                                <w:szCs w:val="21"/>
                                <w:lang w:val="en-US" w:eastAsia="zh-CN"/>
                              </w:rPr>
                            </w:pPr>
                            <w:r>
                              <w:rPr>
                                <w:rFonts w:hint="eastAsia"/>
                                <w:sz w:val="21"/>
                                <w:szCs w:val="21"/>
                                <w:lang w:val="en-US" w:eastAsia="zh-CN"/>
                              </w:rPr>
                              <w:t>配电室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3.45pt;margin-top:254.3pt;height:91.9pt;width:127.45pt;z-index:251694080;mso-width-relative:page;mso-height-relative:page;" fillcolor="#FFFFFF [3201]" filled="t" stroked="t" coordsize="21600,21600" o:gfxdata="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X6TA&#10;6tkAAAANAQAADwAAAAAAAAABACAAAAAiAAAAZHJzL2Rvd25yZXYueG1sUEsBAhQAFAAAAAgAh07i&#10;QI2HpwdaAgAAvAQAAA4AAAAAAAAAAQAgAAAAKAEAAGRycy9lMm9Eb2MueG1sUEsFBgAAAAAGAAYA&#10;WQEAAPQFAAAAAA==&#10;">
                <v:fill on="t" focussize="0,0"/>
                <v:stroke weight="0.5pt" color="#000000 [3204]" joinstyle="round"/>
                <v:imagedata o:title=""/>
                <o:lock v:ext="edit" aspectratio="f"/>
                <v:textbox>
                  <w:txbxContent>
                    <w:p w14:paraId="739E4292">
                      <w:pPr>
                        <w:jc w:val="center"/>
                        <w:rPr>
                          <w:rFonts w:hint="eastAsia"/>
                          <w:sz w:val="21"/>
                          <w:szCs w:val="21"/>
                          <w:lang w:val="en-US" w:eastAsia="zh-CN"/>
                        </w:rPr>
                      </w:pPr>
                      <w:r>
                        <w:rPr>
                          <w:rFonts w:hint="eastAsia"/>
                          <w:sz w:val="21"/>
                          <w:szCs w:val="21"/>
                          <w:lang w:val="en-US" w:eastAsia="zh-CN"/>
                        </w:rPr>
                        <w:t>图 例</w:t>
                      </w:r>
                    </w:p>
                    <w:p w14:paraId="25FA71F3">
                      <w:pPr>
                        <w:ind w:leftChars="300"/>
                        <w:jc w:val="center"/>
                        <w:rPr>
                          <w:rFonts w:hint="eastAsia"/>
                          <w:sz w:val="21"/>
                          <w:szCs w:val="21"/>
                          <w:lang w:val="en-US" w:eastAsia="zh-CN"/>
                        </w:rPr>
                      </w:pPr>
                      <w:r>
                        <w:rPr>
                          <w:rFonts w:hint="eastAsia"/>
                          <w:sz w:val="21"/>
                          <w:szCs w:val="21"/>
                          <w:lang w:val="en-US" w:eastAsia="zh-CN"/>
                        </w:rPr>
                        <w:t>地下水井</w:t>
                      </w:r>
                    </w:p>
                    <w:p w14:paraId="25971B56">
                      <w:pPr>
                        <w:ind w:leftChars="300"/>
                        <w:jc w:val="center"/>
                        <w:rPr>
                          <w:rFonts w:hint="eastAsia"/>
                          <w:sz w:val="21"/>
                          <w:szCs w:val="21"/>
                          <w:lang w:val="en-US" w:eastAsia="zh-CN"/>
                        </w:rPr>
                      </w:pPr>
                      <w:r>
                        <w:rPr>
                          <w:rFonts w:hint="eastAsia"/>
                          <w:sz w:val="21"/>
                          <w:szCs w:val="21"/>
                          <w:lang w:val="en-US" w:eastAsia="zh-CN"/>
                        </w:rPr>
                        <w:t>兽医室</w:t>
                      </w:r>
                    </w:p>
                    <w:p w14:paraId="5F234452">
                      <w:pPr>
                        <w:ind w:leftChars="300"/>
                        <w:jc w:val="center"/>
                        <w:rPr>
                          <w:rFonts w:hint="eastAsia"/>
                          <w:sz w:val="21"/>
                          <w:szCs w:val="21"/>
                          <w:lang w:val="en-US" w:eastAsia="zh-CN"/>
                        </w:rPr>
                      </w:pPr>
                      <w:r>
                        <w:rPr>
                          <w:rFonts w:hint="eastAsia"/>
                          <w:sz w:val="21"/>
                          <w:szCs w:val="21"/>
                          <w:lang w:val="en-US" w:eastAsia="zh-CN"/>
                        </w:rPr>
                        <w:t>医疗废物暂存间</w:t>
                      </w:r>
                    </w:p>
                    <w:p w14:paraId="6D3E3DD3">
                      <w:pPr>
                        <w:ind w:leftChars="300"/>
                        <w:jc w:val="center"/>
                        <w:rPr>
                          <w:rFonts w:hint="default"/>
                          <w:sz w:val="21"/>
                          <w:szCs w:val="21"/>
                          <w:lang w:val="en-US" w:eastAsia="zh-CN"/>
                        </w:rPr>
                      </w:pPr>
                      <w:r>
                        <w:rPr>
                          <w:rFonts w:hint="eastAsia"/>
                          <w:sz w:val="21"/>
                          <w:szCs w:val="21"/>
                          <w:lang w:val="en-US" w:eastAsia="zh-CN"/>
                        </w:rPr>
                        <w:t>配电室</w:t>
                      </w:r>
                    </w:p>
                  </w:txbxContent>
                </v:textbox>
              </v:shape>
            </w:pict>
          </mc:Fallback>
        </mc:AlternateContent>
      </w:r>
    </w:p>
    <w:p w14:paraId="25E22E0F">
      <w:pPr>
        <w:pStyle w:val="4"/>
        <w:bidi w:val="0"/>
        <w:rPr>
          <w:rFonts w:hint="default" w:ascii="Times New Roman" w:hAnsi="Times New Roman" w:eastAsia="宋体" w:cs="Times New Roman"/>
          <w:snapToGrid w:val="0"/>
          <w:color w:val="auto"/>
          <w:highlight w:val="none"/>
          <w:lang w:val="zh-CN" w:eastAsia="zh-CN"/>
        </w:rPr>
      </w:pPr>
      <w:bookmarkStart w:id="1302" w:name="_Toc7606"/>
      <w:r>
        <w:rPr>
          <w:rFonts w:hint="default" w:ascii="Times New Roman" w:hAnsi="Times New Roman" w:eastAsia="宋体" w:cs="Times New Roman"/>
          <w:snapToGrid w:val="0"/>
          <w:color w:val="auto"/>
          <w:highlight w:val="none"/>
          <w:lang w:val="zh-CN"/>
        </w:rPr>
        <w:t>附图</w:t>
      </w:r>
      <w:r>
        <w:rPr>
          <w:rFonts w:hint="eastAsia"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lang w:val="en-US" w:eastAsia="zh-CN"/>
        </w:rPr>
        <w:t xml:space="preserve">  周边环境关系图</w:t>
      </w:r>
      <w:bookmarkEnd w:id="1302"/>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5"/>
        <w:gridCol w:w="4293"/>
      </w:tblGrid>
      <w:tr w14:paraId="747F1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vAlign w:val="center"/>
          </w:tcPr>
          <w:p w14:paraId="1A2E3F73">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2511425" cy="3349625"/>
                  <wp:effectExtent l="0" t="0" r="3175" b="3175"/>
                  <wp:docPr id="24" name="图片 24" descr="8aaf093fe536a6fdce2efc0c553ab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8aaf093fe536a6fdce2efc0c553ab98"/>
                          <pic:cNvPicPr>
                            <a:picLocks noChangeAspect="1"/>
                          </pic:cNvPicPr>
                        </pic:nvPicPr>
                        <pic:blipFill>
                          <a:blip r:embed="rId124"/>
                          <a:stretch>
                            <a:fillRect/>
                          </a:stretch>
                        </pic:blipFill>
                        <pic:spPr>
                          <a:xfrm>
                            <a:off x="0" y="0"/>
                            <a:ext cx="2511425" cy="3349625"/>
                          </a:xfrm>
                          <a:prstGeom prst="rect">
                            <a:avLst/>
                          </a:prstGeom>
                        </pic:spPr>
                      </pic:pic>
                    </a:graphicData>
                  </a:graphic>
                </wp:inline>
              </w:drawing>
            </w:r>
          </w:p>
        </w:tc>
        <w:tc>
          <w:tcPr>
            <w:tcW w:w="7087" w:type="dxa"/>
            <w:vAlign w:val="center"/>
          </w:tcPr>
          <w:p w14:paraId="006A2165">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2548255" cy="3397885"/>
                  <wp:effectExtent l="0" t="0" r="4445" b="12065"/>
                  <wp:docPr id="74" name="图片 74" descr="f405299e54f10cd88e6bafff5e963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405299e54f10cd88e6bafff5e9634d"/>
                          <pic:cNvPicPr>
                            <a:picLocks noChangeAspect="1"/>
                          </pic:cNvPicPr>
                        </pic:nvPicPr>
                        <pic:blipFill>
                          <a:blip r:embed="rId125"/>
                          <a:stretch>
                            <a:fillRect/>
                          </a:stretch>
                        </pic:blipFill>
                        <pic:spPr>
                          <a:xfrm>
                            <a:off x="0" y="0"/>
                            <a:ext cx="2548255" cy="3397885"/>
                          </a:xfrm>
                          <a:prstGeom prst="rect">
                            <a:avLst/>
                          </a:prstGeom>
                        </pic:spPr>
                      </pic:pic>
                    </a:graphicData>
                  </a:graphic>
                </wp:inline>
              </w:drawing>
            </w:r>
          </w:p>
        </w:tc>
      </w:tr>
      <w:tr w14:paraId="40C58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vAlign w:val="center"/>
          </w:tcPr>
          <w:p w14:paraId="6AAF25A2">
            <w:pPr>
              <w:keepNext w:val="0"/>
              <w:keepLines w:val="0"/>
              <w:pageBreakBefore w:val="0"/>
              <w:widowControl/>
              <w:kinsoku/>
              <w:wordWrap/>
              <w:overflowPunct/>
              <w:topLinePunct w:val="0"/>
              <w:autoSpaceDE/>
              <w:autoSpaceDN/>
              <w:bidi w:val="0"/>
              <w:adjustRightInd/>
              <w:snapToGrid/>
              <w:jc w:val="center"/>
              <w:textAlignment w:val="auto"/>
              <w:rPr>
                <w:rFonts w:hint="default" w:eastAsia="宋体"/>
                <w:highlight w:val="none"/>
                <w:vertAlign w:val="baseline"/>
                <w:lang w:val="en-US" w:eastAsia="zh-CN"/>
              </w:rPr>
            </w:pPr>
            <w:r>
              <w:rPr>
                <w:rFonts w:hint="eastAsia"/>
                <w:highlight w:val="none"/>
                <w:vertAlign w:val="baseline"/>
                <w:lang w:val="en-US" w:eastAsia="zh-CN"/>
              </w:rPr>
              <w:t>厂界北侧为农田</w:t>
            </w:r>
          </w:p>
        </w:tc>
        <w:tc>
          <w:tcPr>
            <w:tcW w:w="7087" w:type="dxa"/>
            <w:vAlign w:val="center"/>
          </w:tcPr>
          <w:p w14:paraId="0F4E1368">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val="en-US" w:eastAsia="zh-CN"/>
              </w:rPr>
            </w:pPr>
            <w:r>
              <w:rPr>
                <w:rFonts w:hint="eastAsia"/>
                <w:highlight w:val="none"/>
                <w:vertAlign w:val="baseline"/>
                <w:lang w:val="en-US" w:eastAsia="zh-CN"/>
              </w:rPr>
              <w:t>厂界东侧为农田</w:t>
            </w:r>
          </w:p>
        </w:tc>
      </w:tr>
      <w:tr w14:paraId="2ABA2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vAlign w:val="center"/>
          </w:tcPr>
          <w:p w14:paraId="744E3BEB">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2377440" cy="3170555"/>
                  <wp:effectExtent l="0" t="0" r="3810" b="10795"/>
                  <wp:docPr id="25" name="图片 25" descr="3c7cf72f99dab26bb9323ab283ac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3c7cf72f99dab26bb9323ab283ac572"/>
                          <pic:cNvPicPr>
                            <a:picLocks noChangeAspect="1"/>
                          </pic:cNvPicPr>
                        </pic:nvPicPr>
                        <pic:blipFill>
                          <a:blip r:embed="rId126"/>
                          <a:stretch>
                            <a:fillRect/>
                          </a:stretch>
                        </pic:blipFill>
                        <pic:spPr>
                          <a:xfrm>
                            <a:off x="0" y="0"/>
                            <a:ext cx="2377440" cy="3170555"/>
                          </a:xfrm>
                          <a:prstGeom prst="rect">
                            <a:avLst/>
                          </a:prstGeom>
                        </pic:spPr>
                      </pic:pic>
                    </a:graphicData>
                  </a:graphic>
                </wp:inline>
              </w:drawing>
            </w:r>
          </w:p>
        </w:tc>
        <w:tc>
          <w:tcPr>
            <w:tcW w:w="7087" w:type="dxa"/>
            <w:vAlign w:val="center"/>
          </w:tcPr>
          <w:p w14:paraId="7C529824">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2339975" cy="3119755"/>
                  <wp:effectExtent l="0" t="0" r="3175" b="4445"/>
                  <wp:docPr id="22" name="图片 22" descr="c9981c3d3b14bf9159bb2b34d38d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9981c3d3b14bf9159bb2b34d38d4b1"/>
                          <pic:cNvPicPr>
                            <a:picLocks noChangeAspect="1"/>
                          </pic:cNvPicPr>
                        </pic:nvPicPr>
                        <pic:blipFill>
                          <a:blip r:embed="rId127"/>
                          <a:stretch>
                            <a:fillRect/>
                          </a:stretch>
                        </pic:blipFill>
                        <pic:spPr>
                          <a:xfrm>
                            <a:off x="0" y="0"/>
                            <a:ext cx="2339975" cy="3119755"/>
                          </a:xfrm>
                          <a:prstGeom prst="rect">
                            <a:avLst/>
                          </a:prstGeom>
                        </pic:spPr>
                      </pic:pic>
                    </a:graphicData>
                  </a:graphic>
                </wp:inline>
              </w:drawing>
            </w:r>
          </w:p>
        </w:tc>
      </w:tr>
      <w:tr w14:paraId="78D0D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vAlign w:val="center"/>
          </w:tcPr>
          <w:p w14:paraId="7031C7FF">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val="en-US" w:eastAsia="zh-CN"/>
              </w:rPr>
            </w:pPr>
            <w:r>
              <w:rPr>
                <w:rFonts w:hint="eastAsia"/>
                <w:highlight w:val="none"/>
                <w:vertAlign w:val="baseline"/>
                <w:lang w:val="en-US" w:eastAsia="zh-CN"/>
              </w:rPr>
              <w:t>厂界西侧为农田</w:t>
            </w:r>
          </w:p>
        </w:tc>
        <w:tc>
          <w:tcPr>
            <w:tcW w:w="7087" w:type="dxa"/>
            <w:vAlign w:val="center"/>
          </w:tcPr>
          <w:p w14:paraId="335DBC0A">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val="en-US" w:eastAsia="zh-CN"/>
              </w:rPr>
            </w:pPr>
            <w:r>
              <w:rPr>
                <w:rFonts w:hint="eastAsia"/>
                <w:highlight w:val="none"/>
                <w:vertAlign w:val="baseline"/>
                <w:lang w:val="en-US" w:eastAsia="zh-CN"/>
              </w:rPr>
              <w:t>厂界南侧为农田</w:t>
            </w:r>
          </w:p>
        </w:tc>
      </w:tr>
    </w:tbl>
    <w:p w14:paraId="7F6B1014">
      <w:pPr>
        <w:bidi w:val="0"/>
        <w:rPr>
          <w:rFonts w:hint="default"/>
          <w:highlight w:val="none"/>
        </w:rPr>
      </w:pPr>
    </w:p>
    <w:p w14:paraId="6CEDB07B">
      <w:pPr>
        <w:bidi w:val="0"/>
        <w:rPr>
          <w:rFonts w:hint="default"/>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7C36955">
      <w:pPr>
        <w:pStyle w:val="4"/>
        <w:bidi w:val="0"/>
        <w:rPr>
          <w:rFonts w:hint="default" w:ascii="Times New Roman" w:hAnsi="Times New Roman" w:eastAsia="宋体" w:cs="Times New Roman"/>
          <w:snapToGrid w:val="0"/>
          <w:color w:val="auto"/>
          <w:sz w:val="30"/>
          <w:szCs w:val="30"/>
          <w:highlight w:val="none"/>
          <w:lang w:val="en-US" w:eastAsia="zh-CN"/>
        </w:rPr>
      </w:pPr>
      <w:bookmarkStart w:id="1303" w:name="_Toc10643"/>
      <w:r>
        <w:rPr>
          <w:rFonts w:hint="default" w:ascii="Times New Roman" w:hAnsi="Times New Roman" w:eastAsia="宋体" w:cs="Times New Roman"/>
          <w:snapToGrid w:val="0"/>
          <w:color w:val="auto"/>
          <w:sz w:val="30"/>
          <w:szCs w:val="30"/>
          <w:highlight w:val="none"/>
          <w:lang w:val="zh-CN" w:eastAsia="zh-CN"/>
        </w:rPr>
        <w:t>附图</w:t>
      </w:r>
      <w:r>
        <w:rPr>
          <w:rFonts w:hint="eastAsia" w:ascii="Times New Roman" w:hAnsi="Times New Roman" w:eastAsia="宋体" w:cs="Times New Roman"/>
          <w:snapToGrid w:val="0"/>
          <w:color w:val="auto"/>
          <w:sz w:val="30"/>
          <w:szCs w:val="30"/>
          <w:highlight w:val="none"/>
          <w:lang w:val="en-US" w:eastAsia="zh-CN"/>
        </w:rPr>
        <w:t>5</w:t>
      </w:r>
      <w:r>
        <w:rPr>
          <w:rFonts w:hint="default" w:ascii="Times New Roman" w:hAnsi="Times New Roman" w:eastAsia="宋体" w:cs="Times New Roman"/>
          <w:snapToGrid w:val="0"/>
          <w:color w:val="auto"/>
          <w:sz w:val="30"/>
          <w:szCs w:val="30"/>
          <w:highlight w:val="none"/>
          <w:lang w:val="en-US" w:eastAsia="zh-CN"/>
        </w:rPr>
        <w:t xml:space="preserve">  项目在鸡西市土地利用中位置</w:t>
      </w:r>
      <w:bookmarkEnd w:id="1303"/>
    </w:p>
    <w:p w14:paraId="45151B4A">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6990435">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r>
        <w:rPr>
          <w:rFonts w:hint="default" w:ascii="Times New Roman" w:hAnsi="Times New Roman" w:eastAsia="宋体" w:cs="Times New Roman"/>
          <w:color w:val="auto"/>
          <w:kern w:val="2"/>
          <w:sz w:val="21"/>
          <w:szCs w:val="24"/>
          <w:highlight w:val="none"/>
          <w:lang w:val="en-US" w:eastAsia="zh-CN"/>
        </w:rPr>
        <w:drawing>
          <wp:anchor distT="0" distB="0" distL="114300" distR="114300" simplePos="0" relativeHeight="251671552" behindDoc="0" locked="0" layoutInCell="1" allowOverlap="1">
            <wp:simplePos x="0" y="0"/>
            <wp:positionH relativeFrom="column">
              <wp:posOffset>182880</wp:posOffset>
            </wp:positionH>
            <wp:positionV relativeFrom="paragraph">
              <wp:posOffset>114935</wp:posOffset>
            </wp:positionV>
            <wp:extent cx="8113395" cy="5394960"/>
            <wp:effectExtent l="12700" t="12700" r="27305" b="21590"/>
            <wp:wrapNone/>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128"/>
                    <a:stretch>
                      <a:fillRect/>
                    </a:stretch>
                  </pic:blipFill>
                  <pic:spPr>
                    <a:xfrm>
                      <a:off x="0" y="0"/>
                      <a:ext cx="8113395" cy="5394960"/>
                    </a:xfrm>
                    <a:prstGeom prst="rect">
                      <a:avLst/>
                    </a:prstGeom>
                    <a:solidFill>
                      <a:srgbClr val="000000"/>
                    </a:solidFill>
                    <a:ln w="12700" cmpd="sng">
                      <a:solidFill>
                        <a:srgbClr val="000000"/>
                      </a:solidFill>
                      <a:prstDash val="solid"/>
                    </a:ln>
                    <a:effectLst/>
                  </pic:spPr>
                </pic:pic>
              </a:graphicData>
            </a:graphic>
          </wp:anchor>
        </w:drawing>
      </w:r>
    </w:p>
    <w:p w14:paraId="61D1612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65B56B7">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6E9770F">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59B5C6ED">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14E6A41D">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55ABFF27">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09A2E17">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35F3E8F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3099069B">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1340C39C">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6BA43B59">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5E0B71B">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36E22EE9">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DDCFB4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902E114">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B83B7F1">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AC129EA">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7D155CC9">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031D495">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27997428">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7F80ED6F">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r>
        <w:rPr>
          <w:rFonts w:hint="default" w:ascii="Times New Roman" w:hAnsi="Times New Roman" w:eastAsia="宋体" w:cs="Times New Roman"/>
          <w:color w:val="auto"/>
          <w:kern w:val="2"/>
          <w:sz w:val="21"/>
          <w:szCs w:val="24"/>
          <w:highlight w:val="none"/>
          <w:lang w:val="en-US" w:eastAsia="zh-CN"/>
        </w:rPr>
        <w:drawing>
          <wp:anchor distT="0" distB="0" distL="114300" distR="114300" simplePos="0" relativeHeight="251675648" behindDoc="0" locked="0" layoutInCell="1" allowOverlap="1">
            <wp:simplePos x="0" y="0"/>
            <wp:positionH relativeFrom="column">
              <wp:posOffset>5529580</wp:posOffset>
            </wp:positionH>
            <wp:positionV relativeFrom="paragraph">
              <wp:posOffset>62865</wp:posOffset>
            </wp:positionV>
            <wp:extent cx="3368040" cy="2221230"/>
            <wp:effectExtent l="0" t="0" r="3810" b="7620"/>
            <wp:wrapNone/>
            <wp:docPr id="1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7"/>
                    <pic:cNvPicPr>
                      <a:picLocks noChangeAspect="1"/>
                    </pic:cNvPicPr>
                  </pic:nvPicPr>
                  <pic:blipFill>
                    <a:blip r:embed="rId129"/>
                    <a:stretch>
                      <a:fillRect/>
                    </a:stretch>
                  </pic:blipFill>
                  <pic:spPr>
                    <a:xfrm>
                      <a:off x="0" y="0"/>
                      <a:ext cx="3368040" cy="2221230"/>
                    </a:xfrm>
                    <a:prstGeom prst="rect">
                      <a:avLst/>
                    </a:prstGeom>
                    <a:noFill/>
                    <a:ln>
                      <a:noFill/>
                    </a:ln>
                  </pic:spPr>
                </pic:pic>
              </a:graphicData>
            </a:graphic>
          </wp:anchor>
        </w:drawing>
      </w:r>
    </w:p>
    <w:p w14:paraId="252609D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C0D7F7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r>
        <w:rPr>
          <w:rFonts w:ascii="Times New Roman" w:hAnsi="Times New Roman" w:eastAsia="宋体" w:cs="Times New Roman"/>
          <w:color w:val="auto"/>
          <w:kern w:val="2"/>
          <w:sz w:val="21"/>
          <w:szCs w:val="24"/>
          <w:highlight w:val="none"/>
        </w:rPr>
        <mc:AlternateContent>
          <mc:Choice Requires="wps">
            <w:drawing>
              <wp:anchor distT="0" distB="0" distL="114300" distR="114300" simplePos="0" relativeHeight="251673600" behindDoc="0" locked="0" layoutInCell="1" allowOverlap="1">
                <wp:simplePos x="0" y="0"/>
                <wp:positionH relativeFrom="column">
                  <wp:posOffset>3920490</wp:posOffset>
                </wp:positionH>
                <wp:positionV relativeFrom="paragraph">
                  <wp:posOffset>128905</wp:posOffset>
                </wp:positionV>
                <wp:extent cx="973455" cy="371475"/>
                <wp:effectExtent l="6350" t="378460" r="29845" b="12065"/>
                <wp:wrapNone/>
                <wp:docPr id="173" name="矩形标注 173"/>
                <wp:cNvGraphicFramePr/>
                <a:graphic xmlns:a="http://schemas.openxmlformats.org/drawingml/2006/main">
                  <a:graphicData uri="http://schemas.microsoft.com/office/word/2010/wordprocessingShape">
                    <wps:wsp>
                      <wps:cNvSpPr/>
                      <wps:spPr>
                        <a:xfrm>
                          <a:off x="2222500" y="2250440"/>
                          <a:ext cx="973455" cy="371475"/>
                        </a:xfrm>
                        <a:prstGeom prst="wedgeRectCallout">
                          <a:avLst>
                            <a:gd name="adj1" fmla="val 49739"/>
                            <a:gd name="adj2" fmla="val -145384"/>
                          </a:avLst>
                        </a:prstGeom>
                        <a:noFill/>
                        <a:ln w="12700" cap="flat" cmpd="sng" algn="ctr">
                          <a:solidFill>
                            <a:srgbClr val="FF0000"/>
                          </a:solidFill>
                          <a:prstDash val="solid"/>
                          <a:miter lim="800000"/>
                        </a:ln>
                        <a:effectLst/>
                      </wps:spPr>
                      <wps:txbx>
                        <w:txbxContent>
                          <w:p w14:paraId="0200DD6C">
                            <w:pPr>
                              <w:spacing w:line="240" w:lineRule="auto"/>
                              <w:ind w:firstLine="0" w:firstLineChars="0"/>
                              <w:jc w:val="center"/>
                              <w:rPr>
                                <w:rFonts w:hint="eastAsia" w:ascii="Times New Roman" w:hAnsi="Times New Roman" w:eastAsia="宋体" w:cs="Times New Roman"/>
                                <w:b/>
                                <w:bCs/>
                                <w:color w:val="FF0000"/>
                                <w:kern w:val="2"/>
                                <w:sz w:val="21"/>
                                <w:szCs w:val="24"/>
                                <w:lang w:eastAsia="zh-CN"/>
                              </w:rPr>
                            </w:pPr>
                            <w:r>
                              <w:rPr>
                                <w:rFonts w:hint="eastAsia" w:ascii="Times New Roman" w:hAnsi="Times New Roman" w:eastAsia="宋体" w:cs="Times New Roman"/>
                                <w:b/>
                                <w:bCs/>
                                <w:color w:val="FF0000"/>
                                <w:kern w:val="2"/>
                                <w:sz w:val="21"/>
                                <w:szCs w:val="24"/>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8.7pt;margin-top:10.15pt;height:29.25pt;width:76.65pt;z-index:251673600;v-text-anchor:middle;mso-width-relative:page;mso-height-relative:page;" filled="f" stroked="t" coordsize="21600,21600" o:gfxdata="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jn+971wAAAAkBAAAPAAAAAAAAAAEAIAAA&#10;ACIAAABkcnMvZG93bnJldi54bWxQSwECFAAUAAAACACHTuJAuVJ07LgCAABYBQAADgAAAAAAAAAB&#10;ACAAAAAmAQAAZHJzL2Uyb0RvYy54bWxQSwUGAAAAAAYABgBZAQAAUAYAAAAA&#10;" adj="21544,-20603">
                <v:fill on="f" focussize="0,0"/>
                <v:stroke weight="1pt" color="#FF0000" miterlimit="8" joinstyle="miter"/>
                <v:imagedata o:title=""/>
                <o:lock v:ext="edit" aspectratio="f"/>
                <v:textbox>
                  <w:txbxContent>
                    <w:p w14:paraId="0200DD6C">
                      <w:pPr>
                        <w:spacing w:line="240" w:lineRule="auto"/>
                        <w:ind w:firstLine="0" w:firstLineChars="0"/>
                        <w:jc w:val="center"/>
                        <w:rPr>
                          <w:rFonts w:hint="eastAsia" w:ascii="Times New Roman" w:hAnsi="Times New Roman" w:eastAsia="宋体" w:cs="Times New Roman"/>
                          <w:b/>
                          <w:bCs/>
                          <w:color w:val="FF0000"/>
                          <w:kern w:val="2"/>
                          <w:sz w:val="21"/>
                          <w:szCs w:val="24"/>
                          <w:lang w:eastAsia="zh-CN"/>
                        </w:rPr>
                      </w:pPr>
                      <w:r>
                        <w:rPr>
                          <w:rFonts w:hint="eastAsia" w:ascii="Times New Roman" w:hAnsi="Times New Roman" w:eastAsia="宋体" w:cs="Times New Roman"/>
                          <w:b/>
                          <w:bCs/>
                          <w:color w:val="FF0000"/>
                          <w:kern w:val="2"/>
                          <w:sz w:val="21"/>
                          <w:szCs w:val="24"/>
                          <w:lang w:eastAsia="zh-CN"/>
                        </w:rPr>
                        <w:t>本项目</w:t>
                      </w:r>
                    </w:p>
                  </w:txbxContent>
                </v:textbox>
              </v:shape>
            </w:pict>
          </mc:Fallback>
        </mc:AlternateContent>
      </w:r>
    </w:p>
    <w:p w14:paraId="55471C0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177039A9">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6A78FAED">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742E2F15">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298F0F4">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648EF56C">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3A0F93E1">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2A645D88">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219745F">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72F9ACCB">
      <w:pPr>
        <w:spacing w:line="240" w:lineRule="auto"/>
        <w:ind w:firstLine="0" w:firstLineChars="0"/>
        <w:rPr>
          <w:rFonts w:hint="eastAsia" w:ascii="Times New Roman" w:hAnsi="Times New Roman" w:eastAsia="宋体" w:cs="Times New Roman"/>
          <w:color w:val="auto"/>
          <w:kern w:val="2"/>
          <w:sz w:val="21"/>
          <w:szCs w:val="24"/>
          <w:highlight w:val="none"/>
          <w:lang w:val="en-US" w:eastAsia="zh-CN"/>
        </w:rPr>
      </w:pPr>
      <w:r>
        <w:rPr>
          <w:rFonts w:ascii="Times New Roman" w:hAnsi="Times New Roman" w:eastAsia="宋体" w:cs="Times New Roman"/>
          <w:color w:val="auto"/>
          <w:kern w:val="2"/>
          <w:sz w:val="21"/>
          <w:szCs w:val="24"/>
          <w:highlight w:val="none"/>
        </w:rPr>
        <w:drawing>
          <wp:anchor distT="0" distB="0" distL="114300" distR="114300" simplePos="0" relativeHeight="251672576" behindDoc="0" locked="0" layoutInCell="1" allowOverlap="1">
            <wp:simplePos x="0" y="0"/>
            <wp:positionH relativeFrom="column">
              <wp:posOffset>85725</wp:posOffset>
            </wp:positionH>
            <wp:positionV relativeFrom="paragraph">
              <wp:posOffset>55245</wp:posOffset>
            </wp:positionV>
            <wp:extent cx="1466850" cy="323850"/>
            <wp:effectExtent l="0" t="0" r="0" b="0"/>
            <wp:wrapNone/>
            <wp:docPr id="1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
                    <pic:cNvPicPr>
                      <a:picLocks noChangeAspect="1"/>
                    </pic:cNvPicPr>
                  </pic:nvPicPr>
                  <pic:blipFill>
                    <a:blip r:embed="rId130"/>
                    <a:stretch>
                      <a:fillRect/>
                    </a:stretch>
                  </pic:blipFill>
                  <pic:spPr>
                    <a:xfrm>
                      <a:off x="0" y="0"/>
                      <a:ext cx="1466850" cy="323850"/>
                    </a:xfrm>
                    <a:prstGeom prst="rect">
                      <a:avLst/>
                    </a:prstGeom>
                    <a:noFill/>
                    <a:ln>
                      <a:noFill/>
                    </a:ln>
                  </pic:spPr>
                </pic:pic>
              </a:graphicData>
            </a:graphic>
          </wp:anchor>
        </w:drawing>
      </w:r>
    </w:p>
    <w:p w14:paraId="31600E8F">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 xml:space="preserve"> </w:t>
      </w:r>
    </w:p>
    <w:p w14:paraId="540AA422">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r>
        <w:rPr>
          <w:rFonts w:ascii="Times New Roman" w:hAnsi="Times New Roman" w:eastAsia="宋体" w:cs="Times New Roman"/>
          <w:color w:val="auto"/>
          <w:kern w:val="2"/>
          <w:sz w:val="21"/>
          <w:szCs w:val="24"/>
          <w:highlight w:val="none"/>
        </w:rPr>
        <w:drawing>
          <wp:anchor distT="0" distB="0" distL="114300" distR="114300" simplePos="0" relativeHeight="251670528" behindDoc="0" locked="0" layoutInCell="1" allowOverlap="1">
            <wp:simplePos x="0" y="0"/>
            <wp:positionH relativeFrom="column">
              <wp:posOffset>701675</wp:posOffset>
            </wp:positionH>
            <wp:positionV relativeFrom="paragraph">
              <wp:posOffset>123190</wp:posOffset>
            </wp:positionV>
            <wp:extent cx="7774940" cy="5177155"/>
            <wp:effectExtent l="0" t="0" r="16510" b="4445"/>
            <wp:wrapNone/>
            <wp:docPr id="1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9"/>
                    <pic:cNvPicPr>
                      <a:picLocks noChangeAspect="1"/>
                    </pic:cNvPicPr>
                  </pic:nvPicPr>
                  <pic:blipFill>
                    <a:blip r:embed="rId131"/>
                    <a:stretch>
                      <a:fillRect/>
                    </a:stretch>
                  </pic:blipFill>
                  <pic:spPr>
                    <a:xfrm>
                      <a:off x="0" y="0"/>
                      <a:ext cx="7774940" cy="5177155"/>
                    </a:xfrm>
                    <a:prstGeom prst="rect">
                      <a:avLst/>
                    </a:prstGeom>
                    <a:noFill/>
                    <a:ln>
                      <a:noFill/>
                    </a:ln>
                  </pic:spPr>
                </pic:pic>
              </a:graphicData>
            </a:graphic>
          </wp:anchor>
        </w:drawing>
      </w:r>
    </w:p>
    <w:p w14:paraId="341D583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5BA286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CD726D9">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76F0471C">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0BA5AE57">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5C7C036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709663A">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3DD85936">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37ABCED">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090270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4058C8F">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0948F221">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46DDD63">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05F13B8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81B44AD">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2BB6BC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A5CE462">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7E070CC">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31F5065B">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36BFB8EA">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7D391067">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r>
        <w:rPr>
          <w:rFonts w:hint="default" w:ascii="Times New Roman" w:hAnsi="Times New Roman" w:eastAsia="宋体" w:cs="Times New Roman"/>
          <w:color w:val="auto"/>
          <w:kern w:val="2"/>
          <w:sz w:val="21"/>
          <w:szCs w:val="24"/>
          <w:highlight w:val="none"/>
          <w:lang w:eastAsia="zh-CN"/>
        </w:rPr>
        <w:drawing>
          <wp:anchor distT="0" distB="0" distL="114300" distR="114300" simplePos="0" relativeHeight="251676672" behindDoc="0" locked="0" layoutInCell="1" allowOverlap="1">
            <wp:simplePos x="0" y="0"/>
            <wp:positionH relativeFrom="column">
              <wp:posOffset>5645150</wp:posOffset>
            </wp:positionH>
            <wp:positionV relativeFrom="paragraph">
              <wp:posOffset>68580</wp:posOffset>
            </wp:positionV>
            <wp:extent cx="3204210" cy="1955800"/>
            <wp:effectExtent l="0" t="0" r="15240" b="6350"/>
            <wp:wrapNone/>
            <wp:docPr id="1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0"/>
                    <pic:cNvPicPr>
                      <a:picLocks noChangeAspect="1"/>
                    </pic:cNvPicPr>
                  </pic:nvPicPr>
                  <pic:blipFill>
                    <a:blip r:embed="rId132"/>
                    <a:stretch>
                      <a:fillRect/>
                    </a:stretch>
                  </pic:blipFill>
                  <pic:spPr>
                    <a:xfrm>
                      <a:off x="0" y="0"/>
                      <a:ext cx="3204210" cy="1955800"/>
                    </a:xfrm>
                    <a:prstGeom prst="rect">
                      <a:avLst/>
                    </a:prstGeom>
                    <a:noFill/>
                    <a:ln>
                      <a:noFill/>
                    </a:ln>
                  </pic:spPr>
                </pic:pic>
              </a:graphicData>
            </a:graphic>
          </wp:anchor>
        </w:drawing>
      </w:r>
      <w:r>
        <w:rPr>
          <w:rFonts w:hint="default" w:ascii="Times New Roman" w:hAnsi="Times New Roman" w:eastAsia="宋体" w:cs="Times New Roman"/>
          <w:color w:val="auto"/>
          <w:kern w:val="2"/>
          <w:sz w:val="21"/>
          <w:szCs w:val="24"/>
          <w:highlight w:val="none"/>
          <w:lang w:eastAsia="zh-CN"/>
        </w:rPr>
        <mc:AlternateContent>
          <mc:Choice Requires="wps">
            <w:drawing>
              <wp:anchor distT="0" distB="0" distL="114300" distR="114300" simplePos="0" relativeHeight="251677696" behindDoc="0" locked="0" layoutInCell="1" allowOverlap="1">
                <wp:simplePos x="0" y="0"/>
                <wp:positionH relativeFrom="column">
                  <wp:posOffset>4113530</wp:posOffset>
                </wp:positionH>
                <wp:positionV relativeFrom="paragraph">
                  <wp:posOffset>29210</wp:posOffset>
                </wp:positionV>
                <wp:extent cx="973455" cy="316865"/>
                <wp:effectExtent l="6350" t="69850" r="239395" b="13335"/>
                <wp:wrapNone/>
                <wp:docPr id="137" name="矩形标注 137"/>
                <wp:cNvGraphicFramePr/>
                <a:graphic xmlns:a="http://schemas.openxmlformats.org/drawingml/2006/main">
                  <a:graphicData uri="http://schemas.microsoft.com/office/word/2010/wordprocessingShape">
                    <wps:wsp>
                      <wps:cNvSpPr/>
                      <wps:spPr>
                        <a:xfrm>
                          <a:off x="0" y="0"/>
                          <a:ext cx="973455" cy="316865"/>
                        </a:xfrm>
                        <a:prstGeom prst="wedgeRectCallout">
                          <a:avLst>
                            <a:gd name="adj1" fmla="val 70026"/>
                            <a:gd name="adj2" fmla="val -63827"/>
                          </a:avLst>
                        </a:prstGeom>
                        <a:noFill/>
                        <a:ln w="12700" cap="flat" cmpd="sng" algn="ctr">
                          <a:solidFill>
                            <a:srgbClr val="FF0000"/>
                          </a:solidFill>
                          <a:prstDash val="solid"/>
                          <a:miter lim="800000"/>
                        </a:ln>
                        <a:effectLst/>
                      </wps:spPr>
                      <wps:txbx>
                        <w:txbxContent>
                          <w:p w14:paraId="079B071E">
                            <w:pPr>
                              <w:spacing w:line="240" w:lineRule="auto"/>
                              <w:ind w:firstLine="0" w:firstLineChars="0"/>
                              <w:jc w:val="center"/>
                              <w:rPr>
                                <w:rFonts w:hint="eastAsia" w:ascii="Times New Roman" w:hAnsi="Times New Roman" w:eastAsia="宋体" w:cs="Times New Roman"/>
                                <w:b/>
                                <w:bCs/>
                                <w:color w:val="FF0000"/>
                                <w:kern w:val="2"/>
                                <w:sz w:val="24"/>
                                <w:szCs w:val="32"/>
                                <w:shd w:val="clear" w:color="FFFFFF" w:fill="D9D9D9"/>
                                <w:lang w:eastAsia="zh-CN"/>
                              </w:rPr>
                            </w:pPr>
                            <w:r>
                              <w:rPr>
                                <w:rFonts w:hint="eastAsia" w:ascii="Times New Roman" w:hAnsi="Times New Roman" w:eastAsia="宋体" w:cs="Times New Roman"/>
                                <w:b/>
                                <w:bCs/>
                                <w:color w:val="FF0000"/>
                                <w:kern w:val="2"/>
                                <w:sz w:val="24"/>
                                <w:szCs w:val="32"/>
                                <w:shd w:val="clear" w:color="FFFFFF" w:fill="D9D9D9"/>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3.9pt;margin-top:2.3pt;height:24.95pt;width:76.65pt;z-index:251677696;v-text-anchor:middle;mso-width-relative:page;mso-height-relative:page;" filled="f" stroked="t" coordsize="21600,21600" o:gfxdata="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BCgz01wAAAAgBAAAPAAAAAAAAAAEAIAAAACIAAABkcnMv&#10;ZG93bnJldi54bWxQSwECFAAUAAAACACHTuJA/srlTq8CAABLBQAADgAAAAAAAAABACAAAAAmAQAA&#10;ZHJzL2Uyb0RvYy54bWxQSwUGAAAAAAYABgBZAQAARwYAAAAA&#10;" adj="25926,-2987">
                <v:fill on="f" focussize="0,0"/>
                <v:stroke weight="1pt" color="#FF0000" miterlimit="8" joinstyle="miter"/>
                <v:imagedata o:title=""/>
                <o:lock v:ext="edit" aspectratio="f"/>
                <v:textbox>
                  <w:txbxContent>
                    <w:p w14:paraId="079B071E">
                      <w:pPr>
                        <w:spacing w:line="240" w:lineRule="auto"/>
                        <w:ind w:firstLine="0" w:firstLineChars="0"/>
                        <w:jc w:val="center"/>
                        <w:rPr>
                          <w:rFonts w:hint="eastAsia" w:ascii="Times New Roman" w:hAnsi="Times New Roman" w:eastAsia="宋体" w:cs="Times New Roman"/>
                          <w:b/>
                          <w:bCs/>
                          <w:color w:val="FF0000"/>
                          <w:kern w:val="2"/>
                          <w:sz w:val="24"/>
                          <w:szCs w:val="32"/>
                          <w:shd w:val="clear" w:color="FFFFFF" w:fill="D9D9D9"/>
                          <w:lang w:eastAsia="zh-CN"/>
                        </w:rPr>
                      </w:pPr>
                      <w:r>
                        <w:rPr>
                          <w:rFonts w:hint="eastAsia" w:ascii="Times New Roman" w:hAnsi="Times New Roman" w:eastAsia="宋体" w:cs="Times New Roman"/>
                          <w:b/>
                          <w:bCs/>
                          <w:color w:val="FF0000"/>
                          <w:kern w:val="2"/>
                          <w:sz w:val="24"/>
                          <w:szCs w:val="32"/>
                          <w:shd w:val="clear" w:color="FFFFFF" w:fill="D9D9D9"/>
                          <w:lang w:eastAsia="zh-CN"/>
                        </w:rPr>
                        <w:t>本项目</w:t>
                      </w:r>
                    </w:p>
                  </w:txbxContent>
                </v:textbox>
              </v:shape>
            </w:pict>
          </mc:Fallback>
        </mc:AlternateContent>
      </w:r>
    </w:p>
    <w:p w14:paraId="0C11290E">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25A46E6">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786CDDB1">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9C53010">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981B77C">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1F111BE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30FD7A79">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C59A127">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869543D">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2196382">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F689FAB">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r>
        <w:rPr>
          <w:rFonts w:ascii="Times New Roman" w:hAnsi="Times New Roman" w:eastAsia="宋体" w:cs="Times New Roman"/>
          <w:color w:val="auto"/>
          <w:kern w:val="2"/>
          <w:sz w:val="21"/>
          <w:szCs w:val="20"/>
          <w:highlight w:val="none"/>
          <w:lang w:val="en-US" w:eastAsia="zh-CN" w:bidi="ar-SA"/>
        </w:rPr>
        <w:drawing>
          <wp:anchor distT="0" distB="0" distL="114300" distR="114300" simplePos="0" relativeHeight="251674624" behindDoc="0" locked="0" layoutInCell="1" allowOverlap="1">
            <wp:simplePos x="0" y="0"/>
            <wp:positionH relativeFrom="column">
              <wp:posOffset>68580</wp:posOffset>
            </wp:positionH>
            <wp:positionV relativeFrom="paragraph">
              <wp:posOffset>138430</wp:posOffset>
            </wp:positionV>
            <wp:extent cx="1466850" cy="323850"/>
            <wp:effectExtent l="0" t="0" r="0" b="0"/>
            <wp:wrapNone/>
            <wp:docPr id="1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
                    <pic:cNvPicPr>
                      <a:picLocks noChangeAspect="1"/>
                    </pic:cNvPicPr>
                  </pic:nvPicPr>
                  <pic:blipFill>
                    <a:blip r:embed="rId130"/>
                    <a:stretch>
                      <a:fillRect/>
                    </a:stretch>
                  </pic:blipFill>
                  <pic:spPr>
                    <a:xfrm>
                      <a:off x="0" y="0"/>
                      <a:ext cx="1466850" cy="323850"/>
                    </a:xfrm>
                    <a:prstGeom prst="rect">
                      <a:avLst/>
                    </a:prstGeom>
                    <a:noFill/>
                    <a:ln>
                      <a:noFill/>
                    </a:ln>
                  </pic:spPr>
                </pic:pic>
              </a:graphicData>
            </a:graphic>
          </wp:anchor>
        </w:drawing>
      </w:r>
    </w:p>
    <w:p w14:paraId="6B20B5DA">
      <w:pPr>
        <w:widowControl w:val="0"/>
        <w:jc w:val="both"/>
        <w:rPr>
          <w:rFonts w:hint="default" w:ascii="Times New Roman" w:hAnsi="Times New Roman" w:eastAsia="宋体" w:cs="Times New Roman"/>
          <w:color w:val="auto"/>
          <w:kern w:val="2"/>
          <w:sz w:val="21"/>
          <w:szCs w:val="24"/>
          <w:highlight w:val="none"/>
          <w:lang w:eastAsia="zh-CN"/>
        </w:rPr>
      </w:pPr>
    </w:p>
    <w:p w14:paraId="6309F87D">
      <w:pPr>
        <w:widowControl w:val="0"/>
        <w:jc w:val="both"/>
        <w:rPr>
          <w:rFonts w:hint="default" w:ascii="Times New Roman" w:hAnsi="Times New Roman" w:eastAsia="宋体" w:cs="Times New Roman"/>
          <w:color w:val="auto"/>
          <w:kern w:val="2"/>
          <w:sz w:val="21"/>
          <w:szCs w:val="24"/>
          <w:highlight w:val="none"/>
          <w:lang w:eastAsia="zh-CN"/>
        </w:rPr>
      </w:pPr>
    </w:p>
    <w:p w14:paraId="425A5B98">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sectPr>
          <w:pgSz w:w="16840" w:h="11907" w:orient="landscape"/>
          <w:pgMar w:top="141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14:paraId="3D248F65">
      <w:pPr>
        <w:pStyle w:val="4"/>
        <w:bidi w:val="0"/>
        <w:rPr>
          <w:rFonts w:hint="default" w:ascii="Times New Roman" w:hAnsi="Times New Roman" w:eastAsia="宋体" w:cs="Times New Roman"/>
          <w:snapToGrid w:val="0"/>
          <w:color w:val="auto"/>
          <w:highlight w:val="none"/>
          <w:lang w:val="zh-CN"/>
        </w:rPr>
      </w:pPr>
      <w:bookmarkStart w:id="1304" w:name="_Toc22316"/>
      <w:bookmarkStart w:id="1305" w:name="_Toc663"/>
      <w:bookmarkStart w:id="1306" w:name="_Toc22443"/>
      <w:bookmarkStart w:id="1307" w:name="_Toc7891"/>
      <w:bookmarkStart w:id="1308" w:name="_Toc15471"/>
      <w:bookmarkStart w:id="1309" w:name="_Toc13057"/>
      <w:r>
        <w:rPr>
          <w:rFonts w:hint="default" w:ascii="Times New Roman" w:hAnsi="Times New Roman" w:eastAsia="宋体" w:cs="Times New Roman"/>
          <w:snapToGrid w:val="0"/>
          <w:color w:val="auto"/>
          <w:highlight w:val="none"/>
          <w:lang w:val="zh-CN"/>
        </w:rPr>
        <w:t>附件1</w:t>
      </w:r>
      <w:r>
        <w:rPr>
          <w:rFonts w:hint="default" w:ascii="Times New Roman" w:hAnsi="Times New Roman" w:eastAsia="宋体" w:cs="Times New Roman"/>
          <w:snapToGrid w:val="0"/>
          <w:color w:val="auto"/>
          <w:highlight w:val="none"/>
          <w:lang w:val="en-US"/>
        </w:rPr>
        <w:t xml:space="preserve"> </w:t>
      </w:r>
      <w:r>
        <w:rPr>
          <w:rFonts w:hint="default" w:ascii="Times New Roman" w:hAnsi="Times New Roman" w:eastAsia="宋体" w:cs="Times New Roman"/>
          <w:snapToGrid w:val="0"/>
          <w:color w:val="auto"/>
          <w:highlight w:val="none"/>
          <w:lang w:val="zh-CN"/>
        </w:rPr>
        <w:t>建设项目大气环境影响评价自查表</w:t>
      </w:r>
      <w:bookmarkEnd w:id="1304"/>
      <w:bookmarkEnd w:id="1305"/>
      <w:bookmarkEnd w:id="1306"/>
      <w:bookmarkEnd w:id="1307"/>
      <w:bookmarkEnd w:id="1308"/>
      <w:bookmarkEnd w:id="1309"/>
    </w:p>
    <w:tbl>
      <w:tblPr>
        <w:tblStyle w:val="48"/>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135"/>
        <w:gridCol w:w="670"/>
        <w:gridCol w:w="602"/>
        <w:gridCol w:w="191"/>
        <w:gridCol w:w="254"/>
        <w:gridCol w:w="516"/>
        <w:gridCol w:w="28"/>
        <w:gridCol w:w="606"/>
        <w:gridCol w:w="390"/>
        <w:gridCol w:w="223"/>
        <w:gridCol w:w="343"/>
        <w:gridCol w:w="406"/>
        <w:gridCol w:w="159"/>
        <w:gridCol w:w="136"/>
        <w:gridCol w:w="148"/>
        <w:gridCol w:w="10"/>
        <w:gridCol w:w="274"/>
        <w:gridCol w:w="283"/>
        <w:gridCol w:w="94"/>
        <w:gridCol w:w="487"/>
        <w:gridCol w:w="750"/>
      </w:tblGrid>
      <w:tr w14:paraId="78591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dxa"/>
            <w:gridSpan w:val="2"/>
            <w:tcBorders>
              <w:top w:val="single" w:color="auto" w:sz="4" w:space="0"/>
              <w:left w:val="single" w:color="auto" w:sz="4" w:space="0"/>
              <w:bottom w:val="single" w:color="auto" w:sz="4" w:space="0"/>
              <w:right w:val="single" w:color="auto" w:sz="4" w:space="0"/>
            </w:tcBorders>
            <w:noWrap w:val="0"/>
            <w:vAlign w:val="center"/>
          </w:tcPr>
          <w:p w14:paraId="41DCD23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工作内容</w:t>
            </w:r>
          </w:p>
        </w:tc>
        <w:tc>
          <w:tcPr>
            <w:tcW w:w="6570" w:type="dxa"/>
            <w:gridSpan w:val="20"/>
            <w:tcBorders>
              <w:top w:val="single" w:color="auto" w:sz="4" w:space="0"/>
              <w:left w:val="single" w:color="auto" w:sz="4" w:space="0"/>
              <w:bottom w:val="single" w:color="auto" w:sz="4" w:space="0"/>
              <w:right w:val="single" w:color="auto" w:sz="4" w:space="0"/>
            </w:tcBorders>
            <w:noWrap w:val="0"/>
            <w:vAlign w:val="center"/>
          </w:tcPr>
          <w:p w14:paraId="1E2B1D4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自查项目</w:t>
            </w:r>
          </w:p>
        </w:tc>
      </w:tr>
      <w:tr w14:paraId="4EF1C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14:paraId="602AAED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评价等级与范围</w:t>
            </w:r>
          </w:p>
        </w:tc>
        <w:tc>
          <w:tcPr>
            <w:tcW w:w="1135" w:type="dxa"/>
            <w:tcBorders>
              <w:top w:val="single" w:color="auto" w:sz="4" w:space="0"/>
              <w:left w:val="single" w:color="auto" w:sz="4" w:space="0"/>
              <w:bottom w:val="single" w:color="auto" w:sz="4" w:space="0"/>
              <w:right w:val="single" w:color="auto" w:sz="4" w:space="0"/>
            </w:tcBorders>
            <w:noWrap w:val="0"/>
            <w:vAlign w:val="center"/>
          </w:tcPr>
          <w:p w14:paraId="47853F0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评价等级</w:t>
            </w:r>
          </w:p>
        </w:tc>
        <w:tc>
          <w:tcPr>
            <w:tcW w:w="1717" w:type="dxa"/>
            <w:gridSpan w:val="4"/>
            <w:tcBorders>
              <w:top w:val="single" w:color="auto" w:sz="4" w:space="0"/>
              <w:left w:val="single" w:color="auto" w:sz="4" w:space="0"/>
              <w:bottom w:val="single" w:color="auto" w:sz="4" w:space="0"/>
              <w:right w:val="single" w:color="auto" w:sz="4" w:space="0"/>
            </w:tcBorders>
            <w:noWrap w:val="0"/>
            <w:vAlign w:val="center"/>
          </w:tcPr>
          <w:p w14:paraId="0CA8F6F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一级□</w:t>
            </w:r>
          </w:p>
        </w:tc>
        <w:tc>
          <w:tcPr>
            <w:tcW w:w="2807" w:type="dxa"/>
            <w:gridSpan w:val="9"/>
            <w:tcBorders>
              <w:top w:val="single" w:color="auto" w:sz="4" w:space="0"/>
              <w:left w:val="single" w:color="auto" w:sz="4" w:space="0"/>
              <w:bottom w:val="single" w:color="auto" w:sz="4" w:space="0"/>
              <w:right w:val="single" w:color="auto" w:sz="4" w:space="0"/>
            </w:tcBorders>
            <w:noWrap w:val="0"/>
            <w:vAlign w:val="center"/>
          </w:tcPr>
          <w:p w14:paraId="0CD49487">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二级√</w:t>
            </w:r>
          </w:p>
        </w:tc>
        <w:tc>
          <w:tcPr>
            <w:tcW w:w="2046" w:type="dxa"/>
            <w:gridSpan w:val="7"/>
            <w:tcBorders>
              <w:top w:val="single" w:color="auto" w:sz="4" w:space="0"/>
              <w:left w:val="single" w:color="auto" w:sz="4" w:space="0"/>
              <w:bottom w:val="single" w:color="auto" w:sz="4" w:space="0"/>
              <w:right w:val="single" w:color="auto" w:sz="4" w:space="0"/>
            </w:tcBorders>
            <w:noWrap w:val="0"/>
            <w:vAlign w:val="center"/>
          </w:tcPr>
          <w:p w14:paraId="45C7AD6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三级□</w:t>
            </w:r>
          </w:p>
        </w:tc>
      </w:tr>
      <w:tr w14:paraId="2DDA7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114C4EC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0E7EF14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评价范围</w:t>
            </w:r>
          </w:p>
        </w:tc>
        <w:tc>
          <w:tcPr>
            <w:tcW w:w="1717" w:type="dxa"/>
            <w:gridSpan w:val="4"/>
            <w:tcBorders>
              <w:top w:val="single" w:color="auto" w:sz="4" w:space="0"/>
              <w:left w:val="single" w:color="auto" w:sz="4" w:space="0"/>
              <w:bottom w:val="single" w:color="auto" w:sz="4" w:space="0"/>
              <w:right w:val="single" w:color="auto" w:sz="4" w:space="0"/>
            </w:tcBorders>
            <w:noWrap w:val="0"/>
            <w:vAlign w:val="center"/>
          </w:tcPr>
          <w:p w14:paraId="613F559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边长=50km□</w:t>
            </w:r>
          </w:p>
        </w:tc>
        <w:tc>
          <w:tcPr>
            <w:tcW w:w="2807" w:type="dxa"/>
            <w:gridSpan w:val="9"/>
            <w:tcBorders>
              <w:top w:val="single" w:color="auto" w:sz="4" w:space="0"/>
              <w:left w:val="single" w:color="auto" w:sz="4" w:space="0"/>
              <w:bottom w:val="single" w:color="auto" w:sz="4" w:space="0"/>
              <w:right w:val="single" w:color="auto" w:sz="4" w:space="0"/>
            </w:tcBorders>
            <w:noWrap w:val="0"/>
            <w:vAlign w:val="center"/>
          </w:tcPr>
          <w:p w14:paraId="4181A4C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边长5~50km</w:t>
            </w:r>
            <w:r>
              <w:rPr>
                <w:rFonts w:hint="default" w:ascii="Times New Roman" w:hAnsi="Times New Roman" w:eastAsia="宋体" w:cs="Times New Roman"/>
                <w:color w:val="auto"/>
                <w:kern w:val="0"/>
                <w:sz w:val="21"/>
                <w:szCs w:val="21"/>
                <w:highlight w:val="none"/>
                <w:lang w:bidi="ar"/>
              </w:rPr>
              <w:sym w:font="Wingdings 2" w:char="0052"/>
            </w:r>
          </w:p>
        </w:tc>
        <w:tc>
          <w:tcPr>
            <w:tcW w:w="2046" w:type="dxa"/>
            <w:gridSpan w:val="7"/>
            <w:tcBorders>
              <w:top w:val="single" w:color="auto" w:sz="4" w:space="0"/>
              <w:left w:val="single" w:color="auto" w:sz="4" w:space="0"/>
              <w:bottom w:val="single" w:color="auto" w:sz="4" w:space="0"/>
              <w:right w:val="single" w:color="auto" w:sz="4" w:space="0"/>
            </w:tcBorders>
            <w:noWrap w:val="0"/>
            <w:vAlign w:val="center"/>
          </w:tcPr>
          <w:p w14:paraId="3BBF2E7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边长=5km</w:t>
            </w:r>
            <w:r>
              <w:rPr>
                <w:rFonts w:hint="default" w:ascii="Times New Roman" w:hAnsi="Times New Roman" w:eastAsia="宋体" w:cs="Times New Roman"/>
                <w:color w:val="auto"/>
                <w:kern w:val="0"/>
                <w:sz w:val="21"/>
                <w:szCs w:val="21"/>
                <w:highlight w:val="none"/>
                <w:lang w:bidi="ar"/>
              </w:rPr>
              <w:sym w:font="Wingdings 2" w:char="00A3"/>
            </w:r>
          </w:p>
        </w:tc>
      </w:tr>
      <w:tr w14:paraId="78191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14:paraId="3A8E413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评价</w:t>
            </w:r>
          </w:p>
          <w:p w14:paraId="520FF43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因子</w:t>
            </w:r>
          </w:p>
        </w:tc>
        <w:tc>
          <w:tcPr>
            <w:tcW w:w="1135" w:type="dxa"/>
            <w:tcBorders>
              <w:top w:val="single" w:color="auto" w:sz="4" w:space="0"/>
              <w:left w:val="single" w:color="auto" w:sz="4" w:space="0"/>
              <w:bottom w:val="single" w:color="auto" w:sz="4" w:space="0"/>
              <w:right w:val="single" w:color="auto" w:sz="4" w:space="0"/>
            </w:tcBorders>
            <w:noWrap w:val="0"/>
            <w:vAlign w:val="center"/>
          </w:tcPr>
          <w:p w14:paraId="2178F44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SO</w:t>
            </w:r>
            <w:r>
              <w:rPr>
                <w:rFonts w:hint="default" w:ascii="Times New Roman" w:hAnsi="Times New Roman" w:eastAsia="宋体" w:cs="Times New Roman"/>
                <w:color w:val="auto"/>
                <w:kern w:val="0"/>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+NO</w:t>
            </w:r>
            <w:r>
              <w:rPr>
                <w:rFonts w:hint="default" w:ascii="Times New Roman" w:hAnsi="Times New Roman" w:eastAsia="宋体" w:cs="Times New Roman"/>
                <w:color w:val="auto"/>
                <w:kern w:val="0"/>
                <w:sz w:val="21"/>
                <w:szCs w:val="21"/>
                <w:highlight w:val="none"/>
                <w:vertAlign w:val="subscript"/>
                <w:lang w:bidi="ar"/>
              </w:rPr>
              <w:t>X</w:t>
            </w:r>
            <w:r>
              <w:rPr>
                <w:rFonts w:hint="default" w:ascii="Times New Roman" w:hAnsi="Times New Roman" w:eastAsia="宋体" w:cs="Times New Roman"/>
                <w:color w:val="auto"/>
                <w:kern w:val="0"/>
                <w:sz w:val="21"/>
                <w:szCs w:val="21"/>
                <w:highlight w:val="none"/>
                <w:lang w:bidi="ar"/>
              </w:rPr>
              <w:t>排放量</w:t>
            </w:r>
          </w:p>
        </w:tc>
        <w:tc>
          <w:tcPr>
            <w:tcW w:w="1717" w:type="dxa"/>
            <w:gridSpan w:val="4"/>
            <w:tcBorders>
              <w:top w:val="single" w:color="auto" w:sz="4" w:space="0"/>
              <w:left w:val="single" w:color="auto" w:sz="4" w:space="0"/>
              <w:bottom w:val="single" w:color="auto" w:sz="4" w:space="0"/>
              <w:right w:val="single" w:color="auto" w:sz="4" w:space="0"/>
            </w:tcBorders>
            <w:noWrap w:val="0"/>
            <w:vAlign w:val="center"/>
          </w:tcPr>
          <w:p w14:paraId="31BD5E1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≥2000 t/a□</w:t>
            </w:r>
          </w:p>
        </w:tc>
        <w:tc>
          <w:tcPr>
            <w:tcW w:w="2807" w:type="dxa"/>
            <w:gridSpan w:val="9"/>
            <w:tcBorders>
              <w:top w:val="single" w:color="auto" w:sz="4" w:space="0"/>
              <w:left w:val="single" w:color="auto" w:sz="4" w:space="0"/>
              <w:bottom w:val="single" w:color="auto" w:sz="4" w:space="0"/>
              <w:right w:val="single" w:color="auto" w:sz="4" w:space="0"/>
            </w:tcBorders>
            <w:noWrap w:val="0"/>
            <w:vAlign w:val="center"/>
          </w:tcPr>
          <w:p w14:paraId="7BC29C6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500~2000t/a□</w:t>
            </w:r>
          </w:p>
        </w:tc>
        <w:tc>
          <w:tcPr>
            <w:tcW w:w="2046" w:type="dxa"/>
            <w:gridSpan w:val="7"/>
            <w:tcBorders>
              <w:top w:val="single" w:color="auto" w:sz="4" w:space="0"/>
              <w:left w:val="single" w:color="auto" w:sz="4" w:space="0"/>
              <w:bottom w:val="single" w:color="auto" w:sz="4" w:space="0"/>
              <w:right w:val="single" w:color="auto" w:sz="4" w:space="0"/>
            </w:tcBorders>
            <w:noWrap w:val="0"/>
            <w:vAlign w:val="center"/>
          </w:tcPr>
          <w:p w14:paraId="55A31AA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＜500 t/a</w:t>
            </w:r>
            <w:r>
              <w:rPr>
                <w:rFonts w:hint="default" w:ascii="Times New Roman" w:hAnsi="Times New Roman" w:eastAsia="宋体" w:cs="Times New Roman"/>
                <w:color w:val="auto"/>
                <w:kern w:val="0"/>
                <w:sz w:val="21"/>
                <w:szCs w:val="21"/>
                <w:highlight w:val="none"/>
                <w:lang w:bidi="ar"/>
              </w:rPr>
              <w:sym w:font="Wingdings 2" w:char="0052"/>
            </w:r>
          </w:p>
        </w:tc>
      </w:tr>
      <w:tr w14:paraId="673C9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4F73C8B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0830A7F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评价因子</w:t>
            </w:r>
          </w:p>
        </w:tc>
        <w:tc>
          <w:tcPr>
            <w:tcW w:w="3257" w:type="dxa"/>
            <w:gridSpan w:val="8"/>
            <w:tcBorders>
              <w:top w:val="single" w:color="auto" w:sz="4" w:space="0"/>
              <w:left w:val="single" w:color="auto" w:sz="4" w:space="0"/>
              <w:bottom w:val="single" w:color="auto" w:sz="4" w:space="0"/>
              <w:right w:val="single" w:color="auto" w:sz="4" w:space="0"/>
            </w:tcBorders>
            <w:noWrap w:val="0"/>
            <w:vAlign w:val="center"/>
          </w:tcPr>
          <w:p w14:paraId="21E8295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基本污染物（</w:t>
            </w:r>
            <w:r>
              <w:rPr>
                <w:rFonts w:hint="default" w:ascii="Times New Roman" w:hAnsi="Times New Roman" w:eastAsia="宋体" w:cs="Times New Roman"/>
                <w:color w:val="auto"/>
                <w:sz w:val="21"/>
                <w:szCs w:val="21"/>
                <w:highlight w:val="none"/>
                <w:lang w:bidi="ar"/>
              </w:rPr>
              <w:t>SO</w:t>
            </w:r>
            <w:r>
              <w:rPr>
                <w:rFonts w:hint="default" w:ascii="Times New Roman" w:hAnsi="Times New Roman" w:eastAsia="宋体" w:cs="Times New Roman"/>
                <w:color w:val="auto"/>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lang w:bidi="ar"/>
              </w:rPr>
              <w:t>PM</w:t>
            </w:r>
            <w:r>
              <w:rPr>
                <w:rFonts w:hint="default" w:ascii="Times New Roman" w:hAnsi="Times New Roman" w:eastAsia="宋体" w:cs="Times New Roman"/>
                <w:color w:val="auto"/>
                <w:sz w:val="21"/>
                <w:szCs w:val="21"/>
                <w:highlight w:val="none"/>
                <w:vertAlign w:val="subscript"/>
                <w:lang w:bidi="ar"/>
              </w:rPr>
              <w:t>10</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lang w:bidi="ar"/>
              </w:rPr>
              <w:t>NO</w:t>
            </w:r>
            <w:r>
              <w:rPr>
                <w:rFonts w:hint="default" w:ascii="Times New Roman" w:hAnsi="Times New Roman" w:eastAsia="宋体" w:cs="Times New Roman"/>
                <w:color w:val="auto"/>
                <w:sz w:val="21"/>
                <w:szCs w:val="21"/>
                <w:highlight w:val="none"/>
                <w:vertAlign w:val="subscript"/>
                <w:lang w:bidi="ar"/>
              </w:rPr>
              <w:t>2</w:t>
            </w:r>
            <w:r>
              <w:rPr>
                <w:rFonts w:hint="default" w:ascii="Times New Roman" w:hAnsi="Times New Roman" w:eastAsia="宋体" w:cs="Times New Roman"/>
                <w:color w:val="auto"/>
                <w:sz w:val="21"/>
                <w:szCs w:val="21"/>
                <w:highlight w:val="none"/>
                <w:lang w:bidi="ar"/>
              </w:rPr>
              <w:t>、PM</w:t>
            </w:r>
            <w:r>
              <w:rPr>
                <w:rFonts w:hint="default" w:ascii="Times New Roman" w:hAnsi="Times New Roman" w:eastAsia="宋体" w:cs="Times New Roman"/>
                <w:color w:val="auto"/>
                <w:sz w:val="21"/>
                <w:szCs w:val="21"/>
                <w:highlight w:val="none"/>
                <w:vertAlign w:val="subscript"/>
                <w:lang w:bidi="ar"/>
              </w:rPr>
              <w:t>2.5</w:t>
            </w:r>
            <w:r>
              <w:rPr>
                <w:rFonts w:hint="default" w:ascii="Times New Roman" w:hAnsi="Times New Roman" w:eastAsia="宋体" w:cs="Times New Roman"/>
                <w:color w:val="auto"/>
                <w:sz w:val="21"/>
                <w:szCs w:val="21"/>
                <w:highlight w:val="none"/>
                <w:lang w:bidi="ar"/>
              </w:rPr>
              <w:t>、CO、O</w:t>
            </w:r>
            <w:r>
              <w:rPr>
                <w:rFonts w:hint="default" w:ascii="Times New Roman" w:hAnsi="Times New Roman" w:eastAsia="宋体" w:cs="Times New Roman"/>
                <w:color w:val="auto"/>
                <w:sz w:val="21"/>
                <w:szCs w:val="21"/>
                <w:highlight w:val="none"/>
                <w:vertAlign w:val="subscript"/>
                <w:lang w:bidi="ar"/>
              </w:rPr>
              <w:t>3</w:t>
            </w:r>
            <w:r>
              <w:rPr>
                <w:rFonts w:hint="default" w:ascii="Times New Roman" w:hAnsi="Times New Roman" w:eastAsia="宋体" w:cs="Times New Roman"/>
                <w:color w:val="auto"/>
                <w:spacing w:val="16"/>
                <w:kern w:val="0"/>
                <w:sz w:val="21"/>
                <w:szCs w:val="21"/>
                <w:highlight w:val="none"/>
                <w:lang w:bidi="ar"/>
              </w:rPr>
              <w:t>）</w:t>
            </w:r>
          </w:p>
          <w:p w14:paraId="518BDB3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其他污染物（</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TSP</w:t>
            </w:r>
            <w:r>
              <w:rPr>
                <w:rFonts w:hint="default" w:ascii="Times New Roman" w:hAnsi="Times New Roman" w:eastAsia="宋体" w:cs="Times New Roman"/>
                <w:color w:val="auto"/>
                <w:kern w:val="0"/>
                <w:sz w:val="21"/>
                <w:szCs w:val="21"/>
                <w:highlight w:val="none"/>
                <w:lang w:bidi="ar"/>
              </w:rPr>
              <w:t>）</w:t>
            </w:r>
          </w:p>
        </w:tc>
        <w:tc>
          <w:tcPr>
            <w:tcW w:w="3313" w:type="dxa"/>
            <w:gridSpan w:val="12"/>
            <w:tcBorders>
              <w:top w:val="single" w:color="auto" w:sz="4" w:space="0"/>
              <w:left w:val="single" w:color="auto" w:sz="4" w:space="0"/>
              <w:bottom w:val="single" w:color="auto" w:sz="4" w:space="0"/>
              <w:right w:val="single" w:color="auto" w:sz="4" w:space="0"/>
            </w:tcBorders>
            <w:noWrap w:val="0"/>
            <w:vAlign w:val="center"/>
          </w:tcPr>
          <w:p w14:paraId="103687C6">
            <w:pPr>
              <w:pStyle w:val="42"/>
              <w:keepNext w:val="0"/>
              <w:keepLines w:val="0"/>
              <w:pageBreakBefore w:val="0"/>
              <w:widowControl/>
              <w:kinsoku/>
              <w:wordWrap/>
              <w:overflowPunct/>
              <w:topLinePunct w:val="0"/>
              <w:autoSpaceDE/>
              <w:autoSpaceDN/>
              <w:bidi w:val="0"/>
              <w:adjustRightInd w:val="0"/>
              <w:snapToGrid w:val="0"/>
              <w:spacing w:before="0" w:beforeAutospacing="0" w:after="0" w:afterAutospacing="0" w:line="28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6"/>
                <w:sz w:val="21"/>
                <w:szCs w:val="21"/>
                <w:highlight w:val="none"/>
                <w:lang w:bidi="ar"/>
              </w:rPr>
              <w:t>包括二次PM</w:t>
            </w:r>
            <w:r>
              <w:rPr>
                <w:rFonts w:hint="default" w:ascii="Times New Roman" w:hAnsi="Times New Roman" w:eastAsia="宋体" w:cs="Times New Roman"/>
                <w:color w:val="auto"/>
                <w:spacing w:val="16"/>
                <w:sz w:val="21"/>
                <w:szCs w:val="21"/>
                <w:highlight w:val="none"/>
                <w:vertAlign w:val="subscript"/>
                <w:lang w:bidi="ar"/>
              </w:rPr>
              <w:t>2.5</w:t>
            </w:r>
            <w:r>
              <w:rPr>
                <w:rFonts w:hint="default" w:ascii="Times New Roman" w:hAnsi="Times New Roman" w:eastAsia="宋体" w:cs="Times New Roman"/>
                <w:color w:val="auto"/>
                <w:spacing w:val="16"/>
                <w:sz w:val="21"/>
                <w:szCs w:val="21"/>
                <w:highlight w:val="none"/>
                <w:lang w:bidi="ar"/>
              </w:rPr>
              <w:t>□</w:t>
            </w:r>
          </w:p>
          <w:p w14:paraId="293C3DE2">
            <w:pPr>
              <w:pStyle w:val="42"/>
              <w:keepNext w:val="0"/>
              <w:keepLines w:val="0"/>
              <w:pageBreakBefore w:val="0"/>
              <w:widowControl/>
              <w:kinsoku/>
              <w:wordWrap/>
              <w:overflowPunct/>
              <w:topLinePunct w:val="0"/>
              <w:autoSpaceDE/>
              <w:autoSpaceDN/>
              <w:bidi w:val="0"/>
              <w:adjustRightInd w:val="0"/>
              <w:snapToGrid w:val="0"/>
              <w:spacing w:before="0" w:beforeAutospacing="0" w:after="0" w:afterAutospacing="0" w:line="28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6"/>
                <w:sz w:val="21"/>
                <w:szCs w:val="21"/>
                <w:highlight w:val="none"/>
                <w:lang w:bidi="ar"/>
              </w:rPr>
              <w:t>不包括二次PM</w:t>
            </w:r>
            <w:r>
              <w:rPr>
                <w:rFonts w:hint="default" w:ascii="Times New Roman" w:hAnsi="Times New Roman" w:eastAsia="宋体" w:cs="Times New Roman"/>
                <w:color w:val="auto"/>
                <w:spacing w:val="16"/>
                <w:sz w:val="21"/>
                <w:szCs w:val="21"/>
                <w:highlight w:val="none"/>
                <w:vertAlign w:val="subscript"/>
                <w:lang w:bidi="ar"/>
              </w:rPr>
              <w:t>2.5</w:t>
            </w:r>
            <w:r>
              <w:rPr>
                <w:rFonts w:hint="default" w:ascii="Times New Roman" w:hAnsi="Times New Roman" w:eastAsia="宋体" w:cs="Times New Roman"/>
                <w:color w:val="auto"/>
                <w:spacing w:val="16"/>
                <w:sz w:val="21"/>
                <w:szCs w:val="21"/>
                <w:highlight w:val="none"/>
                <w:lang w:bidi="ar"/>
              </w:rPr>
              <w:t>√</w:t>
            </w:r>
          </w:p>
        </w:tc>
      </w:tr>
      <w:tr w14:paraId="3CEEC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tcBorders>
              <w:top w:val="single" w:color="auto" w:sz="4" w:space="0"/>
              <w:left w:val="single" w:color="auto" w:sz="4" w:space="0"/>
              <w:bottom w:val="single" w:color="auto" w:sz="4" w:space="0"/>
              <w:right w:val="single" w:color="auto" w:sz="4" w:space="0"/>
            </w:tcBorders>
            <w:noWrap w:val="0"/>
            <w:vAlign w:val="center"/>
          </w:tcPr>
          <w:p w14:paraId="5FDB132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评价</w:t>
            </w:r>
          </w:p>
          <w:p w14:paraId="5F3D073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标准</w:t>
            </w:r>
          </w:p>
        </w:tc>
        <w:tc>
          <w:tcPr>
            <w:tcW w:w="1135" w:type="dxa"/>
            <w:tcBorders>
              <w:top w:val="single" w:color="auto" w:sz="4" w:space="0"/>
              <w:left w:val="single" w:color="auto" w:sz="4" w:space="0"/>
              <w:bottom w:val="single" w:color="auto" w:sz="4" w:space="0"/>
              <w:right w:val="single" w:color="auto" w:sz="4" w:space="0"/>
            </w:tcBorders>
            <w:noWrap w:val="0"/>
            <w:vAlign w:val="center"/>
          </w:tcPr>
          <w:p w14:paraId="49E4E74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评价标准</w:t>
            </w:r>
          </w:p>
        </w:tc>
        <w:tc>
          <w:tcPr>
            <w:tcW w:w="1272" w:type="dxa"/>
            <w:gridSpan w:val="2"/>
            <w:tcBorders>
              <w:top w:val="single" w:color="auto" w:sz="4" w:space="0"/>
              <w:left w:val="single" w:color="auto" w:sz="4" w:space="0"/>
              <w:bottom w:val="single" w:color="auto" w:sz="4" w:space="0"/>
              <w:right w:val="single" w:color="auto" w:sz="4" w:space="0"/>
            </w:tcBorders>
            <w:noWrap w:val="0"/>
            <w:vAlign w:val="center"/>
          </w:tcPr>
          <w:p w14:paraId="382B33A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国家标准√</w:t>
            </w:r>
          </w:p>
        </w:tc>
        <w:tc>
          <w:tcPr>
            <w:tcW w:w="1985" w:type="dxa"/>
            <w:gridSpan w:val="6"/>
            <w:tcBorders>
              <w:top w:val="single" w:color="auto" w:sz="4" w:space="0"/>
              <w:left w:val="single" w:color="auto" w:sz="4" w:space="0"/>
              <w:bottom w:val="single" w:color="auto" w:sz="4" w:space="0"/>
              <w:right w:val="single" w:color="auto" w:sz="4" w:space="0"/>
            </w:tcBorders>
            <w:noWrap w:val="0"/>
            <w:vAlign w:val="center"/>
          </w:tcPr>
          <w:p w14:paraId="23DA017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地方标准□</w:t>
            </w:r>
          </w:p>
        </w:tc>
        <w:tc>
          <w:tcPr>
            <w:tcW w:w="1699" w:type="dxa"/>
            <w:gridSpan w:val="8"/>
            <w:tcBorders>
              <w:top w:val="single" w:color="auto" w:sz="4" w:space="0"/>
              <w:left w:val="single" w:color="auto" w:sz="4" w:space="0"/>
              <w:bottom w:val="single" w:color="auto" w:sz="4" w:space="0"/>
              <w:right w:val="single" w:color="auto" w:sz="4" w:space="0"/>
            </w:tcBorders>
            <w:noWrap w:val="0"/>
            <w:vAlign w:val="center"/>
          </w:tcPr>
          <w:p w14:paraId="2969BA8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附录D√</w:t>
            </w:r>
          </w:p>
        </w:tc>
        <w:tc>
          <w:tcPr>
            <w:tcW w:w="1614" w:type="dxa"/>
            <w:gridSpan w:val="4"/>
            <w:tcBorders>
              <w:top w:val="single" w:color="auto" w:sz="4" w:space="0"/>
              <w:left w:val="single" w:color="auto" w:sz="4" w:space="0"/>
              <w:bottom w:val="single" w:color="auto" w:sz="4" w:space="0"/>
              <w:right w:val="single" w:color="auto" w:sz="4" w:space="0"/>
            </w:tcBorders>
            <w:noWrap w:val="0"/>
            <w:vAlign w:val="center"/>
          </w:tcPr>
          <w:p w14:paraId="5E83E55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其他标准□</w:t>
            </w:r>
          </w:p>
        </w:tc>
      </w:tr>
      <w:tr w14:paraId="7D489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14:paraId="067B2D0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现状</w:t>
            </w:r>
          </w:p>
          <w:p w14:paraId="30E0373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w:t>
            </w:r>
          </w:p>
        </w:tc>
        <w:tc>
          <w:tcPr>
            <w:tcW w:w="1135" w:type="dxa"/>
            <w:tcBorders>
              <w:top w:val="single" w:color="auto" w:sz="4" w:space="0"/>
              <w:left w:val="single" w:color="auto" w:sz="4" w:space="0"/>
              <w:bottom w:val="single" w:color="auto" w:sz="4" w:space="0"/>
              <w:right w:val="single" w:color="auto" w:sz="4" w:space="0"/>
            </w:tcBorders>
            <w:noWrap w:val="0"/>
            <w:vAlign w:val="center"/>
          </w:tcPr>
          <w:p w14:paraId="639D23C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环境功能区</w:t>
            </w:r>
          </w:p>
        </w:tc>
        <w:tc>
          <w:tcPr>
            <w:tcW w:w="2233" w:type="dxa"/>
            <w:gridSpan w:val="5"/>
            <w:tcBorders>
              <w:top w:val="single" w:color="auto" w:sz="4" w:space="0"/>
              <w:left w:val="single" w:color="auto" w:sz="4" w:space="0"/>
              <w:bottom w:val="single" w:color="auto" w:sz="4" w:space="0"/>
              <w:right w:val="single" w:color="auto" w:sz="4" w:space="0"/>
            </w:tcBorders>
            <w:noWrap w:val="0"/>
            <w:vAlign w:val="center"/>
          </w:tcPr>
          <w:p w14:paraId="7A1E8E9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一类区□</w:t>
            </w:r>
          </w:p>
        </w:tc>
        <w:tc>
          <w:tcPr>
            <w:tcW w:w="2449" w:type="dxa"/>
            <w:gridSpan w:val="10"/>
            <w:tcBorders>
              <w:top w:val="single" w:color="auto" w:sz="4" w:space="0"/>
              <w:left w:val="single" w:color="auto" w:sz="4" w:space="0"/>
              <w:bottom w:val="single" w:color="auto" w:sz="4" w:space="0"/>
              <w:right w:val="single" w:color="auto" w:sz="4" w:space="0"/>
            </w:tcBorders>
            <w:noWrap w:val="0"/>
            <w:vAlign w:val="center"/>
          </w:tcPr>
          <w:p w14:paraId="5BB3A99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二类区√</w:t>
            </w:r>
          </w:p>
        </w:tc>
        <w:tc>
          <w:tcPr>
            <w:tcW w:w="1888" w:type="dxa"/>
            <w:gridSpan w:val="5"/>
            <w:tcBorders>
              <w:top w:val="single" w:color="auto" w:sz="4" w:space="0"/>
              <w:left w:val="single" w:color="auto" w:sz="4" w:space="0"/>
              <w:bottom w:val="single" w:color="auto" w:sz="4" w:space="0"/>
              <w:right w:val="single" w:color="auto" w:sz="4" w:space="0"/>
            </w:tcBorders>
            <w:noWrap w:val="0"/>
            <w:vAlign w:val="center"/>
          </w:tcPr>
          <w:p w14:paraId="2EAF7E6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一类和二类区□</w:t>
            </w:r>
          </w:p>
        </w:tc>
      </w:tr>
      <w:tr w14:paraId="4BE65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5F0FF85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552FEA1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评价基准年</w:t>
            </w:r>
          </w:p>
        </w:tc>
        <w:tc>
          <w:tcPr>
            <w:tcW w:w="6570" w:type="dxa"/>
            <w:gridSpan w:val="20"/>
            <w:tcBorders>
              <w:top w:val="single" w:color="auto" w:sz="4" w:space="0"/>
              <w:left w:val="single" w:color="auto" w:sz="4" w:space="0"/>
              <w:bottom w:val="single" w:color="auto" w:sz="4" w:space="0"/>
              <w:right w:val="single" w:color="auto" w:sz="4" w:space="0"/>
            </w:tcBorders>
            <w:noWrap w:val="0"/>
            <w:vAlign w:val="center"/>
          </w:tcPr>
          <w:p w14:paraId="0526737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2021</w:t>
            </w:r>
            <w:r>
              <w:rPr>
                <w:rFonts w:hint="default" w:ascii="Times New Roman" w:hAnsi="Times New Roman" w:eastAsia="宋体" w:cs="Times New Roman"/>
                <w:color w:val="auto"/>
                <w:kern w:val="0"/>
                <w:sz w:val="21"/>
                <w:szCs w:val="21"/>
                <w:highlight w:val="none"/>
                <w:lang w:bidi="ar"/>
              </w:rPr>
              <w:t>）年</w:t>
            </w:r>
          </w:p>
        </w:tc>
      </w:tr>
      <w:tr w14:paraId="0BA31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77D280A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2BF8F05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环境空气质量现状调查数据来源</w:t>
            </w:r>
          </w:p>
        </w:tc>
        <w:tc>
          <w:tcPr>
            <w:tcW w:w="2261" w:type="dxa"/>
            <w:gridSpan w:val="6"/>
            <w:tcBorders>
              <w:top w:val="single" w:color="auto" w:sz="4" w:space="0"/>
              <w:left w:val="single" w:color="auto" w:sz="4" w:space="0"/>
              <w:bottom w:val="single" w:color="auto" w:sz="4" w:space="0"/>
              <w:right w:val="single" w:color="auto" w:sz="4" w:space="0"/>
            </w:tcBorders>
            <w:noWrap w:val="0"/>
            <w:vAlign w:val="center"/>
          </w:tcPr>
          <w:p w14:paraId="48B2C66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长期例行检测数据□</w:t>
            </w:r>
          </w:p>
        </w:tc>
        <w:tc>
          <w:tcPr>
            <w:tcW w:w="2411" w:type="dxa"/>
            <w:gridSpan w:val="8"/>
            <w:tcBorders>
              <w:top w:val="single" w:color="auto" w:sz="4" w:space="0"/>
              <w:left w:val="single" w:color="auto" w:sz="4" w:space="0"/>
              <w:bottom w:val="single" w:color="auto" w:sz="4" w:space="0"/>
              <w:right w:val="single" w:color="auto" w:sz="4" w:space="0"/>
            </w:tcBorders>
            <w:noWrap w:val="0"/>
            <w:vAlign w:val="center"/>
          </w:tcPr>
          <w:p w14:paraId="6F192CF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主管部门发布的数据</w:t>
            </w:r>
            <w:r>
              <w:rPr>
                <w:rFonts w:hint="default" w:ascii="Times New Roman" w:hAnsi="Times New Roman" w:eastAsia="宋体" w:cs="Times New Roman"/>
                <w:color w:val="auto"/>
                <w:kern w:val="0"/>
                <w:sz w:val="21"/>
                <w:szCs w:val="21"/>
                <w:highlight w:val="none"/>
                <w:lang w:bidi="ar"/>
              </w:rPr>
              <w:sym w:font="Wingdings 2" w:char="0052"/>
            </w:r>
          </w:p>
        </w:tc>
        <w:tc>
          <w:tcPr>
            <w:tcW w:w="1898" w:type="dxa"/>
            <w:gridSpan w:val="6"/>
            <w:tcBorders>
              <w:top w:val="single" w:color="auto" w:sz="4" w:space="0"/>
              <w:left w:val="single" w:color="auto" w:sz="4" w:space="0"/>
              <w:bottom w:val="single" w:color="auto" w:sz="4" w:space="0"/>
              <w:right w:val="single" w:color="auto" w:sz="4" w:space="0"/>
            </w:tcBorders>
            <w:noWrap w:val="0"/>
            <w:vAlign w:val="center"/>
          </w:tcPr>
          <w:p w14:paraId="4E2E41E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现状补充监测</w:t>
            </w:r>
            <w:r>
              <w:rPr>
                <w:rFonts w:hint="default" w:ascii="Times New Roman" w:hAnsi="Times New Roman" w:eastAsia="宋体" w:cs="Times New Roman"/>
                <w:color w:val="auto"/>
                <w:kern w:val="0"/>
                <w:sz w:val="21"/>
                <w:szCs w:val="21"/>
                <w:highlight w:val="none"/>
                <w:lang w:bidi="ar"/>
              </w:rPr>
              <w:sym w:font="Wingdings 2" w:char="0052"/>
            </w:r>
          </w:p>
        </w:tc>
      </w:tr>
      <w:tr w14:paraId="56CD6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5DB7C3A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7C15830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现状评价</w:t>
            </w:r>
          </w:p>
        </w:tc>
        <w:tc>
          <w:tcPr>
            <w:tcW w:w="4229" w:type="dxa"/>
            <w:gridSpan w:val="11"/>
            <w:tcBorders>
              <w:top w:val="single" w:color="auto" w:sz="4" w:space="0"/>
              <w:left w:val="single" w:color="auto" w:sz="4" w:space="0"/>
              <w:bottom w:val="single" w:color="auto" w:sz="4" w:space="0"/>
              <w:right w:val="single" w:color="auto" w:sz="4" w:space="0"/>
            </w:tcBorders>
            <w:noWrap w:val="0"/>
            <w:vAlign w:val="center"/>
          </w:tcPr>
          <w:p w14:paraId="10C4064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达标区</w:t>
            </w:r>
            <w:r>
              <w:rPr>
                <w:rFonts w:hint="default" w:ascii="Times New Roman" w:hAnsi="Times New Roman" w:eastAsia="宋体" w:cs="Times New Roman"/>
                <w:color w:val="auto"/>
                <w:kern w:val="0"/>
                <w:sz w:val="21"/>
                <w:szCs w:val="21"/>
                <w:highlight w:val="none"/>
                <w:lang w:bidi="ar"/>
              </w:rPr>
              <w:sym w:font="Wingdings 2" w:char="0052"/>
            </w:r>
          </w:p>
        </w:tc>
        <w:tc>
          <w:tcPr>
            <w:tcW w:w="2341" w:type="dxa"/>
            <w:gridSpan w:val="9"/>
            <w:tcBorders>
              <w:top w:val="single" w:color="auto" w:sz="4" w:space="0"/>
              <w:left w:val="single" w:color="auto" w:sz="4" w:space="0"/>
              <w:bottom w:val="single" w:color="auto" w:sz="4" w:space="0"/>
              <w:right w:val="single" w:color="auto" w:sz="4" w:space="0"/>
            </w:tcBorders>
            <w:noWrap w:val="0"/>
            <w:vAlign w:val="center"/>
          </w:tcPr>
          <w:p w14:paraId="4CBEEF2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不达标区</w:t>
            </w:r>
            <w:r>
              <w:rPr>
                <w:rFonts w:hint="default" w:ascii="Times New Roman" w:hAnsi="Times New Roman" w:eastAsia="宋体" w:cs="Times New Roman"/>
                <w:color w:val="auto"/>
                <w:kern w:val="0"/>
                <w:sz w:val="21"/>
                <w:szCs w:val="21"/>
                <w:highlight w:val="none"/>
                <w:lang w:bidi="ar"/>
              </w:rPr>
              <w:sym w:font="Wingdings 2" w:char="00A3"/>
            </w:r>
          </w:p>
        </w:tc>
      </w:tr>
      <w:tr w14:paraId="35054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tcBorders>
              <w:top w:val="single" w:color="auto" w:sz="4" w:space="0"/>
              <w:left w:val="single" w:color="auto" w:sz="4" w:space="0"/>
              <w:bottom w:val="single" w:color="auto" w:sz="4" w:space="0"/>
              <w:right w:val="single" w:color="auto" w:sz="4" w:space="0"/>
            </w:tcBorders>
            <w:noWrap w:val="0"/>
            <w:vAlign w:val="center"/>
          </w:tcPr>
          <w:p w14:paraId="3F88EEE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污染源调查</w:t>
            </w:r>
          </w:p>
        </w:tc>
        <w:tc>
          <w:tcPr>
            <w:tcW w:w="1135" w:type="dxa"/>
            <w:tcBorders>
              <w:top w:val="single" w:color="auto" w:sz="4" w:space="0"/>
              <w:left w:val="single" w:color="auto" w:sz="4" w:space="0"/>
              <w:bottom w:val="single" w:color="auto" w:sz="4" w:space="0"/>
              <w:right w:val="single" w:color="auto" w:sz="4" w:space="0"/>
            </w:tcBorders>
            <w:noWrap w:val="0"/>
            <w:vAlign w:val="center"/>
          </w:tcPr>
          <w:p w14:paraId="313A603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调查内容</w:t>
            </w:r>
          </w:p>
        </w:tc>
        <w:tc>
          <w:tcPr>
            <w:tcW w:w="2867" w:type="dxa"/>
            <w:gridSpan w:val="7"/>
            <w:tcBorders>
              <w:top w:val="single" w:color="auto" w:sz="4" w:space="0"/>
              <w:left w:val="single" w:color="auto" w:sz="4" w:space="0"/>
              <w:bottom w:val="single" w:color="auto" w:sz="4" w:space="0"/>
              <w:right w:val="single" w:color="auto" w:sz="4" w:space="0"/>
            </w:tcBorders>
            <w:noWrap w:val="0"/>
            <w:vAlign w:val="center"/>
          </w:tcPr>
          <w:p w14:paraId="08A59E7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本项目正常排放源√</w:t>
            </w:r>
          </w:p>
          <w:p w14:paraId="5E18A636">
            <w:pPr>
              <w:pStyle w:val="42"/>
              <w:keepNext w:val="0"/>
              <w:keepLines w:val="0"/>
              <w:pageBreakBefore w:val="0"/>
              <w:widowControl/>
              <w:kinsoku/>
              <w:wordWrap/>
              <w:overflowPunct/>
              <w:topLinePunct w:val="0"/>
              <w:autoSpaceDE/>
              <w:autoSpaceDN/>
              <w:bidi w:val="0"/>
              <w:adjustRightInd w:val="0"/>
              <w:snapToGrid w:val="0"/>
              <w:spacing w:before="0" w:beforeAutospacing="0" w:after="0" w:afterAutospacing="0" w:line="28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6"/>
                <w:sz w:val="21"/>
                <w:szCs w:val="21"/>
                <w:highlight w:val="none"/>
                <w:lang w:bidi="ar"/>
              </w:rPr>
              <w:t>本项目非正常排放源√</w:t>
            </w:r>
          </w:p>
          <w:p w14:paraId="7BBE835E">
            <w:pPr>
              <w:pStyle w:val="42"/>
              <w:keepNext w:val="0"/>
              <w:keepLines w:val="0"/>
              <w:pageBreakBefore w:val="0"/>
              <w:widowControl/>
              <w:kinsoku/>
              <w:wordWrap/>
              <w:overflowPunct/>
              <w:topLinePunct w:val="0"/>
              <w:autoSpaceDE/>
              <w:autoSpaceDN/>
              <w:bidi w:val="0"/>
              <w:adjustRightInd w:val="0"/>
              <w:snapToGrid w:val="0"/>
              <w:spacing w:before="0" w:beforeAutospacing="0" w:after="0" w:afterAutospacing="0" w:line="28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6"/>
                <w:sz w:val="21"/>
                <w:szCs w:val="21"/>
                <w:highlight w:val="none"/>
                <w:lang w:bidi="ar"/>
              </w:rPr>
              <w:t>现有污染源</w:t>
            </w:r>
            <w:r>
              <w:rPr>
                <w:rFonts w:hint="default" w:ascii="Times New Roman" w:hAnsi="Times New Roman" w:eastAsia="宋体" w:cs="Times New Roman"/>
                <w:color w:val="auto"/>
                <w:spacing w:val="16"/>
                <w:sz w:val="21"/>
                <w:szCs w:val="21"/>
                <w:highlight w:val="none"/>
                <w:lang w:bidi="ar"/>
              </w:rPr>
              <w:sym w:font="Wingdings 2" w:char="0052"/>
            </w:r>
          </w:p>
        </w:tc>
        <w:tc>
          <w:tcPr>
            <w:tcW w:w="1362" w:type="dxa"/>
            <w:gridSpan w:val="4"/>
            <w:tcBorders>
              <w:top w:val="single" w:color="auto" w:sz="4" w:space="0"/>
              <w:left w:val="single" w:color="auto" w:sz="4" w:space="0"/>
              <w:bottom w:val="single" w:color="auto" w:sz="4" w:space="0"/>
              <w:right w:val="single" w:color="auto" w:sz="4" w:space="0"/>
            </w:tcBorders>
            <w:noWrap w:val="0"/>
            <w:vAlign w:val="center"/>
          </w:tcPr>
          <w:p w14:paraId="167D0A4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拟替代的污染源□</w:t>
            </w:r>
          </w:p>
        </w:tc>
        <w:tc>
          <w:tcPr>
            <w:tcW w:w="1591" w:type="dxa"/>
            <w:gridSpan w:val="8"/>
            <w:tcBorders>
              <w:top w:val="single" w:color="auto" w:sz="4" w:space="0"/>
              <w:left w:val="single" w:color="auto" w:sz="4" w:space="0"/>
              <w:bottom w:val="single" w:color="auto" w:sz="4" w:space="0"/>
              <w:right w:val="single" w:color="auto" w:sz="4" w:space="0"/>
            </w:tcBorders>
            <w:noWrap w:val="0"/>
            <w:vAlign w:val="center"/>
          </w:tcPr>
          <w:p w14:paraId="47C343E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其他在建、拟建污染源□</w:t>
            </w:r>
          </w:p>
        </w:tc>
        <w:tc>
          <w:tcPr>
            <w:tcW w:w="750" w:type="dxa"/>
            <w:tcBorders>
              <w:top w:val="single" w:color="auto" w:sz="4" w:space="0"/>
              <w:left w:val="single" w:color="auto" w:sz="4" w:space="0"/>
              <w:bottom w:val="single" w:color="auto" w:sz="4" w:space="0"/>
              <w:right w:val="single" w:color="auto" w:sz="4" w:space="0"/>
            </w:tcBorders>
            <w:noWrap w:val="0"/>
            <w:vAlign w:val="center"/>
          </w:tcPr>
          <w:p w14:paraId="6C1ED71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区域污染源□</w:t>
            </w:r>
          </w:p>
        </w:tc>
      </w:tr>
      <w:tr w14:paraId="215FA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14:paraId="09477BA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大气环境影响预测与评价</w:t>
            </w:r>
          </w:p>
        </w:tc>
        <w:tc>
          <w:tcPr>
            <w:tcW w:w="1135" w:type="dxa"/>
            <w:tcBorders>
              <w:top w:val="single" w:color="auto" w:sz="4" w:space="0"/>
              <w:left w:val="single" w:color="auto" w:sz="4" w:space="0"/>
              <w:bottom w:val="single" w:color="auto" w:sz="4" w:space="0"/>
              <w:right w:val="single" w:color="auto" w:sz="4" w:space="0"/>
            </w:tcBorders>
            <w:noWrap w:val="0"/>
            <w:vAlign w:val="center"/>
          </w:tcPr>
          <w:p w14:paraId="73A1305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预测模型</w:t>
            </w:r>
          </w:p>
        </w:tc>
        <w:tc>
          <w:tcPr>
            <w:tcW w:w="670" w:type="dxa"/>
            <w:tcBorders>
              <w:top w:val="single" w:color="auto" w:sz="4" w:space="0"/>
              <w:left w:val="single" w:color="auto" w:sz="4" w:space="0"/>
              <w:bottom w:val="single" w:color="auto" w:sz="4" w:space="0"/>
              <w:right w:val="single" w:color="auto" w:sz="4" w:space="0"/>
            </w:tcBorders>
            <w:noWrap w:val="0"/>
            <w:vAlign w:val="center"/>
          </w:tcPr>
          <w:p w14:paraId="51295CB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AERMOD□</w:t>
            </w:r>
          </w:p>
        </w:tc>
        <w:tc>
          <w:tcPr>
            <w:tcW w:w="793" w:type="dxa"/>
            <w:gridSpan w:val="2"/>
            <w:tcBorders>
              <w:top w:val="single" w:color="auto" w:sz="4" w:space="0"/>
              <w:left w:val="single" w:color="auto" w:sz="4" w:space="0"/>
              <w:bottom w:val="single" w:color="auto" w:sz="4" w:space="0"/>
              <w:right w:val="single" w:color="auto" w:sz="4" w:space="0"/>
            </w:tcBorders>
            <w:noWrap w:val="0"/>
            <w:vAlign w:val="center"/>
          </w:tcPr>
          <w:p w14:paraId="73D8E12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ADMS□</w:t>
            </w:r>
          </w:p>
        </w:tc>
        <w:tc>
          <w:tcPr>
            <w:tcW w:w="1404" w:type="dxa"/>
            <w:gridSpan w:val="4"/>
            <w:tcBorders>
              <w:top w:val="single" w:color="auto" w:sz="4" w:space="0"/>
              <w:left w:val="single" w:color="auto" w:sz="4" w:space="0"/>
              <w:bottom w:val="single" w:color="auto" w:sz="4" w:space="0"/>
              <w:right w:val="single" w:color="auto" w:sz="4" w:space="0"/>
            </w:tcBorders>
            <w:noWrap w:val="0"/>
            <w:vAlign w:val="center"/>
          </w:tcPr>
          <w:p w14:paraId="3CFCE3D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AUSTAL2000□</w:t>
            </w:r>
          </w:p>
        </w:tc>
        <w:tc>
          <w:tcPr>
            <w:tcW w:w="1362" w:type="dxa"/>
            <w:gridSpan w:val="4"/>
            <w:tcBorders>
              <w:top w:val="single" w:color="auto" w:sz="4" w:space="0"/>
              <w:left w:val="single" w:color="auto" w:sz="4" w:space="0"/>
              <w:bottom w:val="single" w:color="auto" w:sz="4" w:space="0"/>
              <w:right w:val="single" w:color="auto" w:sz="4" w:space="0"/>
            </w:tcBorders>
            <w:noWrap w:val="0"/>
            <w:vAlign w:val="center"/>
          </w:tcPr>
          <w:p w14:paraId="35117797">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EDMS/AEDT□</w:t>
            </w:r>
          </w:p>
        </w:tc>
        <w:tc>
          <w:tcPr>
            <w:tcW w:w="1104" w:type="dxa"/>
            <w:gridSpan w:val="7"/>
            <w:tcBorders>
              <w:top w:val="single" w:color="auto" w:sz="4" w:space="0"/>
              <w:left w:val="single" w:color="auto" w:sz="4" w:space="0"/>
              <w:bottom w:val="single" w:color="auto" w:sz="4" w:space="0"/>
              <w:right w:val="single" w:color="auto" w:sz="4" w:space="0"/>
            </w:tcBorders>
            <w:noWrap w:val="0"/>
            <w:vAlign w:val="center"/>
          </w:tcPr>
          <w:p w14:paraId="713675B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CALPUFF□</w:t>
            </w:r>
          </w:p>
        </w:tc>
        <w:tc>
          <w:tcPr>
            <w:tcW w:w="487" w:type="dxa"/>
            <w:tcBorders>
              <w:top w:val="single" w:color="auto" w:sz="4" w:space="0"/>
              <w:left w:val="single" w:color="auto" w:sz="4" w:space="0"/>
              <w:bottom w:val="single" w:color="auto" w:sz="4" w:space="0"/>
              <w:right w:val="single" w:color="auto" w:sz="4" w:space="0"/>
            </w:tcBorders>
            <w:noWrap w:val="0"/>
            <w:vAlign w:val="center"/>
          </w:tcPr>
          <w:p w14:paraId="1B7C257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网络模型□</w:t>
            </w:r>
          </w:p>
        </w:tc>
        <w:tc>
          <w:tcPr>
            <w:tcW w:w="750" w:type="dxa"/>
            <w:tcBorders>
              <w:top w:val="single" w:color="auto" w:sz="4" w:space="0"/>
              <w:left w:val="single" w:color="auto" w:sz="4" w:space="0"/>
              <w:bottom w:val="single" w:color="auto" w:sz="4" w:space="0"/>
              <w:right w:val="single" w:color="auto" w:sz="4" w:space="0"/>
            </w:tcBorders>
            <w:noWrap w:val="0"/>
            <w:vAlign w:val="center"/>
          </w:tcPr>
          <w:p w14:paraId="6298423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其他□</w:t>
            </w:r>
          </w:p>
        </w:tc>
      </w:tr>
      <w:tr w14:paraId="6CCF1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5E89767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261596E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预测范围</w:t>
            </w:r>
          </w:p>
        </w:tc>
        <w:tc>
          <w:tcPr>
            <w:tcW w:w="2867" w:type="dxa"/>
            <w:gridSpan w:val="7"/>
            <w:tcBorders>
              <w:top w:val="single" w:color="auto" w:sz="4" w:space="0"/>
              <w:left w:val="single" w:color="auto" w:sz="4" w:space="0"/>
              <w:bottom w:val="single" w:color="auto" w:sz="4" w:space="0"/>
              <w:right w:val="single" w:color="auto" w:sz="4" w:space="0"/>
            </w:tcBorders>
            <w:noWrap w:val="0"/>
            <w:vAlign w:val="center"/>
          </w:tcPr>
          <w:p w14:paraId="362BE6A7">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边长≥50km□</w:t>
            </w:r>
          </w:p>
        </w:tc>
        <w:tc>
          <w:tcPr>
            <w:tcW w:w="2466" w:type="dxa"/>
            <w:gridSpan w:val="11"/>
            <w:tcBorders>
              <w:top w:val="single" w:color="auto" w:sz="4" w:space="0"/>
              <w:left w:val="single" w:color="auto" w:sz="4" w:space="0"/>
              <w:bottom w:val="single" w:color="auto" w:sz="4" w:space="0"/>
              <w:right w:val="single" w:color="auto" w:sz="4" w:space="0"/>
            </w:tcBorders>
            <w:noWrap w:val="0"/>
            <w:vAlign w:val="center"/>
          </w:tcPr>
          <w:p w14:paraId="31FFFE1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边长5~50km□</w:t>
            </w:r>
          </w:p>
        </w:tc>
        <w:tc>
          <w:tcPr>
            <w:tcW w:w="1237" w:type="dxa"/>
            <w:gridSpan w:val="2"/>
            <w:tcBorders>
              <w:top w:val="single" w:color="auto" w:sz="4" w:space="0"/>
              <w:left w:val="single" w:color="auto" w:sz="4" w:space="0"/>
              <w:bottom w:val="single" w:color="auto" w:sz="4" w:space="0"/>
              <w:right w:val="single" w:color="auto" w:sz="4" w:space="0"/>
            </w:tcBorders>
            <w:noWrap w:val="0"/>
            <w:vAlign w:val="center"/>
          </w:tcPr>
          <w:p w14:paraId="0DE228F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边长=5km□</w:t>
            </w:r>
          </w:p>
        </w:tc>
      </w:tr>
      <w:tr w14:paraId="4F874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6E8CB6B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5505F59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预测因子</w:t>
            </w:r>
          </w:p>
        </w:tc>
        <w:tc>
          <w:tcPr>
            <w:tcW w:w="3823" w:type="dxa"/>
            <w:gridSpan w:val="10"/>
            <w:tcBorders>
              <w:top w:val="single" w:color="auto" w:sz="4" w:space="0"/>
              <w:left w:val="single" w:color="auto" w:sz="4" w:space="0"/>
              <w:bottom w:val="single" w:color="auto" w:sz="4" w:space="0"/>
              <w:right w:val="single" w:color="auto" w:sz="4" w:space="0"/>
            </w:tcBorders>
            <w:noWrap w:val="0"/>
            <w:vAlign w:val="center"/>
          </w:tcPr>
          <w:p w14:paraId="22A15F4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预测因子（    ）</w:t>
            </w:r>
          </w:p>
        </w:tc>
        <w:tc>
          <w:tcPr>
            <w:tcW w:w="2747" w:type="dxa"/>
            <w:gridSpan w:val="10"/>
            <w:tcBorders>
              <w:top w:val="single" w:color="auto" w:sz="4" w:space="0"/>
              <w:left w:val="single" w:color="auto" w:sz="4" w:space="0"/>
              <w:bottom w:val="single" w:color="auto" w:sz="4" w:space="0"/>
              <w:right w:val="single" w:color="auto" w:sz="4" w:space="0"/>
            </w:tcBorders>
            <w:noWrap w:val="0"/>
            <w:vAlign w:val="center"/>
          </w:tcPr>
          <w:p w14:paraId="4B284D1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包括二次PM</w:t>
            </w:r>
            <w:r>
              <w:rPr>
                <w:rFonts w:hint="default" w:ascii="Times New Roman" w:hAnsi="Times New Roman" w:eastAsia="宋体" w:cs="Times New Roman"/>
                <w:color w:val="auto"/>
                <w:kern w:val="0"/>
                <w:sz w:val="21"/>
                <w:szCs w:val="21"/>
                <w:highlight w:val="none"/>
                <w:vertAlign w:val="subscript"/>
                <w:lang w:bidi="ar"/>
              </w:rPr>
              <w:t>2.5</w:t>
            </w:r>
            <w:r>
              <w:rPr>
                <w:rFonts w:hint="default" w:ascii="Times New Roman" w:hAnsi="Times New Roman" w:eastAsia="宋体" w:cs="Times New Roman"/>
                <w:color w:val="auto"/>
                <w:kern w:val="0"/>
                <w:sz w:val="21"/>
                <w:szCs w:val="21"/>
                <w:highlight w:val="none"/>
                <w:lang w:bidi="ar"/>
              </w:rPr>
              <w:t>□</w:t>
            </w:r>
          </w:p>
          <w:p w14:paraId="50D8239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不包括PM</w:t>
            </w:r>
            <w:r>
              <w:rPr>
                <w:rFonts w:hint="default" w:ascii="Times New Roman" w:hAnsi="Times New Roman" w:eastAsia="宋体" w:cs="Times New Roman"/>
                <w:color w:val="auto"/>
                <w:kern w:val="0"/>
                <w:sz w:val="21"/>
                <w:szCs w:val="21"/>
                <w:highlight w:val="none"/>
                <w:vertAlign w:val="subscript"/>
                <w:lang w:bidi="ar"/>
              </w:rPr>
              <w:t>2.5</w:t>
            </w:r>
            <w:r>
              <w:rPr>
                <w:rFonts w:hint="default" w:ascii="Times New Roman" w:hAnsi="Times New Roman" w:eastAsia="宋体" w:cs="Times New Roman"/>
                <w:color w:val="auto"/>
                <w:kern w:val="0"/>
                <w:sz w:val="21"/>
                <w:szCs w:val="21"/>
                <w:highlight w:val="none"/>
                <w:lang w:bidi="ar"/>
              </w:rPr>
              <w:t>□</w:t>
            </w:r>
          </w:p>
        </w:tc>
      </w:tr>
      <w:tr w14:paraId="72F82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11937AD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220E62E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正常排放短期浓度贡献值</w:t>
            </w:r>
          </w:p>
        </w:tc>
        <w:tc>
          <w:tcPr>
            <w:tcW w:w="3823" w:type="dxa"/>
            <w:gridSpan w:val="10"/>
            <w:tcBorders>
              <w:top w:val="single" w:color="auto" w:sz="4" w:space="0"/>
              <w:left w:val="single" w:color="auto" w:sz="4" w:space="0"/>
              <w:bottom w:val="single" w:color="auto" w:sz="4" w:space="0"/>
              <w:right w:val="single" w:color="auto" w:sz="4" w:space="0"/>
            </w:tcBorders>
            <w:noWrap w:val="0"/>
            <w:vAlign w:val="center"/>
          </w:tcPr>
          <w:p w14:paraId="5D0E767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最大占标率≤100%□</w:t>
            </w:r>
          </w:p>
        </w:tc>
        <w:tc>
          <w:tcPr>
            <w:tcW w:w="2747" w:type="dxa"/>
            <w:gridSpan w:val="10"/>
            <w:tcBorders>
              <w:top w:val="single" w:color="auto" w:sz="4" w:space="0"/>
              <w:left w:val="single" w:color="auto" w:sz="4" w:space="0"/>
              <w:bottom w:val="single" w:color="auto" w:sz="4" w:space="0"/>
              <w:right w:val="single" w:color="auto" w:sz="4" w:space="0"/>
            </w:tcBorders>
            <w:noWrap w:val="0"/>
            <w:vAlign w:val="center"/>
          </w:tcPr>
          <w:p w14:paraId="0FCDAAC7">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最大占标率＞100%□</w:t>
            </w:r>
          </w:p>
        </w:tc>
      </w:tr>
      <w:tr w14:paraId="233F4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19CF004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vMerge w:val="restart"/>
            <w:tcBorders>
              <w:top w:val="single" w:color="auto" w:sz="4" w:space="0"/>
              <w:left w:val="single" w:color="auto" w:sz="4" w:space="0"/>
              <w:bottom w:val="single" w:color="auto" w:sz="4" w:space="0"/>
              <w:right w:val="single" w:color="auto" w:sz="4" w:space="0"/>
            </w:tcBorders>
            <w:noWrap w:val="0"/>
            <w:vAlign w:val="center"/>
          </w:tcPr>
          <w:p w14:paraId="2BA34D8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正常排放年均浓度贡献值</w:t>
            </w:r>
          </w:p>
        </w:tc>
        <w:tc>
          <w:tcPr>
            <w:tcW w:w="670" w:type="dxa"/>
            <w:tcBorders>
              <w:top w:val="single" w:color="auto" w:sz="4" w:space="0"/>
              <w:left w:val="single" w:color="auto" w:sz="4" w:space="0"/>
              <w:bottom w:val="single" w:color="auto" w:sz="4" w:space="0"/>
              <w:right w:val="single" w:color="auto" w:sz="4" w:space="0"/>
            </w:tcBorders>
            <w:noWrap w:val="0"/>
            <w:vAlign w:val="center"/>
          </w:tcPr>
          <w:p w14:paraId="503AED4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一类区</w:t>
            </w:r>
          </w:p>
        </w:tc>
        <w:tc>
          <w:tcPr>
            <w:tcW w:w="3153" w:type="dxa"/>
            <w:gridSpan w:val="9"/>
            <w:tcBorders>
              <w:top w:val="single" w:color="auto" w:sz="4" w:space="0"/>
              <w:left w:val="single" w:color="auto" w:sz="4" w:space="0"/>
              <w:bottom w:val="single" w:color="auto" w:sz="4" w:space="0"/>
              <w:right w:val="single" w:color="auto" w:sz="4" w:space="0"/>
            </w:tcBorders>
            <w:noWrap w:val="0"/>
            <w:vAlign w:val="center"/>
          </w:tcPr>
          <w:p w14:paraId="6B0C884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最大占标率≤10%□</w:t>
            </w:r>
          </w:p>
        </w:tc>
        <w:tc>
          <w:tcPr>
            <w:tcW w:w="2747" w:type="dxa"/>
            <w:gridSpan w:val="10"/>
            <w:tcBorders>
              <w:top w:val="single" w:color="auto" w:sz="4" w:space="0"/>
              <w:left w:val="single" w:color="auto" w:sz="4" w:space="0"/>
              <w:bottom w:val="single" w:color="auto" w:sz="4" w:space="0"/>
              <w:right w:val="single" w:color="auto" w:sz="4" w:space="0"/>
            </w:tcBorders>
            <w:noWrap w:val="0"/>
            <w:vAlign w:val="center"/>
          </w:tcPr>
          <w:p w14:paraId="2FCBE0B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最大占标率＞10%□</w:t>
            </w:r>
          </w:p>
        </w:tc>
      </w:tr>
      <w:tr w14:paraId="2DDD0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0DBCDD4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vMerge w:val="continue"/>
            <w:tcBorders>
              <w:top w:val="single" w:color="auto" w:sz="4" w:space="0"/>
              <w:left w:val="single" w:color="auto" w:sz="4" w:space="0"/>
              <w:bottom w:val="single" w:color="auto" w:sz="4" w:space="0"/>
              <w:right w:val="single" w:color="auto" w:sz="4" w:space="0"/>
            </w:tcBorders>
            <w:noWrap w:val="0"/>
            <w:vAlign w:val="center"/>
          </w:tcPr>
          <w:p w14:paraId="2840E20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670" w:type="dxa"/>
            <w:tcBorders>
              <w:top w:val="single" w:color="auto" w:sz="4" w:space="0"/>
              <w:left w:val="single" w:color="auto" w:sz="4" w:space="0"/>
              <w:bottom w:val="single" w:color="auto" w:sz="4" w:space="0"/>
              <w:right w:val="single" w:color="auto" w:sz="4" w:space="0"/>
            </w:tcBorders>
            <w:noWrap w:val="0"/>
            <w:vAlign w:val="center"/>
          </w:tcPr>
          <w:p w14:paraId="3ABD349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二类区</w:t>
            </w:r>
          </w:p>
        </w:tc>
        <w:tc>
          <w:tcPr>
            <w:tcW w:w="3153" w:type="dxa"/>
            <w:gridSpan w:val="9"/>
            <w:tcBorders>
              <w:top w:val="single" w:color="auto" w:sz="4" w:space="0"/>
              <w:left w:val="single" w:color="auto" w:sz="4" w:space="0"/>
              <w:bottom w:val="single" w:color="auto" w:sz="4" w:space="0"/>
              <w:right w:val="single" w:color="auto" w:sz="4" w:space="0"/>
            </w:tcBorders>
            <w:noWrap w:val="0"/>
            <w:vAlign w:val="center"/>
          </w:tcPr>
          <w:p w14:paraId="32F1257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最大占标率≤30%□</w:t>
            </w:r>
          </w:p>
        </w:tc>
        <w:tc>
          <w:tcPr>
            <w:tcW w:w="2747" w:type="dxa"/>
            <w:gridSpan w:val="10"/>
            <w:tcBorders>
              <w:top w:val="single" w:color="auto" w:sz="4" w:space="0"/>
              <w:left w:val="single" w:color="auto" w:sz="4" w:space="0"/>
              <w:bottom w:val="single" w:color="auto" w:sz="4" w:space="0"/>
              <w:right w:val="single" w:color="auto" w:sz="4" w:space="0"/>
            </w:tcBorders>
            <w:noWrap w:val="0"/>
            <w:vAlign w:val="center"/>
          </w:tcPr>
          <w:p w14:paraId="08099FE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最大占标率＞30%□</w:t>
            </w:r>
          </w:p>
        </w:tc>
      </w:tr>
      <w:tr w14:paraId="1BFF7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03BEA94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31503B9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非正常排放1h浓度贡献值</w:t>
            </w:r>
          </w:p>
        </w:tc>
        <w:tc>
          <w:tcPr>
            <w:tcW w:w="1463" w:type="dxa"/>
            <w:gridSpan w:val="3"/>
            <w:tcBorders>
              <w:top w:val="single" w:color="auto" w:sz="4" w:space="0"/>
              <w:left w:val="single" w:color="auto" w:sz="4" w:space="0"/>
              <w:bottom w:val="single" w:color="auto" w:sz="4" w:space="0"/>
              <w:right w:val="single" w:color="auto" w:sz="4" w:space="0"/>
            </w:tcBorders>
            <w:noWrap w:val="0"/>
            <w:vAlign w:val="center"/>
          </w:tcPr>
          <w:p w14:paraId="4F45A62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非正常持续时长（）h</w:t>
            </w:r>
          </w:p>
        </w:tc>
        <w:tc>
          <w:tcPr>
            <w:tcW w:w="2925" w:type="dxa"/>
            <w:gridSpan w:val="9"/>
            <w:tcBorders>
              <w:top w:val="single" w:color="auto" w:sz="4" w:space="0"/>
              <w:left w:val="single" w:color="auto" w:sz="4" w:space="0"/>
              <w:bottom w:val="single" w:color="auto" w:sz="4" w:space="0"/>
              <w:right w:val="single" w:color="auto" w:sz="4" w:space="0"/>
            </w:tcBorders>
            <w:noWrap w:val="0"/>
            <w:vAlign w:val="center"/>
          </w:tcPr>
          <w:p w14:paraId="75CA747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非正常</w:t>
            </w:r>
            <w:r>
              <w:rPr>
                <w:rFonts w:hint="default" w:ascii="Times New Roman" w:hAnsi="Times New Roman" w:eastAsia="宋体" w:cs="Times New Roman"/>
                <w:color w:val="auto"/>
                <w:kern w:val="0"/>
                <w:sz w:val="21"/>
                <w:szCs w:val="21"/>
                <w:highlight w:val="none"/>
                <w:lang w:bidi="ar"/>
              </w:rPr>
              <w:t>占标率≤100%□</w:t>
            </w:r>
          </w:p>
        </w:tc>
        <w:tc>
          <w:tcPr>
            <w:tcW w:w="2182" w:type="dxa"/>
            <w:gridSpan w:val="8"/>
            <w:tcBorders>
              <w:top w:val="single" w:color="auto" w:sz="4" w:space="0"/>
              <w:left w:val="single" w:color="auto" w:sz="4" w:space="0"/>
              <w:bottom w:val="single" w:color="auto" w:sz="4" w:space="0"/>
              <w:right w:val="single" w:color="auto" w:sz="4" w:space="0"/>
            </w:tcBorders>
            <w:noWrap w:val="0"/>
            <w:vAlign w:val="center"/>
          </w:tcPr>
          <w:p w14:paraId="2412DCD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非正常</w:t>
            </w:r>
            <w:r>
              <w:rPr>
                <w:rFonts w:hint="default" w:ascii="Times New Roman" w:hAnsi="Times New Roman" w:eastAsia="宋体" w:cs="Times New Roman"/>
                <w:color w:val="auto"/>
                <w:kern w:val="0"/>
                <w:sz w:val="21"/>
                <w:szCs w:val="21"/>
                <w:highlight w:val="none"/>
                <w:lang w:bidi="ar"/>
              </w:rPr>
              <w:t>占标率＞100%□</w:t>
            </w:r>
          </w:p>
        </w:tc>
      </w:tr>
      <w:tr w14:paraId="496C9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100952A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5DA2992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保证率日平均浓度和年平均浓度叠价值</w:t>
            </w:r>
          </w:p>
        </w:tc>
        <w:tc>
          <w:tcPr>
            <w:tcW w:w="3257" w:type="dxa"/>
            <w:gridSpan w:val="8"/>
            <w:tcBorders>
              <w:top w:val="single" w:color="auto" w:sz="4" w:space="0"/>
              <w:left w:val="single" w:color="auto" w:sz="4" w:space="0"/>
              <w:bottom w:val="single" w:color="auto" w:sz="4" w:space="0"/>
              <w:right w:val="single" w:color="auto" w:sz="4" w:space="0"/>
            </w:tcBorders>
            <w:noWrap w:val="0"/>
            <w:vAlign w:val="center"/>
          </w:tcPr>
          <w:p w14:paraId="411C821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叠加</w:t>
            </w:r>
            <w:r>
              <w:rPr>
                <w:rFonts w:hint="default" w:ascii="Times New Roman" w:hAnsi="Times New Roman" w:eastAsia="宋体" w:cs="Times New Roman"/>
                <w:color w:val="auto"/>
                <w:kern w:val="0"/>
                <w:sz w:val="21"/>
                <w:szCs w:val="21"/>
                <w:highlight w:val="none"/>
                <w:lang w:bidi="ar"/>
              </w:rPr>
              <w:t>达标□</w:t>
            </w:r>
          </w:p>
        </w:tc>
        <w:tc>
          <w:tcPr>
            <w:tcW w:w="3313" w:type="dxa"/>
            <w:gridSpan w:val="12"/>
            <w:tcBorders>
              <w:top w:val="single" w:color="auto" w:sz="4" w:space="0"/>
              <w:left w:val="single" w:color="auto" w:sz="4" w:space="0"/>
              <w:bottom w:val="single" w:color="auto" w:sz="4" w:space="0"/>
              <w:right w:val="single" w:color="auto" w:sz="4" w:space="0"/>
            </w:tcBorders>
            <w:noWrap w:val="0"/>
            <w:vAlign w:val="center"/>
          </w:tcPr>
          <w:p w14:paraId="63CE212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叠加</w:t>
            </w:r>
            <w:r>
              <w:rPr>
                <w:rFonts w:hint="default" w:ascii="Times New Roman" w:hAnsi="Times New Roman" w:eastAsia="宋体" w:cs="Times New Roman"/>
                <w:color w:val="auto"/>
                <w:kern w:val="0"/>
                <w:sz w:val="21"/>
                <w:szCs w:val="21"/>
                <w:highlight w:val="none"/>
                <w:lang w:bidi="ar"/>
              </w:rPr>
              <w:t>不达标□</w:t>
            </w:r>
          </w:p>
        </w:tc>
      </w:tr>
      <w:tr w14:paraId="70AAA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7832105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0B562DD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区域环境质量的整体变化情况</w:t>
            </w:r>
          </w:p>
        </w:tc>
        <w:tc>
          <w:tcPr>
            <w:tcW w:w="3257" w:type="dxa"/>
            <w:gridSpan w:val="8"/>
            <w:tcBorders>
              <w:top w:val="single" w:color="auto" w:sz="4" w:space="0"/>
              <w:left w:val="single" w:color="auto" w:sz="4" w:space="0"/>
              <w:bottom w:val="single" w:color="auto" w:sz="4" w:space="0"/>
              <w:right w:val="single" w:color="auto" w:sz="4" w:space="0"/>
            </w:tcBorders>
            <w:noWrap w:val="0"/>
            <w:vAlign w:val="center"/>
          </w:tcPr>
          <w:p w14:paraId="6F1FA68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k≤-20%□</w:t>
            </w:r>
          </w:p>
        </w:tc>
        <w:tc>
          <w:tcPr>
            <w:tcW w:w="3313" w:type="dxa"/>
            <w:gridSpan w:val="12"/>
            <w:tcBorders>
              <w:top w:val="single" w:color="auto" w:sz="4" w:space="0"/>
              <w:left w:val="single" w:color="auto" w:sz="4" w:space="0"/>
              <w:bottom w:val="single" w:color="auto" w:sz="4" w:space="0"/>
              <w:right w:val="single" w:color="auto" w:sz="4" w:space="0"/>
            </w:tcBorders>
            <w:noWrap w:val="0"/>
            <w:vAlign w:val="center"/>
          </w:tcPr>
          <w:p w14:paraId="502B129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k＞-20%□</w:t>
            </w:r>
          </w:p>
        </w:tc>
      </w:tr>
      <w:tr w14:paraId="401E1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14:paraId="77E9576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环境监测计划</w:t>
            </w:r>
          </w:p>
        </w:tc>
        <w:tc>
          <w:tcPr>
            <w:tcW w:w="1135" w:type="dxa"/>
            <w:tcBorders>
              <w:top w:val="single" w:color="auto" w:sz="4" w:space="0"/>
              <w:left w:val="single" w:color="auto" w:sz="4" w:space="0"/>
              <w:bottom w:val="single" w:color="auto" w:sz="4" w:space="0"/>
              <w:right w:val="single" w:color="auto" w:sz="4" w:space="0"/>
            </w:tcBorders>
            <w:noWrap w:val="0"/>
            <w:vAlign w:val="center"/>
          </w:tcPr>
          <w:p w14:paraId="51A6391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污染源监测</w:t>
            </w:r>
          </w:p>
        </w:tc>
        <w:tc>
          <w:tcPr>
            <w:tcW w:w="2867" w:type="dxa"/>
            <w:gridSpan w:val="7"/>
            <w:tcBorders>
              <w:top w:val="single" w:color="auto" w:sz="4" w:space="0"/>
              <w:left w:val="single" w:color="auto" w:sz="4" w:space="0"/>
              <w:bottom w:val="single" w:color="auto" w:sz="4" w:space="0"/>
              <w:right w:val="single" w:color="auto" w:sz="4" w:space="0"/>
            </w:tcBorders>
            <w:noWrap w:val="0"/>
            <w:vAlign w:val="center"/>
          </w:tcPr>
          <w:p w14:paraId="15E832E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监测因子：（</w:t>
            </w:r>
            <w:r>
              <w:rPr>
                <w:rFonts w:hint="default" w:ascii="Times New Roman" w:hAnsi="Times New Roman" w:eastAsia="宋体" w:cs="Times New Roman"/>
                <w:color w:val="auto"/>
                <w:sz w:val="21"/>
                <w:szCs w:val="21"/>
                <w:highlight w:val="none"/>
                <w:lang w:bidi="ar"/>
              </w:rPr>
              <w:t>SO</w:t>
            </w:r>
            <w:r>
              <w:rPr>
                <w:rFonts w:hint="default" w:ascii="Times New Roman" w:hAnsi="Times New Roman" w:eastAsia="宋体" w:cs="Times New Roman"/>
                <w:color w:val="auto"/>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lang w:bidi="ar"/>
              </w:rPr>
              <w:t>PM</w:t>
            </w:r>
            <w:r>
              <w:rPr>
                <w:rFonts w:hint="default" w:ascii="Times New Roman" w:hAnsi="Times New Roman" w:eastAsia="宋体" w:cs="Times New Roman"/>
                <w:color w:val="auto"/>
                <w:sz w:val="21"/>
                <w:szCs w:val="21"/>
                <w:highlight w:val="none"/>
                <w:vertAlign w:val="subscript"/>
                <w:lang w:bidi="ar"/>
              </w:rPr>
              <w:t>10</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lang w:val="en-US" w:eastAsia="zh-CN"/>
              </w:rPr>
              <w:t>TSP、</w:t>
            </w:r>
            <w:r>
              <w:rPr>
                <w:rFonts w:hint="default" w:ascii="Times New Roman" w:hAnsi="Times New Roman" w:eastAsia="宋体" w:cs="Times New Roman"/>
                <w:color w:val="auto"/>
                <w:sz w:val="21"/>
                <w:szCs w:val="21"/>
                <w:highlight w:val="none"/>
                <w:lang w:bidi="ar"/>
              </w:rPr>
              <w:t>NO</w:t>
            </w:r>
            <w:r>
              <w:rPr>
                <w:rFonts w:hint="default" w:ascii="Times New Roman" w:hAnsi="Times New Roman" w:eastAsia="宋体" w:cs="Times New Roman"/>
                <w:color w:val="auto"/>
                <w:sz w:val="21"/>
                <w:szCs w:val="21"/>
                <w:highlight w:val="none"/>
                <w:vertAlign w:val="subscript"/>
                <w:lang w:bidi="ar"/>
              </w:rPr>
              <w:t>2</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臭气浓度</w:t>
            </w:r>
            <w:r>
              <w:rPr>
                <w:rFonts w:hint="default" w:ascii="Times New Roman" w:hAnsi="Times New Roman" w:eastAsia="宋体" w:cs="Times New Roman"/>
                <w:color w:val="auto"/>
                <w:kern w:val="0"/>
                <w:sz w:val="21"/>
                <w:szCs w:val="21"/>
                <w:highlight w:val="none"/>
                <w:lang w:bidi="ar"/>
              </w:rPr>
              <w:t>）</w:t>
            </w:r>
          </w:p>
        </w:tc>
        <w:tc>
          <w:tcPr>
            <w:tcW w:w="2372" w:type="dxa"/>
            <w:gridSpan w:val="10"/>
            <w:tcBorders>
              <w:top w:val="single" w:color="auto" w:sz="4" w:space="0"/>
              <w:left w:val="single" w:color="auto" w:sz="4" w:space="0"/>
              <w:bottom w:val="single" w:color="auto" w:sz="4" w:space="0"/>
              <w:right w:val="single" w:color="auto" w:sz="4" w:space="0"/>
            </w:tcBorders>
            <w:noWrap w:val="0"/>
            <w:vAlign w:val="center"/>
          </w:tcPr>
          <w:p w14:paraId="3B7EA43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有组织废气监测□</w:t>
            </w:r>
          </w:p>
          <w:p w14:paraId="064B54E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无组织废气监测</w:t>
            </w:r>
            <w:r>
              <w:rPr>
                <w:rFonts w:hint="default" w:ascii="Times New Roman" w:hAnsi="Times New Roman" w:eastAsia="宋体" w:cs="Times New Roman"/>
                <w:color w:val="auto"/>
                <w:kern w:val="0"/>
                <w:sz w:val="21"/>
                <w:szCs w:val="21"/>
                <w:highlight w:val="none"/>
                <w:lang w:bidi="ar"/>
              </w:rPr>
              <w:sym w:font="Wingdings 2" w:char="0052"/>
            </w:r>
          </w:p>
        </w:tc>
        <w:tc>
          <w:tcPr>
            <w:tcW w:w="1331" w:type="dxa"/>
            <w:gridSpan w:val="3"/>
            <w:tcBorders>
              <w:top w:val="single" w:color="auto" w:sz="4" w:space="0"/>
              <w:left w:val="single" w:color="auto" w:sz="4" w:space="0"/>
              <w:bottom w:val="single" w:color="auto" w:sz="4" w:space="0"/>
              <w:right w:val="single" w:color="auto" w:sz="4" w:space="0"/>
            </w:tcBorders>
            <w:noWrap w:val="0"/>
            <w:vAlign w:val="center"/>
          </w:tcPr>
          <w:p w14:paraId="02BEF3B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无监测□</w:t>
            </w:r>
          </w:p>
        </w:tc>
      </w:tr>
      <w:tr w14:paraId="0A56E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0E789CC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6ED859B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环境质量监测</w:t>
            </w:r>
          </w:p>
        </w:tc>
        <w:tc>
          <w:tcPr>
            <w:tcW w:w="2867" w:type="dxa"/>
            <w:gridSpan w:val="7"/>
            <w:tcBorders>
              <w:top w:val="single" w:color="auto" w:sz="4" w:space="0"/>
              <w:left w:val="single" w:color="auto" w:sz="4" w:space="0"/>
              <w:bottom w:val="single" w:color="auto" w:sz="4" w:space="0"/>
              <w:right w:val="single" w:color="auto" w:sz="4" w:space="0"/>
            </w:tcBorders>
            <w:noWrap w:val="0"/>
            <w:vAlign w:val="center"/>
          </w:tcPr>
          <w:p w14:paraId="7857971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监测因子：（）</w:t>
            </w:r>
          </w:p>
        </w:tc>
        <w:tc>
          <w:tcPr>
            <w:tcW w:w="2372" w:type="dxa"/>
            <w:gridSpan w:val="10"/>
            <w:tcBorders>
              <w:top w:val="single" w:color="auto" w:sz="4" w:space="0"/>
              <w:left w:val="single" w:color="auto" w:sz="4" w:space="0"/>
              <w:bottom w:val="single" w:color="auto" w:sz="4" w:space="0"/>
              <w:right w:val="single" w:color="auto" w:sz="4" w:space="0"/>
            </w:tcBorders>
            <w:noWrap w:val="0"/>
            <w:vAlign w:val="center"/>
          </w:tcPr>
          <w:p w14:paraId="2A78C60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监测点位数（）</w:t>
            </w:r>
          </w:p>
        </w:tc>
        <w:tc>
          <w:tcPr>
            <w:tcW w:w="1331" w:type="dxa"/>
            <w:gridSpan w:val="3"/>
            <w:tcBorders>
              <w:top w:val="single" w:color="auto" w:sz="4" w:space="0"/>
              <w:left w:val="single" w:color="auto" w:sz="4" w:space="0"/>
              <w:bottom w:val="single" w:color="auto" w:sz="4" w:space="0"/>
              <w:right w:val="single" w:color="auto" w:sz="4" w:space="0"/>
            </w:tcBorders>
            <w:noWrap w:val="0"/>
            <w:vAlign w:val="center"/>
          </w:tcPr>
          <w:p w14:paraId="61C4162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无监测□</w:t>
            </w:r>
          </w:p>
        </w:tc>
      </w:tr>
      <w:tr w14:paraId="28547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restart"/>
            <w:tcBorders>
              <w:top w:val="single" w:color="auto" w:sz="4" w:space="0"/>
              <w:left w:val="single" w:color="auto" w:sz="4" w:space="0"/>
              <w:bottom w:val="single" w:color="auto" w:sz="4" w:space="0"/>
              <w:right w:val="single" w:color="auto" w:sz="4" w:space="0"/>
            </w:tcBorders>
            <w:noWrap w:val="0"/>
            <w:vAlign w:val="center"/>
          </w:tcPr>
          <w:p w14:paraId="21EB364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评价结论</w:t>
            </w:r>
          </w:p>
        </w:tc>
        <w:tc>
          <w:tcPr>
            <w:tcW w:w="1135" w:type="dxa"/>
            <w:tcBorders>
              <w:top w:val="single" w:color="auto" w:sz="4" w:space="0"/>
              <w:left w:val="single" w:color="auto" w:sz="4" w:space="0"/>
              <w:bottom w:val="single" w:color="auto" w:sz="4" w:space="0"/>
              <w:right w:val="single" w:color="auto" w:sz="4" w:space="0"/>
            </w:tcBorders>
            <w:noWrap w:val="0"/>
            <w:vAlign w:val="center"/>
          </w:tcPr>
          <w:p w14:paraId="66C2F3F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环境影响</w:t>
            </w:r>
          </w:p>
        </w:tc>
        <w:tc>
          <w:tcPr>
            <w:tcW w:w="6570" w:type="dxa"/>
            <w:gridSpan w:val="20"/>
            <w:tcBorders>
              <w:top w:val="single" w:color="auto" w:sz="4" w:space="0"/>
              <w:left w:val="single" w:color="auto" w:sz="4" w:space="0"/>
              <w:bottom w:val="single" w:color="auto" w:sz="4" w:space="0"/>
              <w:right w:val="single" w:color="auto" w:sz="4" w:space="0"/>
            </w:tcBorders>
            <w:noWrap w:val="0"/>
            <w:vAlign w:val="center"/>
          </w:tcPr>
          <w:p w14:paraId="3282D8B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可以接受√         不可以接受□</w:t>
            </w:r>
          </w:p>
        </w:tc>
      </w:tr>
      <w:tr w14:paraId="30FF6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14A317D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1AEA8F4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大气环境防护距离</w:t>
            </w:r>
          </w:p>
        </w:tc>
        <w:tc>
          <w:tcPr>
            <w:tcW w:w="6570" w:type="dxa"/>
            <w:gridSpan w:val="20"/>
            <w:tcBorders>
              <w:top w:val="single" w:color="auto" w:sz="4" w:space="0"/>
              <w:left w:val="single" w:color="auto" w:sz="4" w:space="0"/>
              <w:bottom w:val="single" w:color="auto" w:sz="4" w:space="0"/>
              <w:right w:val="single" w:color="auto" w:sz="4" w:space="0"/>
            </w:tcBorders>
            <w:noWrap w:val="0"/>
            <w:vAlign w:val="center"/>
          </w:tcPr>
          <w:p w14:paraId="7020386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距（）厂界最远（）m</w:t>
            </w:r>
          </w:p>
        </w:tc>
      </w:tr>
      <w:tr w14:paraId="48EA9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vMerge w:val="continue"/>
            <w:tcBorders>
              <w:top w:val="single" w:color="auto" w:sz="4" w:space="0"/>
              <w:left w:val="single" w:color="auto" w:sz="4" w:space="0"/>
              <w:bottom w:val="single" w:color="auto" w:sz="4" w:space="0"/>
              <w:right w:val="single" w:color="auto" w:sz="4" w:space="0"/>
            </w:tcBorders>
            <w:noWrap w:val="0"/>
            <w:vAlign w:val="center"/>
          </w:tcPr>
          <w:p w14:paraId="3DD61FF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noWrap w:val="0"/>
            <w:vAlign w:val="center"/>
          </w:tcPr>
          <w:p w14:paraId="2A7342A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污染源年排放量</w:t>
            </w:r>
          </w:p>
        </w:tc>
        <w:tc>
          <w:tcPr>
            <w:tcW w:w="1717" w:type="dxa"/>
            <w:gridSpan w:val="4"/>
            <w:tcBorders>
              <w:top w:val="single" w:color="auto" w:sz="4" w:space="0"/>
              <w:left w:val="single" w:color="auto" w:sz="4" w:space="0"/>
              <w:bottom w:val="single" w:color="auto" w:sz="4" w:space="0"/>
              <w:right w:val="single" w:color="auto" w:sz="4" w:space="0"/>
            </w:tcBorders>
            <w:noWrap w:val="0"/>
            <w:vAlign w:val="center"/>
          </w:tcPr>
          <w:p w14:paraId="5292588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SO</w:t>
            </w:r>
            <w:r>
              <w:rPr>
                <w:rFonts w:hint="default" w:ascii="Times New Roman" w:hAnsi="Times New Roman" w:eastAsia="宋体" w:cs="Times New Roman"/>
                <w:color w:val="auto"/>
                <w:kern w:val="0"/>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w:t>
            </w:r>
            <w:r>
              <w:rPr>
                <w:rFonts w:hint="eastAsia" w:ascii="Times New Roman" w:hAnsi="Times New Roman" w:cs="Times New Roman"/>
                <w:color w:val="auto"/>
                <w:kern w:val="0"/>
                <w:sz w:val="21"/>
                <w:szCs w:val="21"/>
                <w:highlight w:val="none"/>
                <w:lang w:eastAsia="zh-CN" w:bidi="ar"/>
              </w:rPr>
              <w:t>0.00038</w:t>
            </w:r>
            <w:r>
              <w:rPr>
                <w:rFonts w:hint="default" w:ascii="Times New Roman" w:hAnsi="Times New Roman" w:eastAsia="宋体" w:cs="Times New Roman"/>
                <w:color w:val="auto"/>
                <w:kern w:val="0"/>
                <w:sz w:val="21"/>
                <w:szCs w:val="21"/>
                <w:highlight w:val="none"/>
                <w:lang w:bidi="ar"/>
              </w:rPr>
              <w:t>）t/a</w:t>
            </w:r>
          </w:p>
        </w:tc>
        <w:tc>
          <w:tcPr>
            <w:tcW w:w="1763" w:type="dxa"/>
            <w:gridSpan w:val="5"/>
            <w:tcBorders>
              <w:top w:val="single" w:color="auto" w:sz="4" w:space="0"/>
              <w:left w:val="single" w:color="auto" w:sz="4" w:space="0"/>
              <w:bottom w:val="single" w:color="auto" w:sz="4" w:space="0"/>
              <w:right w:val="single" w:color="auto" w:sz="4" w:space="0"/>
            </w:tcBorders>
            <w:noWrap w:val="0"/>
            <w:vAlign w:val="center"/>
          </w:tcPr>
          <w:p w14:paraId="3B0F4DC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NO</w:t>
            </w:r>
            <w:r>
              <w:rPr>
                <w:rFonts w:hint="default" w:ascii="Times New Roman" w:hAnsi="Times New Roman" w:eastAsia="宋体" w:cs="Times New Roman"/>
                <w:color w:val="auto"/>
                <w:kern w:val="0"/>
                <w:sz w:val="21"/>
                <w:szCs w:val="21"/>
                <w:highlight w:val="none"/>
                <w:vertAlign w:val="subscript"/>
                <w:lang w:bidi="ar"/>
              </w:rPr>
              <w:t>X</w:t>
            </w:r>
            <w:r>
              <w:rPr>
                <w:rFonts w:hint="default" w:ascii="Times New Roman" w:hAnsi="Times New Roman" w:eastAsia="宋体" w:cs="Times New Roman"/>
                <w:color w:val="auto"/>
                <w:kern w:val="0"/>
                <w:sz w:val="21"/>
                <w:szCs w:val="21"/>
                <w:highlight w:val="none"/>
                <w:lang w:bidi="ar"/>
              </w:rPr>
              <w:t>：（</w:t>
            </w:r>
            <w:r>
              <w:rPr>
                <w:rFonts w:hint="eastAsia" w:ascii="Times New Roman" w:hAnsi="Times New Roman" w:cs="Times New Roman"/>
                <w:color w:val="auto"/>
                <w:kern w:val="0"/>
                <w:sz w:val="21"/>
                <w:szCs w:val="21"/>
                <w:highlight w:val="none"/>
                <w:lang w:val="en-US" w:eastAsia="zh-CN" w:bidi="ar"/>
              </w:rPr>
              <w:t>0.0158</w:t>
            </w:r>
            <w:r>
              <w:rPr>
                <w:rFonts w:hint="default" w:ascii="Times New Roman" w:hAnsi="Times New Roman" w:eastAsia="宋体" w:cs="Times New Roman"/>
                <w:color w:val="auto"/>
                <w:kern w:val="0"/>
                <w:sz w:val="21"/>
                <w:szCs w:val="21"/>
                <w:highlight w:val="none"/>
                <w:lang w:bidi="ar"/>
              </w:rPr>
              <w:t>）t/a</w:t>
            </w:r>
          </w:p>
        </w:tc>
        <w:tc>
          <w:tcPr>
            <w:tcW w:w="1759" w:type="dxa"/>
            <w:gridSpan w:val="8"/>
            <w:tcBorders>
              <w:top w:val="single" w:color="auto" w:sz="4" w:space="0"/>
              <w:left w:val="single" w:color="auto" w:sz="4" w:space="0"/>
              <w:bottom w:val="single" w:color="auto" w:sz="4" w:space="0"/>
              <w:right w:val="single" w:color="auto" w:sz="4" w:space="0"/>
            </w:tcBorders>
            <w:noWrap w:val="0"/>
            <w:vAlign w:val="center"/>
          </w:tcPr>
          <w:p w14:paraId="7E3F2D2D">
            <w:pPr>
              <w:keepNext w:val="0"/>
              <w:keepLines w:val="0"/>
              <w:pageBreakBefore w:val="0"/>
              <w:widowControl/>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颗粒物：（</w:t>
            </w:r>
            <w:r>
              <w:rPr>
                <w:rFonts w:hint="eastAsia" w:ascii="Times New Roman" w:hAnsi="Times New Roman" w:cs="Times New Roman"/>
                <w:color w:val="auto"/>
                <w:kern w:val="0"/>
                <w:sz w:val="21"/>
                <w:szCs w:val="21"/>
                <w:highlight w:val="none"/>
                <w:lang w:val="en-US" w:eastAsia="zh-CN" w:bidi="ar"/>
              </w:rPr>
              <w:t>0.00160</w:t>
            </w:r>
            <w:r>
              <w:rPr>
                <w:rFonts w:hint="default" w:ascii="Times New Roman" w:hAnsi="Times New Roman" w:eastAsia="宋体" w:cs="Times New Roman"/>
                <w:color w:val="auto"/>
                <w:kern w:val="0"/>
                <w:sz w:val="21"/>
                <w:szCs w:val="21"/>
                <w:highlight w:val="none"/>
                <w:lang w:bidi="ar"/>
              </w:rPr>
              <w:t>）t/a</w:t>
            </w:r>
          </w:p>
        </w:tc>
        <w:tc>
          <w:tcPr>
            <w:tcW w:w="1331" w:type="dxa"/>
            <w:gridSpan w:val="3"/>
            <w:tcBorders>
              <w:top w:val="single" w:color="auto" w:sz="4" w:space="0"/>
              <w:left w:val="single" w:color="auto" w:sz="4" w:space="0"/>
              <w:bottom w:val="single" w:color="auto" w:sz="4" w:space="0"/>
              <w:right w:val="single" w:color="auto" w:sz="4" w:space="0"/>
            </w:tcBorders>
            <w:noWrap w:val="0"/>
            <w:vAlign w:val="center"/>
          </w:tcPr>
          <w:p w14:paraId="51BEAAD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VOC</w:t>
            </w:r>
            <w:r>
              <w:rPr>
                <w:rFonts w:hint="default" w:ascii="Times New Roman" w:hAnsi="Times New Roman" w:eastAsia="宋体" w:cs="Times New Roman"/>
                <w:color w:val="auto"/>
                <w:kern w:val="0"/>
                <w:sz w:val="21"/>
                <w:szCs w:val="21"/>
                <w:highlight w:val="none"/>
                <w:vertAlign w:val="subscript"/>
                <w:lang w:bidi="ar"/>
              </w:rPr>
              <w:t>S</w:t>
            </w:r>
            <w:r>
              <w:rPr>
                <w:rFonts w:hint="default" w:ascii="Times New Roman" w:hAnsi="Times New Roman" w:eastAsia="宋体" w:cs="Times New Roman"/>
                <w:color w:val="auto"/>
                <w:kern w:val="0"/>
                <w:sz w:val="21"/>
                <w:szCs w:val="21"/>
                <w:highlight w:val="none"/>
                <w:lang w:bidi="ar"/>
              </w:rPr>
              <w:t>：（/）t/a</w:t>
            </w:r>
          </w:p>
        </w:tc>
      </w:tr>
      <w:tr w14:paraId="4FC54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522" w:type="dxa"/>
            <w:gridSpan w:val="22"/>
            <w:tcBorders>
              <w:top w:val="single" w:color="auto" w:sz="4" w:space="0"/>
              <w:left w:val="single" w:color="auto" w:sz="4" w:space="0"/>
              <w:bottom w:val="single" w:color="auto" w:sz="4" w:space="0"/>
              <w:right w:val="single" w:color="auto" w:sz="4" w:space="0"/>
            </w:tcBorders>
            <w:noWrap w:val="0"/>
            <w:vAlign w:val="center"/>
          </w:tcPr>
          <w:p w14:paraId="3EF3C100">
            <w:pPr>
              <w:keepNext w:val="0"/>
              <w:keepLines w:val="0"/>
              <w:pageBreakBefore w:val="0"/>
              <w:widowControl/>
              <w:tabs>
                <w:tab w:val="left" w:pos="2518"/>
              </w:tabs>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rPr>
              <w:t>注：“□”为勾选项，填“√”；“（）”为内容填写项</w:t>
            </w:r>
          </w:p>
        </w:tc>
      </w:tr>
    </w:tbl>
    <w:p w14:paraId="57F8FD0A">
      <w:pPr>
        <w:rPr>
          <w:rFonts w:hint="default" w:ascii="Times New Roman" w:hAnsi="Times New Roman" w:eastAsia="宋体" w:cs="Times New Roman"/>
          <w:color w:val="auto"/>
          <w:highlight w:val="none"/>
        </w:rPr>
      </w:pPr>
    </w:p>
    <w:p w14:paraId="05AE3BA6">
      <w:pPr>
        <w:rPr>
          <w:rFonts w:hint="default" w:ascii="Times New Roman" w:hAnsi="Times New Roman" w:eastAsia="宋体" w:cs="Times New Roman"/>
          <w:color w:val="auto"/>
          <w:highlight w:val="none"/>
          <w:lang w:bidi="ar"/>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rtlGutter w:val="0"/>
          <w:docGrid w:type="lines" w:linePitch="332" w:charSpace="0"/>
        </w:sectPr>
      </w:pPr>
    </w:p>
    <w:p w14:paraId="593D90E1">
      <w:pPr>
        <w:pStyle w:val="4"/>
        <w:bidi w:val="0"/>
        <w:rPr>
          <w:rFonts w:hint="default" w:ascii="Times New Roman" w:hAnsi="Times New Roman" w:eastAsia="宋体" w:cs="Times New Roman"/>
          <w:snapToGrid w:val="0"/>
          <w:color w:val="auto"/>
          <w:highlight w:val="none"/>
          <w:lang w:val="zh-CN"/>
        </w:rPr>
      </w:pPr>
      <w:bookmarkStart w:id="1310" w:name="_Toc6763"/>
      <w:bookmarkStart w:id="1311" w:name="_Toc31463"/>
      <w:bookmarkStart w:id="1312" w:name="_Toc13456"/>
      <w:bookmarkStart w:id="1313" w:name="_Toc15325"/>
      <w:bookmarkStart w:id="1314" w:name="_Toc26518"/>
      <w:bookmarkStart w:id="1315" w:name="_Toc22169"/>
      <w:r>
        <w:rPr>
          <w:rFonts w:hint="default" w:ascii="Times New Roman" w:hAnsi="Times New Roman" w:eastAsia="宋体" w:cs="Times New Roman"/>
          <w:snapToGrid w:val="0"/>
          <w:color w:val="auto"/>
          <w:highlight w:val="none"/>
          <w:lang w:val="zh-CN"/>
        </w:rPr>
        <w:t>附件2</w:t>
      </w:r>
      <w:r>
        <w:rPr>
          <w:rFonts w:hint="default" w:ascii="Times New Roman" w:hAnsi="Times New Roman" w:eastAsia="宋体" w:cs="Times New Roman"/>
          <w:snapToGrid w:val="0"/>
          <w:color w:val="auto"/>
          <w:highlight w:val="none"/>
          <w:lang w:val="en-US"/>
        </w:rPr>
        <w:t xml:space="preserve"> </w:t>
      </w:r>
      <w:r>
        <w:rPr>
          <w:rFonts w:hint="default" w:ascii="Times New Roman" w:hAnsi="Times New Roman" w:eastAsia="宋体" w:cs="Times New Roman"/>
          <w:snapToGrid w:val="0"/>
          <w:color w:val="auto"/>
          <w:highlight w:val="none"/>
          <w:lang w:val="zh-CN"/>
        </w:rPr>
        <w:t>环境风险评价自查表</w:t>
      </w:r>
      <w:bookmarkEnd w:id="1310"/>
      <w:bookmarkEnd w:id="1311"/>
      <w:bookmarkEnd w:id="1312"/>
      <w:bookmarkEnd w:id="1313"/>
      <w:bookmarkEnd w:id="1314"/>
      <w:bookmarkEnd w:id="1315"/>
    </w:p>
    <w:tbl>
      <w:tblPr>
        <w:tblStyle w:val="48"/>
        <w:tblW w:w="5001" w:type="pct"/>
        <w:jc w:val="center"/>
        <w:tblLayout w:type="fixed"/>
        <w:tblCellMar>
          <w:top w:w="0" w:type="dxa"/>
          <w:left w:w="108" w:type="dxa"/>
          <w:bottom w:w="0" w:type="dxa"/>
          <w:right w:w="108" w:type="dxa"/>
        </w:tblCellMar>
      </w:tblPr>
      <w:tblGrid>
        <w:gridCol w:w="528"/>
        <w:gridCol w:w="1058"/>
        <w:gridCol w:w="1069"/>
        <w:gridCol w:w="794"/>
        <w:gridCol w:w="371"/>
        <w:gridCol w:w="486"/>
        <w:gridCol w:w="351"/>
        <w:gridCol w:w="61"/>
        <w:gridCol w:w="216"/>
        <w:gridCol w:w="83"/>
        <w:gridCol w:w="106"/>
        <w:gridCol w:w="324"/>
        <w:gridCol w:w="497"/>
        <w:gridCol w:w="426"/>
        <w:gridCol w:w="80"/>
        <w:gridCol w:w="209"/>
        <w:gridCol w:w="136"/>
        <w:gridCol w:w="66"/>
        <w:gridCol w:w="452"/>
        <w:gridCol w:w="3"/>
        <w:gridCol w:w="443"/>
        <w:gridCol w:w="762"/>
      </w:tblGrid>
      <w:tr w14:paraId="1B560D2C">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28D5212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工作内容</w:t>
            </w:r>
          </w:p>
        </w:tc>
        <w:tc>
          <w:tcPr>
            <w:tcW w:w="4069" w:type="pct"/>
            <w:gridSpan w:val="20"/>
            <w:tcBorders>
              <w:top w:val="single" w:color="auto" w:sz="4" w:space="0"/>
              <w:left w:val="nil"/>
              <w:bottom w:val="single" w:color="auto" w:sz="4" w:space="0"/>
              <w:right w:val="single" w:color="auto" w:sz="4" w:space="0"/>
            </w:tcBorders>
            <w:noWrap w:val="0"/>
            <w:vAlign w:val="center"/>
          </w:tcPr>
          <w:p w14:paraId="557347E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完成情况</w:t>
            </w:r>
          </w:p>
        </w:tc>
      </w:tr>
      <w:tr w14:paraId="7066FA3B">
        <w:tblPrEx>
          <w:tblCellMar>
            <w:top w:w="0" w:type="dxa"/>
            <w:left w:w="108" w:type="dxa"/>
            <w:bottom w:w="0" w:type="dxa"/>
            <w:right w:w="108" w:type="dxa"/>
          </w:tblCellMar>
        </w:tblPrEx>
        <w:trPr>
          <w:trHeight w:val="283" w:hRule="atLeast"/>
          <w:jc w:val="center"/>
        </w:trPr>
        <w:tc>
          <w:tcPr>
            <w:tcW w:w="310" w:type="pct"/>
            <w:vMerge w:val="restart"/>
            <w:tcBorders>
              <w:top w:val="nil"/>
              <w:left w:val="single" w:color="auto" w:sz="4" w:space="0"/>
              <w:right w:val="single" w:color="auto" w:sz="4" w:space="0"/>
            </w:tcBorders>
            <w:noWrap w:val="0"/>
            <w:vAlign w:val="center"/>
          </w:tcPr>
          <w:p w14:paraId="6E2D3C6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风</w:t>
            </w:r>
          </w:p>
          <w:p w14:paraId="2B7CC4E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险</w:t>
            </w:r>
          </w:p>
          <w:p w14:paraId="510D4AD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调</w:t>
            </w:r>
          </w:p>
          <w:p w14:paraId="75A4172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查</w:t>
            </w:r>
          </w:p>
        </w:tc>
        <w:tc>
          <w:tcPr>
            <w:tcW w:w="620" w:type="pct"/>
            <w:vMerge w:val="restart"/>
            <w:tcBorders>
              <w:top w:val="nil"/>
              <w:left w:val="nil"/>
              <w:bottom w:val="single" w:color="auto" w:sz="4" w:space="0"/>
              <w:right w:val="single" w:color="auto" w:sz="4" w:space="0"/>
            </w:tcBorders>
            <w:noWrap w:val="0"/>
            <w:vAlign w:val="center"/>
          </w:tcPr>
          <w:p w14:paraId="28E167A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危险物质</w:t>
            </w:r>
          </w:p>
        </w:tc>
        <w:tc>
          <w:tcPr>
            <w:tcW w:w="627" w:type="pct"/>
            <w:tcBorders>
              <w:top w:val="single" w:color="auto" w:sz="4" w:space="0"/>
              <w:left w:val="nil"/>
              <w:bottom w:val="single" w:color="auto" w:sz="4" w:space="0"/>
              <w:right w:val="single" w:color="auto" w:sz="4" w:space="0"/>
            </w:tcBorders>
            <w:noWrap w:val="0"/>
            <w:vAlign w:val="center"/>
          </w:tcPr>
          <w:p w14:paraId="185A489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名称</w:t>
            </w:r>
          </w:p>
        </w:tc>
        <w:tc>
          <w:tcPr>
            <w:tcW w:w="684" w:type="pct"/>
            <w:gridSpan w:val="2"/>
            <w:tcBorders>
              <w:top w:val="single" w:color="auto" w:sz="4" w:space="0"/>
              <w:left w:val="nil"/>
              <w:bottom w:val="single" w:color="auto" w:sz="4" w:space="0"/>
              <w:right w:val="single" w:color="auto" w:sz="4" w:space="0"/>
            </w:tcBorders>
            <w:noWrap w:val="0"/>
            <w:vAlign w:val="center"/>
          </w:tcPr>
          <w:p w14:paraId="5621B6E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甲烷</w:t>
            </w:r>
          </w:p>
        </w:tc>
        <w:tc>
          <w:tcPr>
            <w:tcW w:w="701" w:type="pct"/>
            <w:gridSpan w:val="5"/>
            <w:tcBorders>
              <w:top w:val="single" w:color="auto" w:sz="4" w:space="0"/>
              <w:left w:val="nil"/>
              <w:bottom w:val="single" w:color="auto" w:sz="4" w:space="0"/>
              <w:right w:val="single" w:color="auto" w:sz="4" w:space="0"/>
            </w:tcBorders>
            <w:noWrap w:val="0"/>
            <w:vAlign w:val="center"/>
          </w:tcPr>
          <w:p w14:paraId="1D94045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52" w:type="pct"/>
            <w:gridSpan w:val="2"/>
            <w:tcBorders>
              <w:top w:val="single" w:color="auto" w:sz="4" w:space="0"/>
              <w:left w:val="nil"/>
              <w:bottom w:val="single" w:color="auto" w:sz="4" w:space="0"/>
              <w:right w:val="single" w:color="auto" w:sz="4" w:space="0"/>
            </w:tcBorders>
            <w:noWrap w:val="0"/>
            <w:vAlign w:val="center"/>
          </w:tcPr>
          <w:p w14:paraId="44C855B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1" w:type="pct"/>
            <w:tcBorders>
              <w:top w:val="single" w:color="auto" w:sz="4" w:space="0"/>
              <w:left w:val="nil"/>
              <w:bottom w:val="single" w:color="auto" w:sz="4" w:space="0"/>
              <w:right w:val="single" w:color="auto" w:sz="4" w:space="0"/>
            </w:tcBorders>
            <w:noWrap w:val="0"/>
            <w:vAlign w:val="center"/>
          </w:tcPr>
          <w:p w14:paraId="227BDB5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7" w:type="pct"/>
            <w:gridSpan w:val="2"/>
            <w:tcBorders>
              <w:top w:val="single" w:color="auto" w:sz="4" w:space="0"/>
              <w:left w:val="nil"/>
              <w:bottom w:val="single" w:color="auto" w:sz="4" w:space="0"/>
              <w:right w:val="single" w:color="auto" w:sz="4" w:space="0"/>
            </w:tcBorders>
            <w:noWrap w:val="0"/>
            <w:vAlign w:val="center"/>
          </w:tcPr>
          <w:p w14:paraId="7719F6C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507" w:type="pct"/>
            <w:gridSpan w:val="5"/>
            <w:tcBorders>
              <w:top w:val="single" w:color="auto" w:sz="4" w:space="0"/>
              <w:left w:val="nil"/>
              <w:bottom w:val="single" w:color="auto" w:sz="4" w:space="0"/>
              <w:right w:val="single" w:color="auto" w:sz="4" w:space="0"/>
            </w:tcBorders>
            <w:noWrap w:val="0"/>
            <w:vAlign w:val="center"/>
          </w:tcPr>
          <w:p w14:paraId="2BD0D4E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60" w:type="pct"/>
            <w:tcBorders>
              <w:top w:val="single" w:color="auto" w:sz="4" w:space="0"/>
              <w:left w:val="nil"/>
              <w:bottom w:val="single" w:color="auto" w:sz="4" w:space="0"/>
              <w:right w:val="single" w:color="auto" w:sz="4" w:space="0"/>
            </w:tcBorders>
            <w:noWrap w:val="0"/>
            <w:vAlign w:val="center"/>
          </w:tcPr>
          <w:p w14:paraId="26E3F52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446" w:type="pct"/>
            <w:tcBorders>
              <w:top w:val="single" w:color="auto" w:sz="4" w:space="0"/>
              <w:left w:val="nil"/>
              <w:bottom w:val="single" w:color="auto" w:sz="4" w:space="0"/>
              <w:right w:val="single" w:color="auto" w:sz="4" w:space="0"/>
            </w:tcBorders>
            <w:noWrap w:val="0"/>
            <w:vAlign w:val="center"/>
          </w:tcPr>
          <w:p w14:paraId="4ABDF8B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r>
      <w:tr w14:paraId="3A1A6FEA">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7846222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60D92EB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1F2385E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存在总量/t</w:t>
            </w:r>
          </w:p>
        </w:tc>
        <w:tc>
          <w:tcPr>
            <w:tcW w:w="684" w:type="pct"/>
            <w:gridSpan w:val="2"/>
            <w:tcBorders>
              <w:top w:val="single" w:color="auto" w:sz="4" w:space="0"/>
              <w:left w:val="nil"/>
              <w:bottom w:val="single" w:color="auto" w:sz="4" w:space="0"/>
              <w:right w:val="single" w:color="auto" w:sz="4" w:space="0"/>
            </w:tcBorders>
            <w:noWrap w:val="0"/>
            <w:vAlign w:val="center"/>
          </w:tcPr>
          <w:p w14:paraId="3FA1B9A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0.000055735</w:t>
            </w:r>
          </w:p>
        </w:tc>
        <w:tc>
          <w:tcPr>
            <w:tcW w:w="701" w:type="pct"/>
            <w:gridSpan w:val="5"/>
            <w:tcBorders>
              <w:top w:val="single" w:color="auto" w:sz="4" w:space="0"/>
              <w:left w:val="nil"/>
              <w:bottom w:val="single" w:color="auto" w:sz="4" w:space="0"/>
              <w:right w:val="single" w:color="auto" w:sz="4" w:space="0"/>
            </w:tcBorders>
            <w:noWrap w:val="0"/>
            <w:vAlign w:val="center"/>
          </w:tcPr>
          <w:p w14:paraId="1A4D8AC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lang w:val="en-US" w:eastAsia="zh-CN"/>
              </w:rPr>
            </w:pPr>
          </w:p>
        </w:tc>
        <w:tc>
          <w:tcPr>
            <w:tcW w:w="252" w:type="pct"/>
            <w:gridSpan w:val="2"/>
            <w:tcBorders>
              <w:top w:val="single" w:color="auto" w:sz="4" w:space="0"/>
              <w:left w:val="nil"/>
              <w:bottom w:val="single" w:color="auto" w:sz="4" w:space="0"/>
              <w:right w:val="single" w:color="auto" w:sz="4" w:space="0"/>
            </w:tcBorders>
            <w:noWrap w:val="0"/>
            <w:vAlign w:val="center"/>
          </w:tcPr>
          <w:p w14:paraId="44BE4D2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1" w:type="pct"/>
            <w:tcBorders>
              <w:top w:val="single" w:color="auto" w:sz="4" w:space="0"/>
              <w:left w:val="nil"/>
              <w:bottom w:val="single" w:color="auto" w:sz="4" w:space="0"/>
              <w:right w:val="single" w:color="auto" w:sz="4" w:space="0"/>
            </w:tcBorders>
            <w:noWrap w:val="0"/>
            <w:vAlign w:val="center"/>
          </w:tcPr>
          <w:p w14:paraId="4309A04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7" w:type="pct"/>
            <w:gridSpan w:val="2"/>
            <w:tcBorders>
              <w:top w:val="single" w:color="auto" w:sz="4" w:space="0"/>
              <w:left w:val="nil"/>
              <w:bottom w:val="single" w:color="auto" w:sz="4" w:space="0"/>
              <w:right w:val="single" w:color="auto" w:sz="4" w:space="0"/>
            </w:tcBorders>
            <w:noWrap w:val="0"/>
            <w:vAlign w:val="center"/>
          </w:tcPr>
          <w:p w14:paraId="24FC270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507" w:type="pct"/>
            <w:gridSpan w:val="5"/>
            <w:tcBorders>
              <w:top w:val="single" w:color="auto" w:sz="4" w:space="0"/>
              <w:left w:val="nil"/>
              <w:bottom w:val="single" w:color="auto" w:sz="4" w:space="0"/>
              <w:right w:val="single" w:color="auto" w:sz="4" w:space="0"/>
            </w:tcBorders>
            <w:noWrap w:val="0"/>
            <w:vAlign w:val="center"/>
          </w:tcPr>
          <w:p w14:paraId="5192DEC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60" w:type="pct"/>
            <w:tcBorders>
              <w:top w:val="single" w:color="auto" w:sz="4" w:space="0"/>
              <w:left w:val="nil"/>
              <w:bottom w:val="single" w:color="auto" w:sz="4" w:space="0"/>
              <w:right w:val="single" w:color="auto" w:sz="4" w:space="0"/>
            </w:tcBorders>
            <w:noWrap w:val="0"/>
            <w:vAlign w:val="center"/>
          </w:tcPr>
          <w:p w14:paraId="2849FDE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446" w:type="pct"/>
            <w:tcBorders>
              <w:top w:val="single" w:color="auto" w:sz="4" w:space="0"/>
              <w:left w:val="nil"/>
              <w:bottom w:val="single" w:color="auto" w:sz="4" w:space="0"/>
              <w:right w:val="single" w:color="auto" w:sz="4" w:space="0"/>
            </w:tcBorders>
            <w:noWrap w:val="0"/>
            <w:vAlign w:val="center"/>
          </w:tcPr>
          <w:p w14:paraId="6E15967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r>
      <w:tr w14:paraId="67427635">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51DDD72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restart"/>
            <w:tcBorders>
              <w:top w:val="nil"/>
              <w:left w:val="nil"/>
              <w:bottom w:val="single" w:color="auto" w:sz="4" w:space="0"/>
              <w:right w:val="single" w:color="auto" w:sz="4" w:space="0"/>
            </w:tcBorders>
            <w:noWrap w:val="0"/>
            <w:vAlign w:val="center"/>
          </w:tcPr>
          <w:p w14:paraId="0E56A80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环境敏感性</w:t>
            </w:r>
          </w:p>
        </w:tc>
        <w:tc>
          <w:tcPr>
            <w:tcW w:w="627" w:type="pct"/>
            <w:vMerge w:val="restart"/>
            <w:tcBorders>
              <w:top w:val="nil"/>
              <w:left w:val="nil"/>
              <w:bottom w:val="single" w:color="auto" w:sz="4" w:space="0"/>
              <w:right w:val="single" w:color="auto" w:sz="4" w:space="0"/>
            </w:tcBorders>
            <w:noWrap w:val="0"/>
            <w:vAlign w:val="center"/>
          </w:tcPr>
          <w:p w14:paraId="34636B5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w:t>
            </w:r>
          </w:p>
        </w:tc>
        <w:tc>
          <w:tcPr>
            <w:tcW w:w="1638" w:type="pct"/>
            <w:gridSpan w:val="9"/>
            <w:tcBorders>
              <w:top w:val="single" w:color="auto" w:sz="4" w:space="0"/>
              <w:left w:val="nil"/>
              <w:bottom w:val="single" w:color="auto" w:sz="4" w:space="0"/>
              <w:right w:val="single" w:color="auto" w:sz="4" w:space="0"/>
            </w:tcBorders>
            <w:noWrap w:val="0"/>
            <w:vAlign w:val="center"/>
          </w:tcPr>
          <w:p w14:paraId="1C027EC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500m范围内人口数</w:t>
            </w:r>
            <w:r>
              <w:rPr>
                <w:rFonts w:hint="default" w:ascii="Times New Roman" w:hAnsi="Times New Roman" w:eastAsia="宋体" w:cs="Times New Roman"/>
                <w:color w:val="auto"/>
                <w:sz w:val="21"/>
                <w:szCs w:val="21"/>
                <w:highlight w:val="none"/>
                <w:u w:val="single"/>
                <w:lang w:bidi="ar"/>
              </w:rPr>
              <w:t>0</w:t>
            </w:r>
            <w:r>
              <w:rPr>
                <w:rFonts w:hint="default" w:ascii="Times New Roman" w:hAnsi="Times New Roman" w:eastAsia="宋体" w:cs="Times New Roman"/>
                <w:color w:val="auto"/>
                <w:sz w:val="21"/>
                <w:szCs w:val="21"/>
                <w:highlight w:val="none"/>
                <w:lang w:bidi="ar"/>
              </w:rPr>
              <w:t>人</w:t>
            </w:r>
          </w:p>
        </w:tc>
        <w:tc>
          <w:tcPr>
            <w:tcW w:w="1803" w:type="pct"/>
            <w:gridSpan w:val="10"/>
            <w:tcBorders>
              <w:top w:val="single" w:color="auto" w:sz="4" w:space="0"/>
              <w:left w:val="nil"/>
              <w:bottom w:val="single" w:color="auto" w:sz="4" w:space="0"/>
              <w:right w:val="single" w:color="auto" w:sz="4" w:space="0"/>
            </w:tcBorders>
            <w:noWrap w:val="0"/>
            <w:vAlign w:val="center"/>
          </w:tcPr>
          <w:p w14:paraId="09695A8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5km范围内人口数</w:t>
            </w:r>
            <w:r>
              <w:rPr>
                <w:rFonts w:hint="default" w:ascii="Times New Roman" w:hAnsi="Times New Roman" w:eastAsia="宋体" w:cs="Times New Roman"/>
                <w:color w:val="auto"/>
                <w:sz w:val="21"/>
                <w:szCs w:val="21"/>
                <w:highlight w:val="none"/>
                <w:u w:val="single"/>
                <w:lang w:bidi="ar"/>
              </w:rPr>
              <w:t>0.</w:t>
            </w:r>
            <w:r>
              <w:rPr>
                <w:rFonts w:hint="default" w:ascii="Times New Roman" w:hAnsi="Times New Roman" w:cs="Times New Roman"/>
                <w:color w:val="auto"/>
                <w:sz w:val="21"/>
                <w:szCs w:val="21"/>
                <w:highlight w:val="none"/>
                <w:u w:val="single"/>
                <w:lang w:val="en-US" w:eastAsia="zh-CN" w:bidi="ar"/>
              </w:rPr>
              <w:t>05</w:t>
            </w:r>
            <w:r>
              <w:rPr>
                <w:rFonts w:hint="default" w:ascii="Times New Roman" w:hAnsi="Times New Roman" w:eastAsia="宋体" w:cs="Times New Roman"/>
                <w:color w:val="auto"/>
                <w:sz w:val="21"/>
                <w:szCs w:val="21"/>
                <w:highlight w:val="none"/>
                <w:u w:val="single"/>
                <w:lang w:bidi="ar"/>
              </w:rPr>
              <w:t>万</w:t>
            </w:r>
            <w:r>
              <w:rPr>
                <w:rFonts w:hint="default" w:ascii="Times New Roman" w:hAnsi="Times New Roman" w:eastAsia="宋体" w:cs="Times New Roman"/>
                <w:color w:val="auto"/>
                <w:sz w:val="21"/>
                <w:szCs w:val="21"/>
                <w:highlight w:val="none"/>
                <w:lang w:bidi="ar"/>
              </w:rPr>
              <w:t>人</w:t>
            </w:r>
          </w:p>
        </w:tc>
      </w:tr>
      <w:tr w14:paraId="4733888D">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6911D56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6EF5C66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continue"/>
            <w:tcBorders>
              <w:top w:val="nil"/>
              <w:left w:val="nil"/>
              <w:bottom w:val="single" w:color="auto" w:sz="4" w:space="0"/>
              <w:right w:val="single" w:color="auto" w:sz="4" w:space="0"/>
            </w:tcBorders>
            <w:noWrap w:val="0"/>
            <w:vAlign w:val="center"/>
          </w:tcPr>
          <w:p w14:paraId="41C1B4C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734" w:type="pct"/>
            <w:gridSpan w:val="17"/>
            <w:tcBorders>
              <w:top w:val="single" w:color="auto" w:sz="4" w:space="0"/>
              <w:left w:val="nil"/>
              <w:bottom w:val="single" w:color="auto" w:sz="4" w:space="0"/>
              <w:right w:val="single" w:color="auto" w:sz="4" w:space="0"/>
            </w:tcBorders>
            <w:noWrap w:val="0"/>
            <w:vAlign w:val="center"/>
          </w:tcPr>
          <w:p w14:paraId="12CA26C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每公里管段周边200m范围内人口数（最大）</w:t>
            </w:r>
          </w:p>
        </w:tc>
        <w:tc>
          <w:tcPr>
            <w:tcW w:w="706" w:type="pct"/>
            <w:gridSpan w:val="2"/>
            <w:tcBorders>
              <w:top w:val="single" w:color="auto" w:sz="4" w:space="0"/>
              <w:left w:val="nil"/>
              <w:bottom w:val="single" w:color="auto" w:sz="4" w:space="0"/>
              <w:right w:val="single" w:color="auto" w:sz="4" w:space="0"/>
            </w:tcBorders>
            <w:noWrap w:val="0"/>
            <w:vAlign w:val="center"/>
          </w:tcPr>
          <w:p w14:paraId="62210FC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人</w:t>
            </w:r>
          </w:p>
        </w:tc>
      </w:tr>
      <w:tr w14:paraId="58484E6E">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0AA3ED1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54DFD3F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restart"/>
            <w:tcBorders>
              <w:top w:val="nil"/>
              <w:left w:val="nil"/>
              <w:bottom w:val="single" w:color="auto" w:sz="4" w:space="0"/>
              <w:right w:val="single" w:color="auto" w:sz="4" w:space="0"/>
            </w:tcBorders>
            <w:noWrap w:val="0"/>
            <w:vAlign w:val="center"/>
          </w:tcPr>
          <w:p w14:paraId="2276B45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w:t>
            </w:r>
          </w:p>
        </w:tc>
        <w:tc>
          <w:tcPr>
            <w:tcW w:w="1210" w:type="pct"/>
            <w:gridSpan w:val="5"/>
            <w:tcBorders>
              <w:top w:val="single" w:color="auto" w:sz="4" w:space="0"/>
              <w:left w:val="nil"/>
              <w:bottom w:val="single" w:color="auto" w:sz="4" w:space="0"/>
              <w:right w:val="single" w:color="auto" w:sz="4" w:space="0"/>
            </w:tcBorders>
            <w:noWrap w:val="0"/>
            <w:vAlign w:val="center"/>
          </w:tcPr>
          <w:p w14:paraId="7A6A4CC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地表水功能敏感性</w:t>
            </w:r>
          </w:p>
        </w:tc>
        <w:tc>
          <w:tcPr>
            <w:tcW w:w="427" w:type="pct"/>
            <w:gridSpan w:val="4"/>
            <w:tcBorders>
              <w:top w:val="single" w:color="auto" w:sz="4" w:space="0"/>
              <w:left w:val="nil"/>
              <w:bottom w:val="single" w:color="auto" w:sz="4" w:space="0"/>
              <w:right w:val="single" w:color="auto" w:sz="4" w:space="0"/>
            </w:tcBorders>
            <w:noWrap w:val="0"/>
            <w:vAlign w:val="center"/>
          </w:tcPr>
          <w:p w14:paraId="3FE9C94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F1□</w:t>
            </w:r>
          </w:p>
        </w:tc>
        <w:tc>
          <w:tcPr>
            <w:tcW w:w="1096" w:type="pct"/>
            <w:gridSpan w:val="8"/>
            <w:tcBorders>
              <w:top w:val="single" w:color="auto" w:sz="4" w:space="0"/>
              <w:left w:val="nil"/>
              <w:bottom w:val="single" w:color="auto" w:sz="4" w:space="0"/>
              <w:right w:val="single" w:color="auto" w:sz="4" w:space="0"/>
            </w:tcBorders>
            <w:noWrap w:val="0"/>
            <w:vAlign w:val="center"/>
          </w:tcPr>
          <w:p w14:paraId="2366B10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F2</w:t>
            </w:r>
            <w:r>
              <w:rPr>
                <w:rFonts w:hint="default" w:ascii="Times New Roman" w:hAnsi="Times New Roman" w:eastAsia="宋体" w:cs="Times New Roman"/>
                <w:color w:val="auto"/>
                <w:sz w:val="21"/>
                <w:szCs w:val="21"/>
                <w:highlight w:val="none"/>
                <w:lang w:bidi="ar"/>
              </w:rPr>
              <w:sym w:font="Wingdings 2" w:char="00A3"/>
            </w:r>
          </w:p>
        </w:tc>
        <w:tc>
          <w:tcPr>
            <w:tcW w:w="706" w:type="pct"/>
            <w:gridSpan w:val="2"/>
            <w:tcBorders>
              <w:top w:val="single" w:color="auto" w:sz="4" w:space="0"/>
              <w:left w:val="nil"/>
              <w:bottom w:val="single" w:color="auto" w:sz="4" w:space="0"/>
              <w:right w:val="single" w:color="auto" w:sz="4" w:space="0"/>
            </w:tcBorders>
            <w:noWrap w:val="0"/>
            <w:vAlign w:val="center"/>
          </w:tcPr>
          <w:p w14:paraId="69098FF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F3</w:t>
            </w:r>
            <w:r>
              <w:rPr>
                <w:rFonts w:hint="default" w:ascii="Times New Roman" w:hAnsi="Times New Roman" w:eastAsia="宋体" w:cs="Times New Roman"/>
                <w:color w:val="auto"/>
                <w:sz w:val="21"/>
                <w:szCs w:val="21"/>
                <w:highlight w:val="none"/>
                <w:lang w:bidi="ar"/>
              </w:rPr>
              <w:sym w:font="Wingdings 2" w:char="00A3"/>
            </w:r>
          </w:p>
        </w:tc>
      </w:tr>
      <w:tr w14:paraId="275AB555">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01F3818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616D258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continue"/>
            <w:tcBorders>
              <w:top w:val="nil"/>
              <w:left w:val="nil"/>
              <w:bottom w:val="single" w:color="auto" w:sz="4" w:space="0"/>
              <w:right w:val="single" w:color="auto" w:sz="4" w:space="0"/>
            </w:tcBorders>
            <w:noWrap w:val="0"/>
            <w:vAlign w:val="center"/>
          </w:tcPr>
          <w:p w14:paraId="013B5B4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1210" w:type="pct"/>
            <w:gridSpan w:val="5"/>
            <w:tcBorders>
              <w:top w:val="single" w:color="auto" w:sz="4" w:space="0"/>
              <w:left w:val="nil"/>
              <w:bottom w:val="single" w:color="auto" w:sz="4" w:space="0"/>
              <w:right w:val="single" w:color="auto" w:sz="4" w:space="0"/>
            </w:tcBorders>
            <w:noWrap w:val="0"/>
            <w:vAlign w:val="center"/>
          </w:tcPr>
          <w:p w14:paraId="39BF52F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环境敏感目标分级</w:t>
            </w:r>
          </w:p>
        </w:tc>
        <w:tc>
          <w:tcPr>
            <w:tcW w:w="427" w:type="pct"/>
            <w:gridSpan w:val="4"/>
            <w:tcBorders>
              <w:top w:val="single" w:color="auto" w:sz="4" w:space="0"/>
              <w:left w:val="nil"/>
              <w:bottom w:val="single" w:color="auto" w:sz="4" w:space="0"/>
              <w:right w:val="single" w:color="auto" w:sz="4" w:space="0"/>
            </w:tcBorders>
            <w:noWrap w:val="0"/>
            <w:vAlign w:val="center"/>
          </w:tcPr>
          <w:p w14:paraId="0F4AFC4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S1</w:t>
            </w:r>
            <w:r>
              <w:rPr>
                <w:rFonts w:hint="default" w:ascii="Times New Roman" w:hAnsi="Times New Roman" w:eastAsia="宋体" w:cs="Times New Roman"/>
                <w:color w:val="auto"/>
                <w:sz w:val="21"/>
                <w:szCs w:val="21"/>
                <w:highlight w:val="none"/>
                <w:lang w:bidi="ar"/>
              </w:rPr>
              <w:sym w:font="Wingdings 2" w:char="00A3"/>
            </w:r>
          </w:p>
        </w:tc>
        <w:tc>
          <w:tcPr>
            <w:tcW w:w="1096" w:type="pct"/>
            <w:gridSpan w:val="8"/>
            <w:tcBorders>
              <w:top w:val="single" w:color="auto" w:sz="4" w:space="0"/>
              <w:left w:val="nil"/>
              <w:bottom w:val="single" w:color="auto" w:sz="4" w:space="0"/>
              <w:right w:val="single" w:color="auto" w:sz="4" w:space="0"/>
            </w:tcBorders>
            <w:noWrap w:val="0"/>
            <w:vAlign w:val="center"/>
          </w:tcPr>
          <w:p w14:paraId="74B9B5B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S2□</w:t>
            </w:r>
          </w:p>
        </w:tc>
        <w:tc>
          <w:tcPr>
            <w:tcW w:w="706" w:type="pct"/>
            <w:gridSpan w:val="2"/>
            <w:tcBorders>
              <w:top w:val="single" w:color="auto" w:sz="4" w:space="0"/>
              <w:left w:val="nil"/>
              <w:bottom w:val="single" w:color="auto" w:sz="4" w:space="0"/>
              <w:right w:val="single" w:color="auto" w:sz="4" w:space="0"/>
            </w:tcBorders>
            <w:noWrap w:val="0"/>
            <w:vAlign w:val="center"/>
          </w:tcPr>
          <w:p w14:paraId="1EF6B1A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S3</w:t>
            </w:r>
            <w:r>
              <w:rPr>
                <w:rFonts w:hint="default" w:ascii="Times New Roman" w:hAnsi="Times New Roman" w:eastAsia="宋体" w:cs="Times New Roman"/>
                <w:color w:val="auto"/>
                <w:sz w:val="21"/>
                <w:szCs w:val="21"/>
                <w:highlight w:val="none"/>
                <w:lang w:bidi="ar"/>
              </w:rPr>
              <w:sym w:font="Wingdings 2" w:char="00A3"/>
            </w:r>
          </w:p>
        </w:tc>
      </w:tr>
      <w:tr w14:paraId="7098A51B">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0E25F15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37A96B2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restart"/>
            <w:tcBorders>
              <w:top w:val="nil"/>
              <w:left w:val="nil"/>
              <w:bottom w:val="single" w:color="auto" w:sz="4" w:space="0"/>
              <w:right w:val="single" w:color="auto" w:sz="4" w:space="0"/>
            </w:tcBorders>
            <w:noWrap w:val="0"/>
            <w:vAlign w:val="center"/>
          </w:tcPr>
          <w:p w14:paraId="2EA37E8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w:t>
            </w:r>
          </w:p>
        </w:tc>
        <w:tc>
          <w:tcPr>
            <w:tcW w:w="1210" w:type="pct"/>
            <w:gridSpan w:val="5"/>
            <w:tcBorders>
              <w:top w:val="single" w:color="auto" w:sz="4" w:space="0"/>
              <w:left w:val="nil"/>
              <w:bottom w:val="single" w:color="auto" w:sz="4" w:space="0"/>
              <w:right w:val="single" w:color="auto" w:sz="4" w:space="0"/>
            </w:tcBorders>
            <w:noWrap w:val="0"/>
            <w:vAlign w:val="center"/>
          </w:tcPr>
          <w:p w14:paraId="6A556E1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地下水功能敏感性</w:t>
            </w:r>
          </w:p>
        </w:tc>
        <w:tc>
          <w:tcPr>
            <w:tcW w:w="427" w:type="pct"/>
            <w:gridSpan w:val="4"/>
            <w:tcBorders>
              <w:top w:val="single" w:color="auto" w:sz="4" w:space="0"/>
              <w:left w:val="nil"/>
              <w:bottom w:val="single" w:color="auto" w:sz="4" w:space="0"/>
              <w:right w:val="single" w:color="auto" w:sz="4" w:space="0"/>
            </w:tcBorders>
            <w:noWrap w:val="0"/>
            <w:vAlign w:val="center"/>
          </w:tcPr>
          <w:p w14:paraId="7D37F66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G1□</w:t>
            </w:r>
          </w:p>
        </w:tc>
        <w:tc>
          <w:tcPr>
            <w:tcW w:w="1096" w:type="pct"/>
            <w:gridSpan w:val="8"/>
            <w:tcBorders>
              <w:top w:val="single" w:color="auto" w:sz="4" w:space="0"/>
              <w:left w:val="nil"/>
              <w:bottom w:val="single" w:color="auto" w:sz="4" w:space="0"/>
              <w:right w:val="single" w:color="auto" w:sz="4" w:space="0"/>
            </w:tcBorders>
            <w:noWrap w:val="0"/>
            <w:vAlign w:val="center"/>
          </w:tcPr>
          <w:p w14:paraId="0493067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G2□</w:t>
            </w:r>
          </w:p>
        </w:tc>
        <w:tc>
          <w:tcPr>
            <w:tcW w:w="706" w:type="pct"/>
            <w:gridSpan w:val="2"/>
            <w:tcBorders>
              <w:top w:val="single" w:color="auto" w:sz="4" w:space="0"/>
              <w:left w:val="nil"/>
              <w:bottom w:val="single" w:color="auto" w:sz="4" w:space="0"/>
              <w:right w:val="single" w:color="auto" w:sz="4" w:space="0"/>
            </w:tcBorders>
            <w:noWrap w:val="0"/>
            <w:vAlign w:val="center"/>
          </w:tcPr>
          <w:p w14:paraId="62CC747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G3</w:t>
            </w:r>
            <w:r>
              <w:rPr>
                <w:rFonts w:hint="default" w:ascii="Times New Roman" w:hAnsi="Times New Roman" w:eastAsia="宋体" w:cs="Times New Roman"/>
                <w:color w:val="auto"/>
                <w:sz w:val="21"/>
                <w:szCs w:val="21"/>
                <w:highlight w:val="none"/>
                <w:lang w:bidi="ar"/>
              </w:rPr>
              <w:sym w:font="Wingdings 2" w:char="00A3"/>
            </w:r>
          </w:p>
        </w:tc>
      </w:tr>
      <w:tr w14:paraId="0AC3AA4D">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bottom w:val="single" w:color="auto" w:sz="4" w:space="0"/>
              <w:right w:val="single" w:color="auto" w:sz="4" w:space="0"/>
            </w:tcBorders>
            <w:noWrap w:val="0"/>
            <w:vAlign w:val="center"/>
          </w:tcPr>
          <w:p w14:paraId="54AB413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31B989B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continue"/>
            <w:tcBorders>
              <w:top w:val="nil"/>
              <w:left w:val="nil"/>
              <w:bottom w:val="single" w:color="auto" w:sz="4" w:space="0"/>
              <w:right w:val="single" w:color="auto" w:sz="4" w:space="0"/>
            </w:tcBorders>
            <w:noWrap w:val="0"/>
            <w:vAlign w:val="center"/>
          </w:tcPr>
          <w:p w14:paraId="2F41703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1210" w:type="pct"/>
            <w:gridSpan w:val="5"/>
            <w:tcBorders>
              <w:top w:val="single" w:color="auto" w:sz="4" w:space="0"/>
              <w:left w:val="nil"/>
              <w:bottom w:val="single" w:color="auto" w:sz="4" w:space="0"/>
              <w:right w:val="single" w:color="auto" w:sz="4" w:space="0"/>
            </w:tcBorders>
            <w:noWrap w:val="0"/>
            <w:vAlign w:val="center"/>
          </w:tcPr>
          <w:p w14:paraId="79D92CD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包气带防污性能</w:t>
            </w:r>
          </w:p>
        </w:tc>
        <w:tc>
          <w:tcPr>
            <w:tcW w:w="427" w:type="pct"/>
            <w:gridSpan w:val="4"/>
            <w:tcBorders>
              <w:top w:val="single" w:color="auto" w:sz="4" w:space="0"/>
              <w:left w:val="nil"/>
              <w:bottom w:val="single" w:color="auto" w:sz="4" w:space="0"/>
              <w:right w:val="single" w:color="auto" w:sz="4" w:space="0"/>
            </w:tcBorders>
            <w:noWrap w:val="0"/>
            <w:vAlign w:val="center"/>
          </w:tcPr>
          <w:p w14:paraId="762F926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D1□</w:t>
            </w:r>
          </w:p>
        </w:tc>
        <w:tc>
          <w:tcPr>
            <w:tcW w:w="1096" w:type="pct"/>
            <w:gridSpan w:val="8"/>
            <w:tcBorders>
              <w:top w:val="single" w:color="auto" w:sz="4" w:space="0"/>
              <w:left w:val="nil"/>
              <w:bottom w:val="single" w:color="auto" w:sz="4" w:space="0"/>
              <w:right w:val="single" w:color="auto" w:sz="4" w:space="0"/>
            </w:tcBorders>
            <w:noWrap w:val="0"/>
            <w:vAlign w:val="center"/>
          </w:tcPr>
          <w:p w14:paraId="3199F22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D2□</w:t>
            </w:r>
          </w:p>
        </w:tc>
        <w:tc>
          <w:tcPr>
            <w:tcW w:w="706" w:type="pct"/>
            <w:gridSpan w:val="2"/>
            <w:tcBorders>
              <w:top w:val="single" w:color="auto" w:sz="4" w:space="0"/>
              <w:left w:val="nil"/>
              <w:bottom w:val="single" w:color="auto" w:sz="4" w:space="0"/>
              <w:right w:val="single" w:color="auto" w:sz="4" w:space="0"/>
            </w:tcBorders>
            <w:noWrap w:val="0"/>
            <w:vAlign w:val="center"/>
          </w:tcPr>
          <w:p w14:paraId="2026A72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D3</w:t>
            </w:r>
            <w:r>
              <w:rPr>
                <w:rFonts w:hint="default" w:ascii="Times New Roman" w:hAnsi="Times New Roman" w:eastAsia="宋体" w:cs="Times New Roman"/>
                <w:color w:val="auto"/>
                <w:sz w:val="21"/>
                <w:szCs w:val="21"/>
                <w:highlight w:val="none"/>
                <w:lang w:bidi="ar"/>
              </w:rPr>
              <w:sym w:font="Wingdings 2" w:char="00A3"/>
            </w:r>
          </w:p>
        </w:tc>
      </w:tr>
      <w:tr w14:paraId="57AE2D61">
        <w:tblPrEx>
          <w:tblCellMar>
            <w:top w:w="0" w:type="dxa"/>
            <w:left w:w="108" w:type="dxa"/>
            <w:bottom w:w="0" w:type="dxa"/>
            <w:right w:w="108" w:type="dxa"/>
          </w:tblCellMar>
        </w:tblPrEx>
        <w:trPr>
          <w:trHeight w:val="283" w:hRule="atLeast"/>
          <w:jc w:val="center"/>
        </w:trPr>
        <w:tc>
          <w:tcPr>
            <w:tcW w:w="930" w:type="pct"/>
            <w:gridSpan w:val="2"/>
            <w:vMerge w:val="restart"/>
            <w:tcBorders>
              <w:top w:val="nil"/>
              <w:left w:val="single" w:color="auto" w:sz="4" w:space="0"/>
              <w:bottom w:val="single" w:color="auto" w:sz="4" w:space="0"/>
              <w:right w:val="single" w:color="auto" w:sz="4" w:space="0"/>
            </w:tcBorders>
            <w:noWrap w:val="0"/>
            <w:vAlign w:val="center"/>
          </w:tcPr>
          <w:p w14:paraId="0E742BE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物质及工艺系统</w:t>
            </w:r>
          </w:p>
          <w:p w14:paraId="0C29F41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危险性</w:t>
            </w:r>
          </w:p>
        </w:tc>
        <w:tc>
          <w:tcPr>
            <w:tcW w:w="627" w:type="pct"/>
            <w:tcBorders>
              <w:top w:val="single" w:color="auto" w:sz="4" w:space="0"/>
              <w:left w:val="nil"/>
              <w:bottom w:val="single" w:color="auto" w:sz="4" w:space="0"/>
              <w:right w:val="single" w:color="auto" w:sz="4" w:space="0"/>
            </w:tcBorders>
            <w:noWrap w:val="0"/>
            <w:vAlign w:val="center"/>
          </w:tcPr>
          <w:p w14:paraId="5C53A5D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Q值</w:t>
            </w:r>
          </w:p>
        </w:tc>
        <w:tc>
          <w:tcPr>
            <w:tcW w:w="968" w:type="pct"/>
            <w:gridSpan w:val="3"/>
            <w:tcBorders>
              <w:top w:val="single" w:color="auto" w:sz="4" w:space="0"/>
              <w:left w:val="nil"/>
              <w:bottom w:val="single" w:color="auto" w:sz="4" w:space="0"/>
              <w:right w:val="single" w:color="auto" w:sz="4" w:space="0"/>
            </w:tcBorders>
            <w:noWrap w:val="0"/>
            <w:vAlign w:val="center"/>
          </w:tcPr>
          <w:p w14:paraId="3873E9E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Q＜1</w:t>
            </w:r>
            <w:r>
              <w:rPr>
                <w:rFonts w:hint="default" w:ascii="Times New Roman" w:hAnsi="Times New Roman" w:eastAsia="宋体" w:cs="Times New Roman"/>
                <w:color w:val="auto"/>
                <w:sz w:val="21"/>
                <w:szCs w:val="21"/>
                <w:highlight w:val="none"/>
                <w:lang w:bidi="ar"/>
              </w:rPr>
              <w:sym w:font="Wingdings 2" w:char="0052"/>
            </w:r>
          </w:p>
        </w:tc>
        <w:tc>
          <w:tcPr>
            <w:tcW w:w="669" w:type="pct"/>
            <w:gridSpan w:val="6"/>
            <w:tcBorders>
              <w:top w:val="single" w:color="auto" w:sz="4" w:space="0"/>
              <w:left w:val="nil"/>
              <w:bottom w:val="single" w:color="auto" w:sz="4" w:space="0"/>
              <w:right w:val="single" w:color="auto" w:sz="4" w:space="0"/>
            </w:tcBorders>
            <w:noWrap w:val="0"/>
            <w:vAlign w:val="center"/>
          </w:tcPr>
          <w:p w14:paraId="738FBD3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1≤Q＜10□</w:t>
            </w:r>
          </w:p>
        </w:tc>
        <w:tc>
          <w:tcPr>
            <w:tcW w:w="1094" w:type="pct"/>
            <w:gridSpan w:val="7"/>
            <w:tcBorders>
              <w:top w:val="single" w:color="auto" w:sz="4" w:space="0"/>
              <w:left w:val="nil"/>
              <w:bottom w:val="single" w:color="auto" w:sz="4" w:space="0"/>
              <w:right w:val="single" w:color="auto" w:sz="4" w:space="0"/>
            </w:tcBorders>
            <w:noWrap w:val="0"/>
            <w:vAlign w:val="center"/>
          </w:tcPr>
          <w:p w14:paraId="3A7EC48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10≤Q＜100□</w:t>
            </w:r>
          </w:p>
        </w:tc>
        <w:tc>
          <w:tcPr>
            <w:tcW w:w="708" w:type="pct"/>
            <w:gridSpan w:val="3"/>
            <w:tcBorders>
              <w:top w:val="single" w:color="auto" w:sz="4" w:space="0"/>
              <w:left w:val="nil"/>
              <w:bottom w:val="single" w:color="auto" w:sz="4" w:space="0"/>
              <w:right w:val="single" w:color="auto" w:sz="4" w:space="0"/>
            </w:tcBorders>
            <w:noWrap w:val="0"/>
            <w:vAlign w:val="center"/>
          </w:tcPr>
          <w:p w14:paraId="7E01AD7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Q＞100□</w:t>
            </w:r>
          </w:p>
        </w:tc>
      </w:tr>
      <w:tr w14:paraId="1C44663A">
        <w:tblPrEx>
          <w:tblCellMar>
            <w:top w:w="0" w:type="dxa"/>
            <w:left w:w="108" w:type="dxa"/>
            <w:bottom w:w="0" w:type="dxa"/>
            <w:right w:w="108" w:type="dxa"/>
          </w:tblCellMar>
        </w:tblPrEx>
        <w:trPr>
          <w:trHeight w:val="283" w:hRule="atLeast"/>
          <w:jc w:val="center"/>
        </w:trPr>
        <w:tc>
          <w:tcPr>
            <w:tcW w:w="930" w:type="pct"/>
            <w:gridSpan w:val="2"/>
            <w:vMerge w:val="continue"/>
            <w:tcBorders>
              <w:top w:val="nil"/>
              <w:left w:val="single" w:color="auto" w:sz="4" w:space="0"/>
              <w:bottom w:val="single" w:color="auto" w:sz="4" w:space="0"/>
              <w:right w:val="single" w:color="auto" w:sz="4" w:space="0"/>
            </w:tcBorders>
            <w:noWrap w:val="0"/>
            <w:vAlign w:val="center"/>
          </w:tcPr>
          <w:p w14:paraId="46E4928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1710C26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M值</w:t>
            </w:r>
          </w:p>
        </w:tc>
        <w:tc>
          <w:tcPr>
            <w:tcW w:w="968" w:type="pct"/>
            <w:gridSpan w:val="3"/>
            <w:tcBorders>
              <w:top w:val="single" w:color="auto" w:sz="4" w:space="0"/>
              <w:left w:val="nil"/>
              <w:bottom w:val="single" w:color="auto" w:sz="4" w:space="0"/>
              <w:right w:val="single" w:color="auto" w:sz="4" w:space="0"/>
            </w:tcBorders>
            <w:noWrap w:val="0"/>
            <w:vAlign w:val="center"/>
          </w:tcPr>
          <w:p w14:paraId="4AC1959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M1□</w:t>
            </w:r>
          </w:p>
        </w:tc>
        <w:tc>
          <w:tcPr>
            <w:tcW w:w="669" w:type="pct"/>
            <w:gridSpan w:val="6"/>
            <w:tcBorders>
              <w:top w:val="single" w:color="auto" w:sz="4" w:space="0"/>
              <w:left w:val="nil"/>
              <w:bottom w:val="single" w:color="auto" w:sz="4" w:space="0"/>
              <w:right w:val="single" w:color="auto" w:sz="4" w:space="0"/>
            </w:tcBorders>
            <w:noWrap w:val="0"/>
            <w:vAlign w:val="center"/>
          </w:tcPr>
          <w:p w14:paraId="29715F7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M2□</w:t>
            </w:r>
          </w:p>
        </w:tc>
        <w:tc>
          <w:tcPr>
            <w:tcW w:w="1094" w:type="pct"/>
            <w:gridSpan w:val="7"/>
            <w:tcBorders>
              <w:top w:val="single" w:color="auto" w:sz="4" w:space="0"/>
              <w:left w:val="nil"/>
              <w:bottom w:val="single" w:color="auto" w:sz="4" w:space="0"/>
              <w:right w:val="single" w:color="auto" w:sz="4" w:space="0"/>
            </w:tcBorders>
            <w:noWrap w:val="0"/>
            <w:vAlign w:val="center"/>
          </w:tcPr>
          <w:p w14:paraId="635FF9A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M3□</w:t>
            </w:r>
          </w:p>
        </w:tc>
        <w:tc>
          <w:tcPr>
            <w:tcW w:w="708" w:type="pct"/>
            <w:gridSpan w:val="3"/>
            <w:tcBorders>
              <w:top w:val="single" w:color="auto" w:sz="4" w:space="0"/>
              <w:left w:val="nil"/>
              <w:bottom w:val="single" w:color="auto" w:sz="4" w:space="0"/>
              <w:right w:val="single" w:color="auto" w:sz="4" w:space="0"/>
            </w:tcBorders>
            <w:noWrap w:val="0"/>
            <w:vAlign w:val="center"/>
          </w:tcPr>
          <w:p w14:paraId="558AC80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M4</w:t>
            </w:r>
            <w:r>
              <w:rPr>
                <w:rFonts w:hint="default" w:ascii="Times New Roman" w:hAnsi="Times New Roman" w:eastAsia="宋体" w:cs="Times New Roman"/>
                <w:color w:val="auto"/>
                <w:sz w:val="21"/>
                <w:szCs w:val="21"/>
                <w:highlight w:val="none"/>
                <w:lang w:bidi="ar"/>
              </w:rPr>
              <w:sym w:font="Wingdings 2" w:char="00A3"/>
            </w:r>
          </w:p>
        </w:tc>
      </w:tr>
      <w:tr w14:paraId="40623243">
        <w:tblPrEx>
          <w:tblCellMar>
            <w:top w:w="0" w:type="dxa"/>
            <w:left w:w="108" w:type="dxa"/>
            <w:bottom w:w="0" w:type="dxa"/>
            <w:right w:w="108" w:type="dxa"/>
          </w:tblCellMar>
        </w:tblPrEx>
        <w:trPr>
          <w:trHeight w:val="283" w:hRule="atLeast"/>
          <w:jc w:val="center"/>
        </w:trPr>
        <w:tc>
          <w:tcPr>
            <w:tcW w:w="930" w:type="pct"/>
            <w:gridSpan w:val="2"/>
            <w:vMerge w:val="continue"/>
            <w:tcBorders>
              <w:top w:val="nil"/>
              <w:left w:val="single" w:color="auto" w:sz="4" w:space="0"/>
              <w:bottom w:val="single" w:color="auto" w:sz="4" w:space="0"/>
              <w:right w:val="single" w:color="auto" w:sz="4" w:space="0"/>
            </w:tcBorders>
            <w:noWrap w:val="0"/>
            <w:vAlign w:val="center"/>
          </w:tcPr>
          <w:p w14:paraId="65969E8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43E71FA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P值</w:t>
            </w:r>
          </w:p>
        </w:tc>
        <w:tc>
          <w:tcPr>
            <w:tcW w:w="968" w:type="pct"/>
            <w:gridSpan w:val="3"/>
            <w:tcBorders>
              <w:top w:val="single" w:color="auto" w:sz="4" w:space="0"/>
              <w:left w:val="nil"/>
              <w:bottom w:val="single" w:color="auto" w:sz="4" w:space="0"/>
              <w:right w:val="single" w:color="auto" w:sz="4" w:space="0"/>
            </w:tcBorders>
            <w:noWrap w:val="0"/>
            <w:vAlign w:val="center"/>
          </w:tcPr>
          <w:p w14:paraId="1400938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P1□</w:t>
            </w:r>
          </w:p>
        </w:tc>
        <w:tc>
          <w:tcPr>
            <w:tcW w:w="669" w:type="pct"/>
            <w:gridSpan w:val="6"/>
            <w:tcBorders>
              <w:top w:val="single" w:color="auto" w:sz="4" w:space="0"/>
              <w:left w:val="nil"/>
              <w:bottom w:val="single" w:color="auto" w:sz="4" w:space="0"/>
              <w:right w:val="single" w:color="auto" w:sz="4" w:space="0"/>
            </w:tcBorders>
            <w:noWrap w:val="0"/>
            <w:vAlign w:val="center"/>
          </w:tcPr>
          <w:p w14:paraId="2EFF5F6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P2□</w:t>
            </w:r>
          </w:p>
        </w:tc>
        <w:tc>
          <w:tcPr>
            <w:tcW w:w="1094" w:type="pct"/>
            <w:gridSpan w:val="7"/>
            <w:tcBorders>
              <w:top w:val="single" w:color="auto" w:sz="4" w:space="0"/>
              <w:left w:val="nil"/>
              <w:bottom w:val="single" w:color="auto" w:sz="4" w:space="0"/>
              <w:right w:val="single" w:color="auto" w:sz="4" w:space="0"/>
            </w:tcBorders>
            <w:noWrap w:val="0"/>
            <w:vAlign w:val="center"/>
          </w:tcPr>
          <w:p w14:paraId="66C831D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P3□</w:t>
            </w:r>
          </w:p>
        </w:tc>
        <w:tc>
          <w:tcPr>
            <w:tcW w:w="708" w:type="pct"/>
            <w:gridSpan w:val="3"/>
            <w:tcBorders>
              <w:top w:val="single" w:color="auto" w:sz="4" w:space="0"/>
              <w:left w:val="nil"/>
              <w:bottom w:val="single" w:color="auto" w:sz="4" w:space="0"/>
              <w:right w:val="single" w:color="auto" w:sz="4" w:space="0"/>
            </w:tcBorders>
            <w:noWrap w:val="0"/>
            <w:vAlign w:val="center"/>
          </w:tcPr>
          <w:p w14:paraId="7CEE2E4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P4□</w:t>
            </w:r>
          </w:p>
        </w:tc>
      </w:tr>
      <w:tr w14:paraId="144ADBB0">
        <w:tblPrEx>
          <w:tblCellMar>
            <w:top w:w="0" w:type="dxa"/>
            <w:left w:w="108" w:type="dxa"/>
            <w:bottom w:w="0" w:type="dxa"/>
            <w:right w:w="108" w:type="dxa"/>
          </w:tblCellMar>
        </w:tblPrEx>
        <w:trPr>
          <w:trHeight w:val="283" w:hRule="atLeast"/>
          <w:jc w:val="center"/>
        </w:trPr>
        <w:tc>
          <w:tcPr>
            <w:tcW w:w="930" w:type="pct"/>
            <w:gridSpan w:val="2"/>
            <w:vMerge w:val="restart"/>
            <w:tcBorders>
              <w:top w:val="nil"/>
              <w:left w:val="single" w:color="auto" w:sz="4" w:space="0"/>
              <w:bottom w:val="single" w:color="auto" w:sz="4" w:space="0"/>
              <w:right w:val="single" w:color="auto" w:sz="4" w:space="0"/>
            </w:tcBorders>
            <w:noWrap w:val="0"/>
            <w:vAlign w:val="center"/>
          </w:tcPr>
          <w:p w14:paraId="42E4D20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环境敏感</w:t>
            </w:r>
          </w:p>
          <w:p w14:paraId="18A2804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程度</w:t>
            </w:r>
          </w:p>
        </w:tc>
        <w:tc>
          <w:tcPr>
            <w:tcW w:w="627" w:type="pct"/>
            <w:tcBorders>
              <w:top w:val="single" w:color="auto" w:sz="4" w:space="0"/>
              <w:left w:val="nil"/>
              <w:bottom w:val="single" w:color="auto" w:sz="4" w:space="0"/>
              <w:right w:val="single" w:color="auto" w:sz="4" w:space="0"/>
            </w:tcBorders>
            <w:noWrap w:val="0"/>
            <w:vAlign w:val="center"/>
          </w:tcPr>
          <w:p w14:paraId="4FE3D1C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w:t>
            </w:r>
          </w:p>
        </w:tc>
        <w:tc>
          <w:tcPr>
            <w:tcW w:w="1337" w:type="pct"/>
            <w:gridSpan w:val="6"/>
            <w:tcBorders>
              <w:top w:val="single" w:color="auto" w:sz="4" w:space="0"/>
              <w:left w:val="nil"/>
              <w:bottom w:val="single" w:color="auto" w:sz="4" w:space="0"/>
              <w:right w:val="single" w:color="auto" w:sz="4" w:space="0"/>
            </w:tcBorders>
            <w:noWrap w:val="0"/>
            <w:vAlign w:val="center"/>
          </w:tcPr>
          <w:p w14:paraId="6E7A754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E1□</w:t>
            </w:r>
          </w:p>
        </w:tc>
        <w:tc>
          <w:tcPr>
            <w:tcW w:w="1012" w:type="pct"/>
            <w:gridSpan w:val="7"/>
            <w:tcBorders>
              <w:top w:val="single" w:color="auto" w:sz="4" w:space="0"/>
              <w:left w:val="nil"/>
              <w:bottom w:val="single" w:color="auto" w:sz="4" w:space="0"/>
              <w:right w:val="single" w:color="auto" w:sz="4" w:space="0"/>
            </w:tcBorders>
            <w:noWrap w:val="0"/>
            <w:vAlign w:val="center"/>
          </w:tcPr>
          <w:p w14:paraId="5D30633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E2□</w:t>
            </w:r>
          </w:p>
        </w:tc>
        <w:tc>
          <w:tcPr>
            <w:tcW w:w="1092" w:type="pct"/>
            <w:gridSpan w:val="6"/>
            <w:tcBorders>
              <w:top w:val="single" w:color="auto" w:sz="4" w:space="0"/>
              <w:left w:val="nil"/>
              <w:bottom w:val="single" w:color="auto" w:sz="4" w:space="0"/>
              <w:right w:val="single" w:color="auto" w:sz="4" w:space="0"/>
            </w:tcBorders>
            <w:noWrap w:val="0"/>
            <w:vAlign w:val="center"/>
          </w:tcPr>
          <w:p w14:paraId="0B82752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E3□</w:t>
            </w:r>
          </w:p>
        </w:tc>
      </w:tr>
      <w:tr w14:paraId="5269B118">
        <w:tblPrEx>
          <w:tblCellMar>
            <w:top w:w="0" w:type="dxa"/>
            <w:left w:w="108" w:type="dxa"/>
            <w:bottom w:w="0" w:type="dxa"/>
            <w:right w:w="108" w:type="dxa"/>
          </w:tblCellMar>
        </w:tblPrEx>
        <w:trPr>
          <w:trHeight w:val="283" w:hRule="atLeast"/>
          <w:jc w:val="center"/>
        </w:trPr>
        <w:tc>
          <w:tcPr>
            <w:tcW w:w="930" w:type="pct"/>
            <w:gridSpan w:val="2"/>
            <w:vMerge w:val="continue"/>
            <w:tcBorders>
              <w:top w:val="nil"/>
              <w:left w:val="single" w:color="auto" w:sz="4" w:space="0"/>
              <w:bottom w:val="single" w:color="auto" w:sz="4" w:space="0"/>
              <w:right w:val="single" w:color="auto" w:sz="4" w:space="0"/>
            </w:tcBorders>
            <w:noWrap w:val="0"/>
            <w:vAlign w:val="center"/>
          </w:tcPr>
          <w:p w14:paraId="2785226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1AA3193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w:t>
            </w:r>
          </w:p>
        </w:tc>
        <w:tc>
          <w:tcPr>
            <w:tcW w:w="1337" w:type="pct"/>
            <w:gridSpan w:val="6"/>
            <w:tcBorders>
              <w:top w:val="single" w:color="auto" w:sz="4" w:space="0"/>
              <w:left w:val="nil"/>
              <w:bottom w:val="single" w:color="auto" w:sz="4" w:space="0"/>
              <w:right w:val="single" w:color="auto" w:sz="4" w:space="0"/>
            </w:tcBorders>
            <w:noWrap w:val="0"/>
            <w:vAlign w:val="center"/>
          </w:tcPr>
          <w:p w14:paraId="1057704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E1□</w:t>
            </w:r>
          </w:p>
        </w:tc>
        <w:tc>
          <w:tcPr>
            <w:tcW w:w="1012" w:type="pct"/>
            <w:gridSpan w:val="7"/>
            <w:tcBorders>
              <w:top w:val="single" w:color="auto" w:sz="4" w:space="0"/>
              <w:left w:val="nil"/>
              <w:bottom w:val="single" w:color="auto" w:sz="4" w:space="0"/>
              <w:right w:val="single" w:color="auto" w:sz="4" w:space="0"/>
            </w:tcBorders>
            <w:noWrap w:val="0"/>
            <w:vAlign w:val="center"/>
          </w:tcPr>
          <w:p w14:paraId="29B0B82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E2□</w:t>
            </w:r>
          </w:p>
        </w:tc>
        <w:tc>
          <w:tcPr>
            <w:tcW w:w="1092" w:type="pct"/>
            <w:gridSpan w:val="6"/>
            <w:tcBorders>
              <w:top w:val="single" w:color="auto" w:sz="4" w:space="0"/>
              <w:left w:val="nil"/>
              <w:bottom w:val="single" w:color="auto" w:sz="4" w:space="0"/>
              <w:right w:val="single" w:color="auto" w:sz="4" w:space="0"/>
            </w:tcBorders>
            <w:noWrap w:val="0"/>
            <w:vAlign w:val="center"/>
          </w:tcPr>
          <w:p w14:paraId="21149CA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E3□</w:t>
            </w:r>
          </w:p>
        </w:tc>
      </w:tr>
      <w:tr w14:paraId="63A56047">
        <w:tblPrEx>
          <w:tblCellMar>
            <w:top w:w="0" w:type="dxa"/>
            <w:left w:w="108" w:type="dxa"/>
            <w:bottom w:w="0" w:type="dxa"/>
            <w:right w:w="108" w:type="dxa"/>
          </w:tblCellMar>
        </w:tblPrEx>
        <w:trPr>
          <w:trHeight w:val="283" w:hRule="atLeast"/>
          <w:jc w:val="center"/>
        </w:trPr>
        <w:tc>
          <w:tcPr>
            <w:tcW w:w="930" w:type="pct"/>
            <w:gridSpan w:val="2"/>
            <w:vMerge w:val="continue"/>
            <w:tcBorders>
              <w:top w:val="nil"/>
              <w:left w:val="single" w:color="auto" w:sz="4" w:space="0"/>
              <w:bottom w:val="single" w:color="auto" w:sz="4" w:space="0"/>
              <w:right w:val="single" w:color="auto" w:sz="4" w:space="0"/>
            </w:tcBorders>
            <w:noWrap w:val="0"/>
            <w:vAlign w:val="center"/>
          </w:tcPr>
          <w:p w14:paraId="1A7B7B2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56FD57C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w:t>
            </w:r>
          </w:p>
        </w:tc>
        <w:tc>
          <w:tcPr>
            <w:tcW w:w="1337" w:type="pct"/>
            <w:gridSpan w:val="6"/>
            <w:tcBorders>
              <w:top w:val="single" w:color="auto" w:sz="4" w:space="0"/>
              <w:left w:val="nil"/>
              <w:bottom w:val="single" w:color="auto" w:sz="4" w:space="0"/>
              <w:right w:val="single" w:color="auto" w:sz="4" w:space="0"/>
            </w:tcBorders>
            <w:noWrap w:val="0"/>
            <w:vAlign w:val="center"/>
          </w:tcPr>
          <w:p w14:paraId="562261D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E1□</w:t>
            </w:r>
          </w:p>
        </w:tc>
        <w:tc>
          <w:tcPr>
            <w:tcW w:w="1012" w:type="pct"/>
            <w:gridSpan w:val="7"/>
            <w:tcBorders>
              <w:top w:val="single" w:color="auto" w:sz="4" w:space="0"/>
              <w:left w:val="nil"/>
              <w:bottom w:val="single" w:color="auto" w:sz="4" w:space="0"/>
              <w:right w:val="single" w:color="auto" w:sz="4" w:space="0"/>
            </w:tcBorders>
            <w:noWrap w:val="0"/>
            <w:vAlign w:val="center"/>
          </w:tcPr>
          <w:p w14:paraId="4CE631F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E2□</w:t>
            </w:r>
          </w:p>
        </w:tc>
        <w:tc>
          <w:tcPr>
            <w:tcW w:w="1092" w:type="pct"/>
            <w:gridSpan w:val="6"/>
            <w:tcBorders>
              <w:top w:val="single" w:color="auto" w:sz="4" w:space="0"/>
              <w:left w:val="nil"/>
              <w:bottom w:val="single" w:color="auto" w:sz="4" w:space="0"/>
              <w:right w:val="single" w:color="auto" w:sz="4" w:space="0"/>
            </w:tcBorders>
            <w:noWrap w:val="0"/>
            <w:vAlign w:val="center"/>
          </w:tcPr>
          <w:p w14:paraId="0023963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E3□</w:t>
            </w:r>
          </w:p>
        </w:tc>
      </w:tr>
      <w:tr w14:paraId="3791E4F7">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0988659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环境风险</w:t>
            </w:r>
          </w:p>
          <w:p w14:paraId="4C50F60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潜势</w:t>
            </w:r>
          </w:p>
        </w:tc>
        <w:tc>
          <w:tcPr>
            <w:tcW w:w="1093" w:type="pct"/>
            <w:gridSpan w:val="2"/>
            <w:tcBorders>
              <w:top w:val="single" w:color="auto" w:sz="4" w:space="0"/>
              <w:left w:val="nil"/>
              <w:bottom w:val="single" w:color="auto" w:sz="4" w:space="0"/>
              <w:right w:val="single" w:color="auto" w:sz="4" w:space="0"/>
            </w:tcBorders>
            <w:noWrap w:val="0"/>
            <w:vAlign w:val="center"/>
          </w:tcPr>
          <w:p w14:paraId="0040115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Ⅳ</w:t>
            </w:r>
            <w:r>
              <w:rPr>
                <w:rFonts w:hint="default" w:ascii="Times New Roman" w:hAnsi="Times New Roman" w:eastAsia="宋体" w:cs="Times New Roman"/>
                <w:color w:val="auto"/>
                <w:sz w:val="21"/>
                <w:szCs w:val="21"/>
                <w:highlight w:val="none"/>
                <w:vertAlign w:val="superscript"/>
                <w:lang w:bidi="ar"/>
              </w:rPr>
              <w:t>+</w:t>
            </w:r>
            <w:r>
              <w:rPr>
                <w:rFonts w:hint="default" w:ascii="Times New Roman" w:hAnsi="Times New Roman" w:eastAsia="宋体" w:cs="Times New Roman"/>
                <w:color w:val="auto"/>
                <w:sz w:val="21"/>
                <w:szCs w:val="21"/>
                <w:highlight w:val="none"/>
                <w:lang w:bidi="ar"/>
              </w:rPr>
              <w:t>□</w:t>
            </w:r>
          </w:p>
        </w:tc>
        <w:tc>
          <w:tcPr>
            <w:tcW w:w="502" w:type="pct"/>
            <w:gridSpan w:val="2"/>
            <w:tcBorders>
              <w:top w:val="single" w:color="auto" w:sz="4" w:space="0"/>
              <w:left w:val="nil"/>
              <w:bottom w:val="single" w:color="auto" w:sz="4" w:space="0"/>
              <w:right w:val="single" w:color="auto" w:sz="4" w:space="0"/>
            </w:tcBorders>
            <w:noWrap w:val="0"/>
            <w:vAlign w:val="center"/>
          </w:tcPr>
          <w:p w14:paraId="0CC5827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Ⅳ□</w:t>
            </w:r>
          </w:p>
        </w:tc>
        <w:tc>
          <w:tcPr>
            <w:tcW w:w="669" w:type="pct"/>
            <w:gridSpan w:val="6"/>
            <w:tcBorders>
              <w:top w:val="single" w:color="auto" w:sz="4" w:space="0"/>
              <w:left w:val="nil"/>
              <w:bottom w:val="single" w:color="auto" w:sz="4" w:space="0"/>
              <w:right w:val="single" w:color="auto" w:sz="4" w:space="0"/>
            </w:tcBorders>
            <w:noWrap w:val="0"/>
            <w:vAlign w:val="center"/>
          </w:tcPr>
          <w:p w14:paraId="36F27B2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Ⅲ□</w:t>
            </w:r>
          </w:p>
        </w:tc>
        <w:tc>
          <w:tcPr>
            <w:tcW w:w="1094" w:type="pct"/>
            <w:gridSpan w:val="7"/>
            <w:tcBorders>
              <w:top w:val="single" w:color="auto" w:sz="4" w:space="0"/>
              <w:left w:val="nil"/>
              <w:bottom w:val="single" w:color="auto" w:sz="4" w:space="0"/>
              <w:right w:val="single" w:color="auto" w:sz="4" w:space="0"/>
            </w:tcBorders>
            <w:noWrap w:val="0"/>
            <w:vAlign w:val="center"/>
          </w:tcPr>
          <w:p w14:paraId="6B7313B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Ⅱ□</w:t>
            </w:r>
          </w:p>
        </w:tc>
        <w:tc>
          <w:tcPr>
            <w:tcW w:w="708" w:type="pct"/>
            <w:gridSpan w:val="3"/>
            <w:tcBorders>
              <w:top w:val="single" w:color="auto" w:sz="4" w:space="0"/>
              <w:left w:val="nil"/>
              <w:bottom w:val="single" w:color="auto" w:sz="4" w:space="0"/>
              <w:right w:val="single" w:color="auto" w:sz="4" w:space="0"/>
            </w:tcBorders>
            <w:noWrap w:val="0"/>
            <w:vAlign w:val="center"/>
          </w:tcPr>
          <w:p w14:paraId="30A1502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I</w:t>
            </w:r>
            <w:r>
              <w:rPr>
                <w:rFonts w:hint="default" w:ascii="Times New Roman" w:hAnsi="Times New Roman" w:eastAsia="宋体" w:cs="Times New Roman"/>
                <w:color w:val="auto"/>
                <w:sz w:val="21"/>
                <w:szCs w:val="21"/>
                <w:highlight w:val="none"/>
                <w:lang w:bidi="ar"/>
              </w:rPr>
              <w:sym w:font="Wingdings 2" w:char="0052"/>
            </w:r>
          </w:p>
        </w:tc>
      </w:tr>
      <w:tr w14:paraId="06B99ADA">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3154455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评价等级</w:t>
            </w:r>
          </w:p>
        </w:tc>
        <w:tc>
          <w:tcPr>
            <w:tcW w:w="1093" w:type="pct"/>
            <w:gridSpan w:val="2"/>
            <w:tcBorders>
              <w:top w:val="single" w:color="auto" w:sz="4" w:space="0"/>
              <w:left w:val="nil"/>
              <w:bottom w:val="single" w:color="auto" w:sz="4" w:space="0"/>
              <w:right w:val="single" w:color="auto" w:sz="4" w:space="0"/>
            </w:tcBorders>
            <w:noWrap w:val="0"/>
            <w:vAlign w:val="center"/>
          </w:tcPr>
          <w:p w14:paraId="4AC2CD6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一级□</w:t>
            </w:r>
          </w:p>
        </w:tc>
        <w:tc>
          <w:tcPr>
            <w:tcW w:w="1171" w:type="pct"/>
            <w:gridSpan w:val="8"/>
            <w:tcBorders>
              <w:top w:val="single" w:color="auto" w:sz="4" w:space="0"/>
              <w:left w:val="nil"/>
              <w:bottom w:val="single" w:color="auto" w:sz="4" w:space="0"/>
              <w:right w:val="single" w:color="auto" w:sz="4" w:space="0"/>
            </w:tcBorders>
            <w:noWrap w:val="0"/>
            <w:vAlign w:val="center"/>
          </w:tcPr>
          <w:p w14:paraId="66CDDD7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二级□</w:t>
            </w:r>
          </w:p>
        </w:tc>
        <w:tc>
          <w:tcPr>
            <w:tcW w:w="830" w:type="pct"/>
            <w:gridSpan w:val="6"/>
            <w:tcBorders>
              <w:top w:val="single" w:color="auto" w:sz="4" w:space="0"/>
              <w:left w:val="nil"/>
              <w:bottom w:val="single" w:color="auto" w:sz="4" w:space="0"/>
              <w:right w:val="single" w:color="auto" w:sz="4" w:space="0"/>
            </w:tcBorders>
            <w:noWrap w:val="0"/>
            <w:vAlign w:val="center"/>
          </w:tcPr>
          <w:p w14:paraId="1AD2035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三级□</w:t>
            </w:r>
          </w:p>
        </w:tc>
        <w:tc>
          <w:tcPr>
            <w:tcW w:w="973" w:type="pct"/>
            <w:gridSpan w:val="4"/>
            <w:tcBorders>
              <w:top w:val="single" w:color="auto" w:sz="4" w:space="0"/>
              <w:left w:val="nil"/>
              <w:bottom w:val="single" w:color="auto" w:sz="4" w:space="0"/>
              <w:right w:val="single" w:color="auto" w:sz="4" w:space="0"/>
            </w:tcBorders>
            <w:noWrap w:val="0"/>
            <w:vAlign w:val="center"/>
          </w:tcPr>
          <w:p w14:paraId="4A6C56D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简单分析</w:t>
            </w:r>
            <w:r>
              <w:rPr>
                <w:rFonts w:hint="default" w:ascii="Times New Roman" w:hAnsi="Times New Roman" w:eastAsia="宋体" w:cs="Times New Roman"/>
                <w:color w:val="auto"/>
                <w:sz w:val="21"/>
                <w:szCs w:val="21"/>
                <w:highlight w:val="none"/>
                <w:lang w:bidi="ar"/>
              </w:rPr>
              <w:sym w:font="Wingdings 2" w:char="0052"/>
            </w:r>
          </w:p>
        </w:tc>
      </w:tr>
      <w:tr w14:paraId="3F58F980">
        <w:tblPrEx>
          <w:tblCellMar>
            <w:top w:w="0" w:type="dxa"/>
            <w:left w:w="108" w:type="dxa"/>
            <w:bottom w:w="0" w:type="dxa"/>
            <w:right w:w="108" w:type="dxa"/>
          </w:tblCellMar>
        </w:tblPrEx>
        <w:trPr>
          <w:trHeight w:val="283" w:hRule="atLeast"/>
          <w:jc w:val="center"/>
        </w:trPr>
        <w:tc>
          <w:tcPr>
            <w:tcW w:w="310" w:type="pct"/>
            <w:vMerge w:val="restart"/>
            <w:tcBorders>
              <w:top w:val="nil"/>
              <w:left w:val="single" w:color="auto" w:sz="4" w:space="0"/>
              <w:bottom w:val="single" w:color="auto" w:sz="4" w:space="0"/>
              <w:right w:val="single" w:color="auto" w:sz="4" w:space="0"/>
            </w:tcBorders>
            <w:noWrap w:val="0"/>
            <w:vAlign w:val="center"/>
          </w:tcPr>
          <w:p w14:paraId="3CDB17F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风</w:t>
            </w:r>
          </w:p>
          <w:p w14:paraId="0FC4EE9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险</w:t>
            </w:r>
          </w:p>
          <w:p w14:paraId="7E387C5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识</w:t>
            </w:r>
          </w:p>
          <w:p w14:paraId="2264078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别</w:t>
            </w:r>
          </w:p>
        </w:tc>
        <w:tc>
          <w:tcPr>
            <w:tcW w:w="620" w:type="pct"/>
            <w:tcBorders>
              <w:top w:val="single" w:color="auto" w:sz="4" w:space="0"/>
              <w:left w:val="nil"/>
              <w:bottom w:val="single" w:color="auto" w:sz="4" w:space="0"/>
              <w:right w:val="single" w:color="auto" w:sz="4" w:space="0"/>
            </w:tcBorders>
            <w:noWrap w:val="0"/>
            <w:vAlign w:val="center"/>
          </w:tcPr>
          <w:p w14:paraId="0131D2B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物质危险性</w:t>
            </w:r>
          </w:p>
        </w:tc>
        <w:tc>
          <w:tcPr>
            <w:tcW w:w="1802" w:type="pct"/>
            <w:gridSpan w:val="5"/>
            <w:tcBorders>
              <w:top w:val="single" w:color="auto" w:sz="4" w:space="0"/>
              <w:left w:val="nil"/>
              <w:bottom w:val="single" w:color="auto" w:sz="4" w:space="0"/>
              <w:right w:val="single" w:color="auto" w:sz="4" w:space="0"/>
            </w:tcBorders>
            <w:noWrap w:val="0"/>
            <w:vAlign w:val="center"/>
          </w:tcPr>
          <w:p w14:paraId="2BBE9C6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有毒有害</w:t>
            </w:r>
            <w:r>
              <w:rPr>
                <w:rFonts w:hint="default" w:ascii="Times New Roman" w:hAnsi="Times New Roman" w:eastAsia="宋体" w:cs="Times New Roman"/>
                <w:color w:val="auto"/>
                <w:sz w:val="21"/>
                <w:szCs w:val="21"/>
                <w:highlight w:val="none"/>
                <w:lang w:bidi="ar"/>
              </w:rPr>
              <w:sym w:font="Wingdings 2" w:char="00A3"/>
            </w:r>
          </w:p>
        </w:tc>
        <w:tc>
          <w:tcPr>
            <w:tcW w:w="2266" w:type="pct"/>
            <w:gridSpan w:val="15"/>
            <w:tcBorders>
              <w:top w:val="single" w:color="auto" w:sz="4" w:space="0"/>
              <w:left w:val="nil"/>
              <w:bottom w:val="single" w:color="auto" w:sz="4" w:space="0"/>
              <w:right w:val="single" w:color="auto" w:sz="4" w:space="0"/>
            </w:tcBorders>
            <w:noWrap w:val="0"/>
            <w:vAlign w:val="center"/>
          </w:tcPr>
          <w:p w14:paraId="3A28F4A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易燃易爆</w:t>
            </w:r>
            <w:r>
              <w:rPr>
                <w:rFonts w:hint="default" w:ascii="Times New Roman" w:hAnsi="Times New Roman" w:eastAsia="宋体" w:cs="Times New Roman"/>
                <w:color w:val="auto"/>
                <w:sz w:val="21"/>
                <w:szCs w:val="21"/>
                <w:highlight w:val="none"/>
                <w:lang w:bidi="ar"/>
              </w:rPr>
              <w:sym w:font="Wingdings 2" w:char="0052"/>
            </w:r>
          </w:p>
        </w:tc>
      </w:tr>
      <w:tr w14:paraId="013958C9">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0BC75A7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tcBorders>
              <w:top w:val="single" w:color="auto" w:sz="4" w:space="0"/>
              <w:left w:val="nil"/>
              <w:bottom w:val="single" w:color="auto" w:sz="4" w:space="0"/>
              <w:right w:val="single" w:color="auto" w:sz="4" w:space="0"/>
            </w:tcBorders>
            <w:noWrap w:val="0"/>
            <w:vAlign w:val="center"/>
          </w:tcPr>
          <w:p w14:paraId="6A0FAC3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环境风险</w:t>
            </w:r>
          </w:p>
          <w:p w14:paraId="2C712FD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类型</w:t>
            </w:r>
          </w:p>
        </w:tc>
        <w:tc>
          <w:tcPr>
            <w:tcW w:w="1802" w:type="pct"/>
            <w:gridSpan w:val="5"/>
            <w:tcBorders>
              <w:top w:val="single" w:color="auto" w:sz="4" w:space="0"/>
              <w:left w:val="nil"/>
              <w:bottom w:val="single" w:color="auto" w:sz="4" w:space="0"/>
              <w:right w:val="single" w:color="auto" w:sz="4" w:space="0"/>
            </w:tcBorders>
            <w:noWrap w:val="0"/>
            <w:vAlign w:val="center"/>
          </w:tcPr>
          <w:p w14:paraId="2FD5D21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泄漏</w:t>
            </w:r>
            <w:r>
              <w:rPr>
                <w:rFonts w:hint="default" w:ascii="Times New Roman" w:hAnsi="Times New Roman" w:eastAsia="宋体" w:cs="Times New Roman"/>
                <w:color w:val="auto"/>
                <w:sz w:val="21"/>
                <w:szCs w:val="21"/>
                <w:highlight w:val="none"/>
                <w:lang w:bidi="ar"/>
              </w:rPr>
              <w:sym w:font="Wingdings 2" w:char="0052"/>
            </w:r>
          </w:p>
        </w:tc>
        <w:tc>
          <w:tcPr>
            <w:tcW w:w="2266" w:type="pct"/>
            <w:gridSpan w:val="15"/>
            <w:tcBorders>
              <w:top w:val="single" w:color="auto" w:sz="4" w:space="0"/>
              <w:left w:val="nil"/>
              <w:bottom w:val="single" w:color="auto" w:sz="4" w:space="0"/>
              <w:right w:val="single" w:color="auto" w:sz="4" w:space="0"/>
            </w:tcBorders>
            <w:noWrap w:val="0"/>
            <w:vAlign w:val="center"/>
          </w:tcPr>
          <w:p w14:paraId="5ACB372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火灾、爆炸引发伴生/次生污染物排放</w:t>
            </w:r>
            <w:r>
              <w:rPr>
                <w:rFonts w:hint="default" w:ascii="Times New Roman" w:hAnsi="Times New Roman" w:eastAsia="宋体" w:cs="Times New Roman"/>
                <w:color w:val="auto"/>
                <w:sz w:val="21"/>
                <w:szCs w:val="21"/>
                <w:highlight w:val="none"/>
                <w:lang w:bidi="ar"/>
              </w:rPr>
              <w:sym w:font="Wingdings 2" w:char="0052"/>
            </w:r>
          </w:p>
        </w:tc>
      </w:tr>
      <w:tr w14:paraId="0D29816E">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119F3ED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tcBorders>
              <w:top w:val="single" w:color="auto" w:sz="4" w:space="0"/>
              <w:left w:val="nil"/>
              <w:bottom w:val="single" w:color="auto" w:sz="4" w:space="0"/>
              <w:right w:val="single" w:color="auto" w:sz="4" w:space="0"/>
            </w:tcBorders>
            <w:noWrap w:val="0"/>
            <w:vAlign w:val="center"/>
          </w:tcPr>
          <w:p w14:paraId="72336FC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影响途径</w:t>
            </w:r>
          </w:p>
        </w:tc>
        <w:tc>
          <w:tcPr>
            <w:tcW w:w="1596" w:type="pct"/>
            <w:gridSpan w:val="4"/>
            <w:tcBorders>
              <w:top w:val="single" w:color="auto" w:sz="4" w:space="0"/>
              <w:left w:val="nil"/>
              <w:bottom w:val="single" w:color="auto" w:sz="4" w:space="0"/>
              <w:right w:val="single" w:color="auto" w:sz="4" w:space="0"/>
            </w:tcBorders>
            <w:noWrap w:val="0"/>
            <w:vAlign w:val="center"/>
          </w:tcPr>
          <w:p w14:paraId="64C27B1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w:t>
            </w:r>
            <w:r>
              <w:rPr>
                <w:rFonts w:hint="default" w:ascii="Times New Roman" w:hAnsi="Times New Roman" w:eastAsia="宋体" w:cs="Times New Roman"/>
                <w:color w:val="auto"/>
                <w:sz w:val="21"/>
                <w:szCs w:val="21"/>
                <w:highlight w:val="none"/>
                <w:lang w:bidi="ar"/>
              </w:rPr>
              <w:sym w:font="Wingdings 2" w:char="0052"/>
            </w:r>
          </w:p>
        </w:tc>
        <w:tc>
          <w:tcPr>
            <w:tcW w:w="1211" w:type="pct"/>
            <w:gridSpan w:val="8"/>
            <w:tcBorders>
              <w:top w:val="single" w:color="auto" w:sz="4" w:space="0"/>
              <w:left w:val="nil"/>
              <w:bottom w:val="single" w:color="auto" w:sz="4" w:space="0"/>
              <w:right w:val="single" w:color="auto" w:sz="4" w:space="0"/>
            </w:tcBorders>
            <w:noWrap w:val="0"/>
            <w:vAlign w:val="center"/>
          </w:tcPr>
          <w:p w14:paraId="51520FA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w:t>
            </w:r>
            <w:r>
              <w:rPr>
                <w:rFonts w:hint="default" w:ascii="Times New Roman" w:hAnsi="Times New Roman" w:eastAsia="宋体" w:cs="Times New Roman"/>
                <w:color w:val="auto"/>
                <w:sz w:val="21"/>
                <w:szCs w:val="21"/>
                <w:highlight w:val="none"/>
                <w:lang w:bidi="ar"/>
              </w:rPr>
              <w:sym w:font="Wingdings 2" w:char="00A3"/>
            </w:r>
          </w:p>
        </w:tc>
        <w:tc>
          <w:tcPr>
            <w:tcW w:w="1261" w:type="pct"/>
            <w:gridSpan w:val="8"/>
            <w:tcBorders>
              <w:top w:val="single" w:color="auto" w:sz="4" w:space="0"/>
              <w:left w:val="nil"/>
              <w:bottom w:val="single" w:color="auto" w:sz="4" w:space="0"/>
              <w:right w:val="single" w:color="auto" w:sz="4" w:space="0"/>
            </w:tcBorders>
            <w:noWrap w:val="0"/>
            <w:vAlign w:val="center"/>
          </w:tcPr>
          <w:p w14:paraId="2D195F8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w:t>
            </w:r>
            <w:r>
              <w:rPr>
                <w:rFonts w:hint="default" w:ascii="Times New Roman" w:hAnsi="Times New Roman" w:eastAsia="宋体" w:cs="Times New Roman"/>
                <w:color w:val="auto"/>
                <w:sz w:val="21"/>
                <w:szCs w:val="21"/>
                <w:highlight w:val="none"/>
                <w:lang w:bidi="ar"/>
              </w:rPr>
              <w:sym w:font="Wingdings 2" w:char="00A3"/>
            </w:r>
          </w:p>
        </w:tc>
      </w:tr>
      <w:tr w14:paraId="141A7DB0">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610C3B2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事故情形分析</w:t>
            </w:r>
          </w:p>
        </w:tc>
        <w:tc>
          <w:tcPr>
            <w:tcW w:w="1093" w:type="pct"/>
            <w:gridSpan w:val="2"/>
            <w:tcBorders>
              <w:top w:val="single" w:color="auto" w:sz="4" w:space="0"/>
              <w:left w:val="nil"/>
              <w:bottom w:val="single" w:color="auto" w:sz="4" w:space="0"/>
              <w:right w:val="single" w:color="auto" w:sz="4" w:space="0"/>
            </w:tcBorders>
            <w:noWrap w:val="0"/>
            <w:vAlign w:val="center"/>
          </w:tcPr>
          <w:p w14:paraId="636E982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源强设定方法</w:t>
            </w:r>
          </w:p>
        </w:tc>
        <w:tc>
          <w:tcPr>
            <w:tcW w:w="981" w:type="pct"/>
            <w:gridSpan w:val="7"/>
            <w:tcBorders>
              <w:top w:val="single" w:color="auto" w:sz="4" w:space="0"/>
              <w:left w:val="nil"/>
              <w:bottom w:val="single" w:color="auto" w:sz="4" w:space="0"/>
              <w:right w:val="single" w:color="auto" w:sz="4" w:space="0"/>
            </w:tcBorders>
            <w:noWrap w:val="0"/>
            <w:vAlign w:val="center"/>
          </w:tcPr>
          <w:p w14:paraId="3409C65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计算法□</w:t>
            </w:r>
          </w:p>
        </w:tc>
        <w:tc>
          <w:tcPr>
            <w:tcW w:w="981" w:type="pct"/>
            <w:gridSpan w:val="6"/>
            <w:tcBorders>
              <w:top w:val="single" w:color="auto" w:sz="4" w:space="0"/>
              <w:left w:val="nil"/>
              <w:bottom w:val="single" w:color="auto" w:sz="4" w:space="0"/>
              <w:right w:val="single" w:color="auto" w:sz="4" w:space="0"/>
            </w:tcBorders>
            <w:noWrap w:val="0"/>
            <w:vAlign w:val="center"/>
          </w:tcPr>
          <w:p w14:paraId="5E2F2F3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经验估算法□</w:t>
            </w:r>
          </w:p>
        </w:tc>
        <w:tc>
          <w:tcPr>
            <w:tcW w:w="1012" w:type="pct"/>
            <w:gridSpan w:val="5"/>
            <w:tcBorders>
              <w:top w:val="single" w:color="auto" w:sz="4" w:space="0"/>
              <w:left w:val="nil"/>
              <w:bottom w:val="single" w:color="auto" w:sz="4" w:space="0"/>
              <w:right w:val="single" w:color="auto" w:sz="4" w:space="0"/>
            </w:tcBorders>
            <w:noWrap w:val="0"/>
            <w:vAlign w:val="center"/>
          </w:tcPr>
          <w:p w14:paraId="6BADB4A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其他估算法□</w:t>
            </w:r>
          </w:p>
        </w:tc>
      </w:tr>
      <w:tr w14:paraId="526D9AFD">
        <w:tblPrEx>
          <w:tblCellMar>
            <w:top w:w="0" w:type="dxa"/>
            <w:left w:w="108" w:type="dxa"/>
            <w:bottom w:w="0" w:type="dxa"/>
            <w:right w:w="108" w:type="dxa"/>
          </w:tblCellMar>
        </w:tblPrEx>
        <w:trPr>
          <w:trHeight w:val="283" w:hRule="atLeast"/>
          <w:jc w:val="center"/>
        </w:trPr>
        <w:tc>
          <w:tcPr>
            <w:tcW w:w="310" w:type="pct"/>
            <w:vMerge w:val="restart"/>
            <w:tcBorders>
              <w:top w:val="nil"/>
              <w:left w:val="single" w:color="auto" w:sz="4" w:space="0"/>
              <w:bottom w:val="single" w:color="auto" w:sz="4" w:space="0"/>
              <w:right w:val="single" w:color="auto" w:sz="4" w:space="0"/>
            </w:tcBorders>
            <w:noWrap w:val="0"/>
            <w:vAlign w:val="center"/>
          </w:tcPr>
          <w:p w14:paraId="18011BA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风险</w:t>
            </w:r>
          </w:p>
          <w:p w14:paraId="3859FA6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预测</w:t>
            </w:r>
          </w:p>
          <w:p w14:paraId="6E7B567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与</w:t>
            </w:r>
          </w:p>
          <w:p w14:paraId="38E4833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评价</w:t>
            </w:r>
          </w:p>
        </w:tc>
        <w:tc>
          <w:tcPr>
            <w:tcW w:w="620" w:type="pct"/>
            <w:vMerge w:val="restart"/>
            <w:tcBorders>
              <w:top w:val="nil"/>
              <w:left w:val="nil"/>
              <w:bottom w:val="single" w:color="auto" w:sz="4" w:space="0"/>
              <w:right w:val="single" w:color="auto" w:sz="4" w:space="0"/>
            </w:tcBorders>
            <w:noWrap w:val="0"/>
            <w:vAlign w:val="center"/>
          </w:tcPr>
          <w:p w14:paraId="0F6BAD4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w:t>
            </w:r>
          </w:p>
        </w:tc>
        <w:tc>
          <w:tcPr>
            <w:tcW w:w="1093" w:type="pct"/>
            <w:gridSpan w:val="2"/>
            <w:tcBorders>
              <w:top w:val="single" w:color="auto" w:sz="4" w:space="0"/>
              <w:left w:val="nil"/>
              <w:bottom w:val="single" w:color="auto" w:sz="4" w:space="0"/>
              <w:right w:val="single" w:color="auto" w:sz="4" w:space="0"/>
            </w:tcBorders>
            <w:noWrap w:val="0"/>
            <w:vAlign w:val="center"/>
          </w:tcPr>
          <w:p w14:paraId="0CF92A2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预测模型</w:t>
            </w:r>
          </w:p>
        </w:tc>
        <w:tc>
          <w:tcPr>
            <w:tcW w:w="981" w:type="pct"/>
            <w:gridSpan w:val="7"/>
            <w:tcBorders>
              <w:top w:val="single" w:color="auto" w:sz="4" w:space="0"/>
              <w:left w:val="nil"/>
              <w:bottom w:val="single" w:color="auto" w:sz="4" w:space="0"/>
              <w:right w:val="single" w:color="auto" w:sz="4" w:space="0"/>
            </w:tcBorders>
            <w:noWrap w:val="0"/>
            <w:vAlign w:val="center"/>
          </w:tcPr>
          <w:p w14:paraId="14F5897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SLAB□</w:t>
            </w:r>
          </w:p>
        </w:tc>
        <w:tc>
          <w:tcPr>
            <w:tcW w:w="981" w:type="pct"/>
            <w:gridSpan w:val="6"/>
            <w:tcBorders>
              <w:top w:val="single" w:color="auto" w:sz="4" w:space="0"/>
              <w:left w:val="nil"/>
              <w:bottom w:val="single" w:color="auto" w:sz="4" w:space="0"/>
              <w:right w:val="single" w:color="auto" w:sz="4" w:space="0"/>
            </w:tcBorders>
            <w:noWrap w:val="0"/>
            <w:vAlign w:val="center"/>
          </w:tcPr>
          <w:p w14:paraId="486D54F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AFTOX□</w:t>
            </w:r>
          </w:p>
        </w:tc>
        <w:tc>
          <w:tcPr>
            <w:tcW w:w="1012" w:type="pct"/>
            <w:gridSpan w:val="5"/>
            <w:tcBorders>
              <w:top w:val="single" w:color="auto" w:sz="4" w:space="0"/>
              <w:left w:val="nil"/>
              <w:bottom w:val="single" w:color="auto" w:sz="4" w:space="0"/>
              <w:right w:val="single" w:color="auto" w:sz="4" w:space="0"/>
            </w:tcBorders>
            <w:noWrap w:val="0"/>
            <w:vAlign w:val="center"/>
          </w:tcPr>
          <w:p w14:paraId="6FB5510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其他□</w:t>
            </w:r>
          </w:p>
        </w:tc>
      </w:tr>
      <w:tr w14:paraId="56D2C27F">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5F57413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3D646AC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1093" w:type="pct"/>
            <w:gridSpan w:val="2"/>
            <w:vMerge w:val="restart"/>
            <w:tcBorders>
              <w:top w:val="nil"/>
              <w:left w:val="nil"/>
              <w:bottom w:val="single" w:color="auto" w:sz="4" w:space="0"/>
              <w:right w:val="single" w:color="auto" w:sz="4" w:space="0"/>
            </w:tcBorders>
            <w:noWrap w:val="0"/>
            <w:vAlign w:val="center"/>
          </w:tcPr>
          <w:p w14:paraId="08F1DA0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预测结果</w:t>
            </w:r>
          </w:p>
        </w:tc>
        <w:tc>
          <w:tcPr>
            <w:tcW w:w="2975" w:type="pct"/>
            <w:gridSpan w:val="18"/>
            <w:tcBorders>
              <w:top w:val="single" w:color="auto" w:sz="4" w:space="0"/>
              <w:left w:val="nil"/>
              <w:bottom w:val="single" w:color="auto" w:sz="4" w:space="0"/>
              <w:right w:val="single" w:color="auto" w:sz="4" w:space="0"/>
            </w:tcBorders>
            <w:noWrap w:val="0"/>
            <w:vAlign w:val="center"/>
          </w:tcPr>
          <w:p w14:paraId="026C0EC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大气毒性终点浓度-1 最大影响范围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m</w:t>
            </w:r>
          </w:p>
        </w:tc>
      </w:tr>
      <w:tr w14:paraId="3AADA0F3">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556FB1F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3CB1084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1093" w:type="pct"/>
            <w:gridSpan w:val="2"/>
            <w:vMerge w:val="continue"/>
            <w:tcBorders>
              <w:top w:val="nil"/>
              <w:left w:val="nil"/>
              <w:bottom w:val="single" w:color="auto" w:sz="4" w:space="0"/>
              <w:right w:val="single" w:color="auto" w:sz="4" w:space="0"/>
            </w:tcBorders>
            <w:noWrap w:val="0"/>
            <w:vAlign w:val="center"/>
          </w:tcPr>
          <w:p w14:paraId="43837D6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75" w:type="pct"/>
            <w:gridSpan w:val="18"/>
            <w:tcBorders>
              <w:top w:val="single" w:color="auto" w:sz="4" w:space="0"/>
              <w:left w:val="nil"/>
              <w:bottom w:val="single" w:color="auto" w:sz="4" w:space="0"/>
              <w:right w:val="single" w:color="auto" w:sz="4" w:space="0"/>
            </w:tcBorders>
            <w:noWrap w:val="0"/>
            <w:vAlign w:val="center"/>
          </w:tcPr>
          <w:p w14:paraId="03F3FB5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大气毒性终点浓度-2 最大影响范围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m</w:t>
            </w:r>
          </w:p>
        </w:tc>
      </w:tr>
      <w:tr w14:paraId="5AF7D17C">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6A762FB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tcBorders>
              <w:top w:val="single" w:color="auto" w:sz="4" w:space="0"/>
              <w:left w:val="nil"/>
              <w:bottom w:val="single" w:color="auto" w:sz="4" w:space="0"/>
              <w:right w:val="single" w:color="auto" w:sz="4" w:space="0"/>
            </w:tcBorders>
            <w:noWrap w:val="0"/>
            <w:vAlign w:val="center"/>
          </w:tcPr>
          <w:p w14:paraId="22BD5D6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w:t>
            </w:r>
          </w:p>
        </w:tc>
        <w:tc>
          <w:tcPr>
            <w:tcW w:w="4069" w:type="pct"/>
            <w:gridSpan w:val="20"/>
            <w:tcBorders>
              <w:top w:val="single" w:color="auto" w:sz="4" w:space="0"/>
              <w:left w:val="nil"/>
              <w:bottom w:val="single" w:color="auto" w:sz="4" w:space="0"/>
              <w:right w:val="single" w:color="auto" w:sz="4" w:space="0"/>
            </w:tcBorders>
            <w:noWrap w:val="0"/>
            <w:vAlign w:val="center"/>
          </w:tcPr>
          <w:p w14:paraId="2B11A5F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最近环境敏感目标</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，到达时间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h</w:t>
            </w:r>
          </w:p>
        </w:tc>
      </w:tr>
      <w:tr w14:paraId="74CC2C3D">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4C5CF3E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restart"/>
            <w:tcBorders>
              <w:top w:val="nil"/>
              <w:left w:val="nil"/>
              <w:bottom w:val="single" w:color="auto" w:sz="4" w:space="0"/>
              <w:right w:val="single" w:color="auto" w:sz="4" w:space="0"/>
            </w:tcBorders>
            <w:noWrap w:val="0"/>
            <w:vAlign w:val="center"/>
          </w:tcPr>
          <w:p w14:paraId="305C08D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w:t>
            </w:r>
          </w:p>
        </w:tc>
        <w:tc>
          <w:tcPr>
            <w:tcW w:w="4069" w:type="pct"/>
            <w:gridSpan w:val="20"/>
            <w:tcBorders>
              <w:top w:val="single" w:color="auto" w:sz="4" w:space="0"/>
              <w:left w:val="nil"/>
              <w:bottom w:val="single" w:color="auto" w:sz="4" w:space="0"/>
              <w:right w:val="single" w:color="auto" w:sz="4" w:space="0"/>
            </w:tcBorders>
            <w:noWrap w:val="0"/>
            <w:vAlign w:val="center"/>
          </w:tcPr>
          <w:p w14:paraId="3427260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下游厂区边界到达时间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d</w:t>
            </w:r>
          </w:p>
        </w:tc>
      </w:tr>
      <w:tr w14:paraId="5A5C63B3">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75F32DB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1C4C483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4069" w:type="pct"/>
            <w:gridSpan w:val="20"/>
            <w:tcBorders>
              <w:top w:val="single" w:color="auto" w:sz="4" w:space="0"/>
              <w:left w:val="nil"/>
              <w:bottom w:val="single" w:color="auto" w:sz="4" w:space="0"/>
              <w:right w:val="single" w:color="auto" w:sz="4" w:space="0"/>
            </w:tcBorders>
            <w:noWrap w:val="0"/>
            <w:vAlign w:val="center"/>
          </w:tcPr>
          <w:p w14:paraId="5C17BB6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最近环境敏感目标</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，到达时间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d</w:t>
            </w:r>
          </w:p>
        </w:tc>
      </w:tr>
      <w:tr w14:paraId="4E468EE6">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1B3267E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重点风险防范措施</w:t>
            </w:r>
          </w:p>
        </w:tc>
        <w:tc>
          <w:tcPr>
            <w:tcW w:w="4069" w:type="pct"/>
            <w:gridSpan w:val="20"/>
            <w:tcBorders>
              <w:top w:val="single" w:color="auto" w:sz="4" w:space="0"/>
              <w:left w:val="nil"/>
              <w:bottom w:val="single" w:color="auto" w:sz="4" w:space="0"/>
              <w:right w:val="single" w:color="auto" w:sz="4" w:space="0"/>
            </w:tcBorders>
            <w:noWrap w:val="0"/>
            <w:vAlign w:val="center"/>
          </w:tcPr>
          <w:p w14:paraId="4EBA5ACF">
            <w:pPr>
              <w:pStyle w:val="462"/>
              <w:keepNext w:val="0"/>
              <w:keepLines w:val="0"/>
              <w:pageBreakBefore w:val="0"/>
              <w:widowControl/>
              <w:kinsoku/>
              <w:wordWrap/>
              <w:overflowPunct/>
              <w:topLinePunct w:val="0"/>
              <w:autoSpaceDE/>
              <w:autoSpaceDN/>
              <w:bidi w:val="0"/>
              <w:adjustRightInd w:val="0"/>
              <w:snapToGrid w:val="0"/>
              <w:spacing w:line="300" w:lineRule="exact"/>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①完善岗位培训上岗制，提高职工安全防范风险的意识；②设置技术措施，制定操作规程；</w:t>
            </w:r>
          </w:p>
          <w:p w14:paraId="67EE953C">
            <w:pPr>
              <w:pStyle w:val="462"/>
              <w:keepNext w:val="0"/>
              <w:keepLines w:val="0"/>
              <w:pageBreakBefore w:val="0"/>
              <w:widowControl/>
              <w:kinsoku/>
              <w:wordWrap/>
              <w:overflowPunct/>
              <w:topLinePunct w:val="0"/>
              <w:autoSpaceDE/>
              <w:autoSpaceDN/>
              <w:bidi w:val="0"/>
              <w:adjustRightInd w:val="0"/>
              <w:snapToGrid w:val="0"/>
              <w:spacing w:line="300" w:lineRule="exact"/>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③定期的巡检制度；④执行防火、防爆、防雷击等各项要求；</w:t>
            </w:r>
          </w:p>
          <w:p w14:paraId="3599A672">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⑤建立健全安全、环境管理体系；⑥编制应急救援预案，定期进行预案演练。</w:t>
            </w:r>
          </w:p>
        </w:tc>
      </w:tr>
      <w:tr w14:paraId="1476947F">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54B3D96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评价结论与建议</w:t>
            </w:r>
          </w:p>
        </w:tc>
        <w:tc>
          <w:tcPr>
            <w:tcW w:w="4069" w:type="pct"/>
            <w:gridSpan w:val="20"/>
            <w:tcBorders>
              <w:top w:val="single" w:color="auto" w:sz="4" w:space="0"/>
              <w:left w:val="nil"/>
              <w:bottom w:val="single" w:color="auto" w:sz="4" w:space="0"/>
              <w:right w:val="single" w:color="auto" w:sz="4" w:space="0"/>
            </w:tcBorders>
            <w:noWrap w:val="0"/>
            <w:vAlign w:val="center"/>
          </w:tcPr>
          <w:p w14:paraId="61483E76">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项目拟采取的风险防范措施基本能满足拟建工程环境风险防范的要求，通过制定并严格执行风险防范措施及应急预案，在日常生产中加强风险管理，发现问题及时处理解决，项目的环境风险能够得到有效控制。</w:t>
            </w:r>
          </w:p>
        </w:tc>
      </w:tr>
      <w:tr w14:paraId="7032972A">
        <w:tblPrEx>
          <w:tblCellMar>
            <w:top w:w="0" w:type="dxa"/>
            <w:left w:w="108" w:type="dxa"/>
            <w:bottom w:w="0" w:type="dxa"/>
            <w:right w:w="108" w:type="dxa"/>
          </w:tblCellMar>
        </w:tblPrEx>
        <w:trPr>
          <w:trHeight w:val="283" w:hRule="atLeast"/>
          <w:jc w:val="center"/>
        </w:trPr>
        <w:tc>
          <w:tcPr>
            <w:tcW w:w="5000" w:type="pct"/>
            <w:gridSpan w:val="22"/>
            <w:tcBorders>
              <w:top w:val="single" w:color="auto" w:sz="4" w:space="0"/>
              <w:left w:val="single" w:color="auto" w:sz="4" w:space="0"/>
              <w:bottom w:val="single" w:color="auto" w:sz="4" w:space="0"/>
              <w:right w:val="single" w:color="auto" w:sz="4" w:space="0"/>
            </w:tcBorders>
            <w:noWrap w:val="0"/>
            <w:vAlign w:val="center"/>
          </w:tcPr>
          <w:p w14:paraId="51E68A3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注：</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为勾选项，</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 xml:space="preserve"> </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为填写项。</w:t>
            </w:r>
          </w:p>
        </w:tc>
      </w:tr>
    </w:tbl>
    <w:p w14:paraId="52E6E844">
      <w:pPr>
        <w:rPr>
          <w:rFonts w:hint="default" w:ascii="Times New Roman" w:hAnsi="Times New Roman" w:eastAsia="宋体" w:cs="Times New Roman"/>
          <w:color w:val="auto"/>
          <w:highlight w:val="none"/>
          <w:lang w:bidi="ar"/>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rtlGutter w:val="0"/>
          <w:docGrid w:type="lines" w:linePitch="332" w:charSpace="0"/>
        </w:sectPr>
      </w:pPr>
    </w:p>
    <w:p w14:paraId="59CA16C9">
      <w:pPr>
        <w:pStyle w:val="4"/>
        <w:bidi w:val="0"/>
        <w:rPr>
          <w:rFonts w:hint="default" w:ascii="Times New Roman" w:hAnsi="Times New Roman" w:eastAsia="宋体" w:cs="Times New Roman"/>
          <w:snapToGrid w:val="0"/>
          <w:color w:val="auto"/>
          <w:highlight w:val="none"/>
          <w:lang w:val="zh-CN"/>
        </w:rPr>
      </w:pPr>
      <w:bookmarkStart w:id="1316" w:name="_Toc30403"/>
      <w:bookmarkStart w:id="1317" w:name="_Toc16274"/>
      <w:bookmarkStart w:id="1318" w:name="_Toc30088"/>
      <w:bookmarkStart w:id="1319" w:name="_Toc22539"/>
      <w:bookmarkStart w:id="1320" w:name="_Toc28400"/>
      <w:bookmarkStart w:id="1321" w:name="_Toc5981"/>
      <w:r>
        <w:rPr>
          <w:rFonts w:hint="default" w:ascii="Times New Roman" w:hAnsi="Times New Roman" w:eastAsia="宋体" w:cs="Times New Roman"/>
          <w:snapToGrid w:val="0"/>
          <w:color w:val="auto"/>
          <w:highlight w:val="none"/>
          <w:lang w:val="zh-CN"/>
        </w:rPr>
        <w:t>附件3</w:t>
      </w:r>
      <w:r>
        <w:rPr>
          <w:rFonts w:hint="default" w:ascii="Times New Roman" w:hAnsi="Times New Roman" w:eastAsia="宋体" w:cs="Times New Roman"/>
          <w:snapToGrid w:val="0"/>
          <w:color w:val="auto"/>
          <w:highlight w:val="none"/>
          <w:lang w:val="en-US"/>
        </w:rPr>
        <w:t xml:space="preserve"> </w:t>
      </w:r>
      <w:r>
        <w:rPr>
          <w:rFonts w:hint="default" w:ascii="Times New Roman" w:hAnsi="Times New Roman" w:eastAsia="宋体" w:cs="Times New Roman"/>
          <w:snapToGrid w:val="0"/>
          <w:color w:val="auto"/>
          <w:highlight w:val="none"/>
          <w:lang w:val="zh-CN"/>
        </w:rPr>
        <w:t>土壤环境影响评价自查表</w:t>
      </w:r>
      <w:bookmarkEnd w:id="1316"/>
      <w:bookmarkEnd w:id="1317"/>
      <w:bookmarkEnd w:id="1318"/>
      <w:bookmarkEnd w:id="1319"/>
      <w:bookmarkEnd w:id="1320"/>
      <w:bookmarkEnd w:id="1321"/>
    </w:p>
    <w:tbl>
      <w:tblPr>
        <w:tblStyle w:val="48"/>
        <w:tblW w:w="5048"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385"/>
        <w:gridCol w:w="1613"/>
        <w:gridCol w:w="1399"/>
        <w:gridCol w:w="396"/>
        <w:gridCol w:w="1003"/>
        <w:gridCol w:w="1242"/>
        <w:gridCol w:w="158"/>
        <w:gridCol w:w="1406"/>
        <w:gridCol w:w="798"/>
      </w:tblGrid>
      <w:tr w14:paraId="333C7C7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8" w:hRule="atLeast"/>
          <w:jc w:val="center"/>
        </w:trPr>
        <w:tc>
          <w:tcPr>
            <w:tcW w:w="1189" w:type="pct"/>
            <w:gridSpan w:val="2"/>
            <w:tcBorders>
              <w:top w:val="single" w:color="000000" w:sz="8" w:space="0"/>
              <w:left w:val="single" w:color="000000" w:sz="8" w:space="0"/>
              <w:bottom w:val="single" w:color="000000" w:sz="8" w:space="0"/>
              <w:right w:val="single" w:color="000000" w:sz="6" w:space="0"/>
            </w:tcBorders>
            <w:noWrap w:val="0"/>
            <w:vAlign w:val="center"/>
          </w:tcPr>
          <w:p w14:paraId="4FB2569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工作内容</w:t>
            </w:r>
          </w:p>
        </w:tc>
        <w:tc>
          <w:tcPr>
            <w:tcW w:w="3336" w:type="pct"/>
            <w:gridSpan w:val="6"/>
            <w:tcBorders>
              <w:top w:val="single" w:color="000000" w:sz="8" w:space="0"/>
              <w:left w:val="nil"/>
              <w:bottom w:val="single" w:color="000000" w:sz="8" w:space="0"/>
              <w:right w:val="single" w:color="000000" w:sz="6" w:space="0"/>
            </w:tcBorders>
            <w:noWrap w:val="0"/>
            <w:vAlign w:val="center"/>
          </w:tcPr>
          <w:p w14:paraId="6858741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完成情况</w:t>
            </w:r>
          </w:p>
        </w:tc>
        <w:tc>
          <w:tcPr>
            <w:tcW w:w="474" w:type="pct"/>
            <w:tcBorders>
              <w:top w:val="single" w:color="000000" w:sz="8" w:space="0"/>
              <w:left w:val="nil"/>
              <w:bottom w:val="single" w:color="000000" w:sz="8" w:space="0"/>
              <w:right w:val="single" w:color="000000" w:sz="8" w:space="0"/>
            </w:tcBorders>
            <w:noWrap w:val="0"/>
            <w:vAlign w:val="center"/>
          </w:tcPr>
          <w:p w14:paraId="66A8875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备注</w:t>
            </w:r>
          </w:p>
        </w:tc>
      </w:tr>
      <w:tr w14:paraId="797380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51C3AF9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影响识别</w:t>
            </w:r>
          </w:p>
        </w:tc>
        <w:tc>
          <w:tcPr>
            <w:tcW w:w="959" w:type="pct"/>
            <w:tcBorders>
              <w:top w:val="single" w:color="000000" w:sz="8" w:space="0"/>
              <w:left w:val="nil"/>
              <w:bottom w:val="single" w:color="000000" w:sz="8" w:space="0"/>
              <w:right w:val="single" w:color="000000" w:sz="6" w:space="0"/>
            </w:tcBorders>
            <w:noWrap w:val="0"/>
            <w:vAlign w:val="center"/>
          </w:tcPr>
          <w:p w14:paraId="6E333CD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影响类型</w:t>
            </w:r>
          </w:p>
        </w:tc>
        <w:tc>
          <w:tcPr>
            <w:tcW w:w="3336" w:type="pct"/>
            <w:gridSpan w:val="6"/>
            <w:tcBorders>
              <w:top w:val="single" w:color="000000" w:sz="8" w:space="0"/>
              <w:left w:val="nil"/>
              <w:bottom w:val="single" w:color="000000" w:sz="8" w:space="0"/>
              <w:right w:val="single" w:color="000000" w:sz="6" w:space="0"/>
            </w:tcBorders>
            <w:noWrap w:val="0"/>
            <w:vAlign w:val="center"/>
          </w:tcPr>
          <w:p w14:paraId="08DD243F">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污染影响型</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；生态影响型□；两种兼有□</w:t>
            </w:r>
          </w:p>
        </w:tc>
        <w:tc>
          <w:tcPr>
            <w:tcW w:w="474" w:type="pct"/>
            <w:tcBorders>
              <w:top w:val="single" w:color="000000" w:sz="8" w:space="0"/>
              <w:left w:val="nil"/>
              <w:bottom w:val="single" w:color="000000" w:sz="8" w:space="0"/>
              <w:right w:val="single" w:color="000000" w:sz="8" w:space="0"/>
            </w:tcBorders>
            <w:noWrap w:val="0"/>
            <w:vAlign w:val="center"/>
          </w:tcPr>
          <w:p w14:paraId="31F9DF7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42FAAB9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6308555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8" w:space="0"/>
              <w:left w:val="nil"/>
              <w:bottom w:val="single" w:color="000000" w:sz="4" w:space="0"/>
              <w:right w:val="single" w:color="000000" w:sz="6" w:space="0"/>
            </w:tcBorders>
            <w:noWrap w:val="0"/>
            <w:vAlign w:val="center"/>
          </w:tcPr>
          <w:p w14:paraId="752BEAF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土地利用类型</w:t>
            </w:r>
          </w:p>
        </w:tc>
        <w:tc>
          <w:tcPr>
            <w:tcW w:w="3336" w:type="pct"/>
            <w:gridSpan w:val="6"/>
            <w:tcBorders>
              <w:top w:val="single" w:color="000000" w:sz="8" w:space="0"/>
              <w:left w:val="nil"/>
              <w:bottom w:val="single" w:color="000000" w:sz="6" w:space="0"/>
              <w:right w:val="single" w:color="000000" w:sz="6" w:space="0"/>
            </w:tcBorders>
            <w:noWrap w:val="0"/>
            <w:vAlign w:val="center"/>
          </w:tcPr>
          <w:p w14:paraId="465984EE">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建设用地</w:t>
            </w:r>
            <w:r>
              <w:rPr>
                <w:rFonts w:hint="default" w:ascii="Times New Roman" w:hAnsi="Times New Roman" w:eastAsia="宋体" w:cs="Times New Roman"/>
                <w:color w:val="auto"/>
                <w:kern w:val="0"/>
                <w:sz w:val="21"/>
                <w:szCs w:val="21"/>
                <w:highlight w:val="none"/>
                <w:lang w:val="en-US" w:eastAsia="en-US" w:bidi="ar-SA"/>
              </w:rPr>
              <w:sym w:font="Wingdings 2" w:char="00A3"/>
            </w:r>
            <w:r>
              <w:rPr>
                <w:rFonts w:hint="default" w:ascii="Times New Roman" w:hAnsi="Times New Roman" w:eastAsia="宋体" w:cs="Times New Roman"/>
                <w:color w:val="auto"/>
                <w:kern w:val="0"/>
                <w:sz w:val="21"/>
                <w:szCs w:val="21"/>
                <w:highlight w:val="none"/>
                <w:lang w:val="en-US" w:eastAsia="en-US" w:bidi="ar-SA"/>
              </w:rPr>
              <w:t>；农用地</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；未利用地□</w:t>
            </w:r>
          </w:p>
        </w:tc>
        <w:tc>
          <w:tcPr>
            <w:tcW w:w="474" w:type="pct"/>
            <w:tcBorders>
              <w:top w:val="single" w:color="000000" w:sz="8" w:space="0"/>
              <w:left w:val="nil"/>
              <w:bottom w:val="single" w:color="000000" w:sz="4" w:space="0"/>
              <w:right w:val="single" w:color="000000" w:sz="8" w:space="0"/>
            </w:tcBorders>
            <w:noWrap w:val="0"/>
            <w:vAlign w:val="center"/>
          </w:tcPr>
          <w:p w14:paraId="4032295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5BF4E35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1"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7645135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4" w:space="0"/>
              <w:left w:val="nil"/>
              <w:bottom w:val="single" w:color="000000" w:sz="6" w:space="0"/>
              <w:right w:val="single" w:color="000000" w:sz="6" w:space="0"/>
            </w:tcBorders>
            <w:noWrap w:val="0"/>
            <w:vAlign w:val="center"/>
          </w:tcPr>
          <w:p w14:paraId="42211C9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占地规模</w:t>
            </w:r>
          </w:p>
        </w:tc>
        <w:tc>
          <w:tcPr>
            <w:tcW w:w="3336" w:type="pct"/>
            <w:gridSpan w:val="6"/>
            <w:tcBorders>
              <w:top w:val="single" w:color="000000" w:sz="6" w:space="0"/>
              <w:left w:val="nil"/>
              <w:bottom w:val="single" w:color="000000" w:sz="6" w:space="0"/>
              <w:right w:val="single" w:color="000000" w:sz="6" w:space="0"/>
            </w:tcBorders>
            <w:noWrap w:val="0"/>
            <w:vAlign w:val="center"/>
          </w:tcPr>
          <w:p w14:paraId="4E85E32C">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w:t>
            </w:r>
            <w:r>
              <w:rPr>
                <w:rFonts w:hint="eastAsia" w:ascii="Times New Roman" w:hAnsi="Times New Roman" w:eastAsia="宋体" w:cs="Times New Roman"/>
                <w:color w:val="auto"/>
                <w:kern w:val="0"/>
                <w:sz w:val="21"/>
                <w:szCs w:val="21"/>
                <w:highlight w:val="none"/>
                <w:lang w:val="en-US" w:eastAsia="zh-CN" w:bidi="ar-SA"/>
              </w:rPr>
              <w:t>2.7</w:t>
            </w:r>
            <w:r>
              <w:rPr>
                <w:rFonts w:hint="default" w:ascii="Times New Roman" w:hAnsi="Times New Roman" w:eastAsia="宋体" w:cs="Times New Roman"/>
                <w:color w:val="auto"/>
                <w:kern w:val="0"/>
                <w:sz w:val="21"/>
                <w:szCs w:val="21"/>
                <w:highlight w:val="none"/>
                <w:lang w:val="en-US" w:eastAsia="en-US" w:bidi="ar-SA"/>
              </w:rPr>
              <w:t>）hm</w:t>
            </w:r>
            <w:r>
              <w:rPr>
                <w:rFonts w:hint="default" w:ascii="Times New Roman" w:hAnsi="Times New Roman" w:eastAsia="宋体" w:cs="Times New Roman"/>
                <w:color w:val="auto"/>
                <w:kern w:val="0"/>
                <w:sz w:val="21"/>
                <w:szCs w:val="21"/>
                <w:highlight w:val="none"/>
                <w:vertAlign w:val="superscript"/>
                <w:lang w:val="en-US" w:eastAsia="en-US" w:bidi="ar-SA"/>
              </w:rPr>
              <w:t>2</w:t>
            </w:r>
          </w:p>
        </w:tc>
        <w:tc>
          <w:tcPr>
            <w:tcW w:w="474" w:type="pct"/>
            <w:tcBorders>
              <w:top w:val="single" w:color="000000" w:sz="4" w:space="0"/>
              <w:left w:val="nil"/>
              <w:bottom w:val="single" w:color="000000" w:sz="6" w:space="0"/>
              <w:right w:val="single" w:color="000000" w:sz="8" w:space="0"/>
            </w:tcBorders>
            <w:noWrap w:val="0"/>
            <w:vAlign w:val="center"/>
          </w:tcPr>
          <w:p w14:paraId="791D782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60C862E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4477220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19999E4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敏感目标信息</w:t>
            </w:r>
          </w:p>
        </w:tc>
        <w:tc>
          <w:tcPr>
            <w:tcW w:w="3336" w:type="pct"/>
            <w:gridSpan w:val="6"/>
            <w:tcBorders>
              <w:top w:val="single" w:color="000000" w:sz="6" w:space="0"/>
              <w:left w:val="nil"/>
              <w:bottom w:val="single" w:color="000000" w:sz="6" w:space="0"/>
              <w:right w:val="single" w:color="000000" w:sz="6" w:space="0"/>
            </w:tcBorders>
            <w:noWrap w:val="0"/>
            <w:vAlign w:val="center"/>
          </w:tcPr>
          <w:p w14:paraId="38EA0A42">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敏感目标（</w:t>
            </w:r>
            <w:r>
              <w:rPr>
                <w:rFonts w:hint="default" w:ascii="Times New Roman" w:hAnsi="Times New Roman" w:eastAsia="宋体" w:cs="Times New Roman"/>
                <w:color w:val="auto"/>
                <w:kern w:val="0"/>
                <w:sz w:val="21"/>
                <w:szCs w:val="21"/>
                <w:highlight w:val="none"/>
                <w:lang w:val="en-US" w:eastAsia="zh-CN" w:bidi="ar-SA"/>
              </w:rPr>
              <w:t xml:space="preserve"> </w:t>
            </w:r>
            <w:r>
              <w:rPr>
                <w:rFonts w:hint="default" w:ascii="Times New Roman" w:hAnsi="Times New Roman" w:eastAsia="宋体" w:cs="Times New Roman"/>
                <w:color w:val="auto"/>
                <w:kern w:val="0"/>
                <w:sz w:val="21"/>
                <w:szCs w:val="21"/>
                <w:highlight w:val="none"/>
                <w:lang w:val="en-US" w:eastAsia="en-US" w:bidi="ar-SA"/>
              </w:rPr>
              <w:t>）、方位（</w:t>
            </w:r>
            <w:r>
              <w:rPr>
                <w:rFonts w:hint="default" w:ascii="Times New Roman" w:hAnsi="Times New Roman" w:eastAsia="宋体" w:cs="Times New Roman"/>
                <w:color w:val="auto"/>
                <w:kern w:val="0"/>
                <w:sz w:val="21"/>
                <w:szCs w:val="21"/>
                <w:highlight w:val="none"/>
                <w:lang w:val="en-US" w:eastAsia="zh-CN" w:bidi="ar-SA"/>
              </w:rPr>
              <w:t xml:space="preserve"> </w:t>
            </w:r>
            <w:r>
              <w:rPr>
                <w:rFonts w:hint="default" w:ascii="Times New Roman" w:hAnsi="Times New Roman" w:eastAsia="宋体" w:cs="Times New Roman"/>
                <w:color w:val="auto"/>
                <w:kern w:val="0"/>
                <w:sz w:val="21"/>
                <w:szCs w:val="21"/>
                <w:highlight w:val="none"/>
                <w:lang w:val="en-US" w:eastAsia="en-US" w:bidi="ar-SA"/>
              </w:rPr>
              <w:t>）、距离（</w:t>
            </w:r>
            <w:r>
              <w:rPr>
                <w:rFonts w:hint="default" w:ascii="Times New Roman" w:hAnsi="Times New Roman" w:eastAsia="宋体" w:cs="Times New Roman"/>
                <w:color w:val="auto"/>
                <w:kern w:val="0"/>
                <w:sz w:val="21"/>
                <w:szCs w:val="21"/>
                <w:highlight w:val="none"/>
                <w:lang w:val="en-US" w:eastAsia="zh-CN" w:bidi="ar-SA"/>
              </w:rPr>
              <w:t xml:space="preserve"> </w:t>
            </w:r>
            <w:r>
              <w:rPr>
                <w:rFonts w:hint="default" w:ascii="Times New Roman" w:hAnsi="Times New Roman" w:eastAsia="宋体" w:cs="Times New Roman"/>
                <w:color w:val="auto"/>
                <w:kern w:val="0"/>
                <w:sz w:val="21"/>
                <w:szCs w:val="21"/>
                <w:highlight w:val="none"/>
                <w:lang w:val="en-US" w:eastAsia="en-US" w:bidi="ar-SA"/>
              </w:rPr>
              <w:t>）</w:t>
            </w:r>
          </w:p>
        </w:tc>
        <w:tc>
          <w:tcPr>
            <w:tcW w:w="474" w:type="pct"/>
            <w:tcBorders>
              <w:top w:val="single" w:color="000000" w:sz="6" w:space="0"/>
              <w:left w:val="nil"/>
              <w:bottom w:val="single" w:color="000000" w:sz="6" w:space="0"/>
              <w:right w:val="single" w:color="000000" w:sz="8" w:space="0"/>
            </w:tcBorders>
            <w:noWrap w:val="0"/>
            <w:vAlign w:val="center"/>
          </w:tcPr>
          <w:p w14:paraId="2B542DF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00A066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2553FFB6">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46B4CDD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影响途径</w:t>
            </w:r>
          </w:p>
        </w:tc>
        <w:tc>
          <w:tcPr>
            <w:tcW w:w="3336" w:type="pct"/>
            <w:gridSpan w:val="6"/>
            <w:tcBorders>
              <w:top w:val="single" w:color="000000" w:sz="6" w:space="0"/>
              <w:left w:val="nil"/>
              <w:bottom w:val="single" w:color="000000" w:sz="6" w:space="0"/>
              <w:right w:val="single" w:color="000000" w:sz="6" w:space="0"/>
            </w:tcBorders>
            <w:noWrap w:val="0"/>
            <w:vAlign w:val="center"/>
          </w:tcPr>
          <w:p w14:paraId="037DA2CE">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大气沉降□；地面漫流</w:t>
            </w:r>
            <w:r>
              <w:rPr>
                <w:rFonts w:hint="default" w:ascii="Times New Roman" w:hAnsi="Times New Roman" w:eastAsia="宋体" w:cs="Times New Roman"/>
                <w:color w:val="auto"/>
                <w:kern w:val="0"/>
                <w:sz w:val="21"/>
                <w:szCs w:val="21"/>
                <w:highlight w:val="none"/>
                <w:lang w:val="en-US" w:eastAsia="en-US" w:bidi="ar-SA"/>
              </w:rPr>
              <w:sym w:font="Wingdings 2" w:char="00A3"/>
            </w:r>
            <w:r>
              <w:rPr>
                <w:rFonts w:hint="default" w:ascii="Times New Roman" w:hAnsi="Times New Roman" w:eastAsia="宋体" w:cs="Times New Roman"/>
                <w:color w:val="auto"/>
                <w:kern w:val="0"/>
                <w:sz w:val="21"/>
                <w:szCs w:val="21"/>
                <w:highlight w:val="none"/>
                <w:lang w:val="en-US" w:eastAsia="en-US" w:bidi="ar-SA"/>
              </w:rPr>
              <w:t>；垂直入渗</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；地下水位□；其他（）</w:t>
            </w:r>
          </w:p>
        </w:tc>
        <w:tc>
          <w:tcPr>
            <w:tcW w:w="474" w:type="pct"/>
            <w:tcBorders>
              <w:top w:val="single" w:color="000000" w:sz="6" w:space="0"/>
              <w:left w:val="nil"/>
              <w:bottom w:val="single" w:color="000000" w:sz="6" w:space="0"/>
              <w:right w:val="single" w:color="000000" w:sz="8" w:space="0"/>
            </w:tcBorders>
            <w:noWrap w:val="0"/>
            <w:vAlign w:val="center"/>
          </w:tcPr>
          <w:p w14:paraId="0DB87338">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1E106D9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6"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7C30594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26EAD30E">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全部污染物</w:t>
            </w:r>
          </w:p>
        </w:tc>
        <w:tc>
          <w:tcPr>
            <w:tcW w:w="3336" w:type="pct"/>
            <w:gridSpan w:val="6"/>
            <w:tcBorders>
              <w:top w:val="single" w:color="000000" w:sz="6" w:space="0"/>
              <w:left w:val="nil"/>
              <w:bottom w:val="single" w:color="000000" w:sz="6" w:space="0"/>
              <w:right w:val="single" w:color="000000" w:sz="6" w:space="0"/>
            </w:tcBorders>
            <w:noWrap w:val="0"/>
            <w:vAlign w:val="center"/>
          </w:tcPr>
          <w:p w14:paraId="3890D63A">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p>
        </w:tc>
        <w:tc>
          <w:tcPr>
            <w:tcW w:w="474" w:type="pct"/>
            <w:tcBorders>
              <w:top w:val="single" w:color="000000" w:sz="6" w:space="0"/>
              <w:left w:val="nil"/>
              <w:bottom w:val="single" w:color="000000" w:sz="6" w:space="0"/>
              <w:right w:val="single" w:color="000000" w:sz="8" w:space="0"/>
            </w:tcBorders>
            <w:noWrap w:val="0"/>
            <w:vAlign w:val="center"/>
          </w:tcPr>
          <w:p w14:paraId="694BEF5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1566E90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4"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32E380B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165DFD5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特征因子</w:t>
            </w:r>
          </w:p>
        </w:tc>
        <w:tc>
          <w:tcPr>
            <w:tcW w:w="3336" w:type="pct"/>
            <w:gridSpan w:val="6"/>
            <w:tcBorders>
              <w:top w:val="single" w:color="000000" w:sz="6" w:space="0"/>
              <w:left w:val="nil"/>
              <w:bottom w:val="single" w:color="000000" w:sz="6" w:space="0"/>
              <w:right w:val="single" w:color="000000" w:sz="6" w:space="0"/>
            </w:tcBorders>
            <w:noWrap w:val="0"/>
            <w:vAlign w:val="center"/>
          </w:tcPr>
          <w:p w14:paraId="2DC96438">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p>
        </w:tc>
        <w:tc>
          <w:tcPr>
            <w:tcW w:w="474" w:type="pct"/>
            <w:tcBorders>
              <w:top w:val="single" w:color="000000" w:sz="6" w:space="0"/>
              <w:left w:val="nil"/>
              <w:bottom w:val="single" w:color="000000" w:sz="6" w:space="0"/>
              <w:right w:val="single" w:color="000000" w:sz="8" w:space="0"/>
            </w:tcBorders>
            <w:noWrap w:val="0"/>
            <w:vAlign w:val="center"/>
          </w:tcPr>
          <w:p w14:paraId="2B4E593E">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718D3C6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5120A5BE">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6853BF9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所属土壤环境影响评价项目类别</w:t>
            </w:r>
          </w:p>
        </w:tc>
        <w:tc>
          <w:tcPr>
            <w:tcW w:w="3336" w:type="pct"/>
            <w:gridSpan w:val="6"/>
            <w:tcBorders>
              <w:top w:val="single" w:color="000000" w:sz="6" w:space="0"/>
              <w:left w:val="nil"/>
              <w:bottom w:val="single" w:color="000000" w:sz="6" w:space="0"/>
              <w:right w:val="single" w:color="000000" w:sz="6" w:space="0"/>
            </w:tcBorders>
            <w:noWrap w:val="0"/>
            <w:vAlign w:val="center"/>
          </w:tcPr>
          <w:p w14:paraId="7ADBA8B0">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Ⅰ类□；Ⅱ类□；Ⅲ类</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；Ⅳ类□</w:t>
            </w:r>
          </w:p>
        </w:tc>
        <w:tc>
          <w:tcPr>
            <w:tcW w:w="474" w:type="pct"/>
            <w:tcBorders>
              <w:top w:val="single" w:color="000000" w:sz="6" w:space="0"/>
              <w:left w:val="nil"/>
              <w:bottom w:val="single" w:color="000000" w:sz="6" w:space="0"/>
              <w:right w:val="single" w:color="000000" w:sz="8" w:space="0"/>
            </w:tcBorders>
            <w:noWrap w:val="0"/>
            <w:vAlign w:val="center"/>
          </w:tcPr>
          <w:p w14:paraId="68F0038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7245BAC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7587BE41">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0828B808">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敏感程度</w:t>
            </w:r>
          </w:p>
        </w:tc>
        <w:tc>
          <w:tcPr>
            <w:tcW w:w="3336" w:type="pct"/>
            <w:gridSpan w:val="6"/>
            <w:tcBorders>
              <w:top w:val="single" w:color="000000" w:sz="6" w:space="0"/>
              <w:left w:val="nil"/>
              <w:bottom w:val="single" w:color="000000" w:sz="6" w:space="0"/>
              <w:right w:val="single" w:color="000000" w:sz="6" w:space="0"/>
            </w:tcBorders>
            <w:noWrap w:val="0"/>
            <w:vAlign w:val="center"/>
          </w:tcPr>
          <w:p w14:paraId="09569B5E">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敏感</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；较敏感</w:t>
            </w:r>
            <w:r>
              <w:rPr>
                <w:rFonts w:hint="default" w:ascii="Times New Roman" w:hAnsi="Times New Roman" w:eastAsia="宋体" w:cs="Times New Roman"/>
                <w:color w:val="auto"/>
                <w:kern w:val="0"/>
                <w:sz w:val="21"/>
                <w:szCs w:val="21"/>
                <w:highlight w:val="none"/>
                <w:lang w:val="en-US" w:eastAsia="en-US" w:bidi="ar-SA"/>
              </w:rPr>
              <w:sym w:font="Wingdings 2" w:char="00A3"/>
            </w:r>
            <w:r>
              <w:rPr>
                <w:rFonts w:hint="default" w:ascii="Times New Roman" w:hAnsi="Times New Roman" w:eastAsia="宋体" w:cs="Times New Roman"/>
                <w:color w:val="auto"/>
                <w:kern w:val="0"/>
                <w:sz w:val="21"/>
                <w:szCs w:val="21"/>
                <w:highlight w:val="none"/>
                <w:lang w:val="en-US" w:eastAsia="en-US" w:bidi="ar-SA"/>
              </w:rPr>
              <w:t>；不敏感□</w:t>
            </w:r>
          </w:p>
        </w:tc>
        <w:tc>
          <w:tcPr>
            <w:tcW w:w="474" w:type="pct"/>
            <w:tcBorders>
              <w:top w:val="single" w:color="000000" w:sz="6" w:space="0"/>
              <w:left w:val="nil"/>
              <w:bottom w:val="single" w:color="000000" w:sz="6" w:space="0"/>
              <w:right w:val="single" w:color="000000" w:sz="8" w:space="0"/>
            </w:tcBorders>
            <w:noWrap w:val="0"/>
            <w:vAlign w:val="center"/>
          </w:tcPr>
          <w:p w14:paraId="510FB3C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06842FB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1189" w:type="pct"/>
            <w:gridSpan w:val="2"/>
            <w:tcBorders>
              <w:top w:val="single" w:color="000000" w:sz="6" w:space="0"/>
              <w:left w:val="single" w:color="000000" w:sz="8" w:space="0"/>
              <w:bottom w:val="single" w:color="000000" w:sz="6" w:space="0"/>
              <w:right w:val="single" w:color="000000" w:sz="6" w:space="0"/>
            </w:tcBorders>
            <w:noWrap w:val="0"/>
            <w:vAlign w:val="center"/>
          </w:tcPr>
          <w:p w14:paraId="5F6B739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评价工作等级</w:t>
            </w:r>
          </w:p>
        </w:tc>
        <w:tc>
          <w:tcPr>
            <w:tcW w:w="3336" w:type="pct"/>
            <w:gridSpan w:val="6"/>
            <w:tcBorders>
              <w:top w:val="single" w:color="000000" w:sz="6" w:space="0"/>
              <w:left w:val="nil"/>
              <w:bottom w:val="single" w:color="000000" w:sz="6" w:space="0"/>
              <w:right w:val="single" w:color="000000" w:sz="6" w:space="0"/>
            </w:tcBorders>
            <w:noWrap w:val="0"/>
            <w:vAlign w:val="center"/>
          </w:tcPr>
          <w:p w14:paraId="0A848E60">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一级□；二级□；三级√</w:t>
            </w:r>
          </w:p>
        </w:tc>
        <w:tc>
          <w:tcPr>
            <w:tcW w:w="474" w:type="pct"/>
            <w:tcBorders>
              <w:top w:val="single" w:color="000000" w:sz="6" w:space="0"/>
              <w:left w:val="nil"/>
              <w:bottom w:val="single" w:color="000000" w:sz="6" w:space="0"/>
              <w:right w:val="single" w:color="000000" w:sz="8" w:space="0"/>
            </w:tcBorders>
            <w:noWrap w:val="0"/>
            <w:vAlign w:val="center"/>
          </w:tcPr>
          <w:p w14:paraId="37064A0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3440009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630C382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现状调查内容</w:t>
            </w:r>
          </w:p>
        </w:tc>
        <w:tc>
          <w:tcPr>
            <w:tcW w:w="959" w:type="pct"/>
            <w:tcBorders>
              <w:top w:val="single" w:color="000000" w:sz="6" w:space="0"/>
              <w:left w:val="nil"/>
              <w:bottom w:val="single" w:color="000000" w:sz="6" w:space="0"/>
              <w:right w:val="single" w:color="000000" w:sz="6" w:space="0"/>
            </w:tcBorders>
            <w:noWrap w:val="0"/>
            <w:vAlign w:val="center"/>
          </w:tcPr>
          <w:p w14:paraId="7242CB4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资料收集</w:t>
            </w:r>
          </w:p>
        </w:tc>
        <w:tc>
          <w:tcPr>
            <w:tcW w:w="3336" w:type="pct"/>
            <w:gridSpan w:val="6"/>
            <w:tcBorders>
              <w:top w:val="single" w:color="000000" w:sz="6" w:space="0"/>
              <w:left w:val="nil"/>
              <w:bottom w:val="single" w:color="000000" w:sz="6" w:space="0"/>
              <w:right w:val="single" w:color="000000" w:sz="6" w:space="0"/>
            </w:tcBorders>
            <w:noWrap w:val="0"/>
            <w:vAlign w:val="center"/>
          </w:tcPr>
          <w:p w14:paraId="17BBB7BC">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a）□；b）</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；c）</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；d）</w:t>
            </w:r>
            <w:r>
              <w:rPr>
                <w:rFonts w:hint="default" w:ascii="Times New Roman" w:hAnsi="Times New Roman" w:eastAsia="宋体" w:cs="Times New Roman"/>
                <w:color w:val="auto"/>
                <w:kern w:val="0"/>
                <w:sz w:val="21"/>
                <w:szCs w:val="21"/>
                <w:highlight w:val="none"/>
                <w:lang w:val="en-US" w:eastAsia="en-US" w:bidi="ar-SA"/>
              </w:rPr>
              <w:sym w:font="Wingdings 2" w:char="0052"/>
            </w:r>
          </w:p>
        </w:tc>
        <w:tc>
          <w:tcPr>
            <w:tcW w:w="474" w:type="pct"/>
            <w:tcBorders>
              <w:top w:val="single" w:color="000000" w:sz="6" w:space="0"/>
              <w:left w:val="nil"/>
              <w:bottom w:val="single" w:color="000000" w:sz="6" w:space="0"/>
              <w:right w:val="single" w:color="000000" w:sz="8" w:space="0"/>
            </w:tcBorders>
            <w:noWrap w:val="0"/>
            <w:vAlign w:val="center"/>
          </w:tcPr>
          <w:p w14:paraId="326D5D7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3A0F85F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7"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0C47206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249BCF6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理化特性</w:t>
            </w:r>
          </w:p>
        </w:tc>
        <w:tc>
          <w:tcPr>
            <w:tcW w:w="3336" w:type="pct"/>
            <w:gridSpan w:val="6"/>
            <w:tcBorders>
              <w:top w:val="single" w:color="000000" w:sz="6" w:space="0"/>
              <w:left w:val="nil"/>
              <w:bottom w:val="single" w:color="000000" w:sz="6" w:space="0"/>
              <w:right w:val="single" w:color="000000" w:sz="6" w:space="0"/>
            </w:tcBorders>
            <w:noWrap w:val="0"/>
            <w:vAlign w:val="center"/>
          </w:tcPr>
          <w:p w14:paraId="675C0D18">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zh-CN" w:bidi="ar-SA"/>
              </w:rPr>
              <w:t>颜色、结构、质地、砂砾含量、其他异物、pH值、阳离子交换量、土壤容重</w:t>
            </w:r>
          </w:p>
        </w:tc>
        <w:tc>
          <w:tcPr>
            <w:tcW w:w="474" w:type="pct"/>
            <w:tcBorders>
              <w:top w:val="single" w:color="000000" w:sz="6" w:space="0"/>
              <w:left w:val="nil"/>
              <w:bottom w:val="single" w:color="000000" w:sz="6" w:space="0"/>
              <w:right w:val="single" w:color="000000" w:sz="8" w:space="0"/>
            </w:tcBorders>
            <w:noWrap w:val="0"/>
            <w:vAlign w:val="center"/>
          </w:tcPr>
          <w:p w14:paraId="184C740D">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5D0B219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9"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4C819C7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restart"/>
            <w:tcBorders>
              <w:top w:val="nil"/>
              <w:left w:val="nil"/>
              <w:bottom w:val="single" w:color="000000" w:sz="6" w:space="0"/>
              <w:right w:val="single" w:color="000000" w:sz="6" w:space="0"/>
            </w:tcBorders>
            <w:noWrap w:val="0"/>
            <w:vAlign w:val="center"/>
          </w:tcPr>
          <w:p w14:paraId="1C9A164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现状监测点位</w:t>
            </w:r>
          </w:p>
        </w:tc>
        <w:tc>
          <w:tcPr>
            <w:tcW w:w="833" w:type="pct"/>
            <w:tcBorders>
              <w:top w:val="single" w:color="000000" w:sz="6" w:space="0"/>
              <w:left w:val="nil"/>
              <w:bottom w:val="single" w:color="000000" w:sz="4" w:space="0"/>
              <w:right w:val="single" w:color="000000" w:sz="4" w:space="0"/>
            </w:tcBorders>
            <w:noWrap w:val="0"/>
            <w:vAlign w:val="center"/>
          </w:tcPr>
          <w:p w14:paraId="1F8A01C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c>
          <w:tcPr>
            <w:tcW w:w="833" w:type="pct"/>
            <w:gridSpan w:val="2"/>
            <w:tcBorders>
              <w:top w:val="single" w:color="000000" w:sz="6" w:space="0"/>
              <w:left w:val="nil"/>
              <w:bottom w:val="single" w:color="000000" w:sz="4" w:space="0"/>
              <w:right w:val="single" w:color="000000" w:sz="4" w:space="0"/>
            </w:tcBorders>
            <w:noWrap w:val="0"/>
            <w:vAlign w:val="center"/>
          </w:tcPr>
          <w:p w14:paraId="715E38E6">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占地范围内</w:t>
            </w:r>
          </w:p>
        </w:tc>
        <w:tc>
          <w:tcPr>
            <w:tcW w:w="833" w:type="pct"/>
            <w:gridSpan w:val="2"/>
            <w:tcBorders>
              <w:top w:val="single" w:color="000000" w:sz="6" w:space="0"/>
              <w:left w:val="nil"/>
              <w:bottom w:val="single" w:color="000000" w:sz="4" w:space="0"/>
              <w:right w:val="single" w:color="000000" w:sz="4" w:space="0"/>
            </w:tcBorders>
            <w:noWrap w:val="0"/>
            <w:vAlign w:val="center"/>
          </w:tcPr>
          <w:p w14:paraId="2BF861D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占地范围外</w:t>
            </w:r>
          </w:p>
        </w:tc>
        <w:tc>
          <w:tcPr>
            <w:tcW w:w="834" w:type="pct"/>
            <w:tcBorders>
              <w:top w:val="single" w:color="000000" w:sz="6" w:space="0"/>
              <w:left w:val="nil"/>
              <w:bottom w:val="single" w:color="000000" w:sz="4" w:space="0"/>
              <w:right w:val="single" w:color="000000" w:sz="6" w:space="0"/>
            </w:tcBorders>
            <w:noWrap w:val="0"/>
            <w:vAlign w:val="center"/>
          </w:tcPr>
          <w:p w14:paraId="386B336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深度</w:t>
            </w:r>
          </w:p>
        </w:tc>
        <w:tc>
          <w:tcPr>
            <w:tcW w:w="474" w:type="pct"/>
            <w:vMerge w:val="restart"/>
            <w:tcBorders>
              <w:top w:val="single" w:color="000000" w:sz="6" w:space="0"/>
              <w:left w:val="nil"/>
              <w:bottom w:val="single" w:color="000000" w:sz="6" w:space="0"/>
              <w:right w:val="single" w:color="000000" w:sz="8" w:space="0"/>
            </w:tcBorders>
            <w:noWrap w:val="0"/>
            <w:vAlign w:val="center"/>
          </w:tcPr>
          <w:p w14:paraId="5E687451">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66EEEA0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55B00E8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continue"/>
            <w:tcBorders>
              <w:top w:val="nil"/>
              <w:left w:val="nil"/>
              <w:bottom w:val="single" w:color="000000" w:sz="6" w:space="0"/>
              <w:right w:val="single" w:color="000000" w:sz="6" w:space="0"/>
            </w:tcBorders>
            <w:noWrap w:val="0"/>
            <w:vAlign w:val="center"/>
          </w:tcPr>
          <w:p w14:paraId="5029F34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000000" w:sz="4" w:space="0"/>
              <w:left w:val="nil"/>
              <w:bottom w:val="single" w:color="000000" w:sz="4" w:space="0"/>
              <w:right w:val="single" w:color="000000" w:sz="4" w:space="0"/>
            </w:tcBorders>
            <w:noWrap w:val="0"/>
            <w:vAlign w:val="center"/>
          </w:tcPr>
          <w:p w14:paraId="407FF14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表层样点数</w:t>
            </w:r>
          </w:p>
        </w:tc>
        <w:tc>
          <w:tcPr>
            <w:tcW w:w="833" w:type="pct"/>
            <w:gridSpan w:val="2"/>
            <w:tcBorders>
              <w:top w:val="single" w:color="000000" w:sz="4" w:space="0"/>
              <w:left w:val="nil"/>
              <w:bottom w:val="single" w:color="000000" w:sz="4" w:space="0"/>
              <w:right w:val="single" w:color="000000" w:sz="4" w:space="0"/>
            </w:tcBorders>
            <w:noWrap w:val="0"/>
            <w:vAlign w:val="center"/>
          </w:tcPr>
          <w:p w14:paraId="5659E2B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p>
        </w:tc>
        <w:tc>
          <w:tcPr>
            <w:tcW w:w="833" w:type="pct"/>
            <w:gridSpan w:val="2"/>
            <w:tcBorders>
              <w:top w:val="single" w:color="000000" w:sz="4" w:space="0"/>
              <w:left w:val="nil"/>
              <w:bottom w:val="single" w:color="000000" w:sz="4" w:space="0"/>
              <w:right w:val="single" w:color="000000" w:sz="4" w:space="0"/>
            </w:tcBorders>
            <w:noWrap w:val="0"/>
            <w:vAlign w:val="center"/>
          </w:tcPr>
          <w:p w14:paraId="6FE77DB8">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w:t>
            </w:r>
          </w:p>
        </w:tc>
        <w:tc>
          <w:tcPr>
            <w:tcW w:w="834" w:type="pct"/>
            <w:tcBorders>
              <w:top w:val="single" w:color="000000" w:sz="4" w:space="0"/>
              <w:left w:val="nil"/>
              <w:bottom w:val="single" w:color="000000" w:sz="4" w:space="0"/>
              <w:right w:val="single" w:color="000000" w:sz="6" w:space="0"/>
            </w:tcBorders>
            <w:noWrap w:val="0"/>
            <w:vAlign w:val="center"/>
          </w:tcPr>
          <w:p w14:paraId="5471DDF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bCs/>
                <w:color w:val="auto"/>
                <w:kern w:val="0"/>
                <w:sz w:val="21"/>
                <w:szCs w:val="21"/>
                <w:highlight w:val="none"/>
                <w:lang w:val="en-US" w:eastAsia="en-US" w:bidi="ar-SA"/>
              </w:rPr>
              <w:t>0~0.2m</w:t>
            </w:r>
          </w:p>
        </w:tc>
        <w:tc>
          <w:tcPr>
            <w:tcW w:w="474" w:type="pct"/>
            <w:vMerge w:val="continue"/>
            <w:tcBorders>
              <w:top w:val="single" w:color="000000" w:sz="6" w:space="0"/>
              <w:left w:val="nil"/>
              <w:bottom w:val="single" w:color="000000" w:sz="6" w:space="0"/>
              <w:right w:val="single" w:color="000000" w:sz="8" w:space="0"/>
            </w:tcBorders>
            <w:noWrap w:val="0"/>
            <w:vAlign w:val="center"/>
          </w:tcPr>
          <w:p w14:paraId="4C90B33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r>
      <w:tr w14:paraId="56DEAB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20B4A63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continue"/>
            <w:tcBorders>
              <w:top w:val="nil"/>
              <w:left w:val="nil"/>
              <w:bottom w:val="single" w:color="000000" w:sz="6" w:space="0"/>
              <w:right w:val="single" w:color="000000" w:sz="6" w:space="0"/>
            </w:tcBorders>
            <w:noWrap w:val="0"/>
            <w:vAlign w:val="center"/>
          </w:tcPr>
          <w:p w14:paraId="5C35210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000000" w:sz="4" w:space="0"/>
              <w:left w:val="nil"/>
              <w:bottom w:val="single" w:color="000000" w:sz="6" w:space="0"/>
              <w:right w:val="single" w:color="000000" w:sz="4" w:space="0"/>
            </w:tcBorders>
            <w:noWrap w:val="0"/>
            <w:vAlign w:val="center"/>
          </w:tcPr>
          <w:p w14:paraId="1F866B9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柱状样点数</w:t>
            </w:r>
          </w:p>
        </w:tc>
        <w:tc>
          <w:tcPr>
            <w:tcW w:w="833" w:type="pct"/>
            <w:gridSpan w:val="2"/>
            <w:tcBorders>
              <w:top w:val="single" w:color="000000" w:sz="4" w:space="0"/>
              <w:left w:val="nil"/>
              <w:bottom w:val="single" w:color="000000" w:sz="6" w:space="0"/>
              <w:right w:val="single" w:color="000000" w:sz="4" w:space="0"/>
            </w:tcBorders>
            <w:noWrap w:val="0"/>
            <w:vAlign w:val="center"/>
          </w:tcPr>
          <w:p w14:paraId="5B5A1F76">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833" w:type="pct"/>
            <w:gridSpan w:val="2"/>
            <w:tcBorders>
              <w:top w:val="single" w:color="000000" w:sz="4" w:space="0"/>
              <w:left w:val="nil"/>
              <w:bottom w:val="single" w:color="000000" w:sz="6" w:space="0"/>
              <w:right w:val="single" w:color="000000" w:sz="4" w:space="0"/>
            </w:tcBorders>
            <w:noWrap w:val="0"/>
            <w:vAlign w:val="center"/>
          </w:tcPr>
          <w:p w14:paraId="41DA870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834" w:type="pct"/>
            <w:tcBorders>
              <w:top w:val="single" w:color="000000" w:sz="4" w:space="0"/>
              <w:left w:val="nil"/>
              <w:bottom w:val="single" w:color="000000" w:sz="6" w:space="0"/>
              <w:right w:val="single" w:color="000000" w:sz="6" w:space="0"/>
            </w:tcBorders>
            <w:noWrap w:val="0"/>
            <w:vAlign w:val="center"/>
          </w:tcPr>
          <w:p w14:paraId="6290FA9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c>
          <w:tcPr>
            <w:tcW w:w="474" w:type="pct"/>
            <w:vMerge w:val="continue"/>
            <w:tcBorders>
              <w:top w:val="single" w:color="000000" w:sz="6" w:space="0"/>
              <w:left w:val="nil"/>
              <w:bottom w:val="single" w:color="000000" w:sz="6" w:space="0"/>
              <w:right w:val="single" w:color="000000" w:sz="8" w:space="0"/>
            </w:tcBorders>
            <w:noWrap w:val="0"/>
            <w:vAlign w:val="center"/>
          </w:tcPr>
          <w:p w14:paraId="4E5A079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r>
      <w:tr w14:paraId="0C95785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0E5B0ED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33F4121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现状监测因子</w:t>
            </w:r>
          </w:p>
        </w:tc>
        <w:tc>
          <w:tcPr>
            <w:tcW w:w="3336" w:type="pct"/>
            <w:gridSpan w:val="6"/>
            <w:tcBorders>
              <w:top w:val="single" w:color="000000" w:sz="6" w:space="0"/>
              <w:left w:val="nil"/>
              <w:bottom w:val="single" w:color="000000" w:sz="6" w:space="0"/>
              <w:right w:val="single" w:color="000000" w:sz="6" w:space="0"/>
            </w:tcBorders>
            <w:noWrap w:val="0"/>
            <w:vAlign w:val="center"/>
          </w:tcPr>
          <w:p w14:paraId="79AD7A9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en-US" w:bidi="ar-SA"/>
              </w:rPr>
              <w:t>GB 36600</w:t>
            </w:r>
            <w:r>
              <w:rPr>
                <w:rFonts w:hint="eastAsia" w:ascii="Times New Roman" w:hAnsi="Times New Roman" w:eastAsia="宋体" w:cs="Times New Roman"/>
                <w:color w:val="auto"/>
                <w:kern w:val="0"/>
                <w:sz w:val="21"/>
                <w:szCs w:val="21"/>
                <w:highlight w:val="none"/>
                <w:lang w:val="en-US" w:eastAsia="zh-CN" w:bidi="ar-SA"/>
              </w:rPr>
              <w:t>：45项；</w:t>
            </w:r>
            <w:r>
              <w:rPr>
                <w:rFonts w:hint="default" w:ascii="Times New Roman" w:hAnsi="Times New Roman" w:eastAsia="宋体" w:cs="Times New Roman"/>
                <w:color w:val="auto"/>
                <w:kern w:val="0"/>
                <w:sz w:val="21"/>
                <w:szCs w:val="21"/>
                <w:highlight w:val="none"/>
                <w:lang w:val="en-US" w:eastAsia="en-US" w:bidi="ar-SA"/>
              </w:rPr>
              <w:t>GB 15618</w:t>
            </w:r>
            <w:r>
              <w:rPr>
                <w:rFonts w:hint="eastAsia" w:ascii="Times New Roman" w:hAnsi="Times New Roman" w:eastAsia="宋体" w:cs="Times New Roman"/>
                <w:color w:val="auto"/>
                <w:kern w:val="0"/>
                <w:sz w:val="21"/>
                <w:szCs w:val="21"/>
                <w:highlight w:val="none"/>
                <w:lang w:val="en-US" w:eastAsia="zh-CN" w:bidi="ar-SA"/>
              </w:rPr>
              <w:t>：11项</w:t>
            </w:r>
          </w:p>
        </w:tc>
        <w:tc>
          <w:tcPr>
            <w:tcW w:w="474" w:type="pct"/>
            <w:tcBorders>
              <w:top w:val="single" w:color="000000" w:sz="6" w:space="0"/>
              <w:left w:val="nil"/>
              <w:bottom w:val="single" w:color="000000" w:sz="6" w:space="0"/>
              <w:right w:val="single" w:color="000000" w:sz="8" w:space="0"/>
            </w:tcBorders>
            <w:noWrap w:val="0"/>
            <w:vAlign w:val="center"/>
          </w:tcPr>
          <w:p w14:paraId="360C56F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4F0B1B6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706F1641">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现状评</w:t>
            </w:r>
          </w:p>
          <w:p w14:paraId="4829AF8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价</w:t>
            </w:r>
          </w:p>
        </w:tc>
        <w:tc>
          <w:tcPr>
            <w:tcW w:w="959" w:type="pct"/>
            <w:tcBorders>
              <w:top w:val="single" w:color="000000" w:sz="6" w:space="0"/>
              <w:left w:val="nil"/>
              <w:bottom w:val="single" w:color="000000" w:sz="6" w:space="0"/>
              <w:right w:val="single" w:color="000000" w:sz="6" w:space="0"/>
            </w:tcBorders>
            <w:noWrap w:val="0"/>
            <w:vAlign w:val="center"/>
          </w:tcPr>
          <w:p w14:paraId="1A2DE76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评价因子</w:t>
            </w:r>
          </w:p>
        </w:tc>
        <w:tc>
          <w:tcPr>
            <w:tcW w:w="3336" w:type="pct"/>
            <w:gridSpan w:val="6"/>
            <w:tcBorders>
              <w:top w:val="single" w:color="000000" w:sz="6" w:space="0"/>
              <w:left w:val="nil"/>
              <w:bottom w:val="single" w:color="000000" w:sz="6" w:space="0"/>
              <w:right w:val="single" w:color="000000" w:sz="6" w:space="0"/>
            </w:tcBorders>
            <w:noWrap w:val="0"/>
            <w:vAlign w:val="center"/>
          </w:tcPr>
          <w:p w14:paraId="681B01AE">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GB 36600</w:t>
            </w:r>
            <w:r>
              <w:rPr>
                <w:rFonts w:hint="eastAsia" w:ascii="Times New Roman" w:hAnsi="Times New Roman" w:eastAsia="宋体" w:cs="Times New Roman"/>
                <w:color w:val="auto"/>
                <w:kern w:val="0"/>
                <w:sz w:val="21"/>
                <w:szCs w:val="21"/>
                <w:highlight w:val="none"/>
                <w:lang w:val="en-US" w:eastAsia="zh-CN" w:bidi="ar-SA"/>
              </w:rPr>
              <w:t>：45项；</w:t>
            </w:r>
            <w:r>
              <w:rPr>
                <w:rFonts w:hint="default" w:ascii="Times New Roman" w:hAnsi="Times New Roman" w:eastAsia="宋体" w:cs="Times New Roman"/>
                <w:color w:val="auto"/>
                <w:kern w:val="0"/>
                <w:sz w:val="21"/>
                <w:szCs w:val="21"/>
                <w:highlight w:val="none"/>
                <w:lang w:val="en-US" w:eastAsia="en-US" w:bidi="ar-SA"/>
              </w:rPr>
              <w:t>GB 15618</w:t>
            </w:r>
            <w:r>
              <w:rPr>
                <w:rFonts w:hint="eastAsia" w:ascii="Times New Roman" w:hAnsi="Times New Roman" w:eastAsia="宋体" w:cs="Times New Roman"/>
                <w:color w:val="auto"/>
                <w:kern w:val="0"/>
                <w:sz w:val="21"/>
                <w:szCs w:val="21"/>
                <w:highlight w:val="none"/>
                <w:lang w:val="en-US" w:eastAsia="zh-CN" w:bidi="ar-SA"/>
              </w:rPr>
              <w:t>：11项</w:t>
            </w:r>
          </w:p>
        </w:tc>
        <w:tc>
          <w:tcPr>
            <w:tcW w:w="474" w:type="pct"/>
            <w:tcBorders>
              <w:top w:val="single" w:color="000000" w:sz="6" w:space="0"/>
              <w:left w:val="nil"/>
              <w:bottom w:val="single" w:color="000000" w:sz="6" w:space="0"/>
              <w:right w:val="single" w:color="000000" w:sz="8" w:space="0"/>
            </w:tcBorders>
            <w:noWrap w:val="0"/>
            <w:vAlign w:val="center"/>
          </w:tcPr>
          <w:p w14:paraId="66D2F49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2B7C42B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576978D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255979C8">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评价标准</w:t>
            </w:r>
          </w:p>
        </w:tc>
        <w:tc>
          <w:tcPr>
            <w:tcW w:w="3336" w:type="pct"/>
            <w:gridSpan w:val="6"/>
            <w:tcBorders>
              <w:top w:val="single" w:color="000000" w:sz="6" w:space="0"/>
              <w:left w:val="nil"/>
              <w:bottom w:val="single" w:color="000000" w:sz="6" w:space="0"/>
              <w:right w:val="single" w:color="000000" w:sz="6" w:space="0"/>
            </w:tcBorders>
            <w:noWrap w:val="0"/>
            <w:vAlign w:val="center"/>
          </w:tcPr>
          <w:p w14:paraId="5D99252A">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GB 15618</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；GB 36600</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；表D.1□；表 D.2□；其他（）</w:t>
            </w:r>
          </w:p>
        </w:tc>
        <w:tc>
          <w:tcPr>
            <w:tcW w:w="474" w:type="pct"/>
            <w:tcBorders>
              <w:top w:val="single" w:color="000000" w:sz="6" w:space="0"/>
              <w:left w:val="nil"/>
              <w:bottom w:val="single" w:color="000000" w:sz="6" w:space="0"/>
              <w:right w:val="single" w:color="000000" w:sz="8" w:space="0"/>
            </w:tcBorders>
            <w:noWrap w:val="0"/>
            <w:vAlign w:val="center"/>
          </w:tcPr>
          <w:p w14:paraId="4E203AF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22231AB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94"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79FD86D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5141544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现状评价结论</w:t>
            </w:r>
          </w:p>
        </w:tc>
        <w:tc>
          <w:tcPr>
            <w:tcW w:w="3336" w:type="pct"/>
            <w:gridSpan w:val="6"/>
            <w:tcBorders>
              <w:top w:val="single" w:color="000000" w:sz="6" w:space="0"/>
              <w:left w:val="nil"/>
              <w:bottom w:val="single" w:color="000000" w:sz="6" w:space="0"/>
              <w:right w:val="single" w:color="000000" w:sz="6" w:space="0"/>
            </w:tcBorders>
            <w:noWrap w:val="0"/>
            <w:vAlign w:val="center"/>
          </w:tcPr>
          <w:p w14:paraId="15C071F6">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zh-CN" w:bidi="ar-SA"/>
              </w:rPr>
              <w:t>各因子均能</w:t>
            </w:r>
            <w:r>
              <w:rPr>
                <w:rFonts w:hint="default" w:ascii="Times New Roman" w:hAnsi="Times New Roman" w:eastAsia="宋体" w:cs="Times New Roman"/>
                <w:color w:val="auto"/>
                <w:kern w:val="0"/>
                <w:sz w:val="21"/>
                <w:szCs w:val="21"/>
                <w:highlight w:val="none"/>
                <w:lang w:val="en-US" w:eastAsia="en-US" w:bidi="ar-SA"/>
              </w:rPr>
              <w:t>满足</w:t>
            </w:r>
            <w:r>
              <w:rPr>
                <w:rFonts w:hint="default" w:ascii="Times New Roman" w:hAnsi="Times New Roman" w:eastAsia="宋体" w:cs="Times New Roman"/>
                <w:color w:val="auto"/>
                <w:kern w:val="0"/>
                <w:sz w:val="22"/>
                <w:szCs w:val="24"/>
                <w:highlight w:val="none"/>
                <w:lang w:val="zh-CN" w:eastAsia="en-US" w:bidi="ar-SA"/>
              </w:rPr>
              <w:t>《土壤环境质量 建设用地土壤污染风险管控标准（试行）》</w:t>
            </w:r>
            <w:r>
              <w:rPr>
                <w:rFonts w:hint="eastAsia" w:ascii="Times New Roman" w:hAnsi="Times New Roman" w:eastAsia="宋体" w:cs="Times New Roman"/>
                <w:color w:val="auto"/>
                <w:kern w:val="0"/>
                <w:sz w:val="22"/>
                <w:szCs w:val="24"/>
                <w:highlight w:val="none"/>
                <w:lang w:val="zh-CN" w:eastAsia="en-US" w:bidi="ar-SA"/>
              </w:rPr>
              <w:t>，《土壤环境质量农用地土壤 污染风险管控标准》（试行）</w:t>
            </w:r>
            <w:r>
              <w:rPr>
                <w:rFonts w:hint="eastAsia" w:ascii="Times New Roman" w:hAnsi="Times New Roman" w:eastAsia="宋体" w:cs="Times New Roman"/>
                <w:color w:val="auto"/>
                <w:kern w:val="0"/>
                <w:sz w:val="21"/>
                <w:szCs w:val="21"/>
                <w:highlight w:val="none"/>
                <w:lang w:val="en-US" w:eastAsia="zh-CN" w:bidi="ar-SA"/>
              </w:rPr>
              <w:t>中</w:t>
            </w:r>
            <w:r>
              <w:rPr>
                <w:rFonts w:hint="default" w:ascii="Times New Roman" w:hAnsi="Times New Roman" w:eastAsia="宋体" w:cs="Times New Roman"/>
                <w:color w:val="auto"/>
                <w:kern w:val="0"/>
                <w:sz w:val="21"/>
                <w:szCs w:val="21"/>
                <w:highlight w:val="none"/>
                <w:lang w:val="en-US" w:eastAsia="en-US" w:bidi="ar-SA"/>
              </w:rPr>
              <w:t>筛选值</w:t>
            </w:r>
            <w:r>
              <w:rPr>
                <w:rFonts w:hint="default" w:ascii="Times New Roman" w:hAnsi="Times New Roman" w:eastAsia="宋体" w:cs="Times New Roman"/>
                <w:color w:val="auto"/>
                <w:kern w:val="0"/>
                <w:sz w:val="21"/>
                <w:szCs w:val="21"/>
                <w:highlight w:val="none"/>
                <w:lang w:val="en-US" w:eastAsia="zh-CN" w:bidi="ar-SA"/>
              </w:rPr>
              <w:t>标准</w:t>
            </w:r>
            <w:r>
              <w:rPr>
                <w:rFonts w:hint="default" w:ascii="Times New Roman" w:hAnsi="Times New Roman" w:eastAsia="宋体" w:cs="Times New Roman"/>
                <w:color w:val="auto"/>
                <w:kern w:val="0"/>
                <w:sz w:val="21"/>
                <w:szCs w:val="21"/>
                <w:highlight w:val="none"/>
                <w:lang w:val="en-US" w:eastAsia="en-US" w:bidi="ar-SA"/>
              </w:rPr>
              <w:t>。</w:t>
            </w:r>
          </w:p>
        </w:tc>
        <w:tc>
          <w:tcPr>
            <w:tcW w:w="474" w:type="pct"/>
            <w:tcBorders>
              <w:top w:val="single" w:color="000000" w:sz="6" w:space="0"/>
              <w:left w:val="nil"/>
              <w:bottom w:val="single" w:color="000000" w:sz="6" w:space="0"/>
              <w:right w:val="single" w:color="000000" w:sz="8" w:space="0"/>
            </w:tcBorders>
            <w:noWrap w:val="0"/>
            <w:vAlign w:val="center"/>
          </w:tcPr>
          <w:p w14:paraId="250A97D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2A80CB3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4"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1F00F6F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影响预测</w:t>
            </w:r>
          </w:p>
        </w:tc>
        <w:tc>
          <w:tcPr>
            <w:tcW w:w="959" w:type="pct"/>
            <w:tcBorders>
              <w:top w:val="single" w:color="000000" w:sz="6" w:space="0"/>
              <w:left w:val="nil"/>
              <w:bottom w:val="single" w:color="000000" w:sz="6" w:space="0"/>
              <w:right w:val="single" w:color="000000" w:sz="6" w:space="0"/>
            </w:tcBorders>
            <w:noWrap w:val="0"/>
            <w:vAlign w:val="center"/>
          </w:tcPr>
          <w:p w14:paraId="61A0279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预测因子</w:t>
            </w:r>
          </w:p>
        </w:tc>
        <w:tc>
          <w:tcPr>
            <w:tcW w:w="3336" w:type="pct"/>
            <w:gridSpan w:val="6"/>
            <w:tcBorders>
              <w:top w:val="single" w:color="000000" w:sz="6" w:space="0"/>
              <w:left w:val="nil"/>
              <w:bottom w:val="single" w:color="000000" w:sz="6" w:space="0"/>
              <w:right w:val="single" w:color="000000" w:sz="6" w:space="0"/>
            </w:tcBorders>
            <w:noWrap w:val="0"/>
            <w:vAlign w:val="center"/>
          </w:tcPr>
          <w:p w14:paraId="07C35ADD">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p>
        </w:tc>
        <w:tc>
          <w:tcPr>
            <w:tcW w:w="474" w:type="pct"/>
            <w:tcBorders>
              <w:top w:val="single" w:color="000000" w:sz="6" w:space="0"/>
              <w:left w:val="nil"/>
              <w:bottom w:val="single" w:color="000000" w:sz="6" w:space="0"/>
              <w:right w:val="single" w:color="000000" w:sz="8" w:space="0"/>
            </w:tcBorders>
            <w:noWrap w:val="0"/>
            <w:vAlign w:val="center"/>
          </w:tcPr>
          <w:p w14:paraId="4F3DC2B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2D41A5A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194FC9E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06BFDEC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预测方法</w:t>
            </w:r>
          </w:p>
        </w:tc>
        <w:tc>
          <w:tcPr>
            <w:tcW w:w="3336" w:type="pct"/>
            <w:gridSpan w:val="6"/>
            <w:tcBorders>
              <w:top w:val="single" w:color="000000" w:sz="6" w:space="0"/>
              <w:left w:val="nil"/>
              <w:bottom w:val="single" w:color="000000" w:sz="6" w:space="0"/>
              <w:right w:val="single" w:color="000000" w:sz="6" w:space="0"/>
            </w:tcBorders>
            <w:noWrap w:val="0"/>
            <w:vAlign w:val="center"/>
          </w:tcPr>
          <w:p w14:paraId="08D00869">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附录</w:t>
            </w:r>
            <w:r>
              <w:rPr>
                <w:rFonts w:hint="default" w:ascii="Times New Roman" w:hAnsi="Times New Roman" w:eastAsia="宋体" w:cs="Times New Roman"/>
                <w:color w:val="auto"/>
                <w:spacing w:val="-46"/>
                <w:kern w:val="0"/>
                <w:sz w:val="21"/>
                <w:szCs w:val="21"/>
                <w:highlight w:val="none"/>
                <w:lang w:val="en-US" w:eastAsia="en-US" w:bidi="ar-SA"/>
              </w:rPr>
              <w:t> </w:t>
            </w:r>
            <w:r>
              <w:rPr>
                <w:rFonts w:hint="default" w:ascii="Times New Roman" w:hAnsi="Times New Roman" w:eastAsia="宋体" w:cs="Times New Roman"/>
                <w:color w:val="auto"/>
                <w:kern w:val="0"/>
                <w:sz w:val="21"/>
                <w:szCs w:val="21"/>
                <w:highlight w:val="none"/>
                <w:lang w:val="en-US" w:eastAsia="en-US" w:bidi="ar-SA"/>
              </w:rPr>
              <w:t>E□；附录</w:t>
            </w:r>
            <w:r>
              <w:rPr>
                <w:rFonts w:hint="default" w:ascii="Times New Roman" w:hAnsi="Times New Roman" w:eastAsia="宋体" w:cs="Times New Roman"/>
                <w:color w:val="auto"/>
                <w:spacing w:val="-45"/>
                <w:kern w:val="0"/>
                <w:sz w:val="21"/>
                <w:szCs w:val="21"/>
                <w:highlight w:val="none"/>
                <w:lang w:val="en-US" w:eastAsia="en-US" w:bidi="ar-SA"/>
              </w:rPr>
              <w:t> </w:t>
            </w:r>
            <w:r>
              <w:rPr>
                <w:rFonts w:hint="default" w:ascii="Times New Roman" w:hAnsi="Times New Roman" w:eastAsia="宋体" w:cs="Times New Roman"/>
                <w:color w:val="auto"/>
                <w:kern w:val="0"/>
                <w:sz w:val="21"/>
                <w:szCs w:val="21"/>
                <w:highlight w:val="none"/>
                <w:lang w:val="en-US" w:eastAsia="en-US" w:bidi="ar-SA"/>
              </w:rPr>
              <w:t>F□；其他（定性描述进行分析）</w:t>
            </w:r>
          </w:p>
        </w:tc>
        <w:tc>
          <w:tcPr>
            <w:tcW w:w="474" w:type="pct"/>
            <w:tcBorders>
              <w:top w:val="single" w:color="000000" w:sz="6" w:space="0"/>
              <w:left w:val="nil"/>
              <w:bottom w:val="single" w:color="000000" w:sz="6" w:space="0"/>
              <w:right w:val="single" w:color="000000" w:sz="8" w:space="0"/>
            </w:tcBorders>
            <w:noWrap w:val="0"/>
            <w:vAlign w:val="center"/>
          </w:tcPr>
          <w:p w14:paraId="0890480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3789410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4F5BBC1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46654D0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预测分析内容</w:t>
            </w:r>
          </w:p>
        </w:tc>
        <w:tc>
          <w:tcPr>
            <w:tcW w:w="3336" w:type="pct"/>
            <w:gridSpan w:val="6"/>
            <w:tcBorders>
              <w:top w:val="single" w:color="000000" w:sz="6" w:space="0"/>
              <w:left w:val="nil"/>
              <w:bottom w:val="single" w:color="000000" w:sz="6" w:space="0"/>
              <w:right w:val="single" w:color="000000" w:sz="6" w:space="0"/>
            </w:tcBorders>
            <w:noWrap w:val="0"/>
            <w:vAlign w:val="center"/>
          </w:tcPr>
          <w:p w14:paraId="0A3880B2">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影响范围（厂界外50m范围内）</w:t>
            </w:r>
          </w:p>
          <w:p w14:paraId="63597BD9">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影响程度（  ）</w:t>
            </w:r>
          </w:p>
        </w:tc>
        <w:tc>
          <w:tcPr>
            <w:tcW w:w="474" w:type="pct"/>
            <w:tcBorders>
              <w:top w:val="single" w:color="000000" w:sz="6" w:space="0"/>
              <w:left w:val="nil"/>
              <w:bottom w:val="single" w:color="000000" w:sz="6" w:space="0"/>
              <w:right w:val="single" w:color="000000" w:sz="8" w:space="0"/>
            </w:tcBorders>
            <w:noWrap w:val="0"/>
            <w:vAlign w:val="center"/>
          </w:tcPr>
          <w:p w14:paraId="74C03FC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43ED117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4"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234DC11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5CDEF04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预测结论</w:t>
            </w:r>
          </w:p>
        </w:tc>
        <w:tc>
          <w:tcPr>
            <w:tcW w:w="3336" w:type="pct"/>
            <w:gridSpan w:val="6"/>
            <w:tcBorders>
              <w:top w:val="single" w:color="000000" w:sz="6" w:space="0"/>
              <w:left w:val="nil"/>
              <w:bottom w:val="single" w:color="000000" w:sz="6" w:space="0"/>
              <w:right w:val="single" w:color="000000" w:sz="6" w:space="0"/>
            </w:tcBorders>
            <w:noWrap w:val="0"/>
            <w:vAlign w:val="center"/>
          </w:tcPr>
          <w:p w14:paraId="4E21951C">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达标结论：a）□；b）□；c）□</w:t>
            </w:r>
          </w:p>
          <w:p w14:paraId="39CA2835">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不达标结论：a）□；b）□</w:t>
            </w:r>
          </w:p>
        </w:tc>
        <w:tc>
          <w:tcPr>
            <w:tcW w:w="474" w:type="pct"/>
            <w:tcBorders>
              <w:top w:val="single" w:color="000000" w:sz="6" w:space="0"/>
              <w:left w:val="nil"/>
              <w:bottom w:val="single" w:color="000000" w:sz="6" w:space="0"/>
              <w:right w:val="single" w:color="000000" w:sz="8" w:space="0"/>
            </w:tcBorders>
            <w:noWrap w:val="0"/>
            <w:vAlign w:val="center"/>
          </w:tcPr>
          <w:p w14:paraId="095638E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121B574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0691CA1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防治措</w:t>
            </w:r>
          </w:p>
          <w:p w14:paraId="08DD5E1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施</w:t>
            </w:r>
          </w:p>
        </w:tc>
        <w:tc>
          <w:tcPr>
            <w:tcW w:w="959" w:type="pct"/>
            <w:tcBorders>
              <w:top w:val="single" w:color="000000" w:sz="6" w:space="0"/>
              <w:left w:val="nil"/>
              <w:bottom w:val="single" w:color="000000" w:sz="6" w:space="0"/>
              <w:right w:val="single" w:color="000000" w:sz="6" w:space="0"/>
            </w:tcBorders>
            <w:noWrap w:val="0"/>
            <w:vAlign w:val="center"/>
          </w:tcPr>
          <w:p w14:paraId="3C323C8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防控措施</w:t>
            </w:r>
          </w:p>
        </w:tc>
        <w:tc>
          <w:tcPr>
            <w:tcW w:w="3336" w:type="pct"/>
            <w:gridSpan w:val="6"/>
            <w:tcBorders>
              <w:top w:val="single" w:color="000000" w:sz="6" w:space="0"/>
              <w:left w:val="nil"/>
              <w:bottom w:val="single" w:color="000000" w:sz="6" w:space="0"/>
              <w:right w:val="single" w:color="000000" w:sz="6" w:space="0"/>
            </w:tcBorders>
            <w:noWrap w:val="0"/>
            <w:vAlign w:val="center"/>
          </w:tcPr>
          <w:p w14:paraId="049B2A2F">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土壤环境质量现状保障□；源头控制</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；过程防控□；其他（  ）</w:t>
            </w:r>
          </w:p>
        </w:tc>
        <w:tc>
          <w:tcPr>
            <w:tcW w:w="474" w:type="pct"/>
            <w:tcBorders>
              <w:top w:val="single" w:color="000000" w:sz="6" w:space="0"/>
              <w:left w:val="nil"/>
              <w:bottom w:val="single" w:color="000000" w:sz="6" w:space="0"/>
              <w:right w:val="single" w:color="000000" w:sz="8" w:space="0"/>
            </w:tcBorders>
            <w:noWrap w:val="0"/>
            <w:vAlign w:val="center"/>
          </w:tcPr>
          <w:p w14:paraId="77ECE05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3A2DFF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29891B2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restart"/>
            <w:tcBorders>
              <w:top w:val="nil"/>
              <w:left w:val="nil"/>
              <w:bottom w:val="single" w:color="000000" w:sz="4" w:space="0"/>
              <w:right w:val="single" w:color="000000" w:sz="6" w:space="0"/>
            </w:tcBorders>
            <w:noWrap w:val="0"/>
            <w:vAlign w:val="center"/>
          </w:tcPr>
          <w:p w14:paraId="57D0A18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跟踪监测</w:t>
            </w:r>
          </w:p>
        </w:tc>
        <w:tc>
          <w:tcPr>
            <w:tcW w:w="1069" w:type="pct"/>
            <w:gridSpan w:val="2"/>
            <w:tcBorders>
              <w:top w:val="single" w:color="000000" w:sz="6" w:space="0"/>
              <w:left w:val="nil"/>
              <w:bottom w:val="single" w:color="000000" w:sz="6" w:space="0"/>
              <w:right w:val="single" w:color="000000" w:sz="4" w:space="0"/>
            </w:tcBorders>
            <w:noWrap w:val="0"/>
            <w:vAlign w:val="center"/>
          </w:tcPr>
          <w:p w14:paraId="0E35402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监测点数</w:t>
            </w:r>
          </w:p>
        </w:tc>
        <w:tc>
          <w:tcPr>
            <w:tcW w:w="1336" w:type="pct"/>
            <w:gridSpan w:val="2"/>
            <w:tcBorders>
              <w:top w:val="single" w:color="000000" w:sz="6" w:space="0"/>
              <w:left w:val="nil"/>
              <w:bottom w:val="single" w:color="000000" w:sz="6" w:space="0"/>
              <w:right w:val="single" w:color="000000" w:sz="4" w:space="0"/>
            </w:tcBorders>
            <w:noWrap w:val="0"/>
            <w:vAlign w:val="center"/>
          </w:tcPr>
          <w:p w14:paraId="0C281F5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监测指标</w:t>
            </w:r>
          </w:p>
        </w:tc>
        <w:tc>
          <w:tcPr>
            <w:tcW w:w="930" w:type="pct"/>
            <w:gridSpan w:val="2"/>
            <w:tcBorders>
              <w:top w:val="single" w:color="000000" w:sz="6" w:space="0"/>
              <w:left w:val="nil"/>
              <w:bottom w:val="single" w:color="000000" w:sz="6" w:space="0"/>
              <w:right w:val="single" w:color="000000" w:sz="6" w:space="0"/>
            </w:tcBorders>
            <w:noWrap w:val="0"/>
            <w:vAlign w:val="center"/>
          </w:tcPr>
          <w:p w14:paraId="0055112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监测频次</w:t>
            </w:r>
          </w:p>
        </w:tc>
        <w:tc>
          <w:tcPr>
            <w:tcW w:w="474" w:type="pct"/>
            <w:vMerge w:val="restart"/>
            <w:tcBorders>
              <w:top w:val="nil"/>
              <w:left w:val="nil"/>
              <w:bottom w:val="single" w:color="000000" w:sz="6" w:space="0"/>
              <w:right w:val="single" w:color="000000" w:sz="8" w:space="0"/>
            </w:tcBorders>
            <w:noWrap w:val="0"/>
            <w:vAlign w:val="center"/>
          </w:tcPr>
          <w:p w14:paraId="45DD7B5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45772F3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8"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09DA6BF1">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continue"/>
            <w:tcBorders>
              <w:top w:val="nil"/>
              <w:left w:val="nil"/>
              <w:bottom w:val="single" w:color="000000" w:sz="4" w:space="0"/>
              <w:right w:val="single" w:color="000000" w:sz="6" w:space="0"/>
            </w:tcBorders>
            <w:noWrap w:val="0"/>
            <w:vAlign w:val="center"/>
          </w:tcPr>
          <w:p w14:paraId="1CD5D26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1069" w:type="pct"/>
            <w:gridSpan w:val="2"/>
            <w:tcBorders>
              <w:top w:val="single" w:color="000000" w:sz="6" w:space="0"/>
              <w:left w:val="nil"/>
              <w:bottom w:val="single" w:color="000000" w:sz="4" w:space="0"/>
              <w:right w:val="single" w:color="000000" w:sz="4" w:space="0"/>
            </w:tcBorders>
            <w:noWrap w:val="0"/>
            <w:vAlign w:val="center"/>
          </w:tcPr>
          <w:p w14:paraId="2CAD450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p>
        </w:tc>
        <w:tc>
          <w:tcPr>
            <w:tcW w:w="1336" w:type="pct"/>
            <w:gridSpan w:val="2"/>
            <w:tcBorders>
              <w:top w:val="single" w:color="000000" w:sz="6" w:space="0"/>
              <w:left w:val="nil"/>
              <w:bottom w:val="nil"/>
              <w:right w:val="single" w:color="000000" w:sz="4" w:space="0"/>
            </w:tcBorders>
            <w:noWrap w:val="0"/>
            <w:vAlign w:val="center"/>
          </w:tcPr>
          <w:p w14:paraId="21166C96">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rPr>
              <w:t>pH、镉、汞、砷、铅、铬、铜、镍、锌</w:t>
            </w:r>
          </w:p>
        </w:tc>
        <w:tc>
          <w:tcPr>
            <w:tcW w:w="930" w:type="pct"/>
            <w:gridSpan w:val="2"/>
            <w:tcBorders>
              <w:top w:val="single" w:color="000000" w:sz="6" w:space="0"/>
              <w:left w:val="nil"/>
              <w:bottom w:val="single" w:color="000000" w:sz="4" w:space="0"/>
              <w:right w:val="single" w:color="000000" w:sz="6" w:space="0"/>
            </w:tcBorders>
            <w:noWrap w:val="0"/>
            <w:vAlign w:val="center"/>
          </w:tcPr>
          <w:p w14:paraId="4986EE1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rPr>
              <w:t>运行后每5年监测一次</w:t>
            </w:r>
          </w:p>
        </w:tc>
        <w:tc>
          <w:tcPr>
            <w:tcW w:w="474" w:type="pct"/>
            <w:vMerge w:val="continue"/>
            <w:tcBorders>
              <w:top w:val="nil"/>
              <w:left w:val="nil"/>
              <w:bottom w:val="single" w:color="000000" w:sz="6" w:space="0"/>
              <w:right w:val="single" w:color="000000" w:sz="8" w:space="0"/>
            </w:tcBorders>
            <w:noWrap w:val="0"/>
            <w:vAlign w:val="center"/>
          </w:tcPr>
          <w:p w14:paraId="079E51F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r>
      <w:tr w14:paraId="25A0E7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6"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31380CC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4" w:space="0"/>
              <w:left w:val="nil"/>
              <w:bottom w:val="single" w:color="000000" w:sz="6" w:space="0"/>
              <w:right w:val="single" w:color="000000" w:sz="6" w:space="0"/>
            </w:tcBorders>
            <w:noWrap w:val="0"/>
            <w:vAlign w:val="center"/>
          </w:tcPr>
          <w:p w14:paraId="083625E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信息公开指标</w:t>
            </w:r>
          </w:p>
        </w:tc>
        <w:tc>
          <w:tcPr>
            <w:tcW w:w="3336" w:type="pct"/>
            <w:gridSpan w:val="6"/>
            <w:tcBorders>
              <w:top w:val="single" w:color="000000" w:sz="4" w:space="0"/>
              <w:left w:val="nil"/>
              <w:bottom w:val="single" w:color="000000" w:sz="6" w:space="0"/>
              <w:right w:val="single" w:color="000000" w:sz="6" w:space="0"/>
            </w:tcBorders>
            <w:noWrap w:val="0"/>
            <w:vAlign w:val="center"/>
          </w:tcPr>
          <w:p w14:paraId="2A267FA4">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4" w:type="pct"/>
            <w:vMerge w:val="continue"/>
            <w:tcBorders>
              <w:top w:val="nil"/>
              <w:left w:val="nil"/>
              <w:bottom w:val="single" w:color="000000" w:sz="6" w:space="0"/>
              <w:right w:val="single" w:color="000000" w:sz="8" w:space="0"/>
            </w:tcBorders>
            <w:noWrap w:val="0"/>
            <w:vAlign w:val="center"/>
          </w:tcPr>
          <w:p w14:paraId="011F47C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r>
      <w:tr w14:paraId="0469858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1189" w:type="pct"/>
            <w:gridSpan w:val="2"/>
            <w:tcBorders>
              <w:top w:val="single" w:color="000000" w:sz="6" w:space="0"/>
              <w:left w:val="single" w:color="000000" w:sz="8" w:space="0"/>
              <w:bottom w:val="single" w:color="000000" w:sz="8" w:space="0"/>
              <w:right w:val="single" w:color="000000" w:sz="6" w:space="0"/>
            </w:tcBorders>
            <w:noWrap w:val="0"/>
            <w:vAlign w:val="center"/>
          </w:tcPr>
          <w:p w14:paraId="684797F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评价结论</w:t>
            </w:r>
          </w:p>
        </w:tc>
        <w:tc>
          <w:tcPr>
            <w:tcW w:w="3336" w:type="pct"/>
            <w:gridSpan w:val="6"/>
            <w:tcBorders>
              <w:top w:val="single" w:color="000000" w:sz="6" w:space="0"/>
              <w:left w:val="nil"/>
              <w:bottom w:val="single" w:color="000000" w:sz="8" w:space="0"/>
              <w:right w:val="single" w:color="000000" w:sz="6" w:space="0"/>
            </w:tcBorders>
            <w:noWrap w:val="0"/>
            <w:vAlign w:val="center"/>
          </w:tcPr>
          <w:p w14:paraId="00B3F801">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bCs/>
                <w:color w:val="auto"/>
                <w:kern w:val="0"/>
                <w:sz w:val="21"/>
                <w:szCs w:val="21"/>
                <w:highlight w:val="none"/>
                <w:lang w:val="en-US" w:eastAsia="en-US" w:bidi="ar-SA"/>
              </w:rPr>
              <w:t>项目土壤环境可接受</w:t>
            </w:r>
          </w:p>
        </w:tc>
        <w:tc>
          <w:tcPr>
            <w:tcW w:w="474" w:type="pct"/>
            <w:tcBorders>
              <w:top w:val="single" w:color="000000" w:sz="6" w:space="0"/>
              <w:left w:val="nil"/>
              <w:bottom w:val="single" w:color="000000" w:sz="8" w:space="0"/>
              <w:right w:val="single" w:color="000000" w:sz="8" w:space="0"/>
            </w:tcBorders>
            <w:noWrap w:val="0"/>
            <w:vAlign w:val="center"/>
          </w:tcPr>
          <w:p w14:paraId="4EB50B6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1BE3878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0"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noWrap w:val="0"/>
            <w:vAlign w:val="center"/>
          </w:tcPr>
          <w:p w14:paraId="3E63D4A7">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注 1：</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为勾选项，可√；</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 ）</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为内容填写项；</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备注</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为其他补充内容。</w:t>
            </w:r>
          </w:p>
          <w:p w14:paraId="24C3FF81">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注 2：需要分别开展土壤环境影响评级工作的，分别填写自查表。</w:t>
            </w:r>
          </w:p>
        </w:tc>
      </w:tr>
    </w:tbl>
    <w:p w14:paraId="301D6A3D">
      <w:pPr>
        <w:rPr>
          <w:rFonts w:hint="default" w:ascii="Times New Roman" w:hAnsi="Times New Roman" w:eastAsia="宋体" w:cs="Times New Roman"/>
          <w:color w:val="auto"/>
          <w:highlight w:val="none"/>
          <w:lang w:bidi="ar"/>
        </w:rPr>
      </w:pPr>
    </w:p>
    <w:p w14:paraId="6454CF6E">
      <w:pPr>
        <w:pStyle w:val="2"/>
        <w:rPr>
          <w:rFonts w:hint="default"/>
          <w:highlight w:val="none"/>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rtlGutter w:val="0"/>
          <w:docGrid w:type="lines" w:linePitch="332" w:charSpace="0"/>
        </w:sectPr>
      </w:pPr>
    </w:p>
    <w:p w14:paraId="56F930C8">
      <w:pPr>
        <w:pStyle w:val="4"/>
        <w:bidi w:val="0"/>
        <w:rPr>
          <w:rFonts w:hint="default" w:ascii="Times New Roman" w:hAnsi="Times New Roman" w:eastAsia="宋体" w:cs="Times New Roman"/>
          <w:snapToGrid w:val="0"/>
          <w:color w:val="auto"/>
          <w:highlight w:val="none"/>
          <w:lang w:val="zh-CN"/>
        </w:rPr>
      </w:pPr>
      <w:bookmarkStart w:id="1322" w:name="_Hlk494457073"/>
      <w:bookmarkEnd w:id="1322"/>
      <w:bookmarkStart w:id="1323" w:name="_Toc272411707"/>
      <w:bookmarkEnd w:id="1323"/>
      <w:bookmarkStart w:id="1324" w:name="_Toc153075227"/>
      <w:bookmarkEnd w:id="1324"/>
      <w:bookmarkStart w:id="1325" w:name="_Toc137142231"/>
      <w:bookmarkEnd w:id="1325"/>
      <w:bookmarkStart w:id="1326" w:name="_Toc237270050"/>
      <w:bookmarkEnd w:id="1326"/>
      <w:bookmarkStart w:id="1327" w:name="_Toc492391239"/>
      <w:bookmarkEnd w:id="1327"/>
      <w:bookmarkStart w:id="1328" w:name="_Toc483470836"/>
      <w:bookmarkEnd w:id="1328"/>
      <w:bookmarkStart w:id="1329" w:name="_Toc272411111"/>
      <w:bookmarkEnd w:id="1329"/>
      <w:bookmarkStart w:id="1330" w:name="_Toc15569"/>
      <w:bookmarkStart w:id="1331" w:name="_Toc22491"/>
      <w:bookmarkStart w:id="1332" w:name="_Toc3487"/>
      <w:bookmarkStart w:id="1333" w:name="_Toc31473"/>
      <w:bookmarkStart w:id="1334" w:name="_Toc31271"/>
      <w:bookmarkStart w:id="1335" w:name="_Toc20699"/>
      <w:r>
        <w:rPr>
          <w:rFonts w:hint="default" w:ascii="Times New Roman" w:hAnsi="Times New Roman" w:eastAsia="宋体" w:cs="Times New Roman"/>
          <w:snapToGrid w:val="0"/>
          <w:color w:val="auto"/>
          <w:highlight w:val="none"/>
          <w:lang w:val="zh-CN"/>
        </w:rPr>
        <w:t>附件4</w:t>
      </w:r>
      <w:r>
        <w:rPr>
          <w:rFonts w:hint="default" w:ascii="Times New Roman" w:hAnsi="Times New Roman" w:eastAsia="宋体" w:cs="Times New Roman"/>
          <w:snapToGrid w:val="0"/>
          <w:color w:val="auto"/>
          <w:highlight w:val="none"/>
          <w:lang w:val="en-US"/>
        </w:rPr>
        <w:t xml:space="preserve"> </w:t>
      </w:r>
      <w:r>
        <w:rPr>
          <w:rFonts w:hint="default" w:ascii="Times New Roman" w:hAnsi="Times New Roman" w:eastAsia="宋体" w:cs="Times New Roman"/>
          <w:snapToGrid w:val="0"/>
          <w:color w:val="auto"/>
          <w:highlight w:val="none"/>
          <w:lang w:val="zh-CN"/>
        </w:rPr>
        <w:t>地表水环境影响评价自查表</w:t>
      </w:r>
      <w:bookmarkEnd w:id="1330"/>
      <w:bookmarkEnd w:id="1331"/>
      <w:bookmarkEnd w:id="1332"/>
      <w:bookmarkEnd w:id="1333"/>
      <w:bookmarkEnd w:id="1334"/>
      <w:bookmarkEnd w:id="1335"/>
    </w:p>
    <w:tbl>
      <w:tblPr>
        <w:tblStyle w:val="4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6"/>
        <w:gridCol w:w="2888"/>
        <w:gridCol w:w="2124"/>
        <w:gridCol w:w="509"/>
        <w:gridCol w:w="897"/>
        <w:gridCol w:w="717"/>
        <w:gridCol w:w="1067"/>
        <w:gridCol w:w="1057"/>
        <w:gridCol w:w="264"/>
        <w:gridCol w:w="442"/>
        <w:gridCol w:w="1414"/>
        <w:gridCol w:w="52"/>
        <w:gridCol w:w="544"/>
        <w:gridCol w:w="1531"/>
      </w:tblGrid>
      <w:tr w14:paraId="7F346E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7" w:type="dxa"/>
            <w:gridSpan w:val="2"/>
            <w:tcBorders>
              <w:top w:val="single" w:color="auto" w:sz="12" w:space="0"/>
              <w:left w:val="single" w:color="auto" w:sz="12" w:space="0"/>
              <w:bottom w:val="single" w:color="auto" w:sz="6" w:space="0"/>
              <w:right w:val="single" w:color="auto" w:sz="6" w:space="0"/>
            </w:tcBorders>
            <w:noWrap/>
            <w:vAlign w:val="center"/>
          </w:tcPr>
          <w:p w14:paraId="6DFC791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工作内容</w:t>
            </w:r>
          </w:p>
        </w:tc>
        <w:tc>
          <w:tcPr>
            <w:tcW w:w="10242" w:type="dxa"/>
            <w:gridSpan w:val="12"/>
            <w:tcBorders>
              <w:top w:val="single" w:color="auto" w:sz="12" w:space="0"/>
              <w:left w:val="single" w:color="auto" w:sz="6" w:space="0"/>
              <w:bottom w:val="single" w:color="auto" w:sz="6" w:space="0"/>
              <w:right w:val="single" w:color="auto" w:sz="12" w:space="0"/>
            </w:tcBorders>
            <w:noWrap/>
            <w:vAlign w:val="center"/>
          </w:tcPr>
          <w:p w14:paraId="2E0B936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自查项目</w:t>
            </w:r>
          </w:p>
        </w:tc>
      </w:tr>
      <w:tr w14:paraId="58F70F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48C88CC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影响识别</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2210BF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影响类型</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4822B76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水污染影响型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水文要素影响型 □</w:t>
            </w:r>
          </w:p>
        </w:tc>
      </w:tr>
      <w:tr w14:paraId="1D9C8E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19750D8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64DF31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水环境保护目标</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690B86C2">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饮用水水源保护区 □；饮用水取水口 □；涉水的自然保护区 □；涉水的风景名胜区 □；重要湿地 □；</w:t>
            </w:r>
          </w:p>
          <w:p w14:paraId="247DF41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重点保护与珍稀水生生物的栖息地 □；重要水生生物的自然产卵场及索饵场、越冬场和洄游通道□；天然渔场等渔业水体 □；水产种质资源保护区□；其他 </w:t>
            </w:r>
            <w:r>
              <w:rPr>
                <w:rFonts w:hint="default" w:ascii="Times New Roman" w:hAnsi="Times New Roman" w:eastAsia="宋体" w:cs="Times New Roman"/>
                <w:color w:val="auto"/>
                <w:kern w:val="0"/>
                <w:sz w:val="21"/>
                <w:szCs w:val="21"/>
                <w:highlight w:val="none"/>
                <w:lang w:bidi="ar"/>
              </w:rPr>
              <w:sym w:font="Wingdings 2" w:char="0052"/>
            </w:r>
          </w:p>
        </w:tc>
      </w:tr>
      <w:tr w14:paraId="4B5424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790A3707">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6A6E7F4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影响途径</w:t>
            </w: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6A36198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水污染影响型</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092827B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水文要素影响型</w:t>
            </w:r>
          </w:p>
        </w:tc>
      </w:tr>
      <w:tr w14:paraId="59FCC7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47FCA7E">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335E5FD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1AA3345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直接排放□；间接排放 □</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其他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52D0356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水温 □；径流 □；水域面积 □</w:t>
            </w:r>
          </w:p>
        </w:tc>
      </w:tr>
      <w:tr w14:paraId="3F4C39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FFED38F">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181072D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影响因子</w:t>
            </w: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314067E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持久性污染物 □；有毒有害污染物 □；非持久性污染物 √</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pH值 □；热污染 □；富营养化 □；其他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45949CD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水温 □；水位（水深） □；流速 □；流量 □；其他 □</w:t>
            </w:r>
          </w:p>
        </w:tc>
      </w:tr>
      <w:tr w14:paraId="318182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7" w:type="dxa"/>
            <w:gridSpan w:val="2"/>
            <w:vMerge w:val="restart"/>
            <w:tcBorders>
              <w:top w:val="single" w:color="auto" w:sz="6" w:space="0"/>
              <w:left w:val="single" w:color="auto" w:sz="12" w:space="0"/>
              <w:bottom w:val="single" w:color="auto" w:sz="6" w:space="0"/>
              <w:right w:val="single" w:color="auto" w:sz="6" w:space="0"/>
            </w:tcBorders>
            <w:noWrap/>
            <w:vAlign w:val="center"/>
          </w:tcPr>
          <w:p w14:paraId="097B742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评价等级</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0493656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水污染影响型</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713C416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水文要素影响型</w:t>
            </w:r>
          </w:p>
        </w:tc>
      </w:tr>
      <w:tr w14:paraId="4D828D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7" w:type="dxa"/>
            <w:gridSpan w:val="2"/>
            <w:vMerge w:val="continue"/>
            <w:tcBorders>
              <w:top w:val="single" w:color="auto" w:sz="6" w:space="0"/>
              <w:left w:val="single" w:color="auto" w:sz="12" w:space="0"/>
              <w:bottom w:val="single" w:color="auto" w:sz="6" w:space="0"/>
              <w:right w:val="single" w:color="auto" w:sz="6" w:space="0"/>
            </w:tcBorders>
            <w:noWrap/>
            <w:vAlign w:val="center"/>
          </w:tcPr>
          <w:p w14:paraId="74DB17F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5FDE35A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一级 □；二级 □；三级A □；三级B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520480F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一级 □；二级 □；三级 □</w:t>
            </w:r>
          </w:p>
        </w:tc>
      </w:tr>
      <w:tr w14:paraId="118CB8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03975C0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现状调查</w:t>
            </w: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24F9349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区域污染源</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01B7C59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调查项目</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2FBF0B4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数据来源</w:t>
            </w:r>
          </w:p>
        </w:tc>
      </w:tr>
      <w:tr w14:paraId="3C44B6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FDFC553">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1A4BE3B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560" w:type="dxa"/>
            <w:gridSpan w:val="2"/>
            <w:tcBorders>
              <w:top w:val="single" w:color="auto" w:sz="6" w:space="0"/>
              <w:left w:val="single" w:color="auto" w:sz="6" w:space="0"/>
              <w:bottom w:val="single" w:color="auto" w:sz="6" w:space="0"/>
              <w:right w:val="single" w:color="auto" w:sz="6" w:space="0"/>
            </w:tcBorders>
            <w:noWrap w:val="0"/>
            <w:vAlign w:val="center"/>
          </w:tcPr>
          <w:p w14:paraId="7EAA237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已建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；在建 □；拟建 □；其他 □</w:t>
            </w:r>
          </w:p>
        </w:tc>
        <w:tc>
          <w:tcPr>
            <w:tcW w:w="2561" w:type="dxa"/>
            <w:gridSpan w:val="3"/>
            <w:tcBorders>
              <w:top w:val="single" w:color="auto" w:sz="6" w:space="0"/>
              <w:left w:val="single" w:color="auto" w:sz="6" w:space="0"/>
              <w:bottom w:val="single" w:color="auto" w:sz="6" w:space="0"/>
              <w:right w:val="single" w:color="auto" w:sz="6" w:space="0"/>
            </w:tcBorders>
            <w:noWrap w:val="0"/>
            <w:vAlign w:val="center"/>
          </w:tcPr>
          <w:p w14:paraId="0756511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拟替代的污染源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0FFB9BF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排污许可证 □；环评 □；环保验收 □；既有实测 □；现场监测 □；入河排放口数据 □；其他 □</w:t>
            </w:r>
          </w:p>
        </w:tc>
      </w:tr>
      <w:tr w14:paraId="1DFB27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B3149C5">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2092FC2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受影响水体水环境质量 </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2A07F5B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调查时期</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24B9436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数据来源</w:t>
            </w:r>
          </w:p>
        </w:tc>
      </w:tr>
      <w:tr w14:paraId="4AB084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46D57A0">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1D35024B">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73CF059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 xml:space="preserve">丰水期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；平水期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；枯水期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；冰封期 </w:t>
            </w:r>
            <w:r>
              <w:rPr>
                <w:rFonts w:hint="default" w:ascii="Times New Roman" w:hAnsi="Times New Roman" w:eastAsia="宋体" w:cs="Times New Roman"/>
                <w:color w:val="auto"/>
                <w:kern w:val="0"/>
                <w:sz w:val="21"/>
                <w:szCs w:val="21"/>
                <w:highlight w:val="none"/>
                <w:lang w:bidi="ar"/>
              </w:rPr>
              <w:sym w:font="Wingdings 2" w:char="00A3"/>
            </w:r>
          </w:p>
          <w:p w14:paraId="512FBEA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春季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；夏季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；秋季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；冬季 </w:t>
            </w:r>
            <w:r>
              <w:rPr>
                <w:rFonts w:hint="default" w:ascii="Times New Roman" w:hAnsi="Times New Roman" w:eastAsia="宋体" w:cs="Times New Roman"/>
                <w:color w:val="auto"/>
                <w:kern w:val="0"/>
                <w:sz w:val="21"/>
                <w:szCs w:val="21"/>
                <w:highlight w:val="none"/>
                <w:lang w:bidi="ar"/>
              </w:rPr>
              <w:sym w:font="Wingdings 2" w:char="0052"/>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7F75F72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生态环境保护主管部门 </w:t>
            </w:r>
            <w:r>
              <w:rPr>
                <w:rFonts w:hint="default" w:ascii="Times New Roman" w:hAnsi="Times New Roman" w:eastAsia="宋体" w:cs="Times New Roman"/>
                <w:color w:val="auto"/>
                <w:kern w:val="0"/>
                <w:sz w:val="21"/>
                <w:szCs w:val="21"/>
                <w:highlight w:val="none"/>
                <w:lang w:bidi="ar"/>
              </w:rPr>
              <w:sym w:font="Wingdings 2" w:char="00A3"/>
            </w:r>
            <w:r>
              <w:rPr>
                <w:rFonts w:hint="default" w:ascii="Times New Roman" w:hAnsi="Times New Roman" w:eastAsia="宋体" w:cs="Times New Roman"/>
                <w:color w:val="auto"/>
                <w:kern w:val="0"/>
                <w:sz w:val="21"/>
                <w:szCs w:val="21"/>
                <w:highlight w:val="none"/>
                <w:lang w:bidi="ar"/>
              </w:rPr>
              <w:t>；补充监测 □；其他 □</w:t>
            </w:r>
          </w:p>
        </w:tc>
      </w:tr>
      <w:tr w14:paraId="72097C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33D45ED9">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1926908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区域水资源开发利用状况</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0880ABA1">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未开发 □；开发量40%以下 □；开发量40%以上 □</w:t>
            </w:r>
          </w:p>
        </w:tc>
      </w:tr>
      <w:tr w14:paraId="6EE8A2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64CD6808">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53F3877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水文情势调查 </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6C63E36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调查时期</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35F1BCC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数据来源</w:t>
            </w:r>
          </w:p>
        </w:tc>
      </w:tr>
      <w:tr w14:paraId="28A1F5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693A48E5">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70A5C8E5">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4FF94D3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丰水期 □；平水期 □；枯水期 □；冰封期 □</w:t>
            </w:r>
          </w:p>
          <w:p w14:paraId="006BFBC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春季 □；夏季 □；秋季 □；冬季 □</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0BCC7F6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水行政主管部门 □；补充监测 □；其他 □</w:t>
            </w:r>
          </w:p>
        </w:tc>
      </w:tr>
      <w:tr w14:paraId="078924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CC51DB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26645B6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补充监测 </w:t>
            </w: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659C0CA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监测时期</w:t>
            </w:r>
          </w:p>
        </w:tc>
        <w:tc>
          <w:tcPr>
            <w:tcW w:w="3123" w:type="dxa"/>
            <w:gridSpan w:val="5"/>
            <w:tcBorders>
              <w:top w:val="single" w:color="auto" w:sz="6" w:space="0"/>
              <w:left w:val="single" w:color="auto" w:sz="6" w:space="0"/>
              <w:bottom w:val="single" w:color="auto" w:sz="6" w:space="0"/>
              <w:right w:val="single" w:color="auto" w:sz="6" w:space="0"/>
            </w:tcBorders>
            <w:noWrap/>
            <w:vAlign w:val="center"/>
          </w:tcPr>
          <w:p w14:paraId="72B9445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监测因子</w:t>
            </w:r>
          </w:p>
        </w:tc>
        <w:tc>
          <w:tcPr>
            <w:tcW w:w="1998" w:type="dxa"/>
            <w:gridSpan w:val="2"/>
            <w:tcBorders>
              <w:top w:val="single" w:color="auto" w:sz="6" w:space="0"/>
              <w:left w:val="single" w:color="auto" w:sz="6" w:space="0"/>
              <w:bottom w:val="single" w:color="auto" w:sz="6" w:space="0"/>
              <w:right w:val="single" w:color="auto" w:sz="12" w:space="0"/>
            </w:tcBorders>
            <w:noWrap/>
            <w:vAlign w:val="center"/>
          </w:tcPr>
          <w:p w14:paraId="7CAE1B9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监测断面或点位</w:t>
            </w:r>
          </w:p>
        </w:tc>
      </w:tr>
      <w:tr w14:paraId="544A69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8B49A9A">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11ADEBA4">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463F743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丰水期 □；平水期 □；枯水期 □；冰封期 □</w:t>
            </w:r>
          </w:p>
          <w:p w14:paraId="4F21869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春季 □；夏季 □；秋季 □；冬季 □</w:t>
            </w:r>
          </w:p>
        </w:tc>
        <w:tc>
          <w:tcPr>
            <w:tcW w:w="3123" w:type="dxa"/>
            <w:gridSpan w:val="5"/>
            <w:tcBorders>
              <w:top w:val="single" w:color="auto" w:sz="6" w:space="0"/>
              <w:left w:val="single" w:color="auto" w:sz="6" w:space="0"/>
              <w:bottom w:val="single" w:color="auto" w:sz="6" w:space="0"/>
              <w:right w:val="single" w:color="auto" w:sz="6" w:space="0"/>
            </w:tcBorders>
            <w:noWrap/>
            <w:vAlign w:val="center"/>
          </w:tcPr>
          <w:p w14:paraId="590B0B69">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1998" w:type="dxa"/>
            <w:gridSpan w:val="2"/>
            <w:tcBorders>
              <w:top w:val="single" w:color="auto" w:sz="6" w:space="0"/>
              <w:left w:val="single" w:color="auto" w:sz="6" w:space="0"/>
              <w:bottom w:val="single" w:color="auto" w:sz="6" w:space="0"/>
              <w:right w:val="single" w:color="auto" w:sz="12" w:space="0"/>
            </w:tcBorders>
            <w:noWrap/>
            <w:vAlign w:val="center"/>
          </w:tcPr>
          <w:p w14:paraId="4C54A2A6">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监测断面或点位个数（   ）个</w:t>
            </w:r>
          </w:p>
        </w:tc>
      </w:tr>
      <w:tr w14:paraId="3DEAF3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49DE725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现状评价</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5E537C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评价范围</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14BCA7B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河流：长度（）km；湖库、河口及近岸海域：面积（   ）km</w:t>
            </w:r>
            <w:r>
              <w:rPr>
                <w:rFonts w:hint="default" w:ascii="Times New Roman" w:hAnsi="Times New Roman" w:eastAsia="宋体" w:cs="Times New Roman"/>
                <w:color w:val="auto"/>
                <w:kern w:val="0"/>
                <w:sz w:val="21"/>
                <w:szCs w:val="21"/>
                <w:highlight w:val="none"/>
                <w:vertAlign w:val="superscript"/>
                <w:lang w:bidi="ar"/>
              </w:rPr>
              <w:t>2</w:t>
            </w:r>
          </w:p>
        </w:tc>
      </w:tr>
      <w:tr w14:paraId="1926A1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1AE75CE">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CD266C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评价因子</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66FFC735">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rPr>
              <w:t>pH、溶解氧、电导率、浊度、高锰酸盐指数、化学需氧量、五日生化需氧量、氨氮、总磷、铜、锌、氟化物、硒、砷、汞、镉、六价铬、铅、氰化物、挥发酚、石油类、阴离子表面活性剂和硫化物</w:t>
            </w:r>
            <w:r>
              <w:rPr>
                <w:rFonts w:hint="default" w:ascii="Times New Roman" w:hAnsi="Times New Roman" w:eastAsia="宋体" w:cs="Times New Roman"/>
                <w:color w:val="auto"/>
                <w:kern w:val="0"/>
                <w:sz w:val="21"/>
                <w:szCs w:val="21"/>
                <w:highlight w:val="none"/>
                <w:lang w:bidi="ar"/>
              </w:rPr>
              <w:t>）</w:t>
            </w:r>
          </w:p>
        </w:tc>
      </w:tr>
      <w:tr w14:paraId="13E1A8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D7A0FA5">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5685386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评价标准</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133AE64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河流、湖库、河口：Ⅰ类 □；Ⅱ类 □；Ⅲ类√</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Ⅳ类 □；Ⅴ类 □</w:t>
            </w:r>
          </w:p>
          <w:p w14:paraId="26F1CB6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近岸海域：第一类 □；第二类 □；第三类 □；第四类 □</w:t>
            </w:r>
          </w:p>
          <w:p w14:paraId="122790C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规划年评价标准（   ）</w:t>
            </w:r>
          </w:p>
        </w:tc>
      </w:tr>
      <w:tr w14:paraId="04256C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75E9C0DB">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7F02EFB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评价时期</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510006CE">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 xml:space="preserve">丰水期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；平水期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；枯水期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；冰封期 </w:t>
            </w:r>
            <w:r>
              <w:rPr>
                <w:rFonts w:hint="default" w:ascii="Times New Roman" w:hAnsi="Times New Roman" w:eastAsia="宋体" w:cs="Times New Roman"/>
                <w:color w:val="auto"/>
                <w:kern w:val="0"/>
                <w:sz w:val="21"/>
                <w:szCs w:val="21"/>
                <w:highlight w:val="none"/>
                <w:lang w:bidi="ar"/>
              </w:rPr>
              <w:sym w:font="Wingdings 2" w:char="0052"/>
            </w:r>
          </w:p>
          <w:p w14:paraId="4E7DC51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春季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；夏季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；秋季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；冬季 </w:t>
            </w:r>
            <w:r>
              <w:rPr>
                <w:rFonts w:hint="default" w:ascii="Times New Roman" w:hAnsi="Times New Roman" w:eastAsia="宋体" w:cs="Times New Roman"/>
                <w:color w:val="auto"/>
                <w:kern w:val="0"/>
                <w:sz w:val="21"/>
                <w:szCs w:val="21"/>
                <w:highlight w:val="none"/>
                <w:lang w:bidi="ar"/>
              </w:rPr>
              <w:sym w:font="Wingdings 2" w:char="0052"/>
            </w:r>
          </w:p>
        </w:tc>
      </w:tr>
      <w:tr w14:paraId="57C5F6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F5A294C">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512BB32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评价结论</w:t>
            </w:r>
          </w:p>
        </w:tc>
        <w:tc>
          <w:tcPr>
            <w:tcW w:w="8809" w:type="dxa"/>
            <w:gridSpan w:val="11"/>
            <w:tcBorders>
              <w:top w:val="single" w:color="auto" w:sz="6" w:space="0"/>
              <w:left w:val="single" w:color="auto" w:sz="6" w:space="0"/>
              <w:bottom w:val="single" w:color="auto" w:sz="6" w:space="0"/>
              <w:right w:val="single" w:color="auto" w:sz="6" w:space="0"/>
            </w:tcBorders>
            <w:noWrap w:val="0"/>
            <w:vAlign w:val="center"/>
          </w:tcPr>
          <w:p w14:paraId="7B6C10CE">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 xml:space="preserve">水环境功能区或水功能区、近岸海域环境功能区水质达标状况 ：达标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；不达标 □</w:t>
            </w:r>
          </w:p>
          <w:p w14:paraId="5CD92CE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 xml:space="preserve">水环境控制单元或断面水质达标状况 ：达标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；不达标 □</w:t>
            </w:r>
          </w:p>
          <w:p w14:paraId="2A59FE6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水环境保护目标质量状况 ：达标 □；不达标 □</w:t>
            </w:r>
          </w:p>
          <w:p w14:paraId="7D19CAB1">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对照断面、控制断面等代表性断面的水质状况 ：达标 □；不达标 □</w:t>
            </w:r>
          </w:p>
          <w:p w14:paraId="181CD861">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底泥污染评价 □</w:t>
            </w:r>
          </w:p>
          <w:p w14:paraId="0C6BCE68">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水资源与开发利用程度及其水文情势评价 □</w:t>
            </w:r>
          </w:p>
          <w:p w14:paraId="7168F1B0">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水环境质量回顾评价 □</w:t>
            </w:r>
          </w:p>
          <w:p w14:paraId="16C4A3E2">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流域（区域）水资源（包括水能资源）与开发利用总体状况、生态流量管理要求与现状满足程度、建设项目占用水域空间的水流状况与河湖演变状况 □</w:t>
            </w:r>
          </w:p>
          <w:p w14:paraId="3315155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依托污水处理设施稳定达标排放评价 □</w:t>
            </w:r>
          </w:p>
        </w:tc>
        <w:tc>
          <w:tcPr>
            <w:tcW w:w="1433" w:type="dxa"/>
            <w:tcBorders>
              <w:top w:val="single" w:color="auto" w:sz="6" w:space="0"/>
              <w:left w:val="single" w:color="auto" w:sz="6" w:space="0"/>
              <w:bottom w:val="single" w:color="auto" w:sz="6" w:space="0"/>
              <w:right w:val="single" w:color="auto" w:sz="12" w:space="0"/>
            </w:tcBorders>
            <w:noWrap w:val="0"/>
            <w:vAlign w:val="center"/>
          </w:tcPr>
          <w:p w14:paraId="446352F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达标区 □</w:t>
            </w:r>
          </w:p>
          <w:p w14:paraId="0795A898">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不达标区 □</w:t>
            </w:r>
          </w:p>
        </w:tc>
      </w:tr>
      <w:tr w14:paraId="5DC252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34135C7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影响预测</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2968CBD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预测范围</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39062407">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河流：长度（   ）km；湖库、河口及近岸海域：面积（   ）km</w:t>
            </w:r>
            <w:r>
              <w:rPr>
                <w:rFonts w:hint="default" w:ascii="Times New Roman" w:hAnsi="Times New Roman" w:eastAsia="宋体" w:cs="Times New Roman"/>
                <w:color w:val="auto"/>
                <w:kern w:val="0"/>
                <w:sz w:val="21"/>
                <w:szCs w:val="21"/>
                <w:highlight w:val="none"/>
                <w:vertAlign w:val="superscript"/>
                <w:lang w:bidi="ar"/>
              </w:rPr>
              <w:t>2</w:t>
            </w:r>
          </w:p>
        </w:tc>
      </w:tr>
      <w:tr w14:paraId="0857EA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BFB094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5801099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预测因子</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56F7434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r>
      <w:tr w14:paraId="24A387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427D8948">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7094630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预测时期</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50A5BDF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丰水期 □；平水期 □；枯水期 □；冰封期 □</w:t>
            </w:r>
          </w:p>
          <w:p w14:paraId="1B7A2C20">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春季 □；夏季 □；秋季 □；冬季 □</w:t>
            </w:r>
          </w:p>
          <w:p w14:paraId="3732E98E">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设计水文条件 □</w:t>
            </w:r>
          </w:p>
        </w:tc>
      </w:tr>
      <w:tr w14:paraId="3BF4DD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CDB2BD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162D6CF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预测情景</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0D30FC4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建设期 □；生产运行期 □；服务期满后 □</w:t>
            </w:r>
          </w:p>
          <w:p w14:paraId="480BE10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正常工况 □；非正常工况 □</w:t>
            </w:r>
          </w:p>
          <w:p w14:paraId="70B85B7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污染控制和减缓措施方案 □</w:t>
            </w:r>
          </w:p>
          <w:p w14:paraId="41E62E17">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区（流）域环境质量改善目标要求情景 □</w:t>
            </w:r>
          </w:p>
        </w:tc>
      </w:tr>
      <w:tr w14:paraId="4E9381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62F15AE3">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1397BCE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预测方法</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48BF67FA">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数值解 □：解析解 □；其他 □</w:t>
            </w:r>
          </w:p>
          <w:p w14:paraId="66213BF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导则推荐模式 □：其他 □</w:t>
            </w:r>
          </w:p>
        </w:tc>
      </w:tr>
      <w:tr w14:paraId="10E519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76B8AE1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影响评价</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28B9FD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水污染控制和水环境影响减缓措施有效性评价</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5D44E5D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区（流）域水环境质量改善目标 □；替代削减源 □</w:t>
            </w:r>
          </w:p>
        </w:tc>
      </w:tr>
      <w:tr w14:paraId="5B1930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0BA5327">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61CAB0E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水环境影响评价</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69EFF99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排放口混合区外满足水环境管理要求 □</w:t>
            </w:r>
          </w:p>
          <w:p w14:paraId="0D2986D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水环境功能区或水功能区、近岸海域环境功能区水质达标 □</w:t>
            </w:r>
          </w:p>
          <w:p w14:paraId="15908A0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满足水环境保护目标水域水环境质量要求 □</w:t>
            </w:r>
          </w:p>
          <w:p w14:paraId="244F316E">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水环境控制单元或断面水质达标 □</w:t>
            </w:r>
          </w:p>
          <w:p w14:paraId="5F3522E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满足重点水污染物排放总量控制指标要求，重点行业建设项目， 主要污染物排放满足等量或减量替代要求 □</w:t>
            </w:r>
          </w:p>
          <w:p w14:paraId="76299C00">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满足区（流）域水环境质量改善目标要求 □</w:t>
            </w:r>
          </w:p>
          <w:p w14:paraId="54927E0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水文要素影响型建设项目同时应包括水文情势变化评价、主要水文特征值影响评价、生态流量符合性评价 □</w:t>
            </w:r>
          </w:p>
          <w:p w14:paraId="163D0C31">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对于新设或调整入河（湖库、近岸海域）排放口的建设项目，应包括排放口设置的环境合理性评价 □</w:t>
            </w:r>
          </w:p>
          <w:p w14:paraId="4E588568">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满足生态保护红线、水环境质量底线、资源利用上线和环境准入清单管理要求 □</w:t>
            </w:r>
          </w:p>
        </w:tc>
      </w:tr>
      <w:tr w14:paraId="0F0830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FBF1890">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6652CB0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污染源排放量核算</w:t>
            </w:r>
          </w:p>
        </w:tc>
        <w:tc>
          <w:tcPr>
            <w:tcW w:w="3414" w:type="dxa"/>
            <w:gridSpan w:val="3"/>
            <w:tcBorders>
              <w:top w:val="single" w:color="auto" w:sz="6" w:space="0"/>
              <w:left w:val="single" w:color="auto" w:sz="6" w:space="0"/>
              <w:bottom w:val="single" w:color="auto" w:sz="6" w:space="0"/>
              <w:right w:val="single" w:color="auto" w:sz="6" w:space="0"/>
            </w:tcBorders>
            <w:noWrap/>
            <w:vAlign w:val="center"/>
          </w:tcPr>
          <w:p w14:paraId="3C3CAD1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污染物名称</w:t>
            </w:r>
          </w:p>
        </w:tc>
        <w:tc>
          <w:tcPr>
            <w:tcW w:w="3414" w:type="dxa"/>
            <w:gridSpan w:val="5"/>
            <w:tcBorders>
              <w:top w:val="single" w:color="auto" w:sz="6" w:space="0"/>
              <w:left w:val="single" w:color="auto" w:sz="6" w:space="0"/>
              <w:bottom w:val="single" w:color="auto" w:sz="6" w:space="0"/>
              <w:right w:val="single" w:color="auto" w:sz="6" w:space="0"/>
            </w:tcBorders>
            <w:noWrap w:val="0"/>
            <w:vAlign w:val="center"/>
          </w:tcPr>
          <w:p w14:paraId="5C393E5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排放量/（</w:t>
            </w:r>
            <w:r>
              <w:rPr>
                <w:rFonts w:hint="default" w:ascii="Times New Roman" w:hAnsi="Times New Roman" w:eastAsia="宋体" w:cs="Times New Roman"/>
                <w:color w:val="auto"/>
                <w:sz w:val="21"/>
                <w:szCs w:val="21"/>
                <w:highlight w:val="none"/>
                <w:lang w:bidi="ar"/>
              </w:rPr>
              <w:t>t/a</w:t>
            </w:r>
            <w:r>
              <w:rPr>
                <w:rFonts w:hint="default" w:ascii="Times New Roman" w:hAnsi="Times New Roman" w:eastAsia="宋体" w:cs="Times New Roman"/>
                <w:color w:val="auto"/>
                <w:kern w:val="0"/>
                <w:sz w:val="21"/>
                <w:szCs w:val="21"/>
                <w:highlight w:val="none"/>
                <w:lang w:bidi="ar"/>
              </w:rPr>
              <w:t>）</w:t>
            </w:r>
          </w:p>
        </w:tc>
        <w:tc>
          <w:tcPr>
            <w:tcW w:w="3414" w:type="dxa"/>
            <w:gridSpan w:val="4"/>
            <w:tcBorders>
              <w:top w:val="single" w:color="auto" w:sz="6" w:space="0"/>
              <w:left w:val="single" w:color="auto" w:sz="6" w:space="0"/>
              <w:bottom w:val="single" w:color="auto" w:sz="6" w:space="0"/>
              <w:right w:val="single" w:color="auto" w:sz="12" w:space="0"/>
            </w:tcBorders>
            <w:noWrap w:val="0"/>
            <w:vAlign w:val="center"/>
          </w:tcPr>
          <w:p w14:paraId="74C13FA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排放浓度/（mg/L）</w:t>
            </w:r>
          </w:p>
        </w:tc>
      </w:tr>
      <w:tr w14:paraId="18B193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B48A60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3FD11EDD">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3414" w:type="dxa"/>
            <w:gridSpan w:val="3"/>
            <w:tcBorders>
              <w:top w:val="single" w:color="auto" w:sz="6" w:space="0"/>
              <w:left w:val="single" w:color="auto" w:sz="6" w:space="0"/>
              <w:bottom w:val="single" w:color="auto" w:sz="6" w:space="0"/>
              <w:right w:val="single" w:color="auto" w:sz="6" w:space="0"/>
            </w:tcBorders>
            <w:noWrap/>
            <w:vAlign w:val="center"/>
          </w:tcPr>
          <w:p w14:paraId="7541D14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p>
        </w:tc>
        <w:tc>
          <w:tcPr>
            <w:tcW w:w="3414" w:type="dxa"/>
            <w:gridSpan w:val="5"/>
            <w:tcBorders>
              <w:top w:val="single" w:color="auto" w:sz="6" w:space="0"/>
              <w:left w:val="single" w:color="auto" w:sz="6" w:space="0"/>
              <w:bottom w:val="single" w:color="auto" w:sz="6" w:space="0"/>
              <w:right w:val="single" w:color="auto" w:sz="6" w:space="0"/>
            </w:tcBorders>
            <w:noWrap w:val="0"/>
            <w:vAlign w:val="center"/>
          </w:tcPr>
          <w:p w14:paraId="6117ABE5">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p>
        </w:tc>
        <w:tc>
          <w:tcPr>
            <w:tcW w:w="3414" w:type="dxa"/>
            <w:gridSpan w:val="4"/>
            <w:tcBorders>
              <w:top w:val="single" w:color="auto" w:sz="6" w:space="0"/>
              <w:left w:val="single" w:color="auto" w:sz="6" w:space="0"/>
              <w:bottom w:val="single" w:color="auto" w:sz="6" w:space="0"/>
              <w:right w:val="single" w:color="auto" w:sz="12" w:space="0"/>
            </w:tcBorders>
            <w:noWrap w:val="0"/>
            <w:vAlign w:val="center"/>
          </w:tcPr>
          <w:p w14:paraId="4B59CFD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p>
        </w:tc>
      </w:tr>
      <w:tr w14:paraId="608ECD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BCBB58C">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15551C5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替代源排放情况</w:t>
            </w:r>
          </w:p>
        </w:tc>
        <w:tc>
          <w:tcPr>
            <w:tcW w:w="2048" w:type="dxa"/>
            <w:tcBorders>
              <w:top w:val="single" w:color="auto" w:sz="6" w:space="0"/>
              <w:left w:val="single" w:color="auto" w:sz="6" w:space="0"/>
              <w:bottom w:val="single" w:color="auto" w:sz="6" w:space="0"/>
              <w:right w:val="single" w:color="auto" w:sz="6" w:space="0"/>
            </w:tcBorders>
            <w:noWrap/>
            <w:vAlign w:val="center"/>
          </w:tcPr>
          <w:p w14:paraId="23682E9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污染源名称</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14:paraId="6EEC22B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排污许可证编号</w:t>
            </w:r>
          </w:p>
        </w:tc>
        <w:tc>
          <w:tcPr>
            <w:tcW w:w="2049" w:type="dxa"/>
            <w:gridSpan w:val="2"/>
            <w:tcBorders>
              <w:top w:val="single" w:color="auto" w:sz="6" w:space="0"/>
              <w:left w:val="single" w:color="auto" w:sz="6" w:space="0"/>
              <w:bottom w:val="single" w:color="auto" w:sz="6" w:space="0"/>
              <w:right w:val="single" w:color="auto" w:sz="6" w:space="0"/>
            </w:tcBorders>
            <w:noWrap w:val="0"/>
            <w:vAlign w:val="center"/>
          </w:tcPr>
          <w:p w14:paraId="233B4ED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污染物名称</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14:paraId="5CAE6D1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排放量/（</w:t>
            </w:r>
            <w:r>
              <w:rPr>
                <w:rFonts w:hint="default" w:ascii="Times New Roman" w:hAnsi="Times New Roman" w:eastAsia="宋体" w:cs="Times New Roman"/>
                <w:color w:val="auto"/>
                <w:sz w:val="21"/>
                <w:szCs w:val="21"/>
                <w:highlight w:val="none"/>
                <w:lang w:bidi="ar"/>
              </w:rPr>
              <w:t>t/a</w:t>
            </w:r>
            <w:r>
              <w:rPr>
                <w:rFonts w:hint="default" w:ascii="Times New Roman" w:hAnsi="Times New Roman" w:eastAsia="宋体" w:cs="Times New Roman"/>
                <w:color w:val="auto"/>
                <w:kern w:val="0"/>
                <w:sz w:val="21"/>
                <w:szCs w:val="21"/>
                <w:highlight w:val="none"/>
                <w:lang w:bidi="ar"/>
              </w:rPr>
              <w:t>）</w:t>
            </w:r>
          </w:p>
        </w:tc>
        <w:tc>
          <w:tcPr>
            <w:tcW w:w="2049" w:type="dxa"/>
            <w:gridSpan w:val="3"/>
            <w:tcBorders>
              <w:top w:val="single" w:color="auto" w:sz="6" w:space="0"/>
              <w:left w:val="single" w:color="auto" w:sz="6" w:space="0"/>
              <w:bottom w:val="single" w:color="auto" w:sz="6" w:space="0"/>
              <w:right w:val="single" w:color="auto" w:sz="12" w:space="0"/>
            </w:tcBorders>
            <w:noWrap w:val="0"/>
            <w:vAlign w:val="center"/>
          </w:tcPr>
          <w:p w14:paraId="74D409E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排放浓度/（mg/L）</w:t>
            </w:r>
          </w:p>
        </w:tc>
      </w:tr>
      <w:tr w14:paraId="4EF8E7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3C026D43">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6D3C2C39">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048" w:type="dxa"/>
            <w:tcBorders>
              <w:top w:val="single" w:color="auto" w:sz="6" w:space="0"/>
              <w:left w:val="single" w:color="auto" w:sz="6" w:space="0"/>
              <w:bottom w:val="single" w:color="auto" w:sz="6" w:space="0"/>
              <w:right w:val="single" w:color="auto" w:sz="6" w:space="0"/>
            </w:tcBorders>
            <w:noWrap/>
            <w:vAlign w:val="center"/>
          </w:tcPr>
          <w:p w14:paraId="30F4A8B8">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14:paraId="21DA2B5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2049" w:type="dxa"/>
            <w:gridSpan w:val="2"/>
            <w:tcBorders>
              <w:top w:val="single" w:color="auto" w:sz="6" w:space="0"/>
              <w:left w:val="single" w:color="auto" w:sz="6" w:space="0"/>
              <w:bottom w:val="single" w:color="auto" w:sz="6" w:space="0"/>
              <w:right w:val="single" w:color="auto" w:sz="6" w:space="0"/>
            </w:tcBorders>
            <w:noWrap w:val="0"/>
            <w:vAlign w:val="center"/>
          </w:tcPr>
          <w:p w14:paraId="0DCB4535">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14:paraId="2EF3D0C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2049" w:type="dxa"/>
            <w:gridSpan w:val="3"/>
            <w:tcBorders>
              <w:top w:val="single" w:color="auto" w:sz="6" w:space="0"/>
              <w:left w:val="single" w:color="auto" w:sz="6" w:space="0"/>
              <w:bottom w:val="single" w:color="auto" w:sz="6" w:space="0"/>
              <w:right w:val="single" w:color="auto" w:sz="12" w:space="0"/>
            </w:tcBorders>
            <w:noWrap w:val="0"/>
            <w:vAlign w:val="center"/>
          </w:tcPr>
          <w:p w14:paraId="2E4CE35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r>
      <w:tr w14:paraId="534C89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3764827B">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5BBB779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生态流量确定</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34266B59">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生态流量：一般水期（   ）m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/s；鱼类繁殖期（   ）m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/s；其他（   ）m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/s</w:t>
            </w:r>
          </w:p>
          <w:p w14:paraId="1E0FE49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生态水位：一般水期（   ）m；鱼类繁殖期（   ）m；其他（   ）m</w:t>
            </w:r>
          </w:p>
        </w:tc>
      </w:tr>
      <w:tr w14:paraId="0462F8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16F2898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防治措施</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6123B51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环保措施</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0508A6E0">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污水处理设施 □；水文减缓设施 □；生态流量保障设施 □；区域削减 □；依托其他工程措施 □；其他 </w:t>
            </w:r>
            <w:r>
              <w:rPr>
                <w:rFonts w:hint="default" w:ascii="Times New Roman" w:hAnsi="Times New Roman" w:eastAsia="宋体" w:cs="Times New Roman"/>
                <w:color w:val="auto"/>
                <w:kern w:val="0"/>
                <w:sz w:val="21"/>
                <w:szCs w:val="21"/>
                <w:highlight w:val="none"/>
                <w:lang w:bidi="ar"/>
              </w:rPr>
              <w:sym w:font="Wingdings 2" w:char="0052"/>
            </w:r>
          </w:p>
        </w:tc>
      </w:tr>
      <w:tr w14:paraId="2B7DD8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8EB9CBF">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322ADBA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监测计划</w:t>
            </w: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14:paraId="623D9B0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p>
        </w:tc>
        <w:tc>
          <w:tcPr>
            <w:tcW w:w="3841" w:type="dxa"/>
            <w:gridSpan w:val="5"/>
            <w:tcBorders>
              <w:top w:val="single" w:color="auto" w:sz="6" w:space="0"/>
              <w:left w:val="single" w:color="auto" w:sz="6" w:space="0"/>
              <w:bottom w:val="single" w:color="auto" w:sz="6" w:space="0"/>
              <w:right w:val="single" w:color="auto" w:sz="6" w:space="0"/>
            </w:tcBorders>
            <w:noWrap w:val="0"/>
            <w:vAlign w:val="center"/>
          </w:tcPr>
          <w:p w14:paraId="3C0DB10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环境质量</w:t>
            </w:r>
          </w:p>
        </w:tc>
        <w:tc>
          <w:tcPr>
            <w:tcW w:w="3841" w:type="dxa"/>
            <w:gridSpan w:val="5"/>
            <w:tcBorders>
              <w:top w:val="single" w:color="auto" w:sz="6" w:space="0"/>
              <w:left w:val="single" w:color="auto" w:sz="6" w:space="0"/>
              <w:bottom w:val="single" w:color="auto" w:sz="6" w:space="0"/>
              <w:right w:val="single" w:color="auto" w:sz="12" w:space="0"/>
            </w:tcBorders>
            <w:noWrap w:val="0"/>
            <w:vAlign w:val="center"/>
          </w:tcPr>
          <w:p w14:paraId="36926EE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w:t>
            </w:r>
          </w:p>
        </w:tc>
      </w:tr>
      <w:tr w14:paraId="4EDBD4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60BFB29">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707865DA">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14:paraId="0FEA7DE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监测方式</w:t>
            </w:r>
          </w:p>
        </w:tc>
        <w:tc>
          <w:tcPr>
            <w:tcW w:w="3841" w:type="dxa"/>
            <w:gridSpan w:val="5"/>
            <w:tcBorders>
              <w:top w:val="single" w:color="auto" w:sz="6" w:space="0"/>
              <w:left w:val="single" w:color="auto" w:sz="6" w:space="0"/>
              <w:bottom w:val="single" w:color="auto" w:sz="6" w:space="0"/>
              <w:right w:val="single" w:color="auto" w:sz="6" w:space="0"/>
            </w:tcBorders>
            <w:noWrap w:val="0"/>
            <w:vAlign w:val="center"/>
          </w:tcPr>
          <w:p w14:paraId="3927119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手动□；自动 □；无监测 </w:t>
            </w:r>
            <w:r>
              <w:rPr>
                <w:rFonts w:hint="default" w:ascii="Times New Roman" w:hAnsi="Times New Roman" w:eastAsia="宋体" w:cs="Times New Roman"/>
                <w:color w:val="auto"/>
                <w:kern w:val="0"/>
                <w:sz w:val="21"/>
                <w:szCs w:val="21"/>
                <w:highlight w:val="none"/>
                <w:lang w:bidi="ar"/>
              </w:rPr>
              <w:sym w:font="Wingdings 2" w:char="00A3"/>
            </w:r>
          </w:p>
        </w:tc>
        <w:tc>
          <w:tcPr>
            <w:tcW w:w="3841" w:type="dxa"/>
            <w:gridSpan w:val="5"/>
            <w:tcBorders>
              <w:top w:val="single" w:color="auto" w:sz="6" w:space="0"/>
              <w:left w:val="single" w:color="auto" w:sz="6" w:space="0"/>
              <w:bottom w:val="single" w:color="auto" w:sz="6" w:space="0"/>
              <w:right w:val="single" w:color="auto" w:sz="12" w:space="0"/>
            </w:tcBorders>
            <w:noWrap w:val="0"/>
            <w:vAlign w:val="center"/>
          </w:tcPr>
          <w:p w14:paraId="231D0A0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手动□；自动□；无监测 </w:t>
            </w:r>
            <w:r>
              <w:rPr>
                <w:rFonts w:hint="default" w:ascii="Times New Roman" w:hAnsi="Times New Roman" w:eastAsia="宋体" w:cs="Times New Roman"/>
                <w:color w:val="auto"/>
                <w:kern w:val="0"/>
                <w:sz w:val="21"/>
                <w:szCs w:val="21"/>
                <w:highlight w:val="none"/>
                <w:lang w:bidi="ar"/>
              </w:rPr>
              <w:sym w:font="Wingdings 2" w:char="0052"/>
            </w:r>
          </w:p>
        </w:tc>
      </w:tr>
      <w:tr w14:paraId="01740E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B11ACE0">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592D1C6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14:paraId="1E70428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监测点位</w:t>
            </w:r>
          </w:p>
        </w:tc>
        <w:tc>
          <w:tcPr>
            <w:tcW w:w="3841" w:type="dxa"/>
            <w:gridSpan w:val="5"/>
            <w:tcBorders>
              <w:top w:val="single" w:color="auto" w:sz="6" w:space="0"/>
              <w:left w:val="single" w:color="auto" w:sz="6" w:space="0"/>
              <w:bottom w:val="single" w:color="auto" w:sz="6" w:space="0"/>
              <w:right w:val="single" w:color="auto" w:sz="6" w:space="0"/>
            </w:tcBorders>
            <w:noWrap w:val="0"/>
            <w:vAlign w:val="center"/>
          </w:tcPr>
          <w:p w14:paraId="6330C09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3841" w:type="dxa"/>
            <w:gridSpan w:val="5"/>
            <w:tcBorders>
              <w:top w:val="single" w:color="auto" w:sz="6" w:space="0"/>
              <w:left w:val="single" w:color="auto" w:sz="6" w:space="0"/>
              <w:bottom w:val="single" w:color="auto" w:sz="6" w:space="0"/>
              <w:right w:val="single" w:color="auto" w:sz="12" w:space="0"/>
            </w:tcBorders>
            <w:noWrap w:val="0"/>
            <w:vAlign w:val="center"/>
          </w:tcPr>
          <w:p w14:paraId="7BA518F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w:t>
            </w:r>
          </w:p>
        </w:tc>
      </w:tr>
      <w:tr w14:paraId="7997E9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1155932C">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175F93B7">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14:paraId="3EFEBC3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监测因子</w:t>
            </w:r>
          </w:p>
        </w:tc>
        <w:tc>
          <w:tcPr>
            <w:tcW w:w="3841" w:type="dxa"/>
            <w:gridSpan w:val="5"/>
            <w:tcBorders>
              <w:top w:val="single" w:color="auto" w:sz="6" w:space="0"/>
              <w:left w:val="single" w:color="auto" w:sz="6" w:space="0"/>
              <w:bottom w:val="single" w:color="auto" w:sz="6" w:space="0"/>
              <w:right w:val="single" w:color="auto" w:sz="6" w:space="0"/>
            </w:tcBorders>
            <w:noWrap w:val="0"/>
            <w:vAlign w:val="top"/>
          </w:tcPr>
          <w:p w14:paraId="3F22E0C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3841" w:type="dxa"/>
            <w:gridSpan w:val="5"/>
            <w:tcBorders>
              <w:top w:val="single" w:color="auto" w:sz="6" w:space="0"/>
              <w:left w:val="single" w:color="auto" w:sz="6" w:space="0"/>
              <w:bottom w:val="single" w:color="auto" w:sz="6" w:space="0"/>
              <w:right w:val="single" w:color="auto" w:sz="12" w:space="0"/>
            </w:tcBorders>
            <w:noWrap w:val="0"/>
            <w:vAlign w:val="top"/>
          </w:tcPr>
          <w:p w14:paraId="0A1437C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w:t>
            </w:r>
          </w:p>
        </w:tc>
      </w:tr>
      <w:tr w14:paraId="0BE29B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40043A69">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3BBCF2A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污染物排放清单</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6F19851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sym w:font="Wingdings 2" w:char="0052"/>
            </w:r>
          </w:p>
        </w:tc>
      </w:tr>
      <w:tr w14:paraId="2E2544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7" w:type="dxa"/>
            <w:gridSpan w:val="2"/>
            <w:tcBorders>
              <w:top w:val="single" w:color="auto" w:sz="6" w:space="0"/>
              <w:left w:val="single" w:color="auto" w:sz="12" w:space="0"/>
              <w:bottom w:val="single" w:color="auto" w:sz="12" w:space="0"/>
              <w:right w:val="single" w:color="auto" w:sz="6" w:space="0"/>
            </w:tcBorders>
            <w:noWrap/>
            <w:vAlign w:val="center"/>
          </w:tcPr>
          <w:p w14:paraId="4E4370C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评价结论</w:t>
            </w:r>
          </w:p>
        </w:tc>
        <w:tc>
          <w:tcPr>
            <w:tcW w:w="10242" w:type="dxa"/>
            <w:gridSpan w:val="12"/>
            <w:tcBorders>
              <w:top w:val="single" w:color="auto" w:sz="6" w:space="0"/>
              <w:left w:val="single" w:color="auto" w:sz="6" w:space="0"/>
              <w:bottom w:val="single" w:color="auto" w:sz="12" w:space="0"/>
              <w:right w:val="single" w:color="auto" w:sz="12" w:space="0"/>
            </w:tcBorders>
            <w:noWrap/>
            <w:vAlign w:val="center"/>
          </w:tcPr>
          <w:p w14:paraId="37ACFD7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可以接受 √</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不可以接受 □</w:t>
            </w:r>
          </w:p>
        </w:tc>
      </w:tr>
      <w:tr w14:paraId="080B58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619" w:type="dxa"/>
            <w:gridSpan w:val="14"/>
            <w:tcBorders>
              <w:top w:val="single" w:color="auto" w:sz="12" w:space="0"/>
              <w:left w:val="single" w:color="auto" w:sz="12" w:space="0"/>
              <w:bottom w:val="single" w:color="auto" w:sz="12" w:space="0"/>
              <w:right w:val="single" w:color="auto" w:sz="12" w:space="0"/>
            </w:tcBorders>
            <w:noWrap/>
            <w:vAlign w:val="center"/>
          </w:tcPr>
          <w:p w14:paraId="77E34F69">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注：</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为勾选项，可打√；</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   ）</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为内容填写项；</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备注</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为其他补充内容。</w:t>
            </w:r>
          </w:p>
        </w:tc>
      </w:tr>
    </w:tbl>
    <w:p w14:paraId="6FEE55B1">
      <w:pPr>
        <w:pStyle w:val="4"/>
        <w:outlineLvl w:val="0"/>
        <w:rPr>
          <w:rStyle w:val="461"/>
          <w:rFonts w:hint="default" w:ascii="Times New Roman" w:hAnsi="Times New Roman" w:eastAsia="宋体" w:cs="Times New Roman"/>
          <w:b/>
          <w:bCs/>
          <w:color w:val="auto"/>
          <w:highlight w:val="none"/>
        </w:rPr>
        <w:sectPr>
          <w:headerReference r:id="rId21" w:type="first"/>
          <w:footerReference r:id="rId24" w:type="first"/>
          <w:headerReference r:id="rId19" w:type="default"/>
          <w:footerReference r:id="rId22" w:type="default"/>
          <w:headerReference r:id="rId20" w:type="even"/>
          <w:footerReference r:id="rId23" w:type="even"/>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720" w:num="1"/>
          <w:rtlGutter w:val="0"/>
          <w:docGrid w:type="lines" w:linePitch="332" w:charSpace="0"/>
        </w:sectPr>
      </w:pPr>
      <w:bookmarkStart w:id="1336" w:name="_Toc22080"/>
    </w:p>
    <w:p w14:paraId="37F47C67">
      <w:pPr>
        <w:pStyle w:val="4"/>
        <w:bidi w:val="0"/>
        <w:rPr>
          <w:rFonts w:hint="default" w:ascii="Times New Roman" w:hAnsi="Times New Roman" w:eastAsia="宋体" w:cs="Times New Roman"/>
          <w:snapToGrid w:val="0"/>
          <w:color w:val="auto"/>
          <w:highlight w:val="none"/>
          <w:lang w:val="zh-CN"/>
        </w:rPr>
      </w:pPr>
      <w:bookmarkStart w:id="1337" w:name="_Toc28296"/>
      <w:bookmarkStart w:id="1338" w:name="_Toc26105"/>
      <w:bookmarkStart w:id="1339" w:name="_Toc25894"/>
      <w:bookmarkStart w:id="1340" w:name="_Toc14416"/>
      <w:bookmarkStart w:id="1341" w:name="_Toc30132"/>
      <w:r>
        <w:rPr>
          <w:rFonts w:hint="default" w:ascii="Times New Roman" w:hAnsi="Times New Roman" w:eastAsia="宋体" w:cs="Times New Roman"/>
          <w:snapToGrid w:val="0"/>
          <w:color w:val="auto"/>
          <w:highlight w:val="none"/>
          <w:lang w:val="zh-CN"/>
        </w:rPr>
        <w:t>附件5</w:t>
      </w:r>
      <w:r>
        <w:rPr>
          <w:rFonts w:hint="default" w:ascii="Times New Roman" w:hAnsi="Times New Roman" w:eastAsia="宋体" w:cs="Times New Roman"/>
          <w:snapToGrid w:val="0"/>
          <w:color w:val="auto"/>
          <w:highlight w:val="none"/>
          <w:lang w:val="en-US"/>
        </w:rPr>
        <w:t xml:space="preserve"> </w:t>
      </w:r>
      <w:r>
        <w:rPr>
          <w:rFonts w:hint="default" w:ascii="Times New Roman" w:hAnsi="Times New Roman" w:eastAsia="宋体" w:cs="Times New Roman"/>
          <w:snapToGrid w:val="0"/>
          <w:color w:val="auto"/>
          <w:highlight w:val="none"/>
          <w:lang w:val="zh-CN"/>
        </w:rPr>
        <w:t>声环境影响评价自查表</w:t>
      </w:r>
      <w:bookmarkEnd w:id="1336"/>
      <w:bookmarkEnd w:id="1337"/>
      <w:bookmarkEnd w:id="1338"/>
      <w:bookmarkEnd w:id="1339"/>
      <w:bookmarkEnd w:id="1340"/>
      <w:bookmarkEnd w:id="1341"/>
    </w:p>
    <w:tbl>
      <w:tblPr>
        <w:tblStyle w:val="48"/>
        <w:tblW w:w="5222"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967"/>
        <w:gridCol w:w="1369"/>
        <w:gridCol w:w="1061"/>
        <w:gridCol w:w="533"/>
        <w:gridCol w:w="305"/>
        <w:gridCol w:w="228"/>
        <w:gridCol w:w="1036"/>
        <w:gridCol w:w="1083"/>
        <w:gridCol w:w="535"/>
        <w:gridCol w:w="496"/>
        <w:gridCol w:w="1097"/>
      </w:tblGrid>
      <w:tr w14:paraId="64B04E4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2318" w:type="dxa"/>
            <w:gridSpan w:val="2"/>
            <w:tcBorders>
              <w:top w:val="single" w:color="000000" w:sz="12" w:space="0"/>
              <w:left w:val="single" w:color="000000" w:sz="12" w:space="0"/>
              <w:bottom w:val="single" w:color="000000" w:sz="12" w:space="0"/>
              <w:right w:val="single" w:color="000000" w:sz="4" w:space="0"/>
            </w:tcBorders>
            <w:noWrap w:val="0"/>
            <w:vAlign w:val="center"/>
          </w:tcPr>
          <w:p w14:paraId="4ED1309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工作内容</w:t>
            </w:r>
          </w:p>
        </w:tc>
        <w:tc>
          <w:tcPr>
            <w:tcW w:w="6320" w:type="dxa"/>
            <w:gridSpan w:val="9"/>
            <w:tcBorders>
              <w:top w:val="single" w:color="000000" w:sz="12" w:space="0"/>
              <w:left w:val="single" w:color="000000" w:sz="4" w:space="0"/>
              <w:bottom w:val="single" w:color="000000" w:sz="12" w:space="0"/>
              <w:right w:val="single" w:color="000000" w:sz="12" w:space="0"/>
            </w:tcBorders>
            <w:noWrap w:val="0"/>
            <w:vAlign w:val="center"/>
          </w:tcPr>
          <w:p w14:paraId="78893306">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自查项目</w:t>
            </w:r>
          </w:p>
        </w:tc>
      </w:tr>
      <w:tr w14:paraId="56B085F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restart"/>
            <w:tcBorders>
              <w:top w:val="single" w:color="000000" w:sz="12" w:space="0"/>
              <w:left w:val="single" w:color="000000" w:sz="12" w:space="0"/>
              <w:bottom w:val="single" w:color="000000" w:sz="4" w:space="0"/>
              <w:right w:val="single" w:color="000000" w:sz="4" w:space="0"/>
            </w:tcBorders>
            <w:noWrap w:val="0"/>
            <w:vAlign w:val="center"/>
          </w:tcPr>
          <w:p w14:paraId="26D8AFD9">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评价等级与范围</w:t>
            </w:r>
          </w:p>
        </w:tc>
        <w:tc>
          <w:tcPr>
            <w:tcW w:w="1358" w:type="dxa"/>
            <w:tcBorders>
              <w:top w:val="single" w:color="000000" w:sz="12" w:space="0"/>
              <w:left w:val="single" w:color="000000" w:sz="4" w:space="0"/>
              <w:bottom w:val="single" w:color="000000" w:sz="4" w:space="0"/>
              <w:right w:val="single" w:color="000000" w:sz="4" w:space="0"/>
            </w:tcBorders>
            <w:noWrap w:val="0"/>
            <w:vAlign w:val="center"/>
          </w:tcPr>
          <w:p w14:paraId="62EFA40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评价等级</w:t>
            </w:r>
          </w:p>
        </w:tc>
        <w:tc>
          <w:tcPr>
            <w:tcW w:w="6320" w:type="dxa"/>
            <w:gridSpan w:val="9"/>
            <w:tcBorders>
              <w:top w:val="single" w:color="000000" w:sz="12" w:space="0"/>
              <w:left w:val="single" w:color="000000" w:sz="4" w:space="0"/>
              <w:bottom w:val="single" w:color="000000" w:sz="4" w:space="0"/>
              <w:right w:val="single" w:color="000000" w:sz="12" w:space="0"/>
            </w:tcBorders>
            <w:noWrap w:val="0"/>
            <w:vAlign w:val="center"/>
          </w:tcPr>
          <w:p w14:paraId="26DE0D81">
            <w:pPr>
              <w:keepNext w:val="0"/>
              <w:keepLines w:val="0"/>
              <w:pageBreakBefore w:val="0"/>
              <w:widowControl/>
              <w:tabs>
                <w:tab w:val="left" w:pos="2103"/>
                <w:tab w:val="left" w:pos="3635"/>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一级</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二</w:t>
            </w:r>
            <w:r>
              <w:rPr>
                <w:rFonts w:hint="default" w:ascii="Times New Roman" w:hAnsi="Times New Roman" w:eastAsia="宋体" w:cs="Times New Roman"/>
                <w:color w:val="auto"/>
                <w:spacing w:val="-3"/>
                <w:sz w:val="21"/>
                <w:szCs w:val="21"/>
                <w:highlight w:val="none"/>
              </w:rPr>
              <w:t>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三级</w:t>
            </w:r>
            <w:r>
              <w:rPr>
                <w:rFonts w:hint="default" w:ascii="Times New Roman" w:hAnsi="Times New Roman" w:eastAsia="宋体" w:cs="Times New Roman"/>
                <w:color w:val="auto"/>
                <w:sz w:val="21"/>
                <w:szCs w:val="21"/>
                <w:highlight w:val="none"/>
              </w:rPr>
              <w:sym w:font="Wingdings 2" w:char="00A3"/>
            </w:r>
          </w:p>
        </w:tc>
      </w:tr>
      <w:tr w14:paraId="7B26EF4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12" w:space="0"/>
              <w:left w:val="single" w:color="000000" w:sz="12" w:space="0"/>
              <w:bottom w:val="single" w:color="000000" w:sz="4" w:space="0"/>
              <w:right w:val="single" w:color="000000" w:sz="4" w:space="0"/>
            </w:tcBorders>
            <w:noWrap w:val="0"/>
            <w:vAlign w:val="center"/>
          </w:tcPr>
          <w:p w14:paraId="66BD2BD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26D43DE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评价范围</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6BFEC52F">
            <w:pPr>
              <w:keepNext w:val="0"/>
              <w:keepLines w:val="0"/>
              <w:pageBreakBefore w:val="0"/>
              <w:widowControl/>
              <w:tabs>
                <w:tab w:val="left" w:pos="2384"/>
                <w:tab w:val="left" w:pos="5315"/>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200</w:t>
            </w:r>
            <w:r>
              <w:rPr>
                <w:rFonts w:hint="default" w:ascii="Times New Roman" w:hAnsi="Times New Roman" w:eastAsia="宋体" w:cs="Times New Roman"/>
                <w:color w:val="auto"/>
                <w:spacing w:val="-2"/>
                <w:sz w:val="21"/>
                <w:szCs w:val="21"/>
                <w:highlight w:val="none"/>
              </w:rPr>
              <w:t xml:space="preserve"> </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pacing w:val="-3"/>
                <w:sz w:val="21"/>
                <w:szCs w:val="21"/>
                <w:highlight w:val="none"/>
              </w:rPr>
              <w:t>大</w:t>
            </w:r>
            <w:r>
              <w:rPr>
                <w:rFonts w:hint="default" w:ascii="Times New Roman" w:hAnsi="Times New Roman" w:eastAsia="宋体" w:cs="Times New Roman"/>
                <w:color w:val="auto"/>
                <w:sz w:val="21"/>
                <w:szCs w:val="21"/>
                <w:highlight w:val="none"/>
              </w:rPr>
              <w:t>于</w:t>
            </w:r>
            <w:r>
              <w:rPr>
                <w:rFonts w:hint="default" w:ascii="Times New Roman" w:hAnsi="Times New Roman" w:eastAsia="宋体" w:cs="Times New Roman"/>
                <w:color w:val="auto"/>
                <w:spacing w:val="-46"/>
                <w:sz w:val="21"/>
                <w:szCs w:val="21"/>
                <w:highlight w:val="none"/>
              </w:rPr>
              <w:t xml:space="preserve"> </w:t>
            </w:r>
            <w:r>
              <w:rPr>
                <w:rFonts w:hint="default" w:ascii="Times New Roman" w:hAnsi="Times New Roman" w:eastAsia="宋体" w:cs="Times New Roman"/>
                <w:color w:val="auto"/>
                <w:sz w:val="21"/>
                <w:szCs w:val="21"/>
                <w:highlight w:val="none"/>
              </w:rPr>
              <w:t>200 m□</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小于</w:t>
            </w:r>
            <w:r>
              <w:rPr>
                <w:rFonts w:hint="default" w:ascii="Times New Roman" w:hAnsi="Times New Roman" w:eastAsia="宋体" w:cs="Times New Roman"/>
                <w:color w:val="auto"/>
                <w:spacing w:val="-48"/>
                <w:sz w:val="21"/>
                <w:szCs w:val="21"/>
                <w:highlight w:val="none"/>
              </w:rPr>
              <w:t xml:space="preserve"> </w:t>
            </w:r>
            <w:r>
              <w:rPr>
                <w:rFonts w:hint="default" w:ascii="Times New Roman" w:hAnsi="Times New Roman" w:eastAsia="宋体" w:cs="Times New Roman"/>
                <w:color w:val="auto"/>
                <w:sz w:val="21"/>
                <w:szCs w:val="21"/>
                <w:highlight w:val="none"/>
              </w:rPr>
              <w:t>200 m□</w:t>
            </w:r>
          </w:p>
        </w:tc>
      </w:tr>
      <w:tr w14:paraId="643EF30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tcBorders>
              <w:top w:val="single" w:color="000000" w:sz="4" w:space="0"/>
              <w:left w:val="single" w:color="000000" w:sz="12" w:space="0"/>
              <w:bottom w:val="single" w:color="000000" w:sz="4" w:space="0"/>
              <w:right w:val="single" w:color="000000" w:sz="4" w:space="0"/>
            </w:tcBorders>
            <w:noWrap w:val="0"/>
            <w:vAlign w:val="center"/>
          </w:tcPr>
          <w:p w14:paraId="58E87490">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评价因子</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CC67FA6">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评价因子</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364B3B34">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等效连续A声级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最大A声级□</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计权等效连续感觉噪声级□</w:t>
            </w:r>
          </w:p>
        </w:tc>
      </w:tr>
      <w:tr w14:paraId="7D6B7F2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tcBorders>
              <w:top w:val="single" w:color="000000" w:sz="4" w:space="0"/>
              <w:left w:val="single" w:color="000000" w:sz="12" w:space="0"/>
              <w:bottom w:val="single" w:color="000000" w:sz="4" w:space="0"/>
              <w:right w:val="single" w:color="000000" w:sz="4" w:space="0"/>
            </w:tcBorders>
            <w:noWrap w:val="0"/>
            <w:vAlign w:val="center"/>
          </w:tcPr>
          <w:p w14:paraId="41D90EF8">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评价标准</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3046CF4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评价标准</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21F312C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国家标准</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地方标准□</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国外标准□</w:t>
            </w:r>
          </w:p>
        </w:tc>
      </w:tr>
      <w:tr w14:paraId="1A49CEB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restart"/>
            <w:tcBorders>
              <w:top w:val="single" w:color="000000" w:sz="4" w:space="0"/>
              <w:left w:val="single" w:color="000000" w:sz="12" w:space="0"/>
              <w:bottom w:val="single" w:color="000000" w:sz="4" w:space="0"/>
              <w:right w:val="single" w:color="000000" w:sz="4" w:space="0"/>
            </w:tcBorders>
            <w:noWrap w:val="0"/>
            <w:vAlign w:val="center"/>
          </w:tcPr>
          <w:p w14:paraId="6A446894">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现状评价</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0D07C820">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环境功能区</w:t>
            </w:r>
          </w:p>
        </w:tc>
        <w:tc>
          <w:tcPr>
            <w:tcW w:w="1052" w:type="dxa"/>
            <w:tcBorders>
              <w:top w:val="single" w:color="000000" w:sz="4" w:space="0"/>
              <w:left w:val="single" w:color="000000" w:sz="4" w:space="0"/>
              <w:bottom w:val="single" w:color="000000" w:sz="4" w:space="0"/>
              <w:right w:val="single" w:color="000000" w:sz="4" w:space="0"/>
            </w:tcBorders>
            <w:noWrap w:val="0"/>
            <w:vAlign w:val="center"/>
          </w:tcPr>
          <w:p w14:paraId="18E8B0A0">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0 类区□</w:t>
            </w:r>
          </w:p>
        </w:tc>
        <w:tc>
          <w:tcPr>
            <w:tcW w:w="1058" w:type="dxa"/>
            <w:gridSpan w:val="3"/>
            <w:tcBorders>
              <w:top w:val="single" w:color="000000" w:sz="4" w:space="0"/>
              <w:left w:val="single" w:color="000000" w:sz="4" w:space="0"/>
              <w:bottom w:val="single" w:color="000000" w:sz="4" w:space="0"/>
              <w:right w:val="single" w:color="000000" w:sz="4" w:space="0"/>
            </w:tcBorders>
            <w:noWrap w:val="0"/>
            <w:vAlign w:val="center"/>
          </w:tcPr>
          <w:p w14:paraId="70EB4A9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1 类区</w:t>
            </w:r>
            <w:r>
              <w:rPr>
                <w:rFonts w:hint="default" w:ascii="Times New Roman" w:hAnsi="Times New Roman" w:eastAsia="宋体" w:cs="Times New Roman"/>
                <w:color w:val="auto"/>
                <w:sz w:val="21"/>
                <w:szCs w:val="21"/>
                <w:highlight w:val="none"/>
              </w:rPr>
              <w:sym w:font="Wingdings 2" w:char="0052"/>
            </w:r>
          </w:p>
        </w:tc>
        <w:tc>
          <w:tcPr>
            <w:tcW w:w="1027" w:type="dxa"/>
            <w:tcBorders>
              <w:top w:val="single" w:color="000000" w:sz="4" w:space="0"/>
              <w:left w:val="single" w:color="000000" w:sz="4" w:space="0"/>
              <w:bottom w:val="single" w:color="000000" w:sz="4" w:space="0"/>
              <w:right w:val="single" w:color="000000" w:sz="4" w:space="0"/>
            </w:tcBorders>
            <w:noWrap w:val="0"/>
            <w:vAlign w:val="center"/>
          </w:tcPr>
          <w:p w14:paraId="43989A25">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2 类区</w:t>
            </w:r>
            <w:r>
              <w:rPr>
                <w:rFonts w:hint="default" w:ascii="Times New Roman" w:hAnsi="Times New Roman" w:eastAsia="宋体" w:cs="Times New Roman"/>
                <w:color w:val="auto"/>
                <w:sz w:val="21"/>
                <w:szCs w:val="21"/>
                <w:highlight w:val="none"/>
              </w:rPr>
              <w:sym w:font="Wingdings 2" w:char="00A3"/>
            </w:r>
          </w:p>
        </w:tc>
        <w:tc>
          <w:tcPr>
            <w:tcW w:w="1075" w:type="dxa"/>
            <w:tcBorders>
              <w:top w:val="single" w:color="000000" w:sz="4" w:space="0"/>
              <w:left w:val="single" w:color="000000" w:sz="4" w:space="0"/>
              <w:bottom w:val="single" w:color="000000" w:sz="4" w:space="0"/>
              <w:right w:val="single" w:color="000000" w:sz="4" w:space="0"/>
            </w:tcBorders>
            <w:noWrap w:val="0"/>
            <w:vAlign w:val="center"/>
          </w:tcPr>
          <w:p w14:paraId="6ABCD7E5">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3 类区□</w:t>
            </w:r>
          </w:p>
        </w:tc>
        <w:tc>
          <w:tcPr>
            <w:tcW w:w="1021" w:type="dxa"/>
            <w:gridSpan w:val="2"/>
            <w:tcBorders>
              <w:top w:val="single" w:color="000000" w:sz="4" w:space="0"/>
              <w:left w:val="single" w:color="000000" w:sz="4" w:space="0"/>
              <w:bottom w:val="single" w:color="000000" w:sz="4" w:space="0"/>
              <w:right w:val="single" w:color="000000" w:sz="4" w:space="0"/>
            </w:tcBorders>
            <w:noWrap w:val="0"/>
            <w:vAlign w:val="center"/>
          </w:tcPr>
          <w:p w14:paraId="5733870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4a 类区□</w:t>
            </w:r>
          </w:p>
        </w:tc>
        <w:tc>
          <w:tcPr>
            <w:tcW w:w="1087" w:type="dxa"/>
            <w:tcBorders>
              <w:top w:val="single" w:color="000000" w:sz="4" w:space="0"/>
              <w:left w:val="single" w:color="000000" w:sz="4" w:space="0"/>
              <w:bottom w:val="single" w:color="000000" w:sz="4" w:space="0"/>
              <w:right w:val="single" w:color="000000" w:sz="12" w:space="0"/>
            </w:tcBorders>
            <w:noWrap w:val="0"/>
            <w:vAlign w:val="center"/>
          </w:tcPr>
          <w:p w14:paraId="389AD365">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4b 类区□</w:t>
            </w:r>
          </w:p>
        </w:tc>
      </w:tr>
      <w:tr w14:paraId="28DD23F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38139312">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B57195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评价年度</w:t>
            </w:r>
          </w:p>
        </w:tc>
        <w:tc>
          <w:tcPr>
            <w:tcW w:w="1580" w:type="dxa"/>
            <w:gridSpan w:val="2"/>
            <w:tcBorders>
              <w:top w:val="single" w:color="000000" w:sz="4" w:space="0"/>
              <w:left w:val="single" w:color="000000" w:sz="4" w:space="0"/>
              <w:bottom w:val="single" w:color="000000" w:sz="4" w:space="0"/>
              <w:right w:val="single" w:color="000000" w:sz="4" w:space="0"/>
            </w:tcBorders>
            <w:noWrap w:val="0"/>
            <w:vAlign w:val="center"/>
          </w:tcPr>
          <w:p w14:paraId="633B07F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初期□</w:t>
            </w:r>
          </w:p>
        </w:tc>
        <w:tc>
          <w:tcPr>
            <w:tcW w:w="1557" w:type="dxa"/>
            <w:gridSpan w:val="3"/>
            <w:tcBorders>
              <w:top w:val="single" w:color="000000" w:sz="4" w:space="0"/>
              <w:left w:val="single" w:color="000000" w:sz="4" w:space="0"/>
              <w:bottom w:val="single" w:color="000000" w:sz="4" w:space="0"/>
              <w:right w:val="single" w:color="000000" w:sz="4" w:space="0"/>
            </w:tcBorders>
            <w:noWrap w:val="0"/>
            <w:vAlign w:val="center"/>
          </w:tcPr>
          <w:p w14:paraId="4E3CE826">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近期</w:t>
            </w:r>
            <w:r>
              <w:rPr>
                <w:rFonts w:hint="default" w:ascii="Times New Roman" w:hAnsi="Times New Roman" w:eastAsia="宋体" w:cs="Times New Roman"/>
                <w:color w:val="auto"/>
                <w:sz w:val="21"/>
                <w:szCs w:val="21"/>
                <w:highlight w:val="none"/>
              </w:rPr>
              <w:sym w:font="Wingdings 2" w:char="0052"/>
            </w:r>
          </w:p>
        </w:tc>
        <w:tc>
          <w:tcPr>
            <w:tcW w:w="1605" w:type="dxa"/>
            <w:gridSpan w:val="2"/>
            <w:tcBorders>
              <w:top w:val="single" w:color="000000" w:sz="4" w:space="0"/>
              <w:left w:val="single" w:color="000000" w:sz="4" w:space="0"/>
              <w:bottom w:val="single" w:color="000000" w:sz="4" w:space="0"/>
              <w:right w:val="single" w:color="000000" w:sz="4" w:space="0"/>
            </w:tcBorders>
            <w:noWrap w:val="0"/>
            <w:vAlign w:val="center"/>
          </w:tcPr>
          <w:p w14:paraId="7A4E08DA">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中期□</w:t>
            </w:r>
          </w:p>
        </w:tc>
        <w:tc>
          <w:tcPr>
            <w:tcW w:w="1578" w:type="dxa"/>
            <w:gridSpan w:val="2"/>
            <w:tcBorders>
              <w:top w:val="single" w:color="000000" w:sz="4" w:space="0"/>
              <w:left w:val="single" w:color="000000" w:sz="4" w:space="0"/>
              <w:bottom w:val="single" w:color="000000" w:sz="4" w:space="0"/>
              <w:right w:val="single" w:color="000000" w:sz="12" w:space="0"/>
            </w:tcBorders>
            <w:noWrap w:val="0"/>
            <w:vAlign w:val="center"/>
          </w:tcPr>
          <w:p w14:paraId="0826739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远期□</w:t>
            </w:r>
          </w:p>
        </w:tc>
      </w:tr>
      <w:tr w14:paraId="74594F5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6525C48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28FAD90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现状调查方法</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25AEB71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现场实测法</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现场实测加模型计算法□</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收集资料□</w:t>
            </w:r>
          </w:p>
        </w:tc>
      </w:tr>
      <w:tr w14:paraId="07D9BF8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6F381EED">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1264BA2B">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现状评价</w:t>
            </w:r>
          </w:p>
        </w:tc>
        <w:tc>
          <w:tcPr>
            <w:tcW w:w="1883" w:type="dxa"/>
            <w:gridSpan w:val="3"/>
            <w:tcBorders>
              <w:top w:val="single" w:color="000000" w:sz="4" w:space="0"/>
              <w:left w:val="single" w:color="000000" w:sz="4" w:space="0"/>
              <w:bottom w:val="single" w:color="000000" w:sz="4" w:space="0"/>
              <w:right w:val="single" w:color="000000" w:sz="4" w:space="0"/>
            </w:tcBorders>
            <w:noWrap w:val="0"/>
            <w:vAlign w:val="center"/>
          </w:tcPr>
          <w:p w14:paraId="6871C15C">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达标百分比</w:t>
            </w:r>
          </w:p>
        </w:tc>
        <w:tc>
          <w:tcPr>
            <w:tcW w:w="4437" w:type="dxa"/>
            <w:gridSpan w:val="6"/>
            <w:tcBorders>
              <w:top w:val="single" w:color="000000" w:sz="4" w:space="0"/>
              <w:left w:val="single" w:color="000000" w:sz="4" w:space="0"/>
              <w:bottom w:val="single" w:color="000000" w:sz="4" w:space="0"/>
              <w:right w:val="single" w:color="000000" w:sz="12" w:space="0"/>
            </w:tcBorders>
            <w:noWrap w:val="0"/>
            <w:vAlign w:val="center"/>
          </w:tcPr>
          <w:p w14:paraId="5328BAD5">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bidi="zh-CN"/>
              </w:rPr>
            </w:pPr>
            <w:r>
              <w:rPr>
                <w:rFonts w:hint="default" w:ascii="Times New Roman" w:hAnsi="Times New Roman" w:eastAsia="宋体" w:cs="Times New Roman"/>
                <w:color w:val="auto"/>
                <w:sz w:val="21"/>
                <w:szCs w:val="21"/>
                <w:highlight w:val="none"/>
                <w:lang w:bidi="zh-CN"/>
              </w:rPr>
              <w:t>100%</w:t>
            </w:r>
          </w:p>
        </w:tc>
      </w:tr>
      <w:tr w14:paraId="2EF7EC4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tcBorders>
              <w:top w:val="single" w:color="000000" w:sz="4" w:space="0"/>
              <w:left w:val="single" w:color="000000" w:sz="12" w:space="0"/>
              <w:bottom w:val="single" w:color="000000" w:sz="4" w:space="0"/>
              <w:right w:val="single" w:color="000000" w:sz="4" w:space="0"/>
            </w:tcBorders>
            <w:noWrap w:val="0"/>
            <w:vAlign w:val="center"/>
          </w:tcPr>
          <w:p w14:paraId="0614E19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噪声源调查</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26AAD85C">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噪声源调查方法</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7F52A64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现场实测</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已有资料</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研究成果□</w:t>
            </w:r>
          </w:p>
        </w:tc>
      </w:tr>
      <w:tr w14:paraId="165E3B8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restart"/>
            <w:tcBorders>
              <w:top w:val="single" w:color="000000" w:sz="4" w:space="0"/>
              <w:left w:val="single" w:color="000000" w:sz="12" w:space="0"/>
              <w:bottom w:val="single" w:color="000000" w:sz="4" w:space="0"/>
              <w:right w:val="single" w:color="000000" w:sz="4" w:space="0"/>
            </w:tcBorders>
            <w:noWrap w:val="0"/>
            <w:vAlign w:val="center"/>
          </w:tcPr>
          <w:p w14:paraId="7619F01F">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声环境影响预测与评价</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BF32798">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预测模型</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4BC624A4">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en-US" w:eastAsia="zh-CN" w:bidi="zh-CN"/>
              </w:rPr>
            </w:pPr>
            <w:r>
              <w:rPr>
                <w:rFonts w:hint="default" w:ascii="Times New Roman" w:hAnsi="Times New Roman" w:eastAsia="宋体" w:cs="Times New Roman"/>
                <w:color w:val="auto"/>
                <w:sz w:val="21"/>
                <w:szCs w:val="21"/>
                <w:highlight w:val="none"/>
              </w:rPr>
              <w:t>导则推荐模型</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其他□</w:t>
            </w:r>
            <w:r>
              <w:rPr>
                <w:rFonts w:hint="default" w:ascii="Times New Roman" w:hAnsi="Times New Roman" w:eastAsia="宋体" w:cs="Times New Roman"/>
                <w:color w:val="auto"/>
                <w:sz w:val="21"/>
                <w:szCs w:val="21"/>
                <w:highlight w:val="none"/>
                <w:lang w:val="en-US" w:eastAsia="zh-CN"/>
              </w:rPr>
              <w:t xml:space="preserve">     </w:t>
            </w:r>
          </w:p>
        </w:tc>
      </w:tr>
      <w:tr w14:paraId="0E6542F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10916E5D">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7F05C21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预测范围</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5527B694">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200</w:t>
            </w:r>
            <w:r>
              <w:rPr>
                <w:rFonts w:hint="default" w:ascii="Times New Roman" w:hAnsi="Times New Roman" w:eastAsia="宋体" w:cs="Times New Roman"/>
                <w:color w:val="auto"/>
                <w:spacing w:val="-2"/>
                <w:sz w:val="21"/>
                <w:szCs w:val="21"/>
                <w:highlight w:val="none"/>
              </w:rPr>
              <w:t xml:space="preserve"> </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pacing w:val="-3"/>
                <w:sz w:val="21"/>
                <w:szCs w:val="21"/>
                <w:highlight w:val="none"/>
              </w:rPr>
              <w:t>大</w:t>
            </w:r>
            <w:r>
              <w:rPr>
                <w:rFonts w:hint="default" w:ascii="Times New Roman" w:hAnsi="Times New Roman" w:eastAsia="宋体" w:cs="Times New Roman"/>
                <w:color w:val="auto"/>
                <w:sz w:val="21"/>
                <w:szCs w:val="21"/>
                <w:highlight w:val="none"/>
              </w:rPr>
              <w:t>于</w:t>
            </w:r>
            <w:r>
              <w:rPr>
                <w:rFonts w:hint="default" w:ascii="Times New Roman" w:hAnsi="Times New Roman" w:eastAsia="宋体" w:cs="Times New Roman"/>
                <w:color w:val="auto"/>
                <w:spacing w:val="-46"/>
                <w:sz w:val="21"/>
                <w:szCs w:val="21"/>
                <w:highlight w:val="none"/>
              </w:rPr>
              <w:t xml:space="preserve"> </w:t>
            </w:r>
            <w:r>
              <w:rPr>
                <w:rFonts w:hint="default" w:ascii="Times New Roman" w:hAnsi="Times New Roman" w:eastAsia="宋体" w:cs="Times New Roman"/>
                <w:color w:val="auto"/>
                <w:sz w:val="21"/>
                <w:szCs w:val="21"/>
                <w:highlight w:val="none"/>
              </w:rPr>
              <w:t>200 m□</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小于</w:t>
            </w:r>
            <w:r>
              <w:rPr>
                <w:rFonts w:hint="default" w:ascii="Times New Roman" w:hAnsi="Times New Roman" w:eastAsia="宋体" w:cs="Times New Roman"/>
                <w:color w:val="auto"/>
                <w:spacing w:val="-48"/>
                <w:sz w:val="21"/>
                <w:szCs w:val="21"/>
                <w:highlight w:val="none"/>
              </w:rPr>
              <w:t xml:space="preserve"> </w:t>
            </w:r>
            <w:r>
              <w:rPr>
                <w:rFonts w:hint="default" w:ascii="Times New Roman" w:hAnsi="Times New Roman" w:eastAsia="宋体" w:cs="Times New Roman"/>
                <w:color w:val="auto"/>
                <w:sz w:val="21"/>
                <w:szCs w:val="21"/>
                <w:highlight w:val="none"/>
              </w:rPr>
              <w:t>200 m□</w:t>
            </w:r>
          </w:p>
        </w:tc>
      </w:tr>
      <w:tr w14:paraId="7858619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58E4589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08F4D438">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预测因子</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17EB2CFF">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等效连续A声级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最大A声级□</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计权等效连续感觉噪声级□</w:t>
            </w:r>
          </w:p>
        </w:tc>
      </w:tr>
      <w:tr w14:paraId="7FBF76A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3E6929D6">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2078E93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厂界噪声贡献值</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54375E3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达标</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不达标□</w:t>
            </w:r>
          </w:p>
        </w:tc>
      </w:tr>
      <w:tr w14:paraId="54B2B0E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38C3A3F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D448FB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声环境保护目标处噪声值</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20AE4B59">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达标</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不达标□</w:t>
            </w:r>
          </w:p>
        </w:tc>
      </w:tr>
      <w:tr w14:paraId="107DA4A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restart"/>
            <w:tcBorders>
              <w:top w:val="single" w:color="000000" w:sz="4" w:space="0"/>
              <w:left w:val="single" w:color="000000" w:sz="12" w:space="0"/>
              <w:bottom w:val="single" w:color="000000" w:sz="4" w:space="0"/>
              <w:right w:val="single" w:color="000000" w:sz="4" w:space="0"/>
            </w:tcBorders>
            <w:noWrap w:val="0"/>
            <w:vAlign w:val="center"/>
          </w:tcPr>
          <w:p w14:paraId="6E9447C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环境监测计划</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EB79EC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排放监测</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0E896953">
            <w:pPr>
              <w:keepNext w:val="0"/>
              <w:keepLines w:val="0"/>
              <w:pageBreakBefore w:val="0"/>
              <w:widowControl/>
              <w:tabs>
                <w:tab w:val="left" w:pos="1621"/>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厂界监测</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固定位置监</w:t>
            </w:r>
            <w:r>
              <w:rPr>
                <w:rFonts w:hint="default" w:ascii="Times New Roman" w:hAnsi="Times New Roman" w:eastAsia="宋体" w:cs="Times New Roman"/>
                <w:color w:val="auto"/>
                <w:spacing w:val="-3"/>
                <w:sz w:val="21"/>
                <w:szCs w:val="21"/>
                <w:highlight w:val="none"/>
              </w:rPr>
              <w:t>测</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自动监测□</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手动监测</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无监测□</w:t>
            </w:r>
          </w:p>
        </w:tc>
      </w:tr>
      <w:tr w14:paraId="4CADA4C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618062E0">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5C2A738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声环境保护目标处噪声监测</w:t>
            </w:r>
          </w:p>
        </w:tc>
        <w:tc>
          <w:tcPr>
            <w:tcW w:w="3137" w:type="dxa"/>
            <w:gridSpan w:val="5"/>
            <w:tcBorders>
              <w:top w:val="single" w:color="000000" w:sz="4" w:space="0"/>
              <w:left w:val="single" w:color="000000" w:sz="4" w:space="0"/>
              <w:bottom w:val="single" w:color="000000" w:sz="4" w:space="0"/>
              <w:right w:val="single" w:color="000000" w:sz="4" w:space="0"/>
            </w:tcBorders>
            <w:noWrap w:val="0"/>
            <w:vAlign w:val="center"/>
          </w:tcPr>
          <w:p w14:paraId="31904D9D">
            <w:pPr>
              <w:keepNext w:val="0"/>
              <w:keepLines w:val="0"/>
              <w:pageBreakBefore w:val="0"/>
              <w:widowControl/>
              <w:tabs>
                <w:tab w:val="left" w:pos="2252"/>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监测因子</w:t>
            </w:r>
            <w:r>
              <w:rPr>
                <w:rFonts w:hint="default" w:ascii="Times New Roman" w:hAnsi="Times New Roman" w:eastAsia="宋体" w:cs="Times New Roman"/>
                <w:color w:val="auto"/>
                <w:spacing w:val="-92"/>
                <w:sz w:val="21"/>
                <w:szCs w:val="21"/>
                <w:highlight w:val="none"/>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等效连续A声级</w:t>
            </w:r>
            <w:r>
              <w:rPr>
                <w:rFonts w:hint="default" w:ascii="Times New Roman" w:hAnsi="Times New Roman" w:eastAsia="宋体" w:cs="Times New Roman"/>
                <w:color w:val="auto"/>
                <w:sz w:val="21"/>
                <w:szCs w:val="21"/>
                <w:highlight w:val="none"/>
              </w:rPr>
              <w:t>）</w:t>
            </w:r>
          </w:p>
        </w:tc>
        <w:tc>
          <w:tcPr>
            <w:tcW w:w="2096" w:type="dxa"/>
            <w:gridSpan w:val="3"/>
            <w:tcBorders>
              <w:top w:val="single" w:color="000000" w:sz="4" w:space="0"/>
              <w:left w:val="single" w:color="000000" w:sz="4" w:space="0"/>
              <w:bottom w:val="single" w:color="000000" w:sz="4" w:space="0"/>
              <w:right w:val="single" w:color="000000" w:sz="4" w:space="0"/>
            </w:tcBorders>
            <w:noWrap w:val="0"/>
            <w:vAlign w:val="center"/>
          </w:tcPr>
          <w:p w14:paraId="4073DFF2">
            <w:pPr>
              <w:keepNext w:val="0"/>
              <w:keepLines w:val="0"/>
              <w:pageBreakBefore w:val="0"/>
              <w:widowControl/>
              <w:tabs>
                <w:tab w:val="left" w:pos="1735"/>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监测点位数（</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p>
        </w:tc>
        <w:tc>
          <w:tcPr>
            <w:tcW w:w="1087" w:type="dxa"/>
            <w:tcBorders>
              <w:top w:val="single" w:color="000000" w:sz="4" w:space="0"/>
              <w:left w:val="single" w:color="000000" w:sz="4" w:space="0"/>
              <w:bottom w:val="single" w:color="000000" w:sz="4" w:space="0"/>
              <w:right w:val="single" w:color="000000" w:sz="12" w:space="0"/>
            </w:tcBorders>
            <w:noWrap w:val="0"/>
            <w:vAlign w:val="center"/>
          </w:tcPr>
          <w:p w14:paraId="09C9C86D">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无监测</w:t>
            </w:r>
            <w:r>
              <w:rPr>
                <w:rFonts w:hint="default" w:ascii="Times New Roman" w:hAnsi="Times New Roman" w:eastAsia="宋体" w:cs="Times New Roman"/>
                <w:color w:val="auto"/>
                <w:sz w:val="21"/>
                <w:szCs w:val="21"/>
                <w:highlight w:val="none"/>
              </w:rPr>
              <w:sym w:font="Wingdings 2" w:char="00A3"/>
            </w:r>
          </w:p>
        </w:tc>
      </w:tr>
      <w:tr w14:paraId="52D48D6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tcBorders>
              <w:top w:val="single" w:color="000000" w:sz="4" w:space="0"/>
              <w:left w:val="single" w:color="000000" w:sz="12" w:space="0"/>
              <w:bottom w:val="single" w:color="000000" w:sz="4" w:space="0"/>
              <w:right w:val="single" w:color="000000" w:sz="4" w:space="0"/>
            </w:tcBorders>
            <w:noWrap w:val="0"/>
            <w:vAlign w:val="center"/>
          </w:tcPr>
          <w:p w14:paraId="492972DD">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评价结论</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554B399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环境影响</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29E734D2">
            <w:pPr>
              <w:keepNext w:val="0"/>
              <w:keepLines w:val="0"/>
              <w:pageBreakBefore w:val="0"/>
              <w:widowControl/>
              <w:tabs>
                <w:tab w:val="left" w:pos="1202"/>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可行</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ab/>
            </w:r>
            <w:r>
              <w:rPr>
                <w:rFonts w:hint="default" w:ascii="Times New Roman" w:hAnsi="Times New Roman" w:eastAsia="宋体" w:cs="Times New Roman"/>
                <w:color w:val="auto"/>
                <w:sz w:val="21"/>
                <w:szCs w:val="21"/>
                <w:highlight w:val="none"/>
              </w:rPr>
              <w:t>不可行□</w:t>
            </w:r>
          </w:p>
        </w:tc>
      </w:tr>
      <w:tr w14:paraId="7711696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8638" w:type="dxa"/>
            <w:gridSpan w:val="11"/>
            <w:tcBorders>
              <w:top w:val="single" w:color="000000" w:sz="4" w:space="0"/>
              <w:left w:val="single" w:color="000000" w:sz="12" w:space="0"/>
              <w:bottom w:val="single" w:color="000000" w:sz="12" w:space="0"/>
              <w:right w:val="single" w:color="000000" w:sz="12" w:space="0"/>
            </w:tcBorders>
            <w:noWrap w:val="0"/>
            <w:vAlign w:val="center"/>
          </w:tcPr>
          <w:p w14:paraId="55EC6976">
            <w:pPr>
              <w:keepNext w:val="0"/>
              <w:keepLines w:val="0"/>
              <w:pageBreakBefore w:val="0"/>
              <w:widowControl/>
              <w:tabs>
                <w:tab w:val="left" w:pos="2985"/>
              </w:tabs>
              <w:kinsoku/>
              <w:wordWrap/>
              <w:overflowPunct/>
              <w:topLinePunct w:val="0"/>
              <w:autoSpaceDE w:val="0"/>
              <w:autoSpaceDN w:val="0"/>
              <w:bidi w:val="0"/>
              <w:adjustRightInd w:val="0"/>
              <w:snapToGrid w:val="0"/>
              <w:spacing w:line="320" w:lineRule="exact"/>
              <w:ind w:left="0" w:right="0" w:firstLine="0"/>
              <w:jc w:val="left"/>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为勾选项</w:t>
            </w:r>
            <w:r>
              <w:rPr>
                <w:rFonts w:hint="default" w:ascii="Times New Roman" w:hAnsi="Times New Roman" w:eastAsia="宋体" w:cs="Times New Roman"/>
                <w:color w:val="auto"/>
                <w:spacing w:val="1"/>
                <w:sz w:val="21"/>
                <w:szCs w:val="21"/>
                <w:highlight w:val="none"/>
              </w:rPr>
              <w:t xml:space="preserve"> </w:t>
            </w:r>
            <w:r>
              <w:rPr>
                <w:rFonts w:hint="default" w:ascii="Times New Roman" w:hAnsi="Times New Roman" w:eastAsia="宋体" w:cs="Times New Roman"/>
                <w:color w:val="auto"/>
                <w:sz w:val="21"/>
                <w:szCs w:val="21"/>
                <w:highlight w:val="none"/>
              </w:rPr>
              <w:t>，可√；</w:t>
            </w:r>
            <w:r>
              <w:rPr>
                <w:rFonts w:hint="default" w:ascii="Times New Roman" w:hAnsi="Times New Roman" w:eastAsia="宋体" w:cs="Times New Roman"/>
                <w:color w:val="auto"/>
                <w:spacing w:val="1"/>
                <w:sz w:val="21"/>
                <w:szCs w:val="21"/>
                <w:highlight w:val="none"/>
                <w:lang w:eastAsia="zh-CN"/>
              </w:rPr>
              <w:t>“</w:t>
            </w:r>
            <w:r>
              <w:rPr>
                <w:rFonts w:hint="default" w:ascii="Times New Roman" w:hAnsi="Times New Roman" w:eastAsia="宋体" w:cs="Times New Roman"/>
                <w:color w:val="auto"/>
                <w:spacing w:val="1"/>
                <w:sz w:val="21"/>
                <w:szCs w:val="21"/>
                <w:highlight w:val="none"/>
              </w:rPr>
              <w:t>（  ）</w:t>
            </w:r>
            <w:r>
              <w:rPr>
                <w:rFonts w:hint="default" w:ascii="Times New Roman" w:hAnsi="Times New Roman" w:eastAsia="宋体" w:cs="Times New Roman"/>
                <w:color w:val="auto"/>
                <w:spacing w:val="1"/>
                <w:sz w:val="21"/>
                <w:szCs w:val="21"/>
                <w:highlight w:val="none"/>
                <w:lang w:eastAsia="zh-CN"/>
              </w:rPr>
              <w:t>”</w:t>
            </w:r>
            <w:r>
              <w:rPr>
                <w:rFonts w:hint="default" w:ascii="Times New Roman" w:hAnsi="Times New Roman" w:eastAsia="宋体" w:cs="Times New Roman"/>
                <w:color w:val="auto"/>
                <w:sz w:val="21"/>
                <w:szCs w:val="21"/>
                <w:highlight w:val="none"/>
              </w:rPr>
              <w:t>为内容填写项。</w:t>
            </w:r>
          </w:p>
        </w:tc>
      </w:tr>
    </w:tbl>
    <w:p w14:paraId="77B6737C">
      <w:pPr>
        <w:outlineLvl w:val="9"/>
        <w:rPr>
          <w:rFonts w:hint="default" w:ascii="Times New Roman" w:hAnsi="Times New Roman" w:eastAsia="宋体" w:cs="Times New Roman"/>
          <w:color w:val="auto"/>
          <w:sz w:val="30"/>
          <w:szCs w:val="30"/>
          <w:highlight w:val="none"/>
        </w:rPr>
      </w:pPr>
    </w:p>
    <w:p w14:paraId="35B00728">
      <w:pPr>
        <w:outlineLvl w:val="9"/>
        <w:rPr>
          <w:rFonts w:hint="default" w:ascii="Times New Roman" w:hAnsi="Times New Roman" w:eastAsia="宋体" w:cs="Times New Roman"/>
          <w:color w:val="auto"/>
          <w:sz w:val="30"/>
          <w:szCs w:val="30"/>
          <w:highlight w:val="none"/>
        </w:rPr>
      </w:pPr>
    </w:p>
    <w:p w14:paraId="5FFC4997">
      <w:pPr>
        <w:outlineLvl w:val="9"/>
        <w:rPr>
          <w:rFonts w:hint="default" w:ascii="Times New Roman" w:hAnsi="Times New Roman" w:eastAsia="宋体" w:cs="Times New Roman"/>
          <w:color w:val="auto"/>
          <w:sz w:val="30"/>
          <w:szCs w:val="30"/>
          <w:highlight w:val="none"/>
        </w:rPr>
      </w:pPr>
    </w:p>
    <w:p w14:paraId="17C9C3EB">
      <w:pPr>
        <w:pStyle w:val="4"/>
        <w:bidi w:val="0"/>
        <w:rPr>
          <w:rFonts w:hint="default" w:ascii="Times New Roman" w:hAnsi="Times New Roman" w:eastAsia="宋体" w:cs="Times New Roman"/>
          <w:snapToGrid w:val="0"/>
          <w:color w:val="auto"/>
          <w:highlight w:val="none"/>
          <w:lang w:val="zh-CN"/>
        </w:rPr>
      </w:pPr>
      <w:bookmarkStart w:id="1342" w:name="_Toc18331"/>
      <w:bookmarkStart w:id="1343" w:name="_Toc15142"/>
      <w:bookmarkStart w:id="1344" w:name="_Toc22829"/>
      <w:bookmarkStart w:id="1345" w:name="_Toc4153"/>
      <w:bookmarkStart w:id="1346" w:name="_Toc29987"/>
      <w:bookmarkStart w:id="1347" w:name="_Toc1311"/>
      <w:r>
        <w:rPr>
          <w:rFonts w:hint="default" w:ascii="Times New Roman" w:hAnsi="Times New Roman" w:eastAsia="宋体" w:cs="Times New Roman"/>
          <w:snapToGrid w:val="0"/>
          <w:color w:val="auto"/>
          <w:highlight w:val="none"/>
          <w:lang w:val="zh-CN"/>
        </w:rPr>
        <w:t>附件6</w:t>
      </w:r>
      <w:r>
        <w:rPr>
          <w:rFonts w:hint="default" w:ascii="Times New Roman" w:hAnsi="Times New Roman" w:eastAsia="宋体" w:cs="Times New Roman"/>
          <w:snapToGrid w:val="0"/>
          <w:color w:val="auto"/>
          <w:highlight w:val="none"/>
          <w:lang w:val="en-US"/>
        </w:rPr>
        <w:t xml:space="preserve"> </w:t>
      </w:r>
      <w:r>
        <w:rPr>
          <w:rFonts w:hint="default" w:ascii="Times New Roman" w:hAnsi="Times New Roman" w:eastAsia="宋体" w:cs="Times New Roman"/>
          <w:snapToGrid w:val="0"/>
          <w:color w:val="auto"/>
          <w:highlight w:val="none"/>
          <w:lang w:val="zh-CN"/>
        </w:rPr>
        <w:t>生态影响评价自查表</w:t>
      </w:r>
      <w:bookmarkEnd w:id="1342"/>
      <w:bookmarkEnd w:id="1343"/>
      <w:bookmarkEnd w:id="1344"/>
      <w:bookmarkEnd w:id="1345"/>
      <w:bookmarkEnd w:id="1346"/>
      <w:bookmarkEnd w:id="1347"/>
    </w:p>
    <w:tbl>
      <w:tblPr>
        <w:tblStyle w:val="48"/>
        <w:tblW w:w="504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08"/>
        <w:gridCol w:w="1415"/>
        <w:gridCol w:w="6090"/>
      </w:tblGrid>
      <w:tr w14:paraId="47ECA4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2305" w:type="dxa"/>
            <w:gridSpan w:val="2"/>
            <w:tcBorders>
              <w:left w:val="single" w:color="000000" w:sz="10" w:space="0"/>
            </w:tcBorders>
            <w:noWrap w:val="0"/>
            <w:vAlign w:val="center"/>
          </w:tcPr>
          <w:p w14:paraId="3FFA1EA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工作内容</w:t>
            </w:r>
          </w:p>
        </w:tc>
        <w:tc>
          <w:tcPr>
            <w:tcW w:w="6046" w:type="dxa"/>
            <w:tcBorders>
              <w:right w:val="single" w:color="000000" w:sz="10" w:space="0"/>
            </w:tcBorders>
            <w:noWrap w:val="0"/>
            <w:vAlign w:val="center"/>
          </w:tcPr>
          <w:p w14:paraId="36B050C7">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自查项目</w:t>
            </w:r>
          </w:p>
        </w:tc>
      </w:tr>
      <w:tr w14:paraId="5E9A78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restart"/>
            <w:tcBorders>
              <w:left w:val="single" w:color="000000" w:sz="10" w:space="0"/>
              <w:bottom w:val="nil"/>
            </w:tcBorders>
            <w:noWrap w:val="0"/>
            <w:vAlign w:val="center"/>
          </w:tcPr>
          <w:p w14:paraId="72064844">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生态影响 识别</w:t>
            </w:r>
          </w:p>
        </w:tc>
        <w:tc>
          <w:tcPr>
            <w:tcW w:w="1405" w:type="dxa"/>
            <w:noWrap w:val="0"/>
            <w:vAlign w:val="center"/>
          </w:tcPr>
          <w:p w14:paraId="07B05DD0">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生态保护目标</w:t>
            </w:r>
          </w:p>
        </w:tc>
        <w:tc>
          <w:tcPr>
            <w:tcW w:w="6046" w:type="dxa"/>
            <w:tcBorders>
              <w:right w:val="single" w:color="000000" w:sz="10" w:space="0"/>
            </w:tcBorders>
            <w:noWrap w:val="0"/>
            <w:vAlign w:val="center"/>
          </w:tcPr>
          <w:p w14:paraId="5328AAB1">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重要物种□；国家公园□； 自然保护区□； 自然公园□；世界自然遗产□；生态保护 红线□；重要生境□；其他具有重要生态功能、对保护生物多样性具有重要意义的区 域□；其他</w:t>
            </w:r>
            <w:r>
              <w:rPr>
                <w:rFonts w:hint="default" w:ascii="Times New Roman" w:hAnsi="Times New Roman" w:eastAsia="宋体" w:cs="Times New Roman"/>
                <w:color w:val="auto"/>
                <w:sz w:val="21"/>
                <w:szCs w:val="21"/>
                <w:highlight w:val="none"/>
              </w:rPr>
              <w:sym w:font="Wingdings 2" w:char="0052"/>
            </w:r>
          </w:p>
        </w:tc>
      </w:tr>
      <w:tr w14:paraId="4D1393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bottom w:val="nil"/>
            </w:tcBorders>
            <w:noWrap w:val="0"/>
            <w:vAlign w:val="center"/>
          </w:tcPr>
          <w:p w14:paraId="7397AF46">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0025888F">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影响方式</w:t>
            </w:r>
          </w:p>
        </w:tc>
        <w:tc>
          <w:tcPr>
            <w:tcW w:w="6046" w:type="dxa"/>
            <w:tcBorders>
              <w:right w:val="single" w:color="000000" w:sz="10" w:space="0"/>
            </w:tcBorders>
            <w:noWrap w:val="0"/>
            <w:vAlign w:val="center"/>
          </w:tcPr>
          <w:p w14:paraId="58C59933">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工程占用</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；施工活动干扰</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；改变环境条件□；其他□</w:t>
            </w:r>
          </w:p>
        </w:tc>
      </w:tr>
      <w:tr w14:paraId="45BD52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tcBorders>
            <w:noWrap w:val="0"/>
            <w:vAlign w:val="center"/>
          </w:tcPr>
          <w:p w14:paraId="4B2E98BA">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71EECF0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c>
          <w:tcPr>
            <w:tcW w:w="6046" w:type="dxa"/>
            <w:tcBorders>
              <w:right w:val="single" w:color="000000" w:sz="10" w:space="0"/>
            </w:tcBorders>
            <w:noWrap w:val="0"/>
            <w:vAlign w:val="center"/>
          </w:tcPr>
          <w:p w14:paraId="6B63E3D1">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物种□ (                         )</w:t>
            </w:r>
          </w:p>
          <w:p w14:paraId="40CAE8D3">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生境□ (                         )</w:t>
            </w:r>
          </w:p>
          <w:p w14:paraId="46197764">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生物群落□ (                     )</w:t>
            </w:r>
          </w:p>
          <w:p w14:paraId="0661E863">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生态系统</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 xml:space="preserve"> (                     )</w:t>
            </w:r>
          </w:p>
          <w:p w14:paraId="0C0D4BE7">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生物多样性</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 xml:space="preserve"> (                   )</w:t>
            </w:r>
          </w:p>
          <w:p w14:paraId="7F0AECA0">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生态敏感区□ (                   )</w:t>
            </w:r>
          </w:p>
          <w:p w14:paraId="2B2D8C35">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自然景观□ (                     )</w:t>
            </w:r>
          </w:p>
          <w:p w14:paraId="730B73C5">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自然遗迹□ (                     )</w:t>
            </w:r>
          </w:p>
          <w:p w14:paraId="652651D1">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 xml:space="preserve"> (                         )</w:t>
            </w:r>
          </w:p>
        </w:tc>
      </w:tr>
      <w:tr w14:paraId="289D26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2305" w:type="dxa"/>
            <w:gridSpan w:val="2"/>
            <w:tcBorders>
              <w:left w:val="single" w:color="000000" w:sz="10" w:space="0"/>
            </w:tcBorders>
            <w:noWrap w:val="0"/>
            <w:vAlign w:val="center"/>
          </w:tcPr>
          <w:p w14:paraId="6EA9B734">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评价等级</w:t>
            </w:r>
          </w:p>
        </w:tc>
        <w:tc>
          <w:tcPr>
            <w:tcW w:w="6046" w:type="dxa"/>
            <w:tcBorders>
              <w:right w:val="single" w:color="000000" w:sz="10" w:space="0"/>
            </w:tcBorders>
            <w:noWrap w:val="0"/>
            <w:vAlign w:val="center"/>
          </w:tcPr>
          <w:p w14:paraId="53FE194B">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         二级□         三级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 xml:space="preserve">     生态影响简单分析</w:t>
            </w:r>
            <w:r>
              <w:rPr>
                <w:rFonts w:hint="default" w:ascii="Times New Roman" w:hAnsi="Times New Roman" w:eastAsia="宋体" w:cs="Times New Roman"/>
                <w:color w:val="auto"/>
                <w:sz w:val="21"/>
                <w:szCs w:val="21"/>
                <w:highlight w:val="none"/>
              </w:rPr>
              <w:sym w:font="Wingdings 2" w:char="00A3"/>
            </w:r>
          </w:p>
        </w:tc>
      </w:tr>
      <w:tr w14:paraId="2DD3DF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2305" w:type="dxa"/>
            <w:gridSpan w:val="2"/>
            <w:tcBorders>
              <w:left w:val="single" w:color="000000" w:sz="10" w:space="0"/>
            </w:tcBorders>
            <w:noWrap w:val="0"/>
            <w:vAlign w:val="center"/>
          </w:tcPr>
          <w:p w14:paraId="75939B8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评价范围</w:t>
            </w:r>
          </w:p>
        </w:tc>
        <w:tc>
          <w:tcPr>
            <w:tcW w:w="6046" w:type="dxa"/>
            <w:tcBorders>
              <w:right w:val="single" w:color="000000" w:sz="10" w:space="0"/>
            </w:tcBorders>
            <w:noWrap w:val="0"/>
            <w:vAlign w:val="center"/>
          </w:tcPr>
          <w:p w14:paraId="2CEB2F5C">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陆域面积：( </w:t>
            </w:r>
            <w:r>
              <w:rPr>
                <w:rFonts w:hint="eastAsia" w:ascii="Times New Roman" w:hAnsi="Times New Roman" w:cs="Times New Roman"/>
                <w:color w:val="auto"/>
                <w:sz w:val="21"/>
                <w:szCs w:val="21"/>
                <w:highlight w:val="none"/>
                <w:lang w:val="en-US" w:eastAsia="zh-CN"/>
              </w:rPr>
              <w:t>0.027</w:t>
            </w:r>
            <w:r>
              <w:rPr>
                <w:rFonts w:hint="default" w:ascii="Times New Roman" w:hAnsi="Times New Roman" w:eastAsia="宋体" w:cs="Times New Roman"/>
                <w:color w:val="auto"/>
                <w:sz w:val="21"/>
                <w:szCs w:val="21"/>
                <w:highlight w:val="none"/>
              </w:rPr>
              <w:t>) km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 xml:space="preserve"> ；水域面积：(     ) km</w:t>
            </w:r>
            <w:r>
              <w:rPr>
                <w:rFonts w:hint="default" w:ascii="Times New Roman" w:hAnsi="Times New Roman" w:eastAsia="宋体" w:cs="Times New Roman"/>
                <w:color w:val="auto"/>
                <w:sz w:val="21"/>
                <w:szCs w:val="21"/>
                <w:highlight w:val="none"/>
                <w:vertAlign w:val="superscript"/>
              </w:rPr>
              <w:t>2</w:t>
            </w:r>
          </w:p>
        </w:tc>
      </w:tr>
      <w:tr w14:paraId="6C554F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restart"/>
            <w:tcBorders>
              <w:left w:val="single" w:color="000000" w:sz="10" w:space="0"/>
              <w:bottom w:val="nil"/>
            </w:tcBorders>
            <w:noWrap w:val="0"/>
            <w:vAlign w:val="center"/>
          </w:tcPr>
          <w:p w14:paraId="6E9EC10B">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生态现状</w:t>
            </w:r>
          </w:p>
          <w:p w14:paraId="2DA27447">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调查与</w:t>
            </w:r>
          </w:p>
          <w:p w14:paraId="4EF0B657">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w:t>
            </w:r>
          </w:p>
        </w:tc>
        <w:tc>
          <w:tcPr>
            <w:tcW w:w="1405" w:type="dxa"/>
            <w:noWrap w:val="0"/>
            <w:vAlign w:val="center"/>
          </w:tcPr>
          <w:p w14:paraId="087A38BF">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调查方法</w:t>
            </w:r>
          </w:p>
        </w:tc>
        <w:tc>
          <w:tcPr>
            <w:tcW w:w="6046" w:type="dxa"/>
            <w:tcBorders>
              <w:right w:val="single" w:color="000000" w:sz="10" w:space="0"/>
            </w:tcBorders>
            <w:noWrap w:val="0"/>
            <w:vAlign w:val="center"/>
          </w:tcPr>
          <w:p w14:paraId="1BEF9CB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资料收集</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；遥感调查□；调查样方、样线□；调查点位、断面□；专家和公众咨询 法□；其他□</w:t>
            </w:r>
          </w:p>
        </w:tc>
      </w:tr>
      <w:tr w14:paraId="125829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bottom w:val="nil"/>
            </w:tcBorders>
            <w:noWrap w:val="0"/>
            <w:vAlign w:val="center"/>
          </w:tcPr>
          <w:p w14:paraId="3DD5EC5C">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06694A21">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调查时间</w:t>
            </w:r>
          </w:p>
        </w:tc>
        <w:tc>
          <w:tcPr>
            <w:tcW w:w="6046" w:type="dxa"/>
            <w:tcBorders>
              <w:right w:val="single" w:color="000000" w:sz="10" w:space="0"/>
            </w:tcBorders>
            <w:noWrap w:val="0"/>
            <w:vAlign w:val="center"/>
          </w:tcPr>
          <w:p w14:paraId="6DB7F4B5">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春季</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；夏季</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；秋季</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；冬季</w:t>
            </w:r>
            <w:r>
              <w:rPr>
                <w:rFonts w:hint="default" w:ascii="Times New Roman" w:hAnsi="Times New Roman" w:eastAsia="宋体" w:cs="Times New Roman"/>
                <w:color w:val="auto"/>
                <w:sz w:val="21"/>
                <w:szCs w:val="21"/>
                <w:highlight w:val="none"/>
              </w:rPr>
              <w:sym w:font="Wingdings 2" w:char="00A3"/>
            </w:r>
          </w:p>
          <w:p w14:paraId="174678AB">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丰水期</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；枯水期</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；平水期</w:t>
            </w:r>
            <w:r>
              <w:rPr>
                <w:rFonts w:hint="default" w:ascii="Times New Roman" w:hAnsi="Times New Roman" w:eastAsia="宋体" w:cs="Times New Roman"/>
                <w:color w:val="auto"/>
                <w:sz w:val="21"/>
                <w:szCs w:val="21"/>
                <w:highlight w:val="none"/>
              </w:rPr>
              <w:sym w:font="Wingdings 2" w:char="00A3"/>
            </w:r>
          </w:p>
        </w:tc>
      </w:tr>
      <w:tr w14:paraId="51166C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bottom w:val="nil"/>
            </w:tcBorders>
            <w:noWrap w:val="0"/>
            <w:vAlign w:val="center"/>
          </w:tcPr>
          <w:p w14:paraId="4E834299">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2C0F71F9">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所在区域的 生态问题</w:t>
            </w:r>
          </w:p>
        </w:tc>
        <w:tc>
          <w:tcPr>
            <w:tcW w:w="6046" w:type="dxa"/>
            <w:tcBorders>
              <w:right w:val="single" w:color="000000" w:sz="10" w:space="0"/>
            </w:tcBorders>
            <w:noWrap w:val="0"/>
            <w:vAlign w:val="center"/>
          </w:tcPr>
          <w:p w14:paraId="2773E67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水土流失</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；沙漠化□；石漠化□；盐渍化□；生物入侵</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；污染危害□；其他</w:t>
            </w:r>
            <w:r>
              <w:rPr>
                <w:rFonts w:hint="default" w:ascii="Times New Roman" w:hAnsi="Times New Roman" w:eastAsia="宋体" w:cs="Times New Roman"/>
                <w:color w:val="auto"/>
                <w:sz w:val="21"/>
                <w:szCs w:val="21"/>
                <w:highlight w:val="none"/>
              </w:rPr>
              <w:sym w:font="Wingdings 2" w:char="0052"/>
            </w:r>
          </w:p>
        </w:tc>
      </w:tr>
      <w:tr w14:paraId="105FCD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tcBorders>
            <w:noWrap w:val="0"/>
            <w:vAlign w:val="center"/>
          </w:tcPr>
          <w:p w14:paraId="70BBFA4A">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2A10C91A">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评价内容</w:t>
            </w:r>
          </w:p>
        </w:tc>
        <w:tc>
          <w:tcPr>
            <w:tcW w:w="6046" w:type="dxa"/>
            <w:tcBorders>
              <w:right w:val="single" w:color="000000" w:sz="10" w:space="0"/>
            </w:tcBorders>
            <w:noWrap w:val="0"/>
            <w:vAlign w:val="center"/>
          </w:tcPr>
          <w:p w14:paraId="5512558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植被/植物群落□；土地利用</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；生态系统</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；生物多样性□；重要物种□；生态敏感 区□；其他</w:t>
            </w:r>
            <w:r>
              <w:rPr>
                <w:rFonts w:hint="default" w:ascii="Times New Roman" w:hAnsi="Times New Roman" w:eastAsia="宋体" w:cs="Times New Roman"/>
                <w:color w:val="auto"/>
                <w:sz w:val="21"/>
                <w:szCs w:val="21"/>
                <w:highlight w:val="none"/>
              </w:rPr>
              <w:sym w:font="Wingdings 2" w:char="0052"/>
            </w:r>
          </w:p>
        </w:tc>
      </w:tr>
      <w:tr w14:paraId="5FD78C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restart"/>
            <w:tcBorders>
              <w:left w:val="single" w:color="000000" w:sz="10" w:space="0"/>
              <w:bottom w:val="nil"/>
            </w:tcBorders>
            <w:noWrap w:val="0"/>
            <w:vAlign w:val="center"/>
          </w:tcPr>
          <w:p w14:paraId="72AEAAA5">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生态影响</w:t>
            </w:r>
          </w:p>
          <w:p w14:paraId="0D806B6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预测与</w:t>
            </w:r>
          </w:p>
          <w:p w14:paraId="228962DA">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w:t>
            </w:r>
          </w:p>
        </w:tc>
        <w:tc>
          <w:tcPr>
            <w:tcW w:w="1405" w:type="dxa"/>
            <w:noWrap w:val="0"/>
            <w:vAlign w:val="center"/>
          </w:tcPr>
          <w:p w14:paraId="4657C49C">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评价方法</w:t>
            </w:r>
          </w:p>
        </w:tc>
        <w:tc>
          <w:tcPr>
            <w:tcW w:w="6046" w:type="dxa"/>
            <w:tcBorders>
              <w:right w:val="single" w:color="000000" w:sz="10" w:space="0"/>
            </w:tcBorders>
            <w:noWrap w:val="0"/>
            <w:vAlign w:val="center"/>
          </w:tcPr>
          <w:p w14:paraId="0CB30194">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定性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；定性和定量□</w:t>
            </w:r>
          </w:p>
        </w:tc>
      </w:tr>
      <w:tr w14:paraId="10D4FF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tcBorders>
            <w:noWrap w:val="0"/>
            <w:vAlign w:val="center"/>
          </w:tcPr>
          <w:p w14:paraId="5DA3FFBB">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2BA85DFF">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评价内容</w:t>
            </w:r>
          </w:p>
        </w:tc>
        <w:tc>
          <w:tcPr>
            <w:tcW w:w="6046" w:type="dxa"/>
            <w:tcBorders>
              <w:right w:val="single" w:color="000000" w:sz="10" w:space="0"/>
            </w:tcBorders>
            <w:noWrap w:val="0"/>
            <w:vAlign w:val="center"/>
          </w:tcPr>
          <w:p w14:paraId="2337D872">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植被/植物群落□；土地利用</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；生态系统</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；生物多样性□；重要物种□；生态敏感区□；生物入侵风险□； 其他</w:t>
            </w:r>
            <w:r>
              <w:rPr>
                <w:rFonts w:hint="eastAsia" w:ascii="Times New Roman" w:hAnsi="Times New Roman" w:cs="Times New Roman"/>
                <w:color w:val="auto"/>
                <w:sz w:val="21"/>
                <w:szCs w:val="21"/>
                <w:highlight w:val="none"/>
                <w:lang w:eastAsia="zh-CN"/>
              </w:rPr>
              <w:t>☑</w:t>
            </w:r>
          </w:p>
        </w:tc>
      </w:tr>
      <w:tr w14:paraId="7F20AB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restart"/>
            <w:tcBorders>
              <w:left w:val="single" w:color="000000" w:sz="10" w:space="0"/>
              <w:bottom w:val="nil"/>
            </w:tcBorders>
            <w:noWrap w:val="0"/>
            <w:vAlign w:val="center"/>
          </w:tcPr>
          <w:p w14:paraId="7689A691">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 对策措施</w:t>
            </w:r>
          </w:p>
        </w:tc>
        <w:tc>
          <w:tcPr>
            <w:tcW w:w="1405" w:type="dxa"/>
            <w:noWrap w:val="0"/>
            <w:vAlign w:val="center"/>
          </w:tcPr>
          <w:p w14:paraId="70483D2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对策措施</w:t>
            </w:r>
          </w:p>
        </w:tc>
        <w:tc>
          <w:tcPr>
            <w:tcW w:w="6046" w:type="dxa"/>
            <w:tcBorders>
              <w:right w:val="single" w:color="000000" w:sz="10" w:space="0"/>
            </w:tcBorders>
            <w:noWrap w:val="0"/>
            <w:vAlign w:val="center"/>
          </w:tcPr>
          <w:p w14:paraId="61B00DC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避让□；减缓□；生态修复</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；生态补偿□；科研□；其他</w:t>
            </w:r>
            <w:r>
              <w:rPr>
                <w:rFonts w:hint="eastAsia" w:ascii="Times New Roman" w:hAnsi="Times New Roman" w:cs="Times New Roman"/>
                <w:color w:val="auto"/>
                <w:sz w:val="21"/>
                <w:szCs w:val="21"/>
                <w:highlight w:val="none"/>
                <w:lang w:eastAsia="zh-CN"/>
              </w:rPr>
              <w:t>☑</w:t>
            </w:r>
          </w:p>
        </w:tc>
      </w:tr>
      <w:tr w14:paraId="78A871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bottom w:val="nil"/>
            </w:tcBorders>
            <w:noWrap w:val="0"/>
            <w:vAlign w:val="center"/>
          </w:tcPr>
          <w:p w14:paraId="1B012EAC">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4F533768">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生态监测计划</w:t>
            </w:r>
          </w:p>
        </w:tc>
        <w:tc>
          <w:tcPr>
            <w:tcW w:w="6046" w:type="dxa"/>
            <w:tcBorders>
              <w:right w:val="single" w:color="000000" w:sz="10" w:space="0"/>
            </w:tcBorders>
            <w:noWrap w:val="0"/>
            <w:vAlign w:val="center"/>
          </w:tcPr>
          <w:p w14:paraId="61E168D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全生命周期□；长期跟踪□；常规□；无</w:t>
            </w:r>
            <w:r>
              <w:rPr>
                <w:rFonts w:hint="eastAsia" w:ascii="Times New Roman" w:hAnsi="Times New Roman" w:cs="Times New Roman"/>
                <w:color w:val="auto"/>
                <w:sz w:val="21"/>
                <w:szCs w:val="21"/>
                <w:highlight w:val="none"/>
                <w:lang w:eastAsia="zh-CN"/>
              </w:rPr>
              <w:t>☑</w:t>
            </w:r>
          </w:p>
        </w:tc>
      </w:tr>
      <w:tr w14:paraId="3515B7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tcBorders>
            <w:noWrap w:val="0"/>
            <w:vAlign w:val="center"/>
          </w:tcPr>
          <w:p w14:paraId="53541B91">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7005CF32">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环境管理</w:t>
            </w:r>
          </w:p>
        </w:tc>
        <w:tc>
          <w:tcPr>
            <w:tcW w:w="6046" w:type="dxa"/>
            <w:tcBorders>
              <w:right w:val="single" w:color="000000" w:sz="10" w:space="0"/>
            </w:tcBorders>
            <w:noWrap w:val="0"/>
            <w:vAlign w:val="center"/>
          </w:tcPr>
          <w:p w14:paraId="6C55F87C">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环境监理□；环境影响后评价□；其他</w:t>
            </w:r>
            <w:r>
              <w:rPr>
                <w:rFonts w:hint="eastAsia" w:ascii="Times New Roman" w:hAnsi="Times New Roman" w:cs="Times New Roman"/>
                <w:color w:val="auto"/>
                <w:sz w:val="21"/>
                <w:szCs w:val="21"/>
                <w:highlight w:val="none"/>
                <w:lang w:eastAsia="zh-CN"/>
              </w:rPr>
              <w:t>☑</w:t>
            </w:r>
          </w:p>
        </w:tc>
      </w:tr>
      <w:tr w14:paraId="497530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tcBorders>
              <w:left w:val="single" w:color="000000" w:sz="10" w:space="0"/>
            </w:tcBorders>
            <w:noWrap w:val="0"/>
            <w:vAlign w:val="center"/>
          </w:tcPr>
          <w:p w14:paraId="44151034">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评价结论</w:t>
            </w:r>
          </w:p>
        </w:tc>
        <w:tc>
          <w:tcPr>
            <w:tcW w:w="1405" w:type="dxa"/>
            <w:noWrap w:val="0"/>
            <w:vAlign w:val="center"/>
          </w:tcPr>
          <w:p w14:paraId="1E121721">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生态影响</w:t>
            </w:r>
          </w:p>
        </w:tc>
        <w:tc>
          <w:tcPr>
            <w:tcW w:w="6046" w:type="dxa"/>
            <w:tcBorders>
              <w:right w:val="single" w:color="000000" w:sz="10" w:space="0"/>
            </w:tcBorders>
            <w:noWrap w:val="0"/>
            <w:vAlign w:val="center"/>
          </w:tcPr>
          <w:p w14:paraId="2E01E209">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可行</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；不可行□</w:t>
            </w:r>
          </w:p>
        </w:tc>
      </w:tr>
      <w:tr w14:paraId="7C381B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351" w:type="dxa"/>
            <w:gridSpan w:val="3"/>
            <w:tcBorders>
              <w:left w:val="single" w:color="000000" w:sz="10" w:space="0"/>
              <w:right w:val="single" w:color="000000" w:sz="10" w:space="0"/>
            </w:tcBorders>
            <w:noWrap w:val="0"/>
            <w:vAlign w:val="center"/>
          </w:tcPr>
          <w:p w14:paraId="6C1372A3">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注：   </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 xml:space="preserve"> 为勾选项 ，可 √ ；</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   )</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 xml:space="preserve">  为内容填写项。</w:t>
            </w:r>
          </w:p>
        </w:tc>
      </w:tr>
    </w:tbl>
    <w:p w14:paraId="1C8CE6E4">
      <w:pPr>
        <w:keepNext w:val="0"/>
        <w:keepLines w:val="0"/>
        <w:pageBreakBefore w:val="0"/>
        <w:widowControl/>
        <w:kinsoku/>
        <w:wordWrap/>
        <w:overflowPunct/>
        <w:topLinePunct w:val="0"/>
        <w:autoSpaceDE/>
        <w:autoSpaceDN/>
        <w:bidi w:val="0"/>
        <w:adjustRightInd/>
        <w:snapToGrid/>
        <w:spacing w:line="276" w:lineRule="auto"/>
        <w:ind w:firstLine="0"/>
        <w:textAlignment w:val="auto"/>
        <w:outlineLvl w:val="0"/>
        <w:rPr>
          <w:rStyle w:val="461"/>
          <w:rFonts w:hint="default" w:ascii="Times New Roman" w:hAnsi="Times New Roman" w:cs="Times New Roman"/>
          <w:bCs w:val="0"/>
          <w:color w:val="auto"/>
          <w:szCs w:val="24"/>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2FF4E278">
      <w:pPr>
        <w:pStyle w:val="4"/>
        <w:bidi w:val="0"/>
        <w:rPr>
          <w:rFonts w:hint="default" w:ascii="Times New Roman" w:hAnsi="Times New Roman" w:eastAsia="宋体" w:cs="Times New Roman"/>
          <w:snapToGrid w:val="0"/>
          <w:color w:val="auto"/>
          <w:highlight w:val="none"/>
          <w:lang w:val="en-US" w:eastAsia="zh-CN"/>
        </w:rPr>
      </w:pPr>
      <w:bookmarkStart w:id="1348" w:name="_Toc12667"/>
      <w:r>
        <w:rPr>
          <w:rFonts w:hint="default" w:ascii="Times New Roman" w:hAnsi="Times New Roman" w:eastAsia="宋体" w:cs="Times New Roman"/>
          <w:snapToGrid w:val="0"/>
          <w:color w:val="auto"/>
          <w:highlight w:val="none"/>
          <w:lang w:val="en-US" w:eastAsia="zh-CN"/>
        </w:rPr>
        <w:t>附件7 营业执照</w:t>
      </w:r>
      <w:bookmarkEnd w:id="1348"/>
    </w:p>
    <w:p w14:paraId="702F9AB1">
      <w:pPr>
        <w:keepNext w:val="0"/>
        <w:keepLines w:val="0"/>
        <w:pageBreakBefore w:val="0"/>
        <w:widowControl/>
        <w:kinsoku/>
        <w:wordWrap/>
        <w:overflowPunct/>
        <w:topLinePunct w:val="0"/>
        <w:autoSpaceDE/>
        <w:autoSpaceDN/>
        <w:bidi w:val="0"/>
        <w:adjustRightInd/>
        <w:snapToGrid/>
        <w:spacing w:line="276" w:lineRule="auto"/>
        <w:jc w:val="center"/>
        <w:textAlignment w:val="auto"/>
        <w:outlineLvl w:val="9"/>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drawing>
          <wp:inline distT="0" distB="0" distL="114300" distR="114300">
            <wp:extent cx="4674235" cy="8132445"/>
            <wp:effectExtent l="0" t="0" r="1905" b="12065"/>
            <wp:docPr id="5" name="图片 5" descr="b495e82010fda05f1f714164349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b495e82010fda05f1f7141643491735"/>
                    <pic:cNvPicPr>
                      <a:picLocks noChangeAspect="1"/>
                    </pic:cNvPicPr>
                  </pic:nvPicPr>
                  <pic:blipFill>
                    <a:blip r:embed="rId133"/>
                    <a:stretch>
                      <a:fillRect/>
                    </a:stretch>
                  </pic:blipFill>
                  <pic:spPr>
                    <a:xfrm rot="16200000">
                      <a:off x="0" y="0"/>
                      <a:ext cx="4674235" cy="8132445"/>
                    </a:xfrm>
                    <a:prstGeom prst="rect">
                      <a:avLst/>
                    </a:prstGeom>
                  </pic:spPr>
                </pic:pic>
              </a:graphicData>
            </a:graphic>
          </wp:inline>
        </w:drawing>
      </w:r>
    </w:p>
    <w:p w14:paraId="3D0D938A">
      <w:pPr>
        <w:rPr>
          <w:rFonts w:hint="default"/>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4961D415">
      <w:pPr>
        <w:pStyle w:val="4"/>
        <w:bidi w:val="0"/>
        <w:rPr>
          <w:rFonts w:hint="default" w:ascii="Times New Roman" w:hAnsi="Times New Roman" w:eastAsia="宋体" w:cs="Times New Roman"/>
          <w:snapToGrid w:val="0"/>
          <w:color w:val="auto"/>
          <w:highlight w:val="none"/>
          <w:lang w:val="en-US" w:eastAsia="zh-CN"/>
        </w:rPr>
      </w:pPr>
      <w:bookmarkStart w:id="1349" w:name="_Toc7381"/>
      <w:bookmarkStart w:id="1350" w:name="_Toc16855"/>
      <w:bookmarkStart w:id="1351" w:name="_Toc32341"/>
      <w:bookmarkStart w:id="1352" w:name="_Toc10211"/>
      <w:bookmarkStart w:id="1353" w:name="_Toc12153"/>
      <w:r>
        <w:rPr>
          <w:rFonts w:hint="default" w:ascii="Times New Roman" w:hAnsi="Times New Roman" w:eastAsia="宋体" w:cs="Times New Roman"/>
          <w:snapToGrid w:val="0"/>
          <w:color w:val="auto"/>
          <w:highlight w:val="none"/>
          <w:lang w:val="en-US" w:eastAsia="zh-CN"/>
        </w:rPr>
        <w:t xml:space="preserve">附件8 </w:t>
      </w:r>
      <w:r>
        <w:rPr>
          <w:rFonts w:hint="eastAsia" w:ascii="Times New Roman" w:hAnsi="Times New Roman" w:eastAsia="宋体" w:cs="Times New Roman"/>
          <w:snapToGrid w:val="0"/>
          <w:color w:val="auto"/>
          <w:highlight w:val="none"/>
          <w:lang w:val="en-US" w:eastAsia="zh-CN"/>
        </w:rPr>
        <w:t>立项备案承诺书</w:t>
      </w:r>
      <w:bookmarkEnd w:id="1349"/>
    </w:p>
    <w:bookmarkEnd w:id="1350"/>
    <w:bookmarkEnd w:id="1351"/>
    <w:bookmarkEnd w:id="1352"/>
    <w:bookmarkEnd w:id="1353"/>
    <w:p w14:paraId="4ACD089C">
      <w:pPr>
        <w:keepNext w:val="0"/>
        <w:keepLines w:val="0"/>
        <w:pageBreakBefore w:val="0"/>
        <w:widowControl/>
        <w:kinsoku/>
        <w:wordWrap/>
        <w:overflowPunct/>
        <w:topLinePunct w:val="0"/>
        <w:autoSpaceDE/>
        <w:autoSpaceDN/>
        <w:bidi w:val="0"/>
        <w:adjustRightInd/>
        <w:snapToGrid/>
        <w:spacing w:line="276" w:lineRule="auto"/>
        <w:ind w:firstLine="0"/>
        <w:jc w:val="center"/>
        <w:textAlignment w:val="auto"/>
        <w:outlineLvl w:val="9"/>
        <w:rPr>
          <w:rFonts w:hint="default" w:ascii="Times New Roman" w:hAnsi="Times New Roman" w:eastAsia="宋体" w:cs="Times New Roman"/>
          <w:snapToGrid w:val="0"/>
          <w:color w:val="auto"/>
          <w:highlight w:val="none"/>
          <w:lang w:val="en-US" w:eastAsia="zh-CN"/>
        </w:rPr>
      </w:pPr>
      <w:r>
        <w:rPr>
          <w:highlight w:val="none"/>
        </w:rPr>
        <w:drawing>
          <wp:inline distT="0" distB="0" distL="114300" distR="114300">
            <wp:extent cx="5772785" cy="7052310"/>
            <wp:effectExtent l="0" t="0" r="18415" b="1524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134"/>
                    <a:stretch>
                      <a:fillRect/>
                    </a:stretch>
                  </pic:blipFill>
                  <pic:spPr>
                    <a:xfrm>
                      <a:off x="0" y="0"/>
                      <a:ext cx="5772785" cy="7052310"/>
                    </a:xfrm>
                    <a:prstGeom prst="rect">
                      <a:avLst/>
                    </a:prstGeom>
                    <a:noFill/>
                    <a:ln>
                      <a:noFill/>
                    </a:ln>
                  </pic:spPr>
                </pic:pic>
              </a:graphicData>
            </a:graphic>
          </wp:inline>
        </w:drawing>
      </w:r>
    </w:p>
    <w:p w14:paraId="184FA23B">
      <w:pPr>
        <w:pStyle w:val="2"/>
        <w:rPr>
          <w:rFonts w:hint="default"/>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4AD1234C">
      <w:pPr>
        <w:pStyle w:val="4"/>
        <w:bidi w:val="0"/>
        <w:rPr>
          <w:rFonts w:hint="default" w:ascii="Times New Roman" w:hAnsi="Times New Roman" w:eastAsia="宋体" w:cs="Times New Roman"/>
          <w:snapToGrid w:val="0"/>
          <w:color w:val="auto"/>
          <w:highlight w:val="none"/>
          <w:lang w:val="en-US" w:eastAsia="zh-CN"/>
        </w:rPr>
      </w:pPr>
      <w:bookmarkStart w:id="1354" w:name="_Toc26875"/>
      <w:r>
        <w:rPr>
          <w:rFonts w:hint="default" w:ascii="Times New Roman" w:hAnsi="Times New Roman" w:eastAsia="宋体" w:cs="Times New Roman"/>
          <w:snapToGrid w:val="0"/>
          <w:color w:val="auto"/>
          <w:highlight w:val="none"/>
          <w:lang w:val="en-US" w:eastAsia="zh-CN"/>
        </w:rPr>
        <w:t>附件</w:t>
      </w:r>
      <w:r>
        <w:rPr>
          <w:rFonts w:hint="eastAsia" w:ascii="Times New Roman" w:hAnsi="Times New Roman" w:eastAsia="宋体" w:cs="Times New Roman"/>
          <w:snapToGrid w:val="0"/>
          <w:color w:val="auto"/>
          <w:highlight w:val="none"/>
          <w:lang w:val="en-US" w:eastAsia="zh-CN"/>
        </w:rPr>
        <w:t>9</w:t>
      </w:r>
      <w:r>
        <w:rPr>
          <w:rFonts w:hint="default" w:ascii="Times New Roman" w:hAnsi="Times New Roman" w:eastAsia="宋体" w:cs="Times New Roman"/>
          <w:snapToGrid w:val="0"/>
          <w:color w:val="auto"/>
          <w:highlight w:val="none"/>
          <w:lang w:val="en-US" w:eastAsia="zh-CN"/>
        </w:rPr>
        <w:t xml:space="preserve"> </w:t>
      </w:r>
      <w:r>
        <w:rPr>
          <w:rFonts w:hint="eastAsia" w:ascii="Times New Roman" w:hAnsi="Times New Roman" w:eastAsia="宋体" w:cs="Times New Roman"/>
          <w:snapToGrid w:val="0"/>
          <w:color w:val="auto"/>
          <w:highlight w:val="none"/>
          <w:lang w:val="en-US" w:eastAsia="zh-CN"/>
        </w:rPr>
        <w:t>土地文件</w:t>
      </w:r>
      <w:bookmarkEnd w:id="1354"/>
    </w:p>
    <w:p w14:paraId="76C11CA8">
      <w:pPr>
        <w:pStyle w:val="454"/>
        <w:bidi w:val="0"/>
        <w:rPr>
          <w:rStyle w:val="461"/>
          <w:rFonts w:hint="default" w:ascii="Times New Roman" w:hAnsi="Times New Roman" w:cs="Times New Roman"/>
          <w:bCs w:val="0"/>
          <w:color w:val="auto"/>
          <w:sz w:val="30"/>
          <w:szCs w:val="30"/>
          <w:highlight w:val="none"/>
          <w:lang w:val="en-US" w:eastAsia="zh-CN"/>
        </w:rPr>
      </w:pPr>
      <w:r>
        <w:rPr>
          <w:rFonts w:hint="default"/>
          <w:highlight w:val="none"/>
          <w:lang w:val="en-US" w:eastAsia="zh-CN"/>
        </w:rPr>
        <w:drawing>
          <wp:inline distT="0" distB="0" distL="114300" distR="114300">
            <wp:extent cx="5309870" cy="8377555"/>
            <wp:effectExtent l="0" t="0" r="5080" b="4445"/>
            <wp:docPr id="10" name="图片 10" descr="5d3b9a46e1d3c210fa100556eec7d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5d3b9a46e1d3c210fa100556eec7dd4"/>
                    <pic:cNvPicPr>
                      <a:picLocks noChangeAspect="1"/>
                    </pic:cNvPicPr>
                  </pic:nvPicPr>
                  <pic:blipFill>
                    <a:blip r:embed="rId135"/>
                    <a:srcRect t="9068"/>
                    <a:stretch>
                      <a:fillRect/>
                    </a:stretch>
                  </pic:blipFill>
                  <pic:spPr>
                    <a:xfrm>
                      <a:off x="0" y="0"/>
                      <a:ext cx="5309870" cy="8377555"/>
                    </a:xfrm>
                    <a:prstGeom prst="rect">
                      <a:avLst/>
                    </a:prstGeom>
                  </pic:spPr>
                </pic:pic>
              </a:graphicData>
            </a:graphic>
          </wp:inline>
        </w:drawing>
      </w:r>
    </w:p>
    <w:p w14:paraId="54661E52">
      <w:pPr>
        <w:bidi w:val="0"/>
        <w:rPr>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highlight w:val="none"/>
          <w:lang w:val="en-US" w:eastAsia="zh-CN"/>
        </w:rPr>
        <w:drawing>
          <wp:inline distT="0" distB="0" distL="114300" distR="114300">
            <wp:extent cx="5187950" cy="7837170"/>
            <wp:effectExtent l="0" t="0" r="12700" b="11430"/>
            <wp:docPr id="39" name="图片 39" descr="be84eecd60c19ce3b209328d4414a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be84eecd60c19ce3b209328d4414a42"/>
                    <pic:cNvPicPr>
                      <a:picLocks noChangeAspect="1"/>
                    </pic:cNvPicPr>
                  </pic:nvPicPr>
                  <pic:blipFill>
                    <a:blip r:embed="rId136"/>
                    <a:srcRect t="11457"/>
                    <a:stretch>
                      <a:fillRect/>
                    </a:stretch>
                  </pic:blipFill>
                  <pic:spPr>
                    <a:xfrm>
                      <a:off x="0" y="0"/>
                      <a:ext cx="5187950" cy="7837170"/>
                    </a:xfrm>
                    <a:prstGeom prst="rect">
                      <a:avLst/>
                    </a:prstGeom>
                  </pic:spPr>
                </pic:pic>
              </a:graphicData>
            </a:graphic>
          </wp:inline>
        </w:drawing>
      </w:r>
      <w:r>
        <w:rPr>
          <w:rFonts w:hint="default"/>
          <w:highlight w:val="none"/>
          <w:lang w:val="en-US" w:eastAsia="zh-CN"/>
        </w:rPr>
        <w:drawing>
          <wp:inline distT="0" distB="0" distL="114300" distR="114300">
            <wp:extent cx="4979035" cy="8851265"/>
            <wp:effectExtent l="0" t="0" r="12065" b="6985"/>
            <wp:docPr id="45" name="图片 45" descr="e0879e0453634828c877014c30261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e0879e0453634828c877014c302617f"/>
                    <pic:cNvPicPr>
                      <a:picLocks noChangeAspect="1"/>
                    </pic:cNvPicPr>
                  </pic:nvPicPr>
                  <pic:blipFill>
                    <a:blip r:embed="rId137"/>
                    <a:stretch>
                      <a:fillRect/>
                    </a:stretch>
                  </pic:blipFill>
                  <pic:spPr>
                    <a:xfrm>
                      <a:off x="0" y="0"/>
                      <a:ext cx="4979035" cy="8851265"/>
                    </a:xfrm>
                    <a:prstGeom prst="rect">
                      <a:avLst/>
                    </a:prstGeom>
                  </pic:spPr>
                </pic:pic>
              </a:graphicData>
            </a:graphic>
          </wp:inline>
        </w:drawing>
      </w:r>
      <w:r>
        <w:rPr>
          <w:rFonts w:hint="default"/>
          <w:highlight w:val="none"/>
          <w:lang w:val="en-US" w:eastAsia="zh-CN"/>
        </w:rPr>
        <w:drawing>
          <wp:inline distT="0" distB="0" distL="114300" distR="114300">
            <wp:extent cx="5245735" cy="8026400"/>
            <wp:effectExtent l="0" t="0" r="12065" b="12700"/>
            <wp:docPr id="43" name="图片 43" descr="44838ac226e1bd75ca67f8eb383f2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44838ac226e1bd75ca67f8eb383f27f"/>
                    <pic:cNvPicPr>
                      <a:picLocks noChangeAspect="1"/>
                    </pic:cNvPicPr>
                  </pic:nvPicPr>
                  <pic:blipFill>
                    <a:blip r:embed="rId138"/>
                    <a:srcRect t="7209" b="9056"/>
                    <a:stretch>
                      <a:fillRect/>
                    </a:stretch>
                  </pic:blipFill>
                  <pic:spPr>
                    <a:xfrm>
                      <a:off x="0" y="0"/>
                      <a:ext cx="5245735" cy="8026400"/>
                    </a:xfrm>
                    <a:prstGeom prst="rect">
                      <a:avLst/>
                    </a:prstGeom>
                  </pic:spPr>
                </pic:pic>
              </a:graphicData>
            </a:graphic>
          </wp:inline>
        </w:drawing>
      </w:r>
      <w:r>
        <w:rPr>
          <w:rFonts w:hint="default"/>
          <w:highlight w:val="none"/>
          <w:lang w:val="en-US" w:eastAsia="zh-CN"/>
        </w:rPr>
        <w:drawing>
          <wp:inline distT="0" distB="0" distL="114300" distR="114300">
            <wp:extent cx="5306695" cy="8467090"/>
            <wp:effectExtent l="0" t="0" r="8255" b="10160"/>
            <wp:docPr id="44" name="图片 44" descr="613363c27c5b18a309e7b97084701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13363c27c5b18a309e7b970847012f"/>
                    <pic:cNvPicPr>
                      <a:picLocks noChangeAspect="1"/>
                    </pic:cNvPicPr>
                  </pic:nvPicPr>
                  <pic:blipFill>
                    <a:blip r:embed="rId139"/>
                    <a:srcRect t="10252"/>
                    <a:stretch>
                      <a:fillRect/>
                    </a:stretch>
                  </pic:blipFill>
                  <pic:spPr>
                    <a:xfrm>
                      <a:off x="0" y="0"/>
                      <a:ext cx="5306695" cy="8467090"/>
                    </a:xfrm>
                    <a:prstGeom prst="rect">
                      <a:avLst/>
                    </a:prstGeom>
                  </pic:spPr>
                </pic:pic>
              </a:graphicData>
            </a:graphic>
          </wp:inline>
        </w:drawing>
      </w:r>
      <w:r>
        <w:rPr>
          <w:highlight w:val="none"/>
        </w:rPr>
        <w:drawing>
          <wp:inline distT="0" distB="0" distL="114300" distR="114300">
            <wp:extent cx="5353050" cy="8091805"/>
            <wp:effectExtent l="0" t="0" r="0" b="444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140"/>
                    <a:srcRect l="5538" t="829" r="5872"/>
                    <a:stretch>
                      <a:fillRect/>
                    </a:stretch>
                  </pic:blipFill>
                  <pic:spPr>
                    <a:xfrm>
                      <a:off x="0" y="0"/>
                      <a:ext cx="5353050" cy="8091805"/>
                    </a:xfrm>
                    <a:prstGeom prst="rect">
                      <a:avLst/>
                    </a:prstGeom>
                    <a:noFill/>
                    <a:ln>
                      <a:noFill/>
                    </a:ln>
                  </pic:spPr>
                </pic:pic>
              </a:graphicData>
            </a:graphic>
          </wp:inline>
        </w:drawing>
      </w:r>
      <w:r>
        <w:rPr>
          <w:highlight w:val="none"/>
        </w:rPr>
        <w:drawing>
          <wp:inline distT="0" distB="0" distL="114300" distR="114300">
            <wp:extent cx="5381625" cy="7987030"/>
            <wp:effectExtent l="0" t="0" r="9525" b="13970"/>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141"/>
                    <a:srcRect r="7230"/>
                    <a:stretch>
                      <a:fillRect/>
                    </a:stretch>
                  </pic:blipFill>
                  <pic:spPr>
                    <a:xfrm>
                      <a:off x="0" y="0"/>
                      <a:ext cx="5381625" cy="7987030"/>
                    </a:xfrm>
                    <a:prstGeom prst="rect">
                      <a:avLst/>
                    </a:prstGeom>
                    <a:noFill/>
                    <a:ln>
                      <a:noFill/>
                    </a:ln>
                  </pic:spPr>
                </pic:pic>
              </a:graphicData>
            </a:graphic>
          </wp:inline>
        </w:drawing>
      </w:r>
    </w:p>
    <w:p w14:paraId="1BC76750">
      <w:pPr>
        <w:pStyle w:val="4"/>
        <w:bidi w:val="0"/>
        <w:rPr>
          <w:rFonts w:hint="default" w:ascii="Times New Roman" w:hAnsi="Times New Roman" w:eastAsia="宋体" w:cs="Times New Roman"/>
          <w:snapToGrid w:val="0"/>
          <w:color w:val="auto"/>
          <w:highlight w:val="none"/>
          <w:lang w:val="en-US" w:eastAsia="zh-CN"/>
        </w:rPr>
      </w:pPr>
      <w:bookmarkStart w:id="1355" w:name="_Toc29466"/>
      <w:r>
        <w:rPr>
          <w:rFonts w:hint="default" w:ascii="Times New Roman" w:hAnsi="Times New Roman" w:eastAsia="宋体" w:cs="Times New Roman"/>
          <w:snapToGrid w:val="0"/>
          <w:color w:val="auto"/>
          <w:highlight w:val="none"/>
          <w:lang w:val="en-US" w:eastAsia="zh-CN"/>
        </w:rPr>
        <w:t>附件</w:t>
      </w:r>
      <w:r>
        <w:rPr>
          <w:rFonts w:hint="eastAsia" w:ascii="Times New Roman" w:hAnsi="Times New Roman" w:eastAsia="宋体" w:cs="Times New Roman"/>
          <w:snapToGrid w:val="0"/>
          <w:color w:val="auto"/>
          <w:highlight w:val="none"/>
          <w:lang w:val="en-US" w:eastAsia="zh-CN"/>
        </w:rPr>
        <w:t>10</w:t>
      </w:r>
      <w:r>
        <w:rPr>
          <w:rFonts w:hint="default" w:ascii="Times New Roman" w:hAnsi="Times New Roman" w:eastAsia="宋体" w:cs="Times New Roman"/>
          <w:snapToGrid w:val="0"/>
          <w:color w:val="auto"/>
          <w:highlight w:val="none"/>
          <w:lang w:val="en-US" w:eastAsia="zh-CN"/>
        </w:rPr>
        <w:t xml:space="preserve"> </w:t>
      </w:r>
      <w:r>
        <w:rPr>
          <w:rFonts w:hint="eastAsia" w:ascii="Times New Roman" w:hAnsi="Times New Roman" w:eastAsia="宋体" w:cs="Times New Roman"/>
          <w:snapToGrid w:val="0"/>
          <w:color w:val="auto"/>
          <w:highlight w:val="none"/>
          <w:lang w:val="en-US" w:eastAsia="zh-CN"/>
        </w:rPr>
        <w:t>委托协议</w:t>
      </w:r>
      <w:bookmarkEnd w:id="1355"/>
    </w:p>
    <w:p w14:paraId="03937300">
      <w:pPr>
        <w:pStyle w:val="28"/>
        <w:keepNext w:val="0"/>
        <w:keepLines w:val="0"/>
        <w:pageBreakBefore w:val="0"/>
        <w:widowControl/>
        <w:kinsoku/>
        <w:wordWrap/>
        <w:overflowPunct/>
        <w:topLinePunct w:val="0"/>
        <w:autoSpaceDE/>
        <w:autoSpaceDN/>
        <w:bidi w:val="0"/>
        <w:adjustRightInd/>
        <w:snapToGrid/>
        <w:ind w:firstLine="0" w:firstLineChars="0"/>
        <w:jc w:val="center"/>
        <w:textAlignment w:val="auto"/>
        <w:rPr>
          <w:rStyle w:val="461"/>
          <w:rFonts w:hint="default" w:ascii="Times New Roman" w:hAnsi="Times New Roman" w:cs="Times New Roman"/>
          <w:bCs w:val="0"/>
          <w:color w:val="auto"/>
          <w:szCs w:val="24"/>
          <w:highlight w:val="none"/>
          <w:lang w:val="en-US" w:eastAsia="zh-CN"/>
        </w:rPr>
      </w:pPr>
      <w:r>
        <w:rPr>
          <w:rStyle w:val="461"/>
          <w:rFonts w:hint="default" w:ascii="Times New Roman" w:hAnsi="Times New Roman" w:cs="Times New Roman"/>
          <w:bCs w:val="0"/>
          <w:color w:val="auto"/>
          <w:szCs w:val="24"/>
          <w:highlight w:val="none"/>
          <w:lang w:val="en-US" w:eastAsia="zh-CN"/>
        </w:rPr>
        <w:drawing>
          <wp:inline distT="0" distB="0" distL="114300" distR="114300">
            <wp:extent cx="5276850" cy="7461885"/>
            <wp:effectExtent l="0" t="0" r="0" b="5715"/>
            <wp:docPr id="187" name="图片 187" descr="6a5cb7bd957851cf4ed9e4113bcea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6a5cb7bd957851cf4ed9e4113bcea974"/>
                    <pic:cNvPicPr>
                      <a:picLocks noChangeAspect="1"/>
                    </pic:cNvPicPr>
                  </pic:nvPicPr>
                  <pic:blipFill>
                    <a:blip r:embed="rId142"/>
                    <a:stretch>
                      <a:fillRect/>
                    </a:stretch>
                  </pic:blipFill>
                  <pic:spPr>
                    <a:xfrm>
                      <a:off x="0" y="0"/>
                      <a:ext cx="5276850" cy="7461885"/>
                    </a:xfrm>
                    <a:prstGeom prst="rect">
                      <a:avLst/>
                    </a:prstGeom>
                  </pic:spPr>
                </pic:pic>
              </a:graphicData>
            </a:graphic>
          </wp:inline>
        </w:drawing>
      </w:r>
    </w:p>
    <w:p w14:paraId="35BCF058">
      <w:pPr>
        <w:pStyle w:val="28"/>
        <w:keepNext w:val="0"/>
        <w:keepLines w:val="0"/>
        <w:pageBreakBefore w:val="0"/>
        <w:widowControl/>
        <w:kinsoku/>
        <w:wordWrap/>
        <w:overflowPunct/>
        <w:topLinePunct w:val="0"/>
        <w:autoSpaceDE/>
        <w:autoSpaceDN/>
        <w:bidi w:val="0"/>
        <w:adjustRightInd/>
        <w:snapToGrid/>
        <w:ind w:firstLine="0" w:firstLineChars="0"/>
        <w:jc w:val="center"/>
        <w:textAlignment w:val="auto"/>
        <w:rPr>
          <w:rStyle w:val="461"/>
          <w:rFonts w:hint="default" w:ascii="Times New Roman" w:hAnsi="Times New Roman" w:cs="Times New Roman"/>
          <w:bCs w:val="0"/>
          <w:color w:val="auto"/>
          <w:szCs w:val="24"/>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324355CA">
      <w:pPr>
        <w:pStyle w:val="4"/>
        <w:bidi w:val="0"/>
        <w:rPr>
          <w:rFonts w:hint="default" w:ascii="Times New Roman" w:hAnsi="Times New Roman" w:eastAsia="宋体" w:cs="Times New Roman"/>
          <w:snapToGrid w:val="0"/>
          <w:color w:val="auto"/>
          <w:highlight w:val="none"/>
          <w:lang w:val="en-US" w:eastAsia="zh-CN"/>
        </w:rPr>
      </w:pPr>
      <w:bookmarkStart w:id="1356" w:name="_Toc32118"/>
      <w:bookmarkStart w:id="1357" w:name="_Toc11875"/>
      <w:bookmarkStart w:id="1358" w:name="_Toc16807"/>
      <w:bookmarkStart w:id="1359" w:name="_Toc24959"/>
      <w:bookmarkStart w:id="1360" w:name="_Toc26052"/>
      <w:r>
        <w:rPr>
          <w:rFonts w:hint="default" w:ascii="Times New Roman" w:hAnsi="Times New Roman" w:eastAsia="宋体" w:cs="Times New Roman"/>
          <w:snapToGrid w:val="0"/>
          <w:color w:val="auto"/>
          <w:highlight w:val="none"/>
          <w:lang w:val="en-US" w:eastAsia="zh-CN"/>
        </w:rPr>
        <w:t>附件</w:t>
      </w:r>
      <w:r>
        <w:rPr>
          <w:rFonts w:hint="eastAsia" w:ascii="Times New Roman" w:hAnsi="Times New Roman" w:eastAsia="宋体" w:cs="Times New Roman"/>
          <w:snapToGrid w:val="0"/>
          <w:color w:val="auto"/>
          <w:highlight w:val="none"/>
          <w:lang w:val="en-US" w:eastAsia="zh-CN"/>
        </w:rPr>
        <w:t>11</w:t>
      </w:r>
      <w:r>
        <w:rPr>
          <w:rFonts w:hint="default" w:ascii="Times New Roman" w:hAnsi="Times New Roman" w:eastAsia="宋体" w:cs="Times New Roman"/>
          <w:snapToGrid w:val="0"/>
          <w:color w:val="auto"/>
          <w:highlight w:val="none"/>
          <w:lang w:val="en-US" w:eastAsia="zh-CN"/>
        </w:rPr>
        <w:t xml:space="preserve"> 粪污消纳土地协议书</w:t>
      </w:r>
      <w:bookmarkEnd w:id="1356"/>
    </w:p>
    <w:p w14:paraId="60879A2A">
      <w:pPr>
        <w:pStyle w:val="454"/>
        <w:bidi w:val="0"/>
        <w:rPr>
          <w:rStyle w:val="461"/>
          <w:rFonts w:hint="default" w:ascii="Times New Roman" w:hAnsi="Times New Roman" w:cs="Times New Roman"/>
          <w:bCs w:val="0"/>
          <w:color w:val="auto"/>
          <w:sz w:val="30"/>
          <w:szCs w:val="30"/>
          <w:highlight w:val="none"/>
          <w:lang w:val="en-US" w:eastAsia="zh-CN"/>
        </w:rPr>
      </w:pP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163" name="图片 163" descr="粪污消纳土地协议书_青辉合作社(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粪污消纳土地协议书_青辉合作社(1)_01"/>
                    <pic:cNvPicPr>
                      <a:picLocks noChangeAspect="1"/>
                    </pic:cNvPicPr>
                  </pic:nvPicPr>
                  <pic:blipFill>
                    <a:blip r:embed="rId143"/>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164" name="图片 164" descr="粪污消纳土地协议书_青辉合作社(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粪污消纳土地协议书_青辉合作社(1)_02"/>
                    <pic:cNvPicPr>
                      <a:picLocks noChangeAspect="1"/>
                    </pic:cNvPicPr>
                  </pic:nvPicPr>
                  <pic:blipFill>
                    <a:blip r:embed="rId144"/>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166" name="图片 166" descr="粪污消纳土地协议书_青辉合作社(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粪污消纳土地协议书_青辉合作社(1)_03"/>
                    <pic:cNvPicPr>
                      <a:picLocks noChangeAspect="1"/>
                    </pic:cNvPicPr>
                  </pic:nvPicPr>
                  <pic:blipFill>
                    <a:blip r:embed="rId145"/>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167" name="图片 167" descr="粪污消纳土地协议书_青辉合作社(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粪污消纳土地协议书_青辉合作社(1)_04"/>
                    <pic:cNvPicPr>
                      <a:picLocks noChangeAspect="1"/>
                    </pic:cNvPicPr>
                  </pic:nvPicPr>
                  <pic:blipFill>
                    <a:blip r:embed="rId146"/>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168" name="图片 168" descr="粪污消纳土地协议书_青辉合作社(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粪污消纳土地协议书_青辉合作社(1)_05"/>
                    <pic:cNvPicPr>
                      <a:picLocks noChangeAspect="1"/>
                    </pic:cNvPicPr>
                  </pic:nvPicPr>
                  <pic:blipFill>
                    <a:blip r:embed="rId147"/>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223" name="图片 223" descr="粪污消纳土地协议书_青辉合作社(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粪污消纳土地协议书_青辉合作社(1)_06"/>
                    <pic:cNvPicPr>
                      <a:picLocks noChangeAspect="1"/>
                    </pic:cNvPicPr>
                  </pic:nvPicPr>
                  <pic:blipFill>
                    <a:blip r:embed="rId148"/>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234" name="图片 234" descr="粪污消纳土地协议书_青辉合作社(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粪污消纳土地协议书_青辉合作社(1)_07"/>
                    <pic:cNvPicPr>
                      <a:picLocks noChangeAspect="1"/>
                    </pic:cNvPicPr>
                  </pic:nvPicPr>
                  <pic:blipFill>
                    <a:blip r:embed="rId149"/>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235" name="图片 235" descr="粪污消纳土地协议书_青辉合作社(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粪污消纳土地协议书_青辉合作社(1)_08"/>
                    <pic:cNvPicPr>
                      <a:picLocks noChangeAspect="1"/>
                    </pic:cNvPicPr>
                  </pic:nvPicPr>
                  <pic:blipFill>
                    <a:blip r:embed="rId150"/>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237" name="图片 237" descr="粪污消纳土地协议书_青辉合作社(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粪污消纳土地协议书_青辉合作社(1)_09"/>
                    <pic:cNvPicPr>
                      <a:picLocks noChangeAspect="1"/>
                    </pic:cNvPicPr>
                  </pic:nvPicPr>
                  <pic:blipFill>
                    <a:blip r:embed="rId151"/>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258" name="图片 258" descr="粪污消纳土地协议书_青辉合作社(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粪污消纳土地协议书_青辉合作社(1)_10"/>
                    <pic:cNvPicPr>
                      <a:picLocks noChangeAspect="1"/>
                    </pic:cNvPicPr>
                  </pic:nvPicPr>
                  <pic:blipFill>
                    <a:blip r:embed="rId152"/>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259" name="图片 259" descr="粪污消纳土地协议书_青辉合作社(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粪污消纳土地协议书_青辉合作社(1)_11"/>
                    <pic:cNvPicPr>
                      <a:picLocks noChangeAspect="1"/>
                    </pic:cNvPicPr>
                  </pic:nvPicPr>
                  <pic:blipFill>
                    <a:blip r:embed="rId153"/>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260" name="图片 260" descr="粪污消纳土地协议书_青辉合作社(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粪污消纳土地协议书_青辉合作社(1)_12"/>
                    <pic:cNvPicPr>
                      <a:picLocks noChangeAspect="1"/>
                    </pic:cNvPicPr>
                  </pic:nvPicPr>
                  <pic:blipFill>
                    <a:blip r:embed="rId154"/>
                    <a:stretch>
                      <a:fillRect/>
                    </a:stretch>
                  </pic:blipFill>
                  <pic:spPr>
                    <a:xfrm>
                      <a:off x="0" y="0"/>
                      <a:ext cx="5276850" cy="746188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6850" cy="7461885"/>
            <wp:effectExtent l="0" t="0" r="0" b="5715"/>
            <wp:docPr id="261" name="图片 261" descr="粪污消纳土地协议书_青辉合作社(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粪污消纳土地协议书_青辉合作社(1)_13"/>
                    <pic:cNvPicPr>
                      <a:picLocks noChangeAspect="1"/>
                    </pic:cNvPicPr>
                  </pic:nvPicPr>
                  <pic:blipFill>
                    <a:blip r:embed="rId155"/>
                    <a:stretch>
                      <a:fillRect/>
                    </a:stretch>
                  </pic:blipFill>
                  <pic:spPr>
                    <a:xfrm>
                      <a:off x="0" y="0"/>
                      <a:ext cx="5276850" cy="7461885"/>
                    </a:xfrm>
                    <a:prstGeom prst="rect">
                      <a:avLst/>
                    </a:prstGeom>
                  </pic:spPr>
                </pic:pic>
              </a:graphicData>
            </a:graphic>
          </wp:inline>
        </w:drawing>
      </w:r>
      <w:r>
        <w:rPr>
          <w:highlight w:val="none"/>
        </w:rPr>
        <w:drawing>
          <wp:inline distT="0" distB="0" distL="114300" distR="114300">
            <wp:extent cx="5257800" cy="7610475"/>
            <wp:effectExtent l="0" t="0" r="0" b="9525"/>
            <wp:docPr id="2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5"/>
                    <pic:cNvPicPr>
                      <a:picLocks noChangeAspect="1"/>
                    </pic:cNvPicPr>
                  </pic:nvPicPr>
                  <pic:blipFill>
                    <a:blip r:embed="rId156"/>
                    <a:stretch>
                      <a:fillRect/>
                    </a:stretch>
                  </pic:blipFill>
                  <pic:spPr>
                    <a:xfrm>
                      <a:off x="0" y="0"/>
                      <a:ext cx="5257800" cy="7610475"/>
                    </a:xfrm>
                    <a:prstGeom prst="rect">
                      <a:avLst/>
                    </a:prstGeom>
                    <a:noFill/>
                    <a:ln>
                      <a:noFill/>
                    </a:ln>
                  </pic:spPr>
                </pic:pic>
              </a:graphicData>
            </a:graphic>
          </wp:inline>
        </w:drawing>
      </w:r>
    </w:p>
    <w:bookmarkEnd w:id="1357"/>
    <w:bookmarkEnd w:id="1358"/>
    <w:bookmarkEnd w:id="1359"/>
    <w:bookmarkEnd w:id="1360"/>
    <w:p w14:paraId="1E0DC466">
      <w:pPr>
        <w:bidi w:val="0"/>
        <w:rPr>
          <w:rFonts w:hint="eastAsia" w:eastAsiaTheme="minorEastAsia"/>
          <w:highlight w:val="none"/>
          <w:lang w:eastAsia="zh-CN"/>
        </w:rPr>
      </w:pPr>
    </w:p>
    <w:p w14:paraId="43F3262F">
      <w:pPr>
        <w:pStyle w:val="6"/>
        <w:jc w:val="center"/>
        <w:rPr>
          <w:rFonts w:hint="default"/>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45C239A1">
      <w:pPr>
        <w:pStyle w:val="4"/>
        <w:bidi w:val="0"/>
        <w:rPr>
          <w:rFonts w:hint="default" w:ascii="Times New Roman" w:hAnsi="Times New Roman" w:eastAsia="宋体" w:cs="Times New Roman"/>
          <w:snapToGrid w:val="0"/>
          <w:color w:val="auto"/>
          <w:highlight w:val="none"/>
          <w:lang w:val="en-US" w:eastAsia="zh-CN"/>
        </w:rPr>
      </w:pPr>
      <w:bookmarkStart w:id="1361" w:name="_Toc18152"/>
      <w:r>
        <w:rPr>
          <w:rFonts w:hint="default" w:ascii="Times New Roman" w:hAnsi="Times New Roman" w:eastAsia="宋体" w:cs="Times New Roman"/>
          <w:snapToGrid w:val="0"/>
          <w:color w:val="auto"/>
          <w:highlight w:val="none"/>
          <w:lang w:val="en-US" w:eastAsia="zh-CN"/>
        </w:rPr>
        <w:t>附件1</w:t>
      </w:r>
      <w:r>
        <w:rPr>
          <w:rFonts w:hint="eastAsia"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lang w:val="en-US" w:eastAsia="zh-CN"/>
        </w:rPr>
        <w:t xml:space="preserve"> 病死畜禽无害化处理合作协议</w:t>
      </w:r>
      <w:bookmarkEnd w:id="1361"/>
    </w:p>
    <w:p w14:paraId="481562DB">
      <w:pPr>
        <w:bidi w:val="0"/>
        <w:rPr>
          <w:rFonts w:hint="eastAsia" w:eastAsia="宋体"/>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highlight w:val="none"/>
        </w:rPr>
        <w:drawing>
          <wp:inline distT="0" distB="0" distL="114300" distR="114300">
            <wp:extent cx="5273675" cy="6705600"/>
            <wp:effectExtent l="0" t="0" r="3175" b="0"/>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157"/>
                    <a:stretch>
                      <a:fillRect/>
                    </a:stretch>
                  </pic:blipFill>
                  <pic:spPr>
                    <a:xfrm>
                      <a:off x="0" y="0"/>
                      <a:ext cx="5273675" cy="6705600"/>
                    </a:xfrm>
                    <a:prstGeom prst="rect">
                      <a:avLst/>
                    </a:prstGeom>
                    <a:noFill/>
                    <a:ln>
                      <a:noFill/>
                    </a:ln>
                  </pic:spPr>
                </pic:pic>
              </a:graphicData>
            </a:graphic>
          </wp:inline>
        </w:drawing>
      </w:r>
    </w:p>
    <w:p w14:paraId="2D2D54FA">
      <w:pPr>
        <w:pStyle w:val="4"/>
        <w:bidi w:val="0"/>
        <w:rPr>
          <w:rFonts w:hint="eastAsia" w:ascii="Times New Roman" w:hAnsi="Times New Roman" w:eastAsia="宋体" w:cs="Times New Roman"/>
          <w:snapToGrid w:val="0"/>
          <w:color w:val="auto"/>
          <w:highlight w:val="none"/>
          <w:lang w:val="en-US" w:eastAsia="zh-CN"/>
        </w:rPr>
      </w:pPr>
      <w:bookmarkStart w:id="1362" w:name="_Toc12171"/>
      <w:bookmarkStart w:id="1363" w:name="_Toc28565"/>
      <w:bookmarkStart w:id="1364" w:name="_Toc24364"/>
      <w:bookmarkStart w:id="1365" w:name="_Toc14815"/>
      <w:bookmarkStart w:id="1366" w:name="_Toc18673"/>
      <w:r>
        <w:rPr>
          <w:rFonts w:hint="default" w:ascii="Times New Roman" w:hAnsi="Times New Roman" w:eastAsia="宋体" w:cs="Times New Roman"/>
          <w:snapToGrid w:val="0"/>
          <w:color w:val="auto"/>
          <w:highlight w:val="none"/>
          <w:lang w:val="en-US" w:eastAsia="zh-CN"/>
        </w:rPr>
        <w:t>附件1</w:t>
      </w:r>
      <w:r>
        <w:rPr>
          <w:rFonts w:hint="eastAsia"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lang w:val="en-US" w:eastAsia="zh-CN"/>
        </w:rPr>
        <w:t xml:space="preserve"> </w:t>
      </w:r>
      <w:bookmarkEnd w:id="1362"/>
      <w:bookmarkEnd w:id="1363"/>
      <w:bookmarkEnd w:id="1364"/>
      <w:bookmarkEnd w:id="1365"/>
      <w:r>
        <w:rPr>
          <w:rFonts w:hint="eastAsia" w:ascii="Times New Roman" w:hAnsi="Times New Roman" w:eastAsia="宋体" w:cs="Times New Roman"/>
          <w:snapToGrid w:val="0"/>
          <w:color w:val="auto"/>
          <w:highlight w:val="none"/>
          <w:lang w:val="en-US" w:eastAsia="zh-CN"/>
        </w:rPr>
        <w:t>鸡西鑫农源固废处理有限公司相关资料</w:t>
      </w:r>
      <w:bookmarkEnd w:id="1366"/>
    </w:p>
    <w:p w14:paraId="3F5BE9F9">
      <w:pPr>
        <w:bidi w:val="0"/>
        <w:jc w:val="center"/>
        <w:rPr>
          <w:highlight w:val="none"/>
        </w:rPr>
      </w:pPr>
      <w:r>
        <w:rPr>
          <w:highlight w:val="none"/>
        </w:rPr>
        <w:drawing>
          <wp:inline distT="0" distB="0" distL="114300" distR="114300">
            <wp:extent cx="7415530" cy="4352290"/>
            <wp:effectExtent l="0" t="0" r="1270" b="3810"/>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158"/>
                    <a:stretch>
                      <a:fillRect/>
                    </a:stretch>
                  </pic:blipFill>
                  <pic:spPr>
                    <a:xfrm>
                      <a:off x="0" y="0"/>
                      <a:ext cx="7415530" cy="4352290"/>
                    </a:xfrm>
                    <a:prstGeom prst="rect">
                      <a:avLst/>
                    </a:prstGeom>
                    <a:noFill/>
                    <a:ln>
                      <a:noFill/>
                    </a:ln>
                  </pic:spPr>
                </pic:pic>
              </a:graphicData>
            </a:graphic>
          </wp:inline>
        </w:drawing>
      </w:r>
    </w:p>
    <w:p w14:paraId="30EE70FE">
      <w:pPr>
        <w:jc w:val="center"/>
        <w:rPr>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highlight w:val="none"/>
        </w:rPr>
        <w:drawing>
          <wp:inline distT="0" distB="0" distL="114300" distR="114300">
            <wp:extent cx="6971665" cy="5066030"/>
            <wp:effectExtent l="0" t="0" r="635" b="127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159"/>
                    <a:stretch>
                      <a:fillRect/>
                    </a:stretch>
                  </pic:blipFill>
                  <pic:spPr>
                    <a:xfrm>
                      <a:off x="0" y="0"/>
                      <a:ext cx="6971665" cy="5066030"/>
                    </a:xfrm>
                    <a:prstGeom prst="rect">
                      <a:avLst/>
                    </a:prstGeom>
                    <a:noFill/>
                    <a:ln>
                      <a:noFill/>
                    </a:ln>
                  </pic:spPr>
                </pic:pic>
              </a:graphicData>
            </a:graphic>
          </wp:inline>
        </w:drawing>
      </w:r>
    </w:p>
    <w:p w14:paraId="6E313FD3">
      <w:pPr>
        <w:pStyle w:val="28"/>
        <w:ind w:left="0" w:leftChars="0" w:firstLine="0" w:firstLineChars="0"/>
        <w:rPr>
          <w:highlight w:val="none"/>
        </w:rPr>
      </w:pPr>
      <w:r>
        <w:rPr>
          <w:highlight w:val="none"/>
        </w:rPr>
        <w:drawing>
          <wp:inline distT="0" distB="0" distL="114300" distR="114300">
            <wp:extent cx="5565775" cy="7789545"/>
            <wp:effectExtent l="0" t="0" r="9525" b="8255"/>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160"/>
                    <a:stretch>
                      <a:fillRect/>
                    </a:stretch>
                  </pic:blipFill>
                  <pic:spPr>
                    <a:xfrm>
                      <a:off x="0" y="0"/>
                      <a:ext cx="5565775" cy="7789545"/>
                    </a:xfrm>
                    <a:prstGeom prst="rect">
                      <a:avLst/>
                    </a:prstGeom>
                    <a:noFill/>
                    <a:ln>
                      <a:noFill/>
                    </a:ln>
                  </pic:spPr>
                </pic:pic>
              </a:graphicData>
            </a:graphic>
          </wp:inline>
        </w:drawing>
      </w:r>
    </w:p>
    <w:p w14:paraId="61531D93">
      <w:pPr>
        <w:rPr>
          <w:highlight w:val="none"/>
        </w:rPr>
      </w:pPr>
    </w:p>
    <w:p w14:paraId="5965C0AB">
      <w:pPr>
        <w:pStyle w:val="28"/>
        <w:rPr>
          <w:highlight w:val="none"/>
        </w:rPr>
      </w:pPr>
    </w:p>
    <w:p w14:paraId="1320D221">
      <w:pPr>
        <w:rPr>
          <w:highlight w:val="none"/>
        </w:rPr>
      </w:pPr>
    </w:p>
    <w:p w14:paraId="6D0DC145">
      <w:pPr>
        <w:pStyle w:val="28"/>
        <w:ind w:left="0" w:leftChars="0" w:firstLine="0" w:firstLineChars="0"/>
        <w:rPr>
          <w:highlight w:val="none"/>
        </w:rPr>
      </w:pPr>
      <w:r>
        <w:rPr>
          <w:highlight w:val="none"/>
        </w:rPr>
        <w:drawing>
          <wp:inline distT="0" distB="0" distL="114300" distR="114300">
            <wp:extent cx="5372100" cy="7543165"/>
            <wp:effectExtent l="0" t="0" r="0" b="635"/>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161"/>
                    <a:stretch>
                      <a:fillRect/>
                    </a:stretch>
                  </pic:blipFill>
                  <pic:spPr>
                    <a:xfrm>
                      <a:off x="0" y="0"/>
                      <a:ext cx="5372100" cy="7543165"/>
                    </a:xfrm>
                    <a:prstGeom prst="rect">
                      <a:avLst/>
                    </a:prstGeom>
                    <a:noFill/>
                    <a:ln>
                      <a:noFill/>
                    </a:ln>
                  </pic:spPr>
                </pic:pic>
              </a:graphicData>
            </a:graphic>
          </wp:inline>
        </w:drawing>
      </w:r>
    </w:p>
    <w:p w14:paraId="2DB53D5C">
      <w:pPr>
        <w:rPr>
          <w:highlight w:val="none"/>
        </w:rPr>
      </w:pPr>
      <w:r>
        <w:rPr>
          <w:highlight w:val="none"/>
        </w:rPr>
        <w:drawing>
          <wp:inline distT="0" distB="0" distL="114300" distR="114300">
            <wp:extent cx="5486400" cy="8104505"/>
            <wp:effectExtent l="0" t="0" r="0" b="10795"/>
            <wp:docPr id="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
                    <pic:cNvPicPr>
                      <a:picLocks noChangeAspect="1"/>
                    </pic:cNvPicPr>
                  </pic:nvPicPr>
                  <pic:blipFill>
                    <a:blip r:embed="rId162"/>
                    <a:stretch>
                      <a:fillRect/>
                    </a:stretch>
                  </pic:blipFill>
                  <pic:spPr>
                    <a:xfrm>
                      <a:off x="0" y="0"/>
                      <a:ext cx="5486400" cy="8104505"/>
                    </a:xfrm>
                    <a:prstGeom prst="rect">
                      <a:avLst/>
                    </a:prstGeom>
                    <a:noFill/>
                    <a:ln>
                      <a:noFill/>
                    </a:ln>
                  </pic:spPr>
                </pic:pic>
              </a:graphicData>
            </a:graphic>
          </wp:inline>
        </w:drawing>
      </w:r>
      <w:r>
        <w:rPr>
          <w:highlight w:val="none"/>
        </w:rPr>
        <w:drawing>
          <wp:inline distT="0" distB="0" distL="114300" distR="114300">
            <wp:extent cx="5409565" cy="7454900"/>
            <wp:effectExtent l="0" t="0" r="635" b="0"/>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163"/>
                    <a:stretch>
                      <a:fillRect/>
                    </a:stretch>
                  </pic:blipFill>
                  <pic:spPr>
                    <a:xfrm>
                      <a:off x="0" y="0"/>
                      <a:ext cx="5409565" cy="7454900"/>
                    </a:xfrm>
                    <a:prstGeom prst="rect">
                      <a:avLst/>
                    </a:prstGeom>
                    <a:noFill/>
                    <a:ln>
                      <a:noFill/>
                    </a:ln>
                  </pic:spPr>
                </pic:pic>
              </a:graphicData>
            </a:graphic>
          </wp:inline>
        </w:drawing>
      </w:r>
      <w:r>
        <w:rPr>
          <w:highlight w:val="none"/>
        </w:rPr>
        <w:drawing>
          <wp:inline distT="0" distB="0" distL="114300" distR="114300">
            <wp:extent cx="7631430" cy="5452110"/>
            <wp:effectExtent l="0" t="0" r="8890" b="1270"/>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164"/>
                    <a:stretch>
                      <a:fillRect/>
                    </a:stretch>
                  </pic:blipFill>
                  <pic:spPr>
                    <a:xfrm rot="16200000">
                      <a:off x="0" y="0"/>
                      <a:ext cx="7631430" cy="5452110"/>
                    </a:xfrm>
                    <a:prstGeom prst="rect">
                      <a:avLst/>
                    </a:prstGeom>
                    <a:noFill/>
                    <a:ln>
                      <a:noFill/>
                    </a:ln>
                  </pic:spPr>
                </pic:pic>
              </a:graphicData>
            </a:graphic>
          </wp:inline>
        </w:drawing>
      </w:r>
    </w:p>
    <w:p w14:paraId="10395A96">
      <w:pPr>
        <w:pStyle w:val="28"/>
        <w:rPr>
          <w:highlight w:val="none"/>
        </w:rPr>
      </w:pPr>
    </w:p>
    <w:p w14:paraId="4F8890A6">
      <w:pPr>
        <w:rPr>
          <w:highlight w:val="none"/>
        </w:rPr>
      </w:pPr>
      <w:r>
        <w:rPr>
          <w:highlight w:val="none"/>
        </w:rPr>
        <w:drawing>
          <wp:inline distT="0" distB="0" distL="114300" distR="114300">
            <wp:extent cx="7666990" cy="5398135"/>
            <wp:effectExtent l="0" t="0" r="12065" b="3810"/>
            <wp:docPr id="10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4"/>
                    <pic:cNvPicPr>
                      <a:picLocks noChangeAspect="1"/>
                    </pic:cNvPicPr>
                  </pic:nvPicPr>
                  <pic:blipFill>
                    <a:blip r:embed="rId165"/>
                    <a:stretch>
                      <a:fillRect/>
                    </a:stretch>
                  </pic:blipFill>
                  <pic:spPr>
                    <a:xfrm rot="16200000">
                      <a:off x="0" y="0"/>
                      <a:ext cx="7666990" cy="5398135"/>
                    </a:xfrm>
                    <a:prstGeom prst="rect">
                      <a:avLst/>
                    </a:prstGeom>
                    <a:noFill/>
                    <a:ln>
                      <a:noFill/>
                    </a:ln>
                  </pic:spPr>
                </pic:pic>
              </a:graphicData>
            </a:graphic>
          </wp:inline>
        </w:drawing>
      </w:r>
    </w:p>
    <w:p w14:paraId="72131E82">
      <w:pPr>
        <w:rPr>
          <w:highlight w:val="none"/>
        </w:rPr>
      </w:pPr>
      <w:r>
        <w:rPr>
          <w:highlight w:val="none"/>
        </w:rPr>
        <w:drawing>
          <wp:inline distT="0" distB="0" distL="114300" distR="114300">
            <wp:extent cx="8007985" cy="5377180"/>
            <wp:effectExtent l="0" t="0" r="7620" b="5715"/>
            <wp:docPr id="1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6"/>
                    <pic:cNvPicPr>
                      <a:picLocks noChangeAspect="1"/>
                    </pic:cNvPicPr>
                  </pic:nvPicPr>
                  <pic:blipFill>
                    <a:blip r:embed="rId166"/>
                    <a:stretch>
                      <a:fillRect/>
                    </a:stretch>
                  </pic:blipFill>
                  <pic:spPr>
                    <a:xfrm rot="16200000">
                      <a:off x="0" y="0"/>
                      <a:ext cx="8007985" cy="5377180"/>
                    </a:xfrm>
                    <a:prstGeom prst="rect">
                      <a:avLst/>
                    </a:prstGeom>
                    <a:noFill/>
                    <a:ln>
                      <a:noFill/>
                    </a:ln>
                  </pic:spPr>
                </pic:pic>
              </a:graphicData>
            </a:graphic>
          </wp:inline>
        </w:drawing>
      </w:r>
    </w:p>
    <w:p w14:paraId="3AD4A478">
      <w:pPr>
        <w:pStyle w:val="28"/>
        <w:ind w:left="0" w:leftChars="0" w:firstLine="0" w:firstLineChars="0"/>
        <w:rPr>
          <w:rFonts w:hint="default"/>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highlight w:val="none"/>
        </w:rPr>
        <w:drawing>
          <wp:inline distT="0" distB="0" distL="114300" distR="114300">
            <wp:extent cx="7463790" cy="5385435"/>
            <wp:effectExtent l="0" t="0" r="12065" b="3810"/>
            <wp:docPr id="1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5"/>
                    <pic:cNvPicPr>
                      <a:picLocks noChangeAspect="1"/>
                    </pic:cNvPicPr>
                  </pic:nvPicPr>
                  <pic:blipFill>
                    <a:blip r:embed="rId167"/>
                    <a:stretch>
                      <a:fillRect/>
                    </a:stretch>
                  </pic:blipFill>
                  <pic:spPr>
                    <a:xfrm rot="16200000">
                      <a:off x="0" y="0"/>
                      <a:ext cx="7463790" cy="5385435"/>
                    </a:xfrm>
                    <a:prstGeom prst="rect">
                      <a:avLst/>
                    </a:prstGeom>
                    <a:noFill/>
                    <a:ln>
                      <a:noFill/>
                    </a:ln>
                  </pic:spPr>
                </pic:pic>
              </a:graphicData>
            </a:graphic>
          </wp:inline>
        </w:drawing>
      </w:r>
    </w:p>
    <w:p w14:paraId="3697924D">
      <w:pPr>
        <w:pStyle w:val="4"/>
        <w:bidi w:val="0"/>
        <w:rPr>
          <w:rFonts w:hint="default" w:ascii="Times New Roman" w:hAnsi="Times New Roman" w:eastAsia="宋体" w:cs="Times New Roman"/>
          <w:snapToGrid w:val="0"/>
          <w:color w:val="auto"/>
          <w:highlight w:val="none"/>
          <w:lang w:val="en-US" w:eastAsia="zh-CN"/>
        </w:rPr>
      </w:pPr>
      <w:bookmarkStart w:id="1367" w:name="_Toc8167"/>
      <w:r>
        <w:rPr>
          <w:rFonts w:hint="default" w:ascii="Times New Roman" w:hAnsi="Times New Roman" w:eastAsia="宋体" w:cs="Times New Roman"/>
          <w:snapToGrid w:val="0"/>
          <w:color w:val="auto"/>
          <w:highlight w:val="none"/>
          <w:lang w:val="en-US" w:eastAsia="zh-CN"/>
        </w:rPr>
        <w:t>附件1</w:t>
      </w:r>
      <w:r>
        <w:rPr>
          <w:rFonts w:hint="eastAsia" w:ascii="Times New Roman" w:hAnsi="Times New Roman" w:eastAsia="宋体" w:cs="Times New Roman"/>
          <w:snapToGrid w:val="0"/>
          <w:color w:val="auto"/>
          <w:highlight w:val="none"/>
          <w:lang w:val="en-US" w:eastAsia="zh-CN"/>
        </w:rPr>
        <w:t>4 原有环保手续</w:t>
      </w:r>
      <w:bookmarkEnd w:id="1367"/>
    </w:p>
    <w:p w14:paraId="3B1F8175">
      <w:pPr>
        <w:bidi w:val="0"/>
        <w:rPr>
          <w:rFonts w:hint="eastAsia"/>
          <w:highlight w:val="none"/>
          <w:lang w:eastAsia="zh-CN"/>
        </w:rPr>
      </w:pPr>
      <w:r>
        <w:rPr>
          <w:rFonts w:hint="eastAsia"/>
          <w:highlight w:val="none"/>
          <w:lang w:eastAsia="zh-CN"/>
        </w:rPr>
        <w:drawing>
          <wp:inline distT="0" distB="0" distL="114300" distR="114300">
            <wp:extent cx="5428615" cy="7680960"/>
            <wp:effectExtent l="0" t="0" r="635" b="15240"/>
            <wp:docPr id="97" name="图片 97" descr="禽畜环评备案(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禽畜环评备案(1)_01"/>
                    <pic:cNvPicPr>
                      <a:picLocks noChangeAspect="1"/>
                    </pic:cNvPicPr>
                  </pic:nvPicPr>
                  <pic:blipFill>
                    <a:blip r:embed="rId168"/>
                    <a:stretch>
                      <a:fillRect/>
                    </a:stretch>
                  </pic:blipFill>
                  <pic:spPr>
                    <a:xfrm>
                      <a:off x="0" y="0"/>
                      <a:ext cx="5428615" cy="7680960"/>
                    </a:xfrm>
                    <a:prstGeom prst="rect">
                      <a:avLst/>
                    </a:prstGeom>
                  </pic:spPr>
                </pic:pic>
              </a:graphicData>
            </a:graphic>
          </wp:inline>
        </w:drawing>
      </w:r>
    </w:p>
    <w:p w14:paraId="2CBADBDF">
      <w:pPr>
        <w:rPr>
          <w:rFonts w:hint="eastAsia"/>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eastAsia"/>
          <w:highlight w:val="none"/>
          <w:lang w:eastAsia="zh-CN"/>
        </w:rPr>
        <w:drawing>
          <wp:inline distT="0" distB="0" distL="114300" distR="114300">
            <wp:extent cx="5574665" cy="7887970"/>
            <wp:effectExtent l="0" t="0" r="6985" b="17780"/>
            <wp:docPr id="142" name="图片 142" descr="禽畜环评备案(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禽畜环评备案(1)_02"/>
                    <pic:cNvPicPr>
                      <a:picLocks noChangeAspect="1"/>
                    </pic:cNvPicPr>
                  </pic:nvPicPr>
                  <pic:blipFill>
                    <a:blip r:embed="rId169"/>
                    <a:stretch>
                      <a:fillRect/>
                    </a:stretch>
                  </pic:blipFill>
                  <pic:spPr>
                    <a:xfrm>
                      <a:off x="0" y="0"/>
                      <a:ext cx="5574665" cy="7887970"/>
                    </a:xfrm>
                    <a:prstGeom prst="rect">
                      <a:avLst/>
                    </a:prstGeom>
                  </pic:spPr>
                </pic:pic>
              </a:graphicData>
            </a:graphic>
          </wp:inline>
        </w:drawing>
      </w:r>
      <w:r>
        <w:rPr>
          <w:highlight w:val="none"/>
        </w:rPr>
        <w:drawing>
          <wp:inline distT="0" distB="0" distL="114300" distR="114300">
            <wp:extent cx="5208905" cy="7433945"/>
            <wp:effectExtent l="0" t="0" r="10795" b="14605"/>
            <wp:docPr id="1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
                    <pic:cNvPicPr>
                      <a:picLocks noChangeAspect="1"/>
                    </pic:cNvPicPr>
                  </pic:nvPicPr>
                  <pic:blipFill>
                    <a:blip r:embed="rId170"/>
                    <a:srcRect l="6769" r="8011"/>
                    <a:stretch>
                      <a:fillRect/>
                    </a:stretch>
                  </pic:blipFill>
                  <pic:spPr>
                    <a:xfrm>
                      <a:off x="0" y="0"/>
                      <a:ext cx="5208905" cy="7433945"/>
                    </a:xfrm>
                    <a:prstGeom prst="rect">
                      <a:avLst/>
                    </a:prstGeom>
                    <a:noFill/>
                    <a:ln>
                      <a:noFill/>
                    </a:ln>
                  </pic:spPr>
                </pic:pic>
              </a:graphicData>
            </a:graphic>
          </wp:inline>
        </w:drawing>
      </w:r>
    </w:p>
    <w:p w14:paraId="1D6D152B">
      <w:pPr>
        <w:pStyle w:val="4"/>
        <w:bidi w:val="0"/>
        <w:rPr>
          <w:rFonts w:hint="default" w:ascii="Times New Roman" w:hAnsi="Times New Roman" w:eastAsia="宋体" w:cs="Times New Roman"/>
          <w:snapToGrid w:val="0"/>
          <w:color w:val="auto"/>
          <w:highlight w:val="none"/>
          <w:lang w:val="en-US" w:eastAsia="zh-CN"/>
        </w:rPr>
      </w:pPr>
      <w:bookmarkStart w:id="1368" w:name="_Toc23368"/>
      <w:r>
        <w:rPr>
          <w:rFonts w:hint="default" w:ascii="Times New Roman" w:hAnsi="Times New Roman" w:eastAsia="宋体" w:cs="Times New Roman"/>
          <w:snapToGrid w:val="0"/>
          <w:color w:val="auto"/>
          <w:highlight w:val="none"/>
          <w:lang w:val="en-US" w:eastAsia="zh-CN"/>
        </w:rPr>
        <w:t>附件1</w:t>
      </w:r>
      <w:r>
        <w:rPr>
          <w:rFonts w:hint="eastAsia" w:ascii="Times New Roman" w:hAnsi="Times New Roman" w:eastAsia="宋体" w:cs="Times New Roman"/>
          <w:snapToGrid w:val="0"/>
          <w:color w:val="auto"/>
          <w:highlight w:val="none"/>
          <w:lang w:val="en-US" w:eastAsia="zh-CN"/>
        </w:rPr>
        <w:t xml:space="preserve">5 </w:t>
      </w:r>
      <w:r>
        <w:rPr>
          <w:rFonts w:hint="default" w:ascii="Times New Roman" w:hAnsi="Times New Roman" w:eastAsia="宋体" w:cs="Times New Roman"/>
          <w:snapToGrid w:val="0"/>
          <w:color w:val="auto"/>
          <w:highlight w:val="none"/>
          <w:lang w:val="en-US" w:eastAsia="zh-CN"/>
        </w:rPr>
        <w:t>监测报告</w:t>
      </w:r>
      <w:bookmarkEnd w:id="1368"/>
    </w:p>
    <w:p w14:paraId="2A53D73C">
      <w:pPr>
        <w:pStyle w:val="2"/>
        <w:rPr>
          <w:rFonts w:hint="eastAsia"/>
          <w:highlight w:val="none"/>
          <w:lang w:eastAsia="zh-CN"/>
        </w:rPr>
      </w:pPr>
      <w:r>
        <w:rPr>
          <w:rFonts w:hint="eastAsia"/>
          <w:highlight w:val="none"/>
          <w:lang w:eastAsia="zh-CN"/>
        </w:rPr>
        <w:drawing>
          <wp:inline distT="0" distB="0" distL="114300" distR="114300">
            <wp:extent cx="5275580" cy="7463155"/>
            <wp:effectExtent l="0" t="0" r="1270" b="4445"/>
            <wp:docPr id="75" name="图片 75" descr="0125074901鸡西市密山市青辉畜禽养殖专业合作社规模化猪场扩建项目-学会版-李嘉欣26.01.0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0125074901鸡西市密山市青辉畜禽养殖专业合作社规模化猪场扩建项目-学会版-李嘉欣26.01.09_01"/>
                    <pic:cNvPicPr>
                      <a:picLocks noChangeAspect="1"/>
                    </pic:cNvPicPr>
                  </pic:nvPicPr>
                  <pic:blipFill>
                    <a:blip r:embed="rId171"/>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19" name="图片 119" descr="0125074901鸡西市密山市青辉畜禽养殖专业合作社规模化猪场扩建项目-学会版-李嘉欣26.01.0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0125074901鸡西市密山市青辉畜禽养殖专业合作社规模化猪场扩建项目-学会版-李嘉欣26.01.09_02"/>
                    <pic:cNvPicPr>
                      <a:picLocks noChangeAspect="1"/>
                    </pic:cNvPicPr>
                  </pic:nvPicPr>
                  <pic:blipFill>
                    <a:blip r:embed="rId172"/>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22" name="图片 122" descr="0125074901鸡西市密山市青辉畜禽养殖专业合作社规模化猪场扩建项目-学会版-李嘉欣26.01.09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0125074901鸡西市密山市青辉畜禽养殖专业合作社规模化猪场扩建项目-学会版-李嘉欣26.01.09_03"/>
                    <pic:cNvPicPr>
                      <a:picLocks noChangeAspect="1"/>
                    </pic:cNvPicPr>
                  </pic:nvPicPr>
                  <pic:blipFill>
                    <a:blip r:embed="rId173"/>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26" name="图片 126" descr="0125074901鸡西市密山市青辉畜禽养殖专业合作社规模化猪场扩建项目-学会版-李嘉欣26.01.09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0125074901鸡西市密山市青辉畜禽养殖专业合作社规模化猪场扩建项目-学会版-李嘉欣26.01.09_04"/>
                    <pic:cNvPicPr>
                      <a:picLocks noChangeAspect="1"/>
                    </pic:cNvPicPr>
                  </pic:nvPicPr>
                  <pic:blipFill>
                    <a:blip r:embed="rId174"/>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33" name="图片 133" descr="0125074901鸡西市密山市青辉畜禽养殖专业合作社规模化猪场扩建项目-学会版-李嘉欣26.01.09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0125074901鸡西市密山市青辉畜禽养殖专业合作社规模化猪场扩建项目-学会版-李嘉欣26.01.09_05"/>
                    <pic:cNvPicPr>
                      <a:picLocks noChangeAspect="1"/>
                    </pic:cNvPicPr>
                  </pic:nvPicPr>
                  <pic:blipFill>
                    <a:blip r:embed="rId175"/>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35" name="图片 135" descr="0125074901鸡西市密山市青辉畜禽养殖专业合作社规模化猪场扩建项目-学会版-李嘉欣26.01.09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0125074901鸡西市密山市青辉畜禽养殖专业合作社规模化猪场扩建项目-学会版-李嘉欣26.01.09_06"/>
                    <pic:cNvPicPr>
                      <a:picLocks noChangeAspect="1"/>
                    </pic:cNvPicPr>
                  </pic:nvPicPr>
                  <pic:blipFill>
                    <a:blip r:embed="rId176"/>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36" name="图片 136" descr="0125074901鸡西市密山市青辉畜禽养殖专业合作社规模化猪场扩建项目-学会版-李嘉欣26.01.09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0125074901鸡西市密山市青辉畜禽养殖专业合作社规模化猪场扩建项目-学会版-李嘉欣26.01.09_07"/>
                    <pic:cNvPicPr>
                      <a:picLocks noChangeAspect="1"/>
                    </pic:cNvPicPr>
                  </pic:nvPicPr>
                  <pic:blipFill>
                    <a:blip r:embed="rId177"/>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38" name="图片 138" descr="0125074902鸡西市密山市青辉畜禽养殖专业合作社规模化猪场扩建项目-学会版-李嘉欣26.01.0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0125074902鸡西市密山市青辉畜禽养殖专业合作社规模化猪场扩建项目-学会版-李嘉欣26.01.09_01"/>
                    <pic:cNvPicPr>
                      <a:picLocks noChangeAspect="1"/>
                    </pic:cNvPicPr>
                  </pic:nvPicPr>
                  <pic:blipFill>
                    <a:blip r:embed="rId178"/>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39" name="图片 139" descr="0125074902鸡西市密山市青辉畜禽养殖专业合作社规模化猪场扩建项目-学会版-李嘉欣26.01.0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0125074902鸡西市密山市青辉畜禽养殖专业合作社规模化猪场扩建项目-学会版-李嘉欣26.01.09_02"/>
                    <pic:cNvPicPr>
                      <a:picLocks noChangeAspect="1"/>
                    </pic:cNvPicPr>
                  </pic:nvPicPr>
                  <pic:blipFill>
                    <a:blip r:embed="rId179"/>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40" name="图片 140" descr="0125074902鸡西市密山市青辉畜禽养殖专业合作社规模化猪场扩建项目-学会版-李嘉欣26.01.09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0125074902鸡西市密山市青辉畜禽养殖专业合作社规模化猪场扩建项目-学会版-李嘉欣26.01.09_03"/>
                    <pic:cNvPicPr>
                      <a:picLocks noChangeAspect="1"/>
                    </pic:cNvPicPr>
                  </pic:nvPicPr>
                  <pic:blipFill>
                    <a:blip r:embed="rId180"/>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43" name="图片 143" descr="0125074902鸡西市密山市青辉畜禽养殖专业合作社规模化猪场扩建项目-学会版-李嘉欣26.01.09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0125074902鸡西市密山市青辉畜禽养殖专业合作社规模化猪场扩建项目-学会版-李嘉欣26.01.09_04"/>
                    <pic:cNvPicPr>
                      <a:picLocks noChangeAspect="1"/>
                    </pic:cNvPicPr>
                  </pic:nvPicPr>
                  <pic:blipFill>
                    <a:blip r:embed="rId181"/>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49" name="图片 149" descr="0125074902鸡西市密山市青辉畜禽养殖专业合作社规模化猪场扩建项目-学会版-李嘉欣26.01.09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0125074902鸡西市密山市青辉畜禽养殖专业合作社规模化猪场扩建项目-学会版-李嘉欣26.01.09_05"/>
                    <pic:cNvPicPr>
                      <a:picLocks noChangeAspect="1"/>
                    </pic:cNvPicPr>
                  </pic:nvPicPr>
                  <pic:blipFill>
                    <a:blip r:embed="rId182"/>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52" name="图片 152" descr="0125074902鸡西市密山市青辉畜禽养殖专业合作社规模化猪场扩建项目-学会版-李嘉欣26.01.09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0125074902鸡西市密山市青辉畜禽养殖专业合作社规模化猪场扩建项目-学会版-李嘉欣26.01.09_06"/>
                    <pic:cNvPicPr>
                      <a:picLocks noChangeAspect="1"/>
                    </pic:cNvPicPr>
                  </pic:nvPicPr>
                  <pic:blipFill>
                    <a:blip r:embed="rId183"/>
                    <a:stretch>
                      <a:fillRect/>
                    </a:stretch>
                  </pic:blipFill>
                  <pic:spPr>
                    <a:xfrm>
                      <a:off x="0" y="0"/>
                      <a:ext cx="5275580" cy="7463155"/>
                    </a:xfrm>
                    <a:prstGeom prst="rect">
                      <a:avLst/>
                    </a:prstGeom>
                  </pic:spPr>
                </pic:pic>
              </a:graphicData>
            </a:graphic>
          </wp:inline>
        </w:drawing>
      </w:r>
      <w:r>
        <w:rPr>
          <w:rFonts w:hint="eastAsia"/>
          <w:highlight w:val="none"/>
          <w:lang w:eastAsia="zh-CN"/>
        </w:rPr>
        <w:drawing>
          <wp:inline distT="0" distB="0" distL="114300" distR="114300">
            <wp:extent cx="5275580" cy="7463155"/>
            <wp:effectExtent l="0" t="0" r="1270" b="4445"/>
            <wp:docPr id="153" name="图片 153" descr="0125074902鸡西市密山市青辉畜禽养殖专业合作社规模化猪场扩建项目-学会版-李嘉欣26.01.09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0125074902鸡西市密山市青辉畜禽养殖专业合作社规模化猪场扩建项目-学会版-李嘉欣26.01.09_07"/>
                    <pic:cNvPicPr>
                      <a:picLocks noChangeAspect="1"/>
                    </pic:cNvPicPr>
                  </pic:nvPicPr>
                  <pic:blipFill>
                    <a:blip r:embed="rId184"/>
                    <a:stretch>
                      <a:fillRect/>
                    </a:stretch>
                  </pic:blipFill>
                  <pic:spPr>
                    <a:xfrm>
                      <a:off x="0" y="0"/>
                      <a:ext cx="5275580" cy="7463155"/>
                    </a:xfrm>
                    <a:prstGeom prst="rect">
                      <a:avLst/>
                    </a:prstGeom>
                  </pic:spPr>
                </pic:pic>
              </a:graphicData>
            </a:graphic>
          </wp:inline>
        </w:drawing>
      </w:r>
    </w:p>
    <w:p w14:paraId="7F144858">
      <w:pPr>
        <w:rPr>
          <w:rFonts w:hint="eastAsia"/>
          <w:highlight w:val="none"/>
          <w:lang w:eastAsia="zh-CN"/>
        </w:rPr>
      </w:pPr>
    </w:p>
    <w:p w14:paraId="26502038">
      <w:pPr>
        <w:pStyle w:val="2"/>
        <w:rPr>
          <w:rFonts w:hint="eastAsia"/>
          <w:highlight w:val="none"/>
          <w:lang w:eastAsia="zh-CN"/>
        </w:rPr>
      </w:pPr>
    </w:p>
    <w:p w14:paraId="277F23D9">
      <w:pPr>
        <w:rPr>
          <w:rFonts w:hint="eastAsia"/>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3EC709A">
      <w:pPr>
        <w:pStyle w:val="2"/>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highlight w:val="none"/>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eastAsia"/>
          <w:highlight w:val="none"/>
          <w:lang w:eastAsia="zh-CN"/>
        </w:rPr>
        <w:drawing>
          <wp:inline distT="0" distB="0" distL="114300" distR="114300">
            <wp:extent cx="7463155" cy="5275580"/>
            <wp:effectExtent l="0" t="0" r="4445" b="1270"/>
            <wp:docPr id="16" name="图片 16" descr="GE2507284101B!1&amp;黑龙江克巽检%1101T$王思瑞(S)-(土-未检出)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GE2507284101B!1&amp;黑龙江克巽检%1101T$王思瑞(S)-(土-未检出)11_01"/>
                    <pic:cNvPicPr>
                      <a:picLocks noChangeAspect="1"/>
                    </pic:cNvPicPr>
                  </pic:nvPicPr>
                  <pic:blipFill>
                    <a:blip r:embed="rId185"/>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20" name="图片 20" descr="GE2507284101B!1&amp;黑龙江克巽检%1101T$王思瑞(S)-(土-未检出)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GE2507284101B!1&amp;黑龙江克巽检%1101T$王思瑞(S)-(土-未检出)11_02"/>
                    <pic:cNvPicPr>
                      <a:picLocks noChangeAspect="1"/>
                    </pic:cNvPicPr>
                  </pic:nvPicPr>
                  <pic:blipFill>
                    <a:blip r:embed="rId186"/>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32" name="图片 32" descr="GE2507284101B!1&amp;黑龙江克巽检%1101T$王思瑞(S)-(土-未检出)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GE2507284101B!1&amp;黑龙江克巽检%1101T$王思瑞(S)-(土-未检出)11_03"/>
                    <pic:cNvPicPr>
                      <a:picLocks noChangeAspect="1"/>
                    </pic:cNvPicPr>
                  </pic:nvPicPr>
                  <pic:blipFill>
                    <a:blip r:embed="rId187"/>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36" name="图片 36" descr="GE2507284101B!1&amp;黑龙江克巽检%1101T$王思瑞(S)-(土-未检出)1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GE2507284101B!1&amp;黑龙江克巽检%1101T$王思瑞(S)-(土-未检出)11_04"/>
                    <pic:cNvPicPr>
                      <a:picLocks noChangeAspect="1"/>
                    </pic:cNvPicPr>
                  </pic:nvPicPr>
                  <pic:blipFill>
                    <a:blip r:embed="rId188"/>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61" name="图片 61" descr="GE2507284101B!1&amp;黑龙江克巽检%1101T$王思瑞(S)-(土-未检出)1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GE2507284101B!1&amp;黑龙江克巽检%1101T$王思瑞(S)-(土-未检出)11_05"/>
                    <pic:cNvPicPr>
                      <a:picLocks noChangeAspect="1"/>
                    </pic:cNvPicPr>
                  </pic:nvPicPr>
                  <pic:blipFill>
                    <a:blip r:embed="rId189"/>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54" name="图片 154" descr="GE2507284101B!1&amp;黑龙江克巽检%1101T$王思瑞(S)-(土-未检出)1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GE2507284101B!1&amp;黑龙江克巽检%1101T$王思瑞(S)-(土-未检出)11_06"/>
                    <pic:cNvPicPr>
                      <a:picLocks noChangeAspect="1"/>
                    </pic:cNvPicPr>
                  </pic:nvPicPr>
                  <pic:blipFill>
                    <a:blip r:embed="rId190"/>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55" name="图片 155" descr="GE2507284101B!1&amp;黑龙江克巽检%1101T$王思瑞(S)-(土-未检出)1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GE2507284101B!1&amp;黑龙江克巽检%1101T$王思瑞(S)-(土-未检出)11_07"/>
                    <pic:cNvPicPr>
                      <a:picLocks noChangeAspect="1"/>
                    </pic:cNvPicPr>
                  </pic:nvPicPr>
                  <pic:blipFill>
                    <a:blip r:embed="rId191"/>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60" name="图片 160" descr="GE2507284101B(特征)&amp;黑龙江克巽检%0100T$王思瑞(S)—NoCMA@00001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GE2507284101B(特征)&amp;黑龙江克巽检%0100T$王思瑞(S)—NoCMA@0000111_01"/>
                    <pic:cNvPicPr>
                      <a:picLocks noChangeAspect="1"/>
                    </pic:cNvPicPr>
                  </pic:nvPicPr>
                  <pic:blipFill>
                    <a:blip r:embed="rId192"/>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61" name="图片 161" descr="GE2507284101B(特征)&amp;黑龙江克巽检%0100T$王思瑞(S)—NoCMA@00001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GE2507284101B(特征)&amp;黑龙江克巽检%0100T$王思瑞(S)—NoCMA@0000111_02"/>
                    <pic:cNvPicPr>
                      <a:picLocks noChangeAspect="1"/>
                    </pic:cNvPicPr>
                  </pic:nvPicPr>
                  <pic:blipFill>
                    <a:blip r:embed="rId193"/>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69" name="图片 169" descr="GE2507284101B(特征)&amp;黑龙江克巽检%0100T$王思瑞(S)—NoCMA@00001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GE2507284101B(特征)&amp;黑龙江克巽检%0100T$王思瑞(S)—NoCMA@0000111_03"/>
                    <pic:cNvPicPr>
                      <a:picLocks noChangeAspect="1"/>
                    </pic:cNvPicPr>
                  </pic:nvPicPr>
                  <pic:blipFill>
                    <a:blip r:embed="rId194"/>
                    <a:stretch>
                      <a:fillRect/>
                    </a:stretch>
                  </pic:blipFill>
                  <pic:spPr>
                    <a:xfrm>
                      <a:off x="0" y="0"/>
                      <a:ext cx="7463155" cy="5275580"/>
                    </a:xfrm>
                    <a:prstGeom prst="rect">
                      <a:avLst/>
                    </a:prstGeom>
                  </pic:spPr>
                </pic:pic>
              </a:graphicData>
            </a:graphic>
          </wp:inline>
        </w:drawing>
      </w:r>
    </w:p>
    <w:p w14:paraId="5DD037FD">
      <w:pPr>
        <w:rPr>
          <w:rFonts w:hint="eastAsia"/>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eastAsia"/>
          <w:highlight w:val="none"/>
          <w:lang w:eastAsia="zh-CN"/>
        </w:rPr>
        <w:drawing>
          <wp:inline distT="0" distB="0" distL="114300" distR="114300">
            <wp:extent cx="5276850" cy="7464425"/>
            <wp:effectExtent l="0" t="0" r="0" b="3175"/>
            <wp:docPr id="29" name="图片 29" descr="GE2507284101B  测试报告（盖章）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GE2507284101B  测试报告（盖章）_01"/>
                    <pic:cNvPicPr>
                      <a:picLocks noChangeAspect="1"/>
                    </pic:cNvPicPr>
                  </pic:nvPicPr>
                  <pic:blipFill>
                    <a:blip r:embed="rId195"/>
                    <a:stretch>
                      <a:fillRect/>
                    </a:stretch>
                  </pic:blipFill>
                  <pic:spPr>
                    <a:xfrm>
                      <a:off x="0" y="0"/>
                      <a:ext cx="5276850" cy="7464425"/>
                    </a:xfrm>
                    <a:prstGeom prst="rect">
                      <a:avLst/>
                    </a:prstGeom>
                  </pic:spPr>
                </pic:pic>
              </a:graphicData>
            </a:graphic>
          </wp:inline>
        </w:drawing>
      </w:r>
      <w:r>
        <w:rPr>
          <w:rFonts w:hint="eastAsia"/>
          <w:highlight w:val="none"/>
          <w:lang w:eastAsia="zh-CN"/>
        </w:rPr>
        <w:drawing>
          <wp:inline distT="0" distB="0" distL="114300" distR="114300">
            <wp:extent cx="5276850" cy="7464425"/>
            <wp:effectExtent l="0" t="0" r="0" b="3175"/>
            <wp:docPr id="53" name="图片 53" descr="GE2507284101B  测试报告（盖章）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GE2507284101B  测试报告（盖章）_02"/>
                    <pic:cNvPicPr>
                      <a:picLocks noChangeAspect="1"/>
                    </pic:cNvPicPr>
                  </pic:nvPicPr>
                  <pic:blipFill>
                    <a:blip r:embed="rId196"/>
                    <a:stretch>
                      <a:fillRect/>
                    </a:stretch>
                  </pic:blipFill>
                  <pic:spPr>
                    <a:xfrm>
                      <a:off x="0" y="0"/>
                      <a:ext cx="5276850" cy="7464425"/>
                    </a:xfrm>
                    <a:prstGeom prst="rect">
                      <a:avLst/>
                    </a:prstGeom>
                  </pic:spPr>
                </pic:pic>
              </a:graphicData>
            </a:graphic>
          </wp:inline>
        </w:drawing>
      </w:r>
      <w:r>
        <w:rPr>
          <w:rFonts w:hint="eastAsia"/>
          <w:highlight w:val="none"/>
          <w:lang w:eastAsia="zh-CN"/>
        </w:rPr>
        <w:drawing>
          <wp:inline distT="0" distB="0" distL="114300" distR="114300">
            <wp:extent cx="5276850" cy="7463155"/>
            <wp:effectExtent l="0" t="0" r="0" b="4445"/>
            <wp:docPr id="182" name="图片 182" descr="GE2507284101B  测试报告（盖章）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GE2507284101B  测试报告（盖章）_03"/>
                    <pic:cNvPicPr>
                      <a:picLocks noChangeAspect="1"/>
                    </pic:cNvPicPr>
                  </pic:nvPicPr>
                  <pic:blipFill>
                    <a:blip r:embed="rId197"/>
                    <a:stretch>
                      <a:fillRect/>
                    </a:stretch>
                  </pic:blipFill>
                  <pic:spPr>
                    <a:xfrm>
                      <a:off x="0" y="0"/>
                      <a:ext cx="5276850" cy="7463155"/>
                    </a:xfrm>
                    <a:prstGeom prst="rect">
                      <a:avLst/>
                    </a:prstGeom>
                  </pic:spPr>
                </pic:pic>
              </a:graphicData>
            </a:graphic>
          </wp:inline>
        </w:drawing>
      </w:r>
      <w:r>
        <w:rPr>
          <w:rFonts w:hint="eastAsia"/>
          <w:highlight w:val="none"/>
          <w:lang w:eastAsia="zh-CN"/>
        </w:rPr>
        <w:drawing>
          <wp:inline distT="0" distB="0" distL="114300" distR="114300">
            <wp:extent cx="5276850" cy="7464425"/>
            <wp:effectExtent l="0" t="0" r="0" b="3175"/>
            <wp:docPr id="183" name="图片 183" descr="GE2507284101B  测试报告（盖章）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GE2507284101B  测试报告（盖章）_04"/>
                    <pic:cNvPicPr>
                      <a:picLocks noChangeAspect="1"/>
                    </pic:cNvPicPr>
                  </pic:nvPicPr>
                  <pic:blipFill>
                    <a:blip r:embed="rId198"/>
                    <a:stretch>
                      <a:fillRect/>
                    </a:stretch>
                  </pic:blipFill>
                  <pic:spPr>
                    <a:xfrm>
                      <a:off x="0" y="0"/>
                      <a:ext cx="5276850" cy="7464425"/>
                    </a:xfrm>
                    <a:prstGeom prst="rect">
                      <a:avLst/>
                    </a:prstGeom>
                  </pic:spPr>
                </pic:pic>
              </a:graphicData>
            </a:graphic>
          </wp:inline>
        </w:drawing>
      </w:r>
    </w:p>
    <w:p w14:paraId="4C338A36">
      <w:pPr>
        <w:pStyle w:val="2"/>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highlight w:val="none"/>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eastAsia"/>
          <w:highlight w:val="none"/>
          <w:lang w:eastAsia="zh-CN"/>
        </w:rPr>
        <w:drawing>
          <wp:inline distT="0" distB="0" distL="114300" distR="114300">
            <wp:extent cx="7463155" cy="5275580"/>
            <wp:effectExtent l="0" t="0" r="4445" b="1270"/>
            <wp:docPr id="171" name="图片 171" descr="GE2509104801B&amp;黑龙江克巽检%1101T$王思瑞(S)-(土-未检出)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GE2509104801B&amp;黑龙江克巽检%1101T$王思瑞(S)-(土-未检出)11_01"/>
                    <pic:cNvPicPr>
                      <a:picLocks noChangeAspect="1"/>
                    </pic:cNvPicPr>
                  </pic:nvPicPr>
                  <pic:blipFill>
                    <a:blip r:embed="rId199"/>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72" name="图片 172" descr="GE2509104801B&amp;黑龙江克巽检%1101T$王思瑞(S)-(土-未检出)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GE2509104801B&amp;黑龙江克巽检%1101T$王思瑞(S)-(土-未检出)11_02"/>
                    <pic:cNvPicPr>
                      <a:picLocks noChangeAspect="1"/>
                    </pic:cNvPicPr>
                  </pic:nvPicPr>
                  <pic:blipFill>
                    <a:blip r:embed="rId200"/>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75" name="图片 175" descr="GE2509104801B&amp;黑龙江克巽检%1101T$王思瑞(S)-(土-未检出)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GE2509104801B&amp;黑龙江克巽检%1101T$王思瑞(S)-(土-未检出)11_03"/>
                    <pic:cNvPicPr>
                      <a:picLocks noChangeAspect="1"/>
                    </pic:cNvPicPr>
                  </pic:nvPicPr>
                  <pic:blipFill>
                    <a:blip r:embed="rId201"/>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76" name="图片 176" descr="GE2509104801B&amp;黑龙江克巽检%1101T$王思瑞(S)-(土-未检出)1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GE2509104801B&amp;黑龙江克巽检%1101T$王思瑞(S)-(土-未检出)11_04"/>
                    <pic:cNvPicPr>
                      <a:picLocks noChangeAspect="1"/>
                    </pic:cNvPicPr>
                  </pic:nvPicPr>
                  <pic:blipFill>
                    <a:blip r:embed="rId202"/>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77" name="图片 177" descr="GE2509104801B&amp;黑龙江克巽检%1101T$王思瑞(S)-(土-未检出)1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GE2509104801B&amp;黑龙江克巽检%1101T$王思瑞(S)-(土-未检出)11_05"/>
                    <pic:cNvPicPr>
                      <a:picLocks noChangeAspect="1"/>
                    </pic:cNvPicPr>
                  </pic:nvPicPr>
                  <pic:blipFill>
                    <a:blip r:embed="rId203"/>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78" name="图片 178" descr="GE2509104801B&amp;黑龙江克巽检%1101T$王思瑞(S)-(土-未检出)1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GE2509104801B&amp;黑龙江克巽检%1101T$王思瑞(S)-(土-未检出)11_06"/>
                    <pic:cNvPicPr>
                      <a:picLocks noChangeAspect="1"/>
                    </pic:cNvPicPr>
                  </pic:nvPicPr>
                  <pic:blipFill>
                    <a:blip r:embed="rId204"/>
                    <a:stretch>
                      <a:fillRect/>
                    </a:stretch>
                  </pic:blipFill>
                  <pic:spPr>
                    <a:xfrm>
                      <a:off x="0" y="0"/>
                      <a:ext cx="7463155" cy="5275580"/>
                    </a:xfrm>
                    <a:prstGeom prst="rect">
                      <a:avLst/>
                    </a:prstGeom>
                  </pic:spPr>
                </pic:pic>
              </a:graphicData>
            </a:graphic>
          </wp:inline>
        </w:drawing>
      </w:r>
      <w:r>
        <w:rPr>
          <w:rFonts w:hint="eastAsia"/>
          <w:highlight w:val="none"/>
          <w:lang w:eastAsia="zh-CN"/>
        </w:rPr>
        <w:drawing>
          <wp:inline distT="0" distB="0" distL="114300" distR="114300">
            <wp:extent cx="7463155" cy="5275580"/>
            <wp:effectExtent l="0" t="0" r="4445" b="1270"/>
            <wp:docPr id="181" name="图片 181" descr="GE2509104801B&amp;黑龙江克巽检%1101T$王思瑞(S)-(土-未检出)1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GE2509104801B&amp;黑龙江克巽检%1101T$王思瑞(S)-(土-未检出)11_07"/>
                    <pic:cNvPicPr>
                      <a:picLocks noChangeAspect="1"/>
                    </pic:cNvPicPr>
                  </pic:nvPicPr>
                  <pic:blipFill>
                    <a:blip r:embed="rId205"/>
                    <a:stretch>
                      <a:fillRect/>
                    </a:stretch>
                  </pic:blipFill>
                  <pic:spPr>
                    <a:xfrm>
                      <a:off x="0" y="0"/>
                      <a:ext cx="7463155" cy="5275580"/>
                    </a:xfrm>
                    <a:prstGeom prst="rect">
                      <a:avLst/>
                    </a:prstGeom>
                  </pic:spPr>
                </pic:pic>
              </a:graphicData>
            </a:graphic>
          </wp:inline>
        </w:drawing>
      </w:r>
    </w:p>
    <w:p w14:paraId="180651EB">
      <w:pPr>
        <w:pStyle w:val="4"/>
        <w:bidi w:val="0"/>
        <w:rPr>
          <w:rFonts w:hint="eastAsia" w:ascii="Times New Roman" w:hAnsi="Times New Roman" w:eastAsia="宋体" w:cs="Times New Roman"/>
          <w:snapToGrid w:val="0"/>
          <w:color w:val="auto"/>
          <w:highlight w:val="none"/>
          <w:lang w:val="en-US" w:eastAsia="zh-CN"/>
        </w:rPr>
      </w:pPr>
      <w:bookmarkStart w:id="1369" w:name="_Toc8717"/>
      <w:r>
        <w:rPr>
          <w:rFonts w:hint="default" w:ascii="Times New Roman" w:hAnsi="Times New Roman" w:eastAsia="宋体" w:cs="Times New Roman"/>
          <w:snapToGrid w:val="0"/>
          <w:color w:val="auto"/>
          <w:highlight w:val="none"/>
          <w:lang w:val="en-US" w:eastAsia="zh-CN"/>
        </w:rPr>
        <w:t>附件1</w:t>
      </w:r>
      <w:r>
        <w:rPr>
          <w:rFonts w:hint="eastAsia" w:ascii="Times New Roman" w:hAnsi="Times New Roman" w:eastAsia="宋体" w:cs="Times New Roman"/>
          <w:snapToGrid w:val="0"/>
          <w:color w:val="auto"/>
          <w:highlight w:val="none"/>
          <w:lang w:val="en-US" w:eastAsia="zh-CN"/>
        </w:rPr>
        <w:t>6 生态环境分区管控分析报告</w:t>
      </w:r>
      <w:bookmarkEnd w:id="1369"/>
    </w:p>
    <w:p w14:paraId="61B6CD3E">
      <w:pPr>
        <w:pStyle w:val="2"/>
        <w:jc w:val="center"/>
        <w:rPr>
          <w:rFonts w:hint="eastAsia"/>
          <w:highlight w:val="none"/>
          <w:lang w:val="en-US" w:eastAsia="zh-CN"/>
        </w:rPr>
      </w:pPr>
      <w:r>
        <w:rPr>
          <w:rFonts w:hint="default"/>
          <w:highlight w:val="none"/>
          <w:lang w:val="en-US" w:eastAsia="zh-CN"/>
        </w:rPr>
        <w:drawing>
          <wp:inline distT="0" distB="0" distL="114300" distR="114300">
            <wp:extent cx="7896860" cy="4717415"/>
            <wp:effectExtent l="0" t="0" r="8890" b="6985"/>
            <wp:docPr id="27" name="图片 27" descr="青辉禽畜养殖专业合作社建设生猪规模养殖场环境影响报告书_2025年07月08日094706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青辉禽畜养殖专业合作社建设生猪规模养殖场环境影响报告书_2025年07月08日094706_分析报告_01"/>
                    <pic:cNvPicPr>
                      <a:picLocks noChangeAspect="1"/>
                    </pic:cNvPicPr>
                  </pic:nvPicPr>
                  <pic:blipFill>
                    <a:blip r:embed="rId206"/>
                    <a:stretch>
                      <a:fillRect/>
                    </a:stretch>
                  </pic:blipFill>
                  <pic:spPr>
                    <a:xfrm>
                      <a:off x="0" y="0"/>
                      <a:ext cx="7896860" cy="4717415"/>
                    </a:xfrm>
                    <a:prstGeom prst="rect">
                      <a:avLst/>
                    </a:prstGeom>
                  </pic:spPr>
                </pic:pic>
              </a:graphicData>
            </a:graphic>
          </wp:inline>
        </w:drawing>
      </w:r>
    </w:p>
    <w:p w14:paraId="05210405">
      <w:pPr>
        <w:pStyle w:val="37"/>
        <w:keepNext w:val="0"/>
        <w:keepLines w:val="0"/>
        <w:pageBreakBefore w:val="0"/>
        <w:widowControl/>
        <w:kinsoku/>
        <w:wordWrap/>
        <w:overflowPunct/>
        <w:topLinePunct w:val="0"/>
        <w:autoSpaceDE/>
        <w:autoSpaceDN/>
        <w:bidi w:val="0"/>
        <w:adjustRightInd/>
        <w:snapToGrid/>
        <w:ind w:left="0"/>
        <w:jc w:val="center"/>
        <w:textAlignment w:val="auto"/>
        <w:rPr>
          <w:rFonts w:hint="default"/>
          <w:highlight w:val="none"/>
          <w:lang w:val="en-US" w:eastAsia="zh-CN"/>
        </w:rPr>
      </w:pPr>
      <w:r>
        <w:rPr>
          <w:rFonts w:hint="default"/>
          <w:highlight w:val="none"/>
          <w:lang w:val="en-US" w:eastAsia="zh-CN"/>
        </w:rPr>
        <w:drawing>
          <wp:inline distT="0" distB="0" distL="114300" distR="114300">
            <wp:extent cx="7646035" cy="5276850"/>
            <wp:effectExtent l="0" t="0" r="12065" b="0"/>
            <wp:docPr id="28" name="图片 28" descr="青辉禽畜养殖专业合作社建设生猪规模养殖场环境影响报告书_2025年07月08日094706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青辉禽畜养殖专业合作社建设生猪规模养殖场环境影响报告书_2025年07月08日094706_分析报告_02"/>
                    <pic:cNvPicPr>
                      <a:picLocks noChangeAspect="1"/>
                    </pic:cNvPicPr>
                  </pic:nvPicPr>
                  <pic:blipFill>
                    <a:blip r:embed="rId207"/>
                    <a:stretch>
                      <a:fillRect/>
                    </a:stretch>
                  </pic:blipFill>
                  <pic:spPr>
                    <a:xfrm>
                      <a:off x="0" y="0"/>
                      <a:ext cx="764603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51" name="图片 51" descr="青辉禽畜养殖专业合作社建设生猪规模养殖场环境影响报告书_2025年07月08日094706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青辉禽畜养殖专业合作社建设生猪规模养殖场环境影响报告书_2025年07月08日094706_分析报告_03"/>
                    <pic:cNvPicPr>
                      <a:picLocks noChangeAspect="1"/>
                    </pic:cNvPicPr>
                  </pic:nvPicPr>
                  <pic:blipFill>
                    <a:blip r:embed="rId208"/>
                    <a:stretch>
                      <a:fillRect/>
                    </a:stretch>
                  </pic:blipFill>
                  <pic:spPr>
                    <a:xfrm>
                      <a:off x="0" y="0"/>
                      <a:ext cx="746315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54" name="图片 54" descr="青辉禽畜养殖专业合作社建设生猪规模养殖场环境影响报告书_2025年07月08日094706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青辉禽畜养殖专业合作社建设生猪规模养殖场环境影响报告书_2025年07月08日094706_分析报告_04"/>
                    <pic:cNvPicPr>
                      <a:picLocks noChangeAspect="1"/>
                    </pic:cNvPicPr>
                  </pic:nvPicPr>
                  <pic:blipFill>
                    <a:blip r:embed="rId209"/>
                    <a:stretch>
                      <a:fillRect/>
                    </a:stretch>
                  </pic:blipFill>
                  <pic:spPr>
                    <a:xfrm>
                      <a:off x="0" y="0"/>
                      <a:ext cx="746315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55" name="图片 55" descr="青辉禽畜养殖专业合作社建设生猪规模养殖场环境影响报告书_2025年07月08日094706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青辉禽畜养殖专业合作社建设生猪规模养殖场环境影响报告书_2025年07月08日094706_分析报告_05"/>
                    <pic:cNvPicPr>
                      <a:picLocks noChangeAspect="1"/>
                    </pic:cNvPicPr>
                  </pic:nvPicPr>
                  <pic:blipFill>
                    <a:blip r:embed="rId210"/>
                    <a:stretch>
                      <a:fillRect/>
                    </a:stretch>
                  </pic:blipFill>
                  <pic:spPr>
                    <a:xfrm>
                      <a:off x="0" y="0"/>
                      <a:ext cx="746315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56" name="图片 56" descr="青辉禽畜养殖专业合作社建设生猪规模养殖场环境影响报告书_2025年07月08日094706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青辉禽畜养殖专业合作社建设生猪规模养殖场环境影响报告书_2025年07月08日094706_分析报告_06"/>
                    <pic:cNvPicPr>
                      <a:picLocks noChangeAspect="1"/>
                    </pic:cNvPicPr>
                  </pic:nvPicPr>
                  <pic:blipFill>
                    <a:blip r:embed="rId211"/>
                    <a:stretch>
                      <a:fillRect/>
                    </a:stretch>
                  </pic:blipFill>
                  <pic:spPr>
                    <a:xfrm>
                      <a:off x="0" y="0"/>
                      <a:ext cx="746315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57" name="图片 57" descr="青辉禽畜养殖专业合作社建设生猪规模养殖场环境影响报告书_2025年07月08日094706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青辉禽畜养殖专业合作社建设生猪规模养殖场环境影响报告书_2025年07月08日094706_分析报告_07"/>
                    <pic:cNvPicPr>
                      <a:picLocks noChangeAspect="1"/>
                    </pic:cNvPicPr>
                  </pic:nvPicPr>
                  <pic:blipFill>
                    <a:blip r:embed="rId212"/>
                    <a:stretch>
                      <a:fillRect/>
                    </a:stretch>
                  </pic:blipFill>
                  <pic:spPr>
                    <a:xfrm>
                      <a:off x="0" y="0"/>
                      <a:ext cx="746315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58" name="图片 58" descr="青辉禽畜养殖专业合作社建设生猪规模养殖场环境影响报告书_2025年07月08日094706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青辉禽畜养殖专业合作社建设生猪规模养殖场环境影响报告书_2025年07月08日094706_分析报告_08"/>
                    <pic:cNvPicPr>
                      <a:picLocks noChangeAspect="1"/>
                    </pic:cNvPicPr>
                  </pic:nvPicPr>
                  <pic:blipFill>
                    <a:blip r:embed="rId213"/>
                    <a:stretch>
                      <a:fillRect/>
                    </a:stretch>
                  </pic:blipFill>
                  <pic:spPr>
                    <a:xfrm>
                      <a:off x="0" y="0"/>
                      <a:ext cx="746315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59" name="图片 59" descr="青辉禽畜养殖专业合作社建设生猪规模养殖场环境影响报告书_2025年07月08日094706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青辉禽畜养殖专业合作社建设生猪规模养殖场环境影响报告书_2025年07月08日094706_分析报告_09"/>
                    <pic:cNvPicPr>
                      <a:picLocks noChangeAspect="1"/>
                    </pic:cNvPicPr>
                  </pic:nvPicPr>
                  <pic:blipFill>
                    <a:blip r:embed="rId214"/>
                    <a:stretch>
                      <a:fillRect/>
                    </a:stretch>
                  </pic:blipFill>
                  <pic:spPr>
                    <a:xfrm>
                      <a:off x="0" y="0"/>
                      <a:ext cx="746315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60" name="图片 60" descr="青辉禽畜养殖专业合作社建设生猪规模养殖场环境影响报告书_2025年07月08日094706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青辉禽畜养殖专业合作社建设生猪规模养殖场环境影响报告书_2025年07月08日094706_分析报告_10"/>
                    <pic:cNvPicPr>
                      <a:picLocks noChangeAspect="1"/>
                    </pic:cNvPicPr>
                  </pic:nvPicPr>
                  <pic:blipFill>
                    <a:blip r:embed="rId215"/>
                    <a:stretch>
                      <a:fillRect/>
                    </a:stretch>
                  </pic:blipFill>
                  <pic:spPr>
                    <a:xfrm>
                      <a:off x="0" y="0"/>
                      <a:ext cx="7463155" cy="5276850"/>
                    </a:xfrm>
                    <a:prstGeom prst="rect">
                      <a:avLst/>
                    </a:prstGeom>
                  </pic:spPr>
                </pic:pic>
              </a:graphicData>
            </a:graphic>
          </wp:inline>
        </w:drawing>
      </w:r>
    </w:p>
    <w:p w14:paraId="65A695A9">
      <w:pPr>
        <w:pStyle w:val="4"/>
        <w:bidi w:val="0"/>
        <w:rPr>
          <w:rFonts w:hint="default" w:ascii="Times New Roman" w:hAnsi="Times New Roman" w:eastAsia="宋体" w:cs="Times New Roman"/>
          <w:snapToGrid w:val="0"/>
          <w:color w:val="auto"/>
          <w:highlight w:val="none"/>
          <w:lang w:val="en-US" w:eastAsia="zh-CN"/>
        </w:rPr>
      </w:pPr>
      <w:bookmarkStart w:id="1370" w:name="_Toc30196"/>
      <w:r>
        <w:rPr>
          <w:rFonts w:hint="default" w:ascii="Times New Roman" w:hAnsi="Times New Roman" w:eastAsia="宋体" w:cs="Times New Roman"/>
          <w:snapToGrid w:val="0"/>
          <w:color w:val="auto"/>
          <w:highlight w:val="none"/>
          <w:lang w:val="en-US" w:eastAsia="zh-CN"/>
        </w:rPr>
        <w:t>附件1</w:t>
      </w:r>
      <w:r>
        <w:rPr>
          <w:rFonts w:hint="eastAsia" w:ascii="Times New Roman" w:hAnsi="Times New Roman" w:eastAsia="宋体" w:cs="Times New Roman"/>
          <w:snapToGrid w:val="0"/>
          <w:color w:val="auto"/>
          <w:highlight w:val="none"/>
          <w:lang w:val="en-US" w:eastAsia="zh-CN"/>
        </w:rPr>
        <w:t>7 动物防疫条件合格证</w:t>
      </w:r>
      <w:bookmarkEnd w:id="1370"/>
    </w:p>
    <w:p w14:paraId="3B4C7042">
      <w:pPr>
        <w:jc w:val="center"/>
        <w:rPr>
          <w:rFonts w:hint="default"/>
          <w:highlight w:val="none"/>
          <w:lang w:val="en-US" w:eastAsia="zh-CN"/>
        </w:rPr>
      </w:pPr>
      <w:r>
        <w:rPr>
          <w:rFonts w:hint="default"/>
          <w:highlight w:val="none"/>
          <w:lang w:val="en-US" w:eastAsia="zh-CN"/>
        </w:rPr>
        <w:drawing>
          <wp:inline distT="0" distB="0" distL="114300" distR="114300">
            <wp:extent cx="7809230" cy="4655185"/>
            <wp:effectExtent l="0" t="0" r="1270" b="12065"/>
            <wp:docPr id="162" name="图片 162" descr="34f7407525c3060741def894083ce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34f7407525c3060741def894083ceed1"/>
                    <pic:cNvPicPr>
                      <a:picLocks noChangeAspect="1"/>
                    </pic:cNvPicPr>
                  </pic:nvPicPr>
                  <pic:blipFill>
                    <a:blip r:embed="rId216"/>
                    <a:stretch>
                      <a:fillRect/>
                    </a:stretch>
                  </pic:blipFill>
                  <pic:spPr>
                    <a:xfrm>
                      <a:off x="0" y="0"/>
                      <a:ext cx="7809230" cy="4655185"/>
                    </a:xfrm>
                    <a:prstGeom prst="rect">
                      <a:avLst/>
                    </a:prstGeom>
                  </pic:spPr>
                </pic:pic>
              </a:graphicData>
            </a:graphic>
          </wp:inline>
        </w:drawing>
      </w:r>
    </w:p>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美黑简体">
    <w:altName w:val="宋体"/>
    <w:panose1 w:val="00000000000000000000"/>
    <w:charset w:val="86"/>
    <w:family w:val="script"/>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仿宋_GB2312">
    <w:panose1 w:val="02010609030101010101"/>
    <w:charset w:val="86"/>
    <w:family w:val="modern"/>
    <w:pitch w:val="default"/>
    <w:sig w:usb0="00000001" w:usb1="080E0000" w:usb2="00000000" w:usb3="00000000" w:csb0="00040000" w:csb1="00000000"/>
  </w:font>
  <w:font w:name="Microsoft YaHei UI">
    <w:panose1 w:val="020B0503020204020204"/>
    <w:charset w:val="86"/>
    <w:family w:val="swiss"/>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汉仪仿宋简">
    <w:panose1 w:val="02010600000101010101"/>
    <w:charset w:val="86"/>
    <w:family w:val="decorative"/>
    <w:pitch w:val="default"/>
    <w:sig w:usb0="800002BF" w:usb1="184F6CF8" w:usb2="00000012" w:usb3="00000000" w:csb0="00020001" w:csb1="00000000"/>
  </w:font>
  <w:font w:name="新宋体">
    <w:panose1 w:val="02010609030101010101"/>
    <w:charset w:val="86"/>
    <w:family w:val="modern"/>
    <w:pitch w:val="default"/>
    <w:sig w:usb0="00000203" w:usb1="288F0000" w:usb2="00000006" w:usb3="00000000" w:csb0="00040001" w:csb1="00000000"/>
  </w:font>
  <w:font w:name="Verdana">
    <w:panose1 w:val="020B0604030504040204"/>
    <w:charset w:val="00"/>
    <w:family w:val="swiss"/>
    <w:pitch w:val="default"/>
    <w:sig w:usb0="A00006FF" w:usb1="4000205B" w:usb2="00000010" w:usb3="00000000" w:csb0="2000019F"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8D285C">
    <w:pPr>
      <w:pStyle w:val="30"/>
      <w:ind w:firstLine="360"/>
      <w:jc w:val="center"/>
    </w:pPr>
  </w:p>
  <w:p w14:paraId="7EC24113">
    <w:pPr>
      <w:pStyle w:val="30"/>
      <w:rPr>
        <w:rFonts w:ascii="华文仿宋" w:hAnsi="华文仿宋" w:eastAsia="华文仿宋"/>
        <w:b/>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4AC672">
    <w:pPr>
      <w:pStyle w:val="30"/>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AC313B">
    <w:pPr>
      <w:pStyle w:val="30"/>
      <w:tabs>
        <w:tab w:val="left" w:pos="3960"/>
        <w:tab w:val="center" w:pos="4333"/>
        <w:tab w:val="left" w:pos="5049"/>
      </w:tabs>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4F7F0C">
                          <w:pPr>
                            <w:pStyle w:val="30"/>
                          </w:pPr>
                          <w:r>
                            <w:fldChar w:fldCharType="begin"/>
                          </w:r>
                          <w:r>
                            <w:instrText xml:space="preserve"> PAGE  \* MERGEFORMAT </w:instrText>
                          </w:r>
                          <w:r>
                            <w:fldChar w:fldCharType="separate"/>
                          </w:r>
                          <w:r>
                            <w:t>260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14:paraId="514F7F0C">
                    <w:pPr>
                      <w:pStyle w:val="30"/>
                    </w:pPr>
                    <w:r>
                      <w:fldChar w:fldCharType="begin"/>
                    </w:r>
                    <w:r>
                      <w:instrText xml:space="preserve"> PAGE  \* MERGEFORMAT </w:instrText>
                    </w:r>
                    <w:r>
                      <w:fldChar w:fldCharType="separate"/>
                    </w:r>
                    <w:r>
                      <w:t>260</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7162B4">
    <w:pPr>
      <w:pStyle w:val="30"/>
      <w:ind w:firstLine="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2E08">
    <w:pPr>
      <w:pStyle w:val="3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26BD32">
    <w:pPr>
      <w:pStyle w:val="3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2AA1B">
    <w:pPr>
      <w:pStyle w:val="3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4447E2">
    <w:pPr>
      <w:pStyle w:val="30"/>
      <w:ind w:firstLine="360"/>
      <w:jc w:val="center"/>
    </w:pPr>
  </w:p>
  <w:p w14:paraId="02BE3119">
    <w:pPr>
      <w:pStyle w:val="30"/>
      <w:rPr>
        <w:rFonts w:ascii="华文仿宋" w:hAnsi="华文仿宋" w:eastAsia="华文仿宋"/>
        <w:b/>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3C1CBF">
    <w:pPr>
      <w:pStyle w:val="3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F9A81F">
    <w:pPr>
      <w:pStyle w:val="3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9DF2E4">
                          <w:pPr>
                            <w:pStyle w:val="3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699DF2E4">
                    <w:pPr>
                      <w:pStyle w:val="3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6C69B5">
    <w:pPr>
      <w:pStyle w:val="30"/>
      <w:tabs>
        <w:tab w:val="left" w:pos="3960"/>
        <w:tab w:val="center" w:pos="4333"/>
        <w:tab w:val="left" w:pos="5049"/>
      </w:tabs>
      <w:jc w:val="center"/>
      <w:rPr>
        <w:rFonts w:hint="eastAsia" w:eastAsia="仿宋"/>
        <w:b/>
        <w:lang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551C9E">
                          <w:pPr>
                            <w:pStyle w:val="30"/>
                          </w:pPr>
                          <w:r>
                            <w:fldChar w:fldCharType="begin"/>
                          </w:r>
                          <w:r>
                            <w:instrText xml:space="preserve"> PAGE  \* MERGEFORMAT </w:instrText>
                          </w:r>
                          <w:r>
                            <w:fldChar w:fldCharType="separate"/>
                          </w:r>
                          <w:r>
                            <w:t>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6F551C9E">
                    <w:pPr>
                      <w:pStyle w:val="30"/>
                    </w:pPr>
                    <w:r>
                      <w:fldChar w:fldCharType="begin"/>
                    </w:r>
                    <w:r>
                      <w:instrText xml:space="preserve"> PAGE  \* MERGEFORMAT </w:instrText>
                    </w:r>
                    <w:r>
                      <w:fldChar w:fldCharType="separate"/>
                    </w:r>
                    <w:r>
                      <w:t>65</w:t>
                    </w:r>
                    <w:r>
                      <w:fldChar w:fldCharType="end"/>
                    </w:r>
                  </w:p>
                </w:txbxContent>
              </v:textbox>
            </v:shape>
          </w:pict>
        </mc:Fallback>
      </mc:AlternateContent>
    </w:r>
    <w:sdt>
      <w:sdtPr>
        <w:id w:val="-500663308"/>
        <w:docPartObj>
          <w:docPartGallery w:val="autotext"/>
        </w:docPartObj>
      </w:sdtP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DAB85C">
    <w:pPr>
      <w:pStyle w:val="30"/>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47658A">
                          <w:pPr>
                            <w:pStyle w:val="30"/>
                          </w:pPr>
                          <w:r>
                            <w:fldChar w:fldCharType="begin"/>
                          </w:r>
                          <w:r>
                            <w:instrText xml:space="preserve"> PAGE  \* MERGEFORMAT </w:instrText>
                          </w:r>
                          <w:r>
                            <w:fldChar w:fldCharType="separate"/>
                          </w:r>
                          <w:r>
                            <w:t>243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5047658A">
                    <w:pPr>
                      <w:pStyle w:val="30"/>
                    </w:pPr>
                    <w:r>
                      <w:fldChar w:fldCharType="begin"/>
                    </w:r>
                    <w:r>
                      <w:instrText xml:space="preserve"> PAGE  \* MERGEFORMAT </w:instrText>
                    </w:r>
                    <w:r>
                      <w:fldChar w:fldCharType="separate"/>
                    </w:r>
                    <w:r>
                      <w:t>243</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CCBE0F">
    <w:pPr>
      <w:pStyle w:val="30"/>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2B44C">
    <w:pPr>
      <w:pStyle w:val="21"/>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9AC17A">
    <w:pPr>
      <w:pStyle w:val="2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BEA38D">
    <w:pPr>
      <w:pStyle w:val="21"/>
      <w:ind w:firstLine="300"/>
      <w:rPr>
        <w:rFonts w:eastAsia="华文仿宋" w:cs="Times New Roman"/>
        <w:b/>
        <w:sz w:val="15"/>
        <w:szCs w:val="15"/>
      </w:rPr>
    </w:pPr>
    <w:r>
      <w:rPr>
        <w:rFonts w:hint="eastAsia" w:eastAsia="华文仿宋" w:cs="Times New Roman"/>
        <w:b/>
        <w:sz w:val="15"/>
        <w:szCs w:val="15"/>
        <w:lang w:eastAsia="zh-CN"/>
      </w:rPr>
      <w:t>黑龙江省鸡西市密山市青辉禽畜养殖专业合作社规模化猪场扩建项目环境影响报告书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32DB71">
    <w:pPr>
      <w:pStyle w:val="21"/>
      <w:ind w:firstLine="300"/>
    </w:pPr>
    <w:r>
      <w:rPr>
        <w:rFonts w:hint="eastAsia" w:eastAsia="华文仿宋" w:cs="Times New Roman"/>
        <w:b/>
        <w:sz w:val="15"/>
        <w:szCs w:val="15"/>
        <w:lang w:eastAsia="zh-CN"/>
      </w:rPr>
      <w:t>黑龙江省鸡西市密山市青辉禽畜养殖专业合作社规模化猪场扩建项目环境影响报告书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299DB">
    <w:pPr>
      <w:pStyle w:val="21"/>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E693C3">
    <w:pPr>
      <w:pStyle w:val="21"/>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371203">
    <w:pPr>
      <w:pStyle w:val="21"/>
      <w:ind w:firstLine="300"/>
    </w:pPr>
    <w:r>
      <w:rPr>
        <w:rFonts w:hint="eastAsia" w:eastAsia="华文仿宋" w:cs="Times New Roman"/>
        <w:b/>
        <w:sz w:val="15"/>
        <w:szCs w:val="15"/>
        <w:lang w:eastAsia="zh-CN"/>
      </w:rPr>
      <w:t>黑龙江省鸡西市密山市青辉禽畜养殖专业合作社规模化猪场扩建项目环境影响报告书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291F8">
    <w:pPr>
      <w:pStyle w:val="21"/>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842E85">
    <w:pPr>
      <w:pStyle w:val="2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0D1BF1"/>
    <w:multiLevelType w:val="singleLevel"/>
    <w:tmpl w:val="A20D1BF1"/>
    <w:lvl w:ilvl="0" w:tentative="0">
      <w:start w:val="1"/>
      <w:numFmt w:val="decimal"/>
      <w:suff w:val="nothing"/>
      <w:lvlText w:val="（%1）"/>
      <w:lvlJc w:val="left"/>
    </w:lvl>
  </w:abstractNum>
  <w:abstractNum w:abstractNumId="1">
    <w:nsid w:val="D2B975E4"/>
    <w:multiLevelType w:val="singleLevel"/>
    <w:tmpl w:val="D2B975E4"/>
    <w:lvl w:ilvl="0" w:tentative="0">
      <w:start w:val="1"/>
      <w:numFmt w:val="decimal"/>
      <w:suff w:val="nothing"/>
      <w:lvlText w:val="（%1）"/>
      <w:lvlJc w:val="left"/>
    </w:lvl>
  </w:abstractNum>
  <w:abstractNum w:abstractNumId="2">
    <w:nsid w:val="F5FF927B"/>
    <w:multiLevelType w:val="singleLevel"/>
    <w:tmpl w:val="F5FF927B"/>
    <w:lvl w:ilvl="0" w:tentative="0">
      <w:start w:val="1"/>
      <w:numFmt w:val="decimal"/>
      <w:suff w:val="nothing"/>
      <w:lvlText w:val="（%1）"/>
      <w:lvlJc w:val="left"/>
    </w:lvl>
  </w:abstractNum>
  <w:abstractNum w:abstractNumId="3">
    <w:nsid w:val="0000000F"/>
    <w:multiLevelType w:val="multilevel"/>
    <w:tmpl w:val="0000000F"/>
    <w:lvl w:ilvl="0" w:tentative="0">
      <w:start w:val="1"/>
      <w:numFmt w:val="decimal"/>
      <w:lvlText w:val="%1."/>
      <w:lvlJc w:val="left"/>
      <w:pPr>
        <w:tabs>
          <w:tab w:val="left" w:pos="360"/>
        </w:tabs>
        <w:ind w:left="360" w:hanging="360"/>
      </w:pPr>
      <w:rPr>
        <w:rFonts w:hint="eastAsia"/>
      </w:rPr>
    </w:lvl>
    <w:lvl w:ilvl="1" w:tentative="0">
      <w:start w:val="1"/>
      <w:numFmt w:val="lowerLetter"/>
      <w:pStyle w:val="378"/>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0000011"/>
    <w:multiLevelType w:val="multilevel"/>
    <w:tmpl w:val="00000011"/>
    <w:lvl w:ilvl="0" w:tentative="0">
      <w:start w:val="1"/>
      <w:numFmt w:val="decimalEnclosedCircle"/>
      <w:pStyle w:val="246"/>
      <w:lvlText w:val="%1"/>
      <w:lvlJc w:val="left"/>
      <w:pPr>
        <w:tabs>
          <w:tab w:val="left" w:pos="780"/>
        </w:tabs>
        <w:ind w:left="780" w:hanging="360"/>
      </w:pPr>
      <w:rPr>
        <w:rFonts w:hint="eastAsia"/>
      </w:rPr>
    </w:lvl>
    <w:lvl w:ilvl="1" w:tentative="0">
      <w:start w:val="1"/>
      <w:numFmt w:val="lowerLetter"/>
      <w:pStyle w:val="238"/>
      <w:lvlText w:val="%2)"/>
      <w:lvlJc w:val="left"/>
      <w:pPr>
        <w:tabs>
          <w:tab w:val="left" w:pos="1260"/>
        </w:tabs>
        <w:ind w:left="1260" w:hanging="420"/>
      </w:pPr>
    </w:lvl>
    <w:lvl w:ilvl="2" w:tentative="0">
      <w:start w:val="1"/>
      <w:numFmt w:val="lowerRoman"/>
      <w:pStyle w:val="260"/>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5">
    <w:nsid w:val="00000013"/>
    <w:multiLevelType w:val="multilevel"/>
    <w:tmpl w:val="00000013"/>
    <w:lvl w:ilvl="0" w:tentative="0">
      <w:start w:val="1"/>
      <w:numFmt w:val="decimal"/>
      <w:pStyle w:val="372"/>
      <w:lvlText w:val="%1．"/>
      <w:lvlJc w:val="left"/>
      <w:pPr>
        <w:tabs>
          <w:tab w:val="left" w:pos="720"/>
        </w:tabs>
        <w:ind w:left="720" w:hanging="720"/>
      </w:pPr>
      <w:rPr>
        <w:rFonts w:hint="default" w:ascii="宋体" w:hAnsi="Courier New" w:eastAsia="宋体"/>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454BD329"/>
    <w:multiLevelType w:val="singleLevel"/>
    <w:tmpl w:val="454BD329"/>
    <w:lvl w:ilvl="0" w:tentative="0">
      <w:start w:val="1"/>
      <w:numFmt w:val="decimal"/>
      <w:suff w:val="nothing"/>
      <w:lvlText w:val="（%1）"/>
      <w:lvlJc w:val="left"/>
    </w:lvl>
  </w:abstractNum>
  <w:num w:numId="1">
    <w:abstractNumId w:val="4"/>
  </w:num>
  <w:num w:numId="2">
    <w:abstractNumId w:val="5"/>
  </w:num>
  <w:num w:numId="3">
    <w:abstractNumId w:val="3"/>
  </w:num>
  <w:num w:numId="4">
    <w:abstractNumId w:val="6"/>
  </w:num>
  <w:num w:numId="5">
    <w:abstractNumId w:val="1"/>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UxMWNkM2QwMTk1OWMxM2FmOWIxOTUyNGMxMDBkZmMifQ=="/>
  </w:docVars>
  <w:rsids>
    <w:rsidRoot w:val="003B39DD"/>
    <w:rsid w:val="00003681"/>
    <w:rsid w:val="00003690"/>
    <w:rsid w:val="00003CB8"/>
    <w:rsid w:val="000041CC"/>
    <w:rsid w:val="00004DE0"/>
    <w:rsid w:val="00005402"/>
    <w:rsid w:val="000063A3"/>
    <w:rsid w:val="00007623"/>
    <w:rsid w:val="000101F4"/>
    <w:rsid w:val="0001088C"/>
    <w:rsid w:val="00011320"/>
    <w:rsid w:val="00011BF2"/>
    <w:rsid w:val="00013359"/>
    <w:rsid w:val="000142F8"/>
    <w:rsid w:val="0001690A"/>
    <w:rsid w:val="00017D48"/>
    <w:rsid w:val="000208B3"/>
    <w:rsid w:val="000211F7"/>
    <w:rsid w:val="00023D57"/>
    <w:rsid w:val="00024C66"/>
    <w:rsid w:val="00025D6C"/>
    <w:rsid w:val="00026517"/>
    <w:rsid w:val="00031FFD"/>
    <w:rsid w:val="000323A8"/>
    <w:rsid w:val="00032C0F"/>
    <w:rsid w:val="00033010"/>
    <w:rsid w:val="000332B6"/>
    <w:rsid w:val="00034155"/>
    <w:rsid w:val="00035136"/>
    <w:rsid w:val="0003576A"/>
    <w:rsid w:val="00035BE7"/>
    <w:rsid w:val="00035FE1"/>
    <w:rsid w:val="000360EA"/>
    <w:rsid w:val="00040DE3"/>
    <w:rsid w:val="000429F0"/>
    <w:rsid w:val="00045D5D"/>
    <w:rsid w:val="0004787C"/>
    <w:rsid w:val="00047BA4"/>
    <w:rsid w:val="0005241A"/>
    <w:rsid w:val="00055452"/>
    <w:rsid w:val="0005639F"/>
    <w:rsid w:val="000622CD"/>
    <w:rsid w:val="00062795"/>
    <w:rsid w:val="00062BE5"/>
    <w:rsid w:val="00064D3D"/>
    <w:rsid w:val="00065101"/>
    <w:rsid w:val="00065B65"/>
    <w:rsid w:val="00067285"/>
    <w:rsid w:val="00071429"/>
    <w:rsid w:val="00072C6E"/>
    <w:rsid w:val="00076B2C"/>
    <w:rsid w:val="00080E44"/>
    <w:rsid w:val="0008115C"/>
    <w:rsid w:val="00081AE3"/>
    <w:rsid w:val="00083052"/>
    <w:rsid w:val="000831AA"/>
    <w:rsid w:val="00083A12"/>
    <w:rsid w:val="0008437B"/>
    <w:rsid w:val="0009053B"/>
    <w:rsid w:val="00091318"/>
    <w:rsid w:val="00092AD5"/>
    <w:rsid w:val="00093E9A"/>
    <w:rsid w:val="0009489F"/>
    <w:rsid w:val="00095E0B"/>
    <w:rsid w:val="00095E5C"/>
    <w:rsid w:val="000A0683"/>
    <w:rsid w:val="000A080A"/>
    <w:rsid w:val="000A2D81"/>
    <w:rsid w:val="000A41A8"/>
    <w:rsid w:val="000A45EB"/>
    <w:rsid w:val="000A4FB8"/>
    <w:rsid w:val="000A56B7"/>
    <w:rsid w:val="000A6F81"/>
    <w:rsid w:val="000B1E48"/>
    <w:rsid w:val="000B2924"/>
    <w:rsid w:val="000B3E6C"/>
    <w:rsid w:val="000B5F10"/>
    <w:rsid w:val="000C0D62"/>
    <w:rsid w:val="000C208F"/>
    <w:rsid w:val="000C2BBF"/>
    <w:rsid w:val="000C56BC"/>
    <w:rsid w:val="000C6F8A"/>
    <w:rsid w:val="000C7D67"/>
    <w:rsid w:val="000C7F4C"/>
    <w:rsid w:val="000D475C"/>
    <w:rsid w:val="000D6E31"/>
    <w:rsid w:val="000D7118"/>
    <w:rsid w:val="000E4098"/>
    <w:rsid w:val="000F5AC2"/>
    <w:rsid w:val="000F6969"/>
    <w:rsid w:val="000F6AE2"/>
    <w:rsid w:val="00101AE9"/>
    <w:rsid w:val="00104181"/>
    <w:rsid w:val="001063C4"/>
    <w:rsid w:val="00106B0F"/>
    <w:rsid w:val="00106DAF"/>
    <w:rsid w:val="0011043E"/>
    <w:rsid w:val="00110D7C"/>
    <w:rsid w:val="0011422D"/>
    <w:rsid w:val="00114925"/>
    <w:rsid w:val="00114D04"/>
    <w:rsid w:val="00115FC0"/>
    <w:rsid w:val="00117149"/>
    <w:rsid w:val="0011746A"/>
    <w:rsid w:val="00117E54"/>
    <w:rsid w:val="0012011F"/>
    <w:rsid w:val="00120ED9"/>
    <w:rsid w:val="001242BA"/>
    <w:rsid w:val="001251AA"/>
    <w:rsid w:val="001258FF"/>
    <w:rsid w:val="00126473"/>
    <w:rsid w:val="001264A4"/>
    <w:rsid w:val="001312F5"/>
    <w:rsid w:val="001314F2"/>
    <w:rsid w:val="00133387"/>
    <w:rsid w:val="00133C7E"/>
    <w:rsid w:val="00133DF1"/>
    <w:rsid w:val="0013482D"/>
    <w:rsid w:val="001366E2"/>
    <w:rsid w:val="0013670E"/>
    <w:rsid w:val="00136BED"/>
    <w:rsid w:val="0014051A"/>
    <w:rsid w:val="00140A91"/>
    <w:rsid w:val="00142ADC"/>
    <w:rsid w:val="00145588"/>
    <w:rsid w:val="00145FFF"/>
    <w:rsid w:val="00146100"/>
    <w:rsid w:val="00146998"/>
    <w:rsid w:val="00146B01"/>
    <w:rsid w:val="0015317E"/>
    <w:rsid w:val="00153E39"/>
    <w:rsid w:val="00154A39"/>
    <w:rsid w:val="00162588"/>
    <w:rsid w:val="001644A2"/>
    <w:rsid w:val="00164C26"/>
    <w:rsid w:val="00164E02"/>
    <w:rsid w:val="001662A8"/>
    <w:rsid w:val="001678A1"/>
    <w:rsid w:val="00175CF6"/>
    <w:rsid w:val="00176A09"/>
    <w:rsid w:val="00177A47"/>
    <w:rsid w:val="00180CBE"/>
    <w:rsid w:val="00180EF8"/>
    <w:rsid w:val="00181037"/>
    <w:rsid w:val="00181CC0"/>
    <w:rsid w:val="0018294E"/>
    <w:rsid w:val="00182EC5"/>
    <w:rsid w:val="0018312A"/>
    <w:rsid w:val="00183CF3"/>
    <w:rsid w:val="001846E0"/>
    <w:rsid w:val="00184741"/>
    <w:rsid w:val="00186CB4"/>
    <w:rsid w:val="00187763"/>
    <w:rsid w:val="00187A4A"/>
    <w:rsid w:val="001925D9"/>
    <w:rsid w:val="001934D4"/>
    <w:rsid w:val="00193571"/>
    <w:rsid w:val="00193AC1"/>
    <w:rsid w:val="00195080"/>
    <w:rsid w:val="00195352"/>
    <w:rsid w:val="00197213"/>
    <w:rsid w:val="001A022E"/>
    <w:rsid w:val="001A0E58"/>
    <w:rsid w:val="001A2968"/>
    <w:rsid w:val="001A2B3E"/>
    <w:rsid w:val="001A3DEE"/>
    <w:rsid w:val="001A4716"/>
    <w:rsid w:val="001A4A89"/>
    <w:rsid w:val="001B0DCF"/>
    <w:rsid w:val="001B47A4"/>
    <w:rsid w:val="001B5032"/>
    <w:rsid w:val="001C0055"/>
    <w:rsid w:val="001C1028"/>
    <w:rsid w:val="001C2597"/>
    <w:rsid w:val="001C2601"/>
    <w:rsid w:val="001C28E5"/>
    <w:rsid w:val="001C6A53"/>
    <w:rsid w:val="001D0B2A"/>
    <w:rsid w:val="001D13B0"/>
    <w:rsid w:val="001D1CC2"/>
    <w:rsid w:val="001D2014"/>
    <w:rsid w:val="001D316C"/>
    <w:rsid w:val="001D3522"/>
    <w:rsid w:val="001D36BE"/>
    <w:rsid w:val="001D4261"/>
    <w:rsid w:val="001D4983"/>
    <w:rsid w:val="001D5781"/>
    <w:rsid w:val="001D6325"/>
    <w:rsid w:val="001D66B6"/>
    <w:rsid w:val="001E08B0"/>
    <w:rsid w:val="001E15AF"/>
    <w:rsid w:val="001E3BA9"/>
    <w:rsid w:val="001E6F97"/>
    <w:rsid w:val="001E7551"/>
    <w:rsid w:val="001F0113"/>
    <w:rsid w:val="001F0BD3"/>
    <w:rsid w:val="001F644B"/>
    <w:rsid w:val="001F64A6"/>
    <w:rsid w:val="001F696A"/>
    <w:rsid w:val="002014BD"/>
    <w:rsid w:val="00201A3C"/>
    <w:rsid w:val="00204E5E"/>
    <w:rsid w:val="0020619A"/>
    <w:rsid w:val="002062E9"/>
    <w:rsid w:val="00207852"/>
    <w:rsid w:val="00207F01"/>
    <w:rsid w:val="0021391F"/>
    <w:rsid w:val="00213D1C"/>
    <w:rsid w:val="00214701"/>
    <w:rsid w:val="0021796B"/>
    <w:rsid w:val="00217BBD"/>
    <w:rsid w:val="00223212"/>
    <w:rsid w:val="00224F20"/>
    <w:rsid w:val="00225A61"/>
    <w:rsid w:val="002262D5"/>
    <w:rsid w:val="0023140F"/>
    <w:rsid w:val="002315F0"/>
    <w:rsid w:val="00231D95"/>
    <w:rsid w:val="00236C38"/>
    <w:rsid w:val="00237020"/>
    <w:rsid w:val="00237A6E"/>
    <w:rsid w:val="00237F0D"/>
    <w:rsid w:val="002410F1"/>
    <w:rsid w:val="00243F6A"/>
    <w:rsid w:val="00244801"/>
    <w:rsid w:val="00247DC2"/>
    <w:rsid w:val="00247F0E"/>
    <w:rsid w:val="00247FFA"/>
    <w:rsid w:val="0025044D"/>
    <w:rsid w:val="00251D0B"/>
    <w:rsid w:val="00256C1A"/>
    <w:rsid w:val="002623A7"/>
    <w:rsid w:val="002648F5"/>
    <w:rsid w:val="00264E69"/>
    <w:rsid w:val="0026563A"/>
    <w:rsid w:val="00265D76"/>
    <w:rsid w:val="00270BE1"/>
    <w:rsid w:val="00271806"/>
    <w:rsid w:val="00271D82"/>
    <w:rsid w:val="002761B8"/>
    <w:rsid w:val="002806EC"/>
    <w:rsid w:val="00281A61"/>
    <w:rsid w:val="00282763"/>
    <w:rsid w:val="002849C6"/>
    <w:rsid w:val="0028554E"/>
    <w:rsid w:val="00286E11"/>
    <w:rsid w:val="002871CD"/>
    <w:rsid w:val="00287561"/>
    <w:rsid w:val="00287DFC"/>
    <w:rsid w:val="00287E04"/>
    <w:rsid w:val="00292BAB"/>
    <w:rsid w:val="00292F94"/>
    <w:rsid w:val="002958AB"/>
    <w:rsid w:val="002A06E6"/>
    <w:rsid w:val="002A1A23"/>
    <w:rsid w:val="002A1D14"/>
    <w:rsid w:val="002A26C0"/>
    <w:rsid w:val="002A4A91"/>
    <w:rsid w:val="002A53B9"/>
    <w:rsid w:val="002A7C38"/>
    <w:rsid w:val="002B02A8"/>
    <w:rsid w:val="002B05B6"/>
    <w:rsid w:val="002B0B33"/>
    <w:rsid w:val="002B69DD"/>
    <w:rsid w:val="002B7EC4"/>
    <w:rsid w:val="002C2272"/>
    <w:rsid w:val="002C289E"/>
    <w:rsid w:val="002C2BEE"/>
    <w:rsid w:val="002C2D47"/>
    <w:rsid w:val="002C5D07"/>
    <w:rsid w:val="002C6213"/>
    <w:rsid w:val="002C6271"/>
    <w:rsid w:val="002C68AA"/>
    <w:rsid w:val="002C6AD8"/>
    <w:rsid w:val="002C6BF3"/>
    <w:rsid w:val="002D1A05"/>
    <w:rsid w:val="002D1D22"/>
    <w:rsid w:val="002D264A"/>
    <w:rsid w:val="002D269B"/>
    <w:rsid w:val="002E6440"/>
    <w:rsid w:val="002E665C"/>
    <w:rsid w:val="002E70E2"/>
    <w:rsid w:val="002E7300"/>
    <w:rsid w:val="002E7493"/>
    <w:rsid w:val="002F21F3"/>
    <w:rsid w:val="002F26C7"/>
    <w:rsid w:val="002F5C24"/>
    <w:rsid w:val="00301907"/>
    <w:rsid w:val="00301961"/>
    <w:rsid w:val="00303F39"/>
    <w:rsid w:val="003048B7"/>
    <w:rsid w:val="00304EC4"/>
    <w:rsid w:val="0030651E"/>
    <w:rsid w:val="0031503E"/>
    <w:rsid w:val="00322FFB"/>
    <w:rsid w:val="00324247"/>
    <w:rsid w:val="00324551"/>
    <w:rsid w:val="00324746"/>
    <w:rsid w:val="003252A8"/>
    <w:rsid w:val="003264DC"/>
    <w:rsid w:val="00326D0D"/>
    <w:rsid w:val="00330BE4"/>
    <w:rsid w:val="003336C5"/>
    <w:rsid w:val="00333957"/>
    <w:rsid w:val="00333B99"/>
    <w:rsid w:val="0034015E"/>
    <w:rsid w:val="003402D2"/>
    <w:rsid w:val="0034057D"/>
    <w:rsid w:val="00341B0A"/>
    <w:rsid w:val="0035032A"/>
    <w:rsid w:val="00351B77"/>
    <w:rsid w:val="00352233"/>
    <w:rsid w:val="003528C2"/>
    <w:rsid w:val="00352C37"/>
    <w:rsid w:val="0035429E"/>
    <w:rsid w:val="00354B63"/>
    <w:rsid w:val="0035725B"/>
    <w:rsid w:val="00360EC6"/>
    <w:rsid w:val="0036388E"/>
    <w:rsid w:val="003639B0"/>
    <w:rsid w:val="00364D8C"/>
    <w:rsid w:val="0036654D"/>
    <w:rsid w:val="00367072"/>
    <w:rsid w:val="003706A2"/>
    <w:rsid w:val="00372653"/>
    <w:rsid w:val="0037277D"/>
    <w:rsid w:val="00374CE0"/>
    <w:rsid w:val="00376571"/>
    <w:rsid w:val="003765D9"/>
    <w:rsid w:val="003812DD"/>
    <w:rsid w:val="003824DB"/>
    <w:rsid w:val="00383211"/>
    <w:rsid w:val="00383994"/>
    <w:rsid w:val="00385674"/>
    <w:rsid w:val="00386300"/>
    <w:rsid w:val="0039345B"/>
    <w:rsid w:val="00393B41"/>
    <w:rsid w:val="00395C72"/>
    <w:rsid w:val="003A0914"/>
    <w:rsid w:val="003A0F1F"/>
    <w:rsid w:val="003A2FD3"/>
    <w:rsid w:val="003A36DB"/>
    <w:rsid w:val="003A3785"/>
    <w:rsid w:val="003A3FD4"/>
    <w:rsid w:val="003A46BC"/>
    <w:rsid w:val="003A4851"/>
    <w:rsid w:val="003B2F97"/>
    <w:rsid w:val="003B39DD"/>
    <w:rsid w:val="003B4A75"/>
    <w:rsid w:val="003B5CA0"/>
    <w:rsid w:val="003B5DD2"/>
    <w:rsid w:val="003B7CAE"/>
    <w:rsid w:val="003C0B91"/>
    <w:rsid w:val="003C19DE"/>
    <w:rsid w:val="003C2B0D"/>
    <w:rsid w:val="003C3029"/>
    <w:rsid w:val="003C3888"/>
    <w:rsid w:val="003C3F47"/>
    <w:rsid w:val="003C40E0"/>
    <w:rsid w:val="003D2AD3"/>
    <w:rsid w:val="003D5571"/>
    <w:rsid w:val="003D562D"/>
    <w:rsid w:val="003D6076"/>
    <w:rsid w:val="003D6637"/>
    <w:rsid w:val="003E0D70"/>
    <w:rsid w:val="003E0DF7"/>
    <w:rsid w:val="003E2230"/>
    <w:rsid w:val="003E2916"/>
    <w:rsid w:val="003E3652"/>
    <w:rsid w:val="003E7817"/>
    <w:rsid w:val="003F089F"/>
    <w:rsid w:val="003F1961"/>
    <w:rsid w:val="003F21A7"/>
    <w:rsid w:val="003F23CE"/>
    <w:rsid w:val="003F2906"/>
    <w:rsid w:val="003F2B18"/>
    <w:rsid w:val="003F388C"/>
    <w:rsid w:val="003F46CA"/>
    <w:rsid w:val="00400920"/>
    <w:rsid w:val="004020F9"/>
    <w:rsid w:val="00404143"/>
    <w:rsid w:val="00404482"/>
    <w:rsid w:val="00406028"/>
    <w:rsid w:val="0040659B"/>
    <w:rsid w:val="00406901"/>
    <w:rsid w:val="00406DEB"/>
    <w:rsid w:val="0041111E"/>
    <w:rsid w:val="00411ACA"/>
    <w:rsid w:val="0041201D"/>
    <w:rsid w:val="0041284B"/>
    <w:rsid w:val="00414D66"/>
    <w:rsid w:val="0041766C"/>
    <w:rsid w:val="00421B54"/>
    <w:rsid w:val="00423C6D"/>
    <w:rsid w:val="00423E85"/>
    <w:rsid w:val="004267BD"/>
    <w:rsid w:val="00427F82"/>
    <w:rsid w:val="0043079A"/>
    <w:rsid w:val="00435676"/>
    <w:rsid w:val="00435EDC"/>
    <w:rsid w:val="00436FBE"/>
    <w:rsid w:val="004377EE"/>
    <w:rsid w:val="00437893"/>
    <w:rsid w:val="00437F86"/>
    <w:rsid w:val="00440133"/>
    <w:rsid w:val="00441793"/>
    <w:rsid w:val="004418CC"/>
    <w:rsid w:val="00442381"/>
    <w:rsid w:val="004425C4"/>
    <w:rsid w:val="00442AF9"/>
    <w:rsid w:val="0045467E"/>
    <w:rsid w:val="004552C8"/>
    <w:rsid w:val="00455EC9"/>
    <w:rsid w:val="0045638C"/>
    <w:rsid w:val="00462939"/>
    <w:rsid w:val="00462F52"/>
    <w:rsid w:val="00463117"/>
    <w:rsid w:val="00463132"/>
    <w:rsid w:val="004634FB"/>
    <w:rsid w:val="00464AA6"/>
    <w:rsid w:val="00464CA2"/>
    <w:rsid w:val="0046536C"/>
    <w:rsid w:val="004657DE"/>
    <w:rsid w:val="0046685E"/>
    <w:rsid w:val="0046715E"/>
    <w:rsid w:val="00467D28"/>
    <w:rsid w:val="00470C29"/>
    <w:rsid w:val="00470F4A"/>
    <w:rsid w:val="00472EAD"/>
    <w:rsid w:val="00473031"/>
    <w:rsid w:val="00476B05"/>
    <w:rsid w:val="00476B47"/>
    <w:rsid w:val="004811D1"/>
    <w:rsid w:val="00481B7A"/>
    <w:rsid w:val="00482F31"/>
    <w:rsid w:val="004844E7"/>
    <w:rsid w:val="004859B2"/>
    <w:rsid w:val="00485F7F"/>
    <w:rsid w:val="00486793"/>
    <w:rsid w:val="00487126"/>
    <w:rsid w:val="004874D5"/>
    <w:rsid w:val="00487684"/>
    <w:rsid w:val="00494C49"/>
    <w:rsid w:val="00494D29"/>
    <w:rsid w:val="00494DE4"/>
    <w:rsid w:val="004A09C3"/>
    <w:rsid w:val="004A140C"/>
    <w:rsid w:val="004A173F"/>
    <w:rsid w:val="004A29EB"/>
    <w:rsid w:val="004A36EE"/>
    <w:rsid w:val="004A3AF6"/>
    <w:rsid w:val="004A4833"/>
    <w:rsid w:val="004A6234"/>
    <w:rsid w:val="004B19EB"/>
    <w:rsid w:val="004B1B4D"/>
    <w:rsid w:val="004B2B21"/>
    <w:rsid w:val="004B2E86"/>
    <w:rsid w:val="004B30D1"/>
    <w:rsid w:val="004B3535"/>
    <w:rsid w:val="004B47FB"/>
    <w:rsid w:val="004B7BAC"/>
    <w:rsid w:val="004C2855"/>
    <w:rsid w:val="004C3382"/>
    <w:rsid w:val="004C475E"/>
    <w:rsid w:val="004C59B6"/>
    <w:rsid w:val="004C652F"/>
    <w:rsid w:val="004C65B4"/>
    <w:rsid w:val="004C6642"/>
    <w:rsid w:val="004C691F"/>
    <w:rsid w:val="004C6B20"/>
    <w:rsid w:val="004D1895"/>
    <w:rsid w:val="004D3000"/>
    <w:rsid w:val="004D4921"/>
    <w:rsid w:val="004D4C10"/>
    <w:rsid w:val="004D5D38"/>
    <w:rsid w:val="004D652C"/>
    <w:rsid w:val="004E271C"/>
    <w:rsid w:val="004E3A1D"/>
    <w:rsid w:val="004E4596"/>
    <w:rsid w:val="004E4B6E"/>
    <w:rsid w:val="004E564E"/>
    <w:rsid w:val="004E616D"/>
    <w:rsid w:val="004E6D21"/>
    <w:rsid w:val="004E6F80"/>
    <w:rsid w:val="004F1218"/>
    <w:rsid w:val="004F1840"/>
    <w:rsid w:val="004F2232"/>
    <w:rsid w:val="004F35CC"/>
    <w:rsid w:val="004F44D5"/>
    <w:rsid w:val="004F5106"/>
    <w:rsid w:val="004F5A3F"/>
    <w:rsid w:val="004F6FD3"/>
    <w:rsid w:val="004F7567"/>
    <w:rsid w:val="004F7CBD"/>
    <w:rsid w:val="00500A13"/>
    <w:rsid w:val="005016AC"/>
    <w:rsid w:val="00503983"/>
    <w:rsid w:val="00503F90"/>
    <w:rsid w:val="005047A4"/>
    <w:rsid w:val="00504CF5"/>
    <w:rsid w:val="00511F2E"/>
    <w:rsid w:val="0051621A"/>
    <w:rsid w:val="00520121"/>
    <w:rsid w:val="005229C6"/>
    <w:rsid w:val="00523307"/>
    <w:rsid w:val="00523544"/>
    <w:rsid w:val="005244F8"/>
    <w:rsid w:val="00531167"/>
    <w:rsid w:val="005319D6"/>
    <w:rsid w:val="00531A99"/>
    <w:rsid w:val="00531C1B"/>
    <w:rsid w:val="00532D06"/>
    <w:rsid w:val="00535E7A"/>
    <w:rsid w:val="00535E80"/>
    <w:rsid w:val="005372C6"/>
    <w:rsid w:val="00537603"/>
    <w:rsid w:val="00541D50"/>
    <w:rsid w:val="005424C9"/>
    <w:rsid w:val="00542AC8"/>
    <w:rsid w:val="00545781"/>
    <w:rsid w:val="0054794F"/>
    <w:rsid w:val="0055020D"/>
    <w:rsid w:val="005533CB"/>
    <w:rsid w:val="005534A7"/>
    <w:rsid w:val="00554067"/>
    <w:rsid w:val="00555451"/>
    <w:rsid w:val="0055562C"/>
    <w:rsid w:val="005561AD"/>
    <w:rsid w:val="00560219"/>
    <w:rsid w:val="005602F7"/>
    <w:rsid w:val="00560C00"/>
    <w:rsid w:val="00562024"/>
    <w:rsid w:val="00564939"/>
    <w:rsid w:val="00565B88"/>
    <w:rsid w:val="00570C26"/>
    <w:rsid w:val="0057265C"/>
    <w:rsid w:val="00573BE9"/>
    <w:rsid w:val="00574C65"/>
    <w:rsid w:val="00576BAF"/>
    <w:rsid w:val="00577743"/>
    <w:rsid w:val="00577946"/>
    <w:rsid w:val="0058523E"/>
    <w:rsid w:val="0058617F"/>
    <w:rsid w:val="00586A5F"/>
    <w:rsid w:val="00586E30"/>
    <w:rsid w:val="00587C6D"/>
    <w:rsid w:val="00590B19"/>
    <w:rsid w:val="005913A1"/>
    <w:rsid w:val="00591BF1"/>
    <w:rsid w:val="005942F3"/>
    <w:rsid w:val="00595292"/>
    <w:rsid w:val="00595468"/>
    <w:rsid w:val="005958E8"/>
    <w:rsid w:val="005975A0"/>
    <w:rsid w:val="00597D28"/>
    <w:rsid w:val="005A0F47"/>
    <w:rsid w:val="005A151A"/>
    <w:rsid w:val="005A176D"/>
    <w:rsid w:val="005A2668"/>
    <w:rsid w:val="005A2706"/>
    <w:rsid w:val="005A3122"/>
    <w:rsid w:val="005A422E"/>
    <w:rsid w:val="005A6F5D"/>
    <w:rsid w:val="005B4E16"/>
    <w:rsid w:val="005B6D9F"/>
    <w:rsid w:val="005B7B22"/>
    <w:rsid w:val="005C0314"/>
    <w:rsid w:val="005C088A"/>
    <w:rsid w:val="005C13B5"/>
    <w:rsid w:val="005D04EE"/>
    <w:rsid w:val="005D141A"/>
    <w:rsid w:val="005D2330"/>
    <w:rsid w:val="005D42D8"/>
    <w:rsid w:val="005D4603"/>
    <w:rsid w:val="005D6575"/>
    <w:rsid w:val="005E0EF3"/>
    <w:rsid w:val="005E2B25"/>
    <w:rsid w:val="005E7373"/>
    <w:rsid w:val="005E7E7D"/>
    <w:rsid w:val="005E7ECE"/>
    <w:rsid w:val="005F09E6"/>
    <w:rsid w:val="005F1935"/>
    <w:rsid w:val="005F2538"/>
    <w:rsid w:val="005F2C69"/>
    <w:rsid w:val="005F481F"/>
    <w:rsid w:val="005F4E92"/>
    <w:rsid w:val="005F5DD3"/>
    <w:rsid w:val="005F65CD"/>
    <w:rsid w:val="0060105D"/>
    <w:rsid w:val="006010CA"/>
    <w:rsid w:val="0060111E"/>
    <w:rsid w:val="00602B91"/>
    <w:rsid w:val="00603872"/>
    <w:rsid w:val="00607CC8"/>
    <w:rsid w:val="00607F2E"/>
    <w:rsid w:val="00610597"/>
    <w:rsid w:val="00620041"/>
    <w:rsid w:val="00622587"/>
    <w:rsid w:val="00622F54"/>
    <w:rsid w:val="00623351"/>
    <w:rsid w:val="00624989"/>
    <w:rsid w:val="00624BE2"/>
    <w:rsid w:val="0062519D"/>
    <w:rsid w:val="0062602D"/>
    <w:rsid w:val="006263AC"/>
    <w:rsid w:val="006274DA"/>
    <w:rsid w:val="006276CD"/>
    <w:rsid w:val="00631D2D"/>
    <w:rsid w:val="00633414"/>
    <w:rsid w:val="006401BA"/>
    <w:rsid w:val="00643727"/>
    <w:rsid w:val="00644624"/>
    <w:rsid w:val="00645991"/>
    <w:rsid w:val="0064724E"/>
    <w:rsid w:val="006472A4"/>
    <w:rsid w:val="006472C2"/>
    <w:rsid w:val="00647AD3"/>
    <w:rsid w:val="00650E8C"/>
    <w:rsid w:val="00651152"/>
    <w:rsid w:val="006515F9"/>
    <w:rsid w:val="00652DDC"/>
    <w:rsid w:val="006537CD"/>
    <w:rsid w:val="00655333"/>
    <w:rsid w:val="006556FA"/>
    <w:rsid w:val="00655877"/>
    <w:rsid w:val="00655E7E"/>
    <w:rsid w:val="00662D5B"/>
    <w:rsid w:val="00663EBA"/>
    <w:rsid w:val="00664577"/>
    <w:rsid w:val="00664969"/>
    <w:rsid w:val="00665BAD"/>
    <w:rsid w:val="0066749F"/>
    <w:rsid w:val="00667880"/>
    <w:rsid w:val="00667CD7"/>
    <w:rsid w:val="006705DD"/>
    <w:rsid w:val="00673E68"/>
    <w:rsid w:val="0067417B"/>
    <w:rsid w:val="00674CD1"/>
    <w:rsid w:val="00675481"/>
    <w:rsid w:val="006821DE"/>
    <w:rsid w:val="006856B2"/>
    <w:rsid w:val="0068624D"/>
    <w:rsid w:val="00687A78"/>
    <w:rsid w:val="006932EE"/>
    <w:rsid w:val="0069506F"/>
    <w:rsid w:val="00695EBA"/>
    <w:rsid w:val="006A0052"/>
    <w:rsid w:val="006A0058"/>
    <w:rsid w:val="006A01C8"/>
    <w:rsid w:val="006A03FC"/>
    <w:rsid w:val="006A293B"/>
    <w:rsid w:val="006A2F7F"/>
    <w:rsid w:val="006A391B"/>
    <w:rsid w:val="006A40FE"/>
    <w:rsid w:val="006A5991"/>
    <w:rsid w:val="006A5B0A"/>
    <w:rsid w:val="006A5DEB"/>
    <w:rsid w:val="006A5E81"/>
    <w:rsid w:val="006A6C14"/>
    <w:rsid w:val="006B0F13"/>
    <w:rsid w:val="006B34A9"/>
    <w:rsid w:val="006B44DD"/>
    <w:rsid w:val="006C0B96"/>
    <w:rsid w:val="006C2FC4"/>
    <w:rsid w:val="006C50E9"/>
    <w:rsid w:val="006C5ADC"/>
    <w:rsid w:val="006C7E8A"/>
    <w:rsid w:val="006D1453"/>
    <w:rsid w:val="006D1759"/>
    <w:rsid w:val="006D30B0"/>
    <w:rsid w:val="006D45B5"/>
    <w:rsid w:val="006D5306"/>
    <w:rsid w:val="006D79CA"/>
    <w:rsid w:val="006E023C"/>
    <w:rsid w:val="006E11F2"/>
    <w:rsid w:val="006E12DB"/>
    <w:rsid w:val="006E2CA5"/>
    <w:rsid w:val="006E4849"/>
    <w:rsid w:val="006E4C51"/>
    <w:rsid w:val="006E4E8B"/>
    <w:rsid w:val="006E666D"/>
    <w:rsid w:val="006E6B35"/>
    <w:rsid w:val="006E7E6C"/>
    <w:rsid w:val="006F042A"/>
    <w:rsid w:val="006F415F"/>
    <w:rsid w:val="006F4EB9"/>
    <w:rsid w:val="006F628E"/>
    <w:rsid w:val="006F6D54"/>
    <w:rsid w:val="006F7968"/>
    <w:rsid w:val="00705C23"/>
    <w:rsid w:val="00705F07"/>
    <w:rsid w:val="00707530"/>
    <w:rsid w:val="0070774B"/>
    <w:rsid w:val="00711D37"/>
    <w:rsid w:val="00712EC7"/>
    <w:rsid w:val="00713C09"/>
    <w:rsid w:val="007200E1"/>
    <w:rsid w:val="007209A4"/>
    <w:rsid w:val="00722849"/>
    <w:rsid w:val="00724CE9"/>
    <w:rsid w:val="00726122"/>
    <w:rsid w:val="00726E4C"/>
    <w:rsid w:val="007300AC"/>
    <w:rsid w:val="007303D6"/>
    <w:rsid w:val="007331E4"/>
    <w:rsid w:val="00734F9D"/>
    <w:rsid w:val="00736D41"/>
    <w:rsid w:val="007376D9"/>
    <w:rsid w:val="00740667"/>
    <w:rsid w:val="00741120"/>
    <w:rsid w:val="0074233B"/>
    <w:rsid w:val="00742A51"/>
    <w:rsid w:val="007435EA"/>
    <w:rsid w:val="007447DB"/>
    <w:rsid w:val="007455EB"/>
    <w:rsid w:val="007467A2"/>
    <w:rsid w:val="007500E6"/>
    <w:rsid w:val="0075216D"/>
    <w:rsid w:val="00754D69"/>
    <w:rsid w:val="00755116"/>
    <w:rsid w:val="00757FE6"/>
    <w:rsid w:val="00760EF3"/>
    <w:rsid w:val="00761185"/>
    <w:rsid w:val="00762DFE"/>
    <w:rsid w:val="007667CC"/>
    <w:rsid w:val="007668EC"/>
    <w:rsid w:val="0077007B"/>
    <w:rsid w:val="00770F28"/>
    <w:rsid w:val="00771C5D"/>
    <w:rsid w:val="007727F2"/>
    <w:rsid w:val="00774868"/>
    <w:rsid w:val="00774BE2"/>
    <w:rsid w:val="00774EEF"/>
    <w:rsid w:val="00775B8A"/>
    <w:rsid w:val="00777BFD"/>
    <w:rsid w:val="00785593"/>
    <w:rsid w:val="0079113C"/>
    <w:rsid w:val="00791226"/>
    <w:rsid w:val="0079351C"/>
    <w:rsid w:val="00795915"/>
    <w:rsid w:val="00797145"/>
    <w:rsid w:val="007A2866"/>
    <w:rsid w:val="007A4026"/>
    <w:rsid w:val="007A6027"/>
    <w:rsid w:val="007B4545"/>
    <w:rsid w:val="007B48EE"/>
    <w:rsid w:val="007B4E2D"/>
    <w:rsid w:val="007B691B"/>
    <w:rsid w:val="007B7671"/>
    <w:rsid w:val="007B7E01"/>
    <w:rsid w:val="007C087A"/>
    <w:rsid w:val="007C2420"/>
    <w:rsid w:val="007C482D"/>
    <w:rsid w:val="007C5F71"/>
    <w:rsid w:val="007C736C"/>
    <w:rsid w:val="007D059D"/>
    <w:rsid w:val="007D451F"/>
    <w:rsid w:val="007D5596"/>
    <w:rsid w:val="007D6A53"/>
    <w:rsid w:val="007D6B1B"/>
    <w:rsid w:val="007E0FAA"/>
    <w:rsid w:val="007E2EF7"/>
    <w:rsid w:val="007E390F"/>
    <w:rsid w:val="007E44EC"/>
    <w:rsid w:val="007E48EB"/>
    <w:rsid w:val="007E5088"/>
    <w:rsid w:val="007E51FE"/>
    <w:rsid w:val="007F0187"/>
    <w:rsid w:val="007F099D"/>
    <w:rsid w:val="007F1CB2"/>
    <w:rsid w:val="007F435E"/>
    <w:rsid w:val="007F54AD"/>
    <w:rsid w:val="007F5515"/>
    <w:rsid w:val="007F7816"/>
    <w:rsid w:val="00802DFD"/>
    <w:rsid w:val="008045DC"/>
    <w:rsid w:val="00810F8F"/>
    <w:rsid w:val="00812051"/>
    <w:rsid w:val="008120A6"/>
    <w:rsid w:val="008125C9"/>
    <w:rsid w:val="008129A5"/>
    <w:rsid w:val="008150F3"/>
    <w:rsid w:val="00816543"/>
    <w:rsid w:val="00817648"/>
    <w:rsid w:val="00821803"/>
    <w:rsid w:val="00821C77"/>
    <w:rsid w:val="008223D5"/>
    <w:rsid w:val="00824069"/>
    <w:rsid w:val="00824E09"/>
    <w:rsid w:val="00825DB4"/>
    <w:rsid w:val="00826CCC"/>
    <w:rsid w:val="00830C74"/>
    <w:rsid w:val="00831796"/>
    <w:rsid w:val="008318E5"/>
    <w:rsid w:val="00831A7A"/>
    <w:rsid w:val="00831D42"/>
    <w:rsid w:val="008326E1"/>
    <w:rsid w:val="00834872"/>
    <w:rsid w:val="00836BF2"/>
    <w:rsid w:val="008373BE"/>
    <w:rsid w:val="00841A67"/>
    <w:rsid w:val="00843485"/>
    <w:rsid w:val="00844CF2"/>
    <w:rsid w:val="008466CD"/>
    <w:rsid w:val="00847726"/>
    <w:rsid w:val="008519AA"/>
    <w:rsid w:val="00853501"/>
    <w:rsid w:val="0085382E"/>
    <w:rsid w:val="008539FC"/>
    <w:rsid w:val="00853E47"/>
    <w:rsid w:val="0085551D"/>
    <w:rsid w:val="00856330"/>
    <w:rsid w:val="00856BA7"/>
    <w:rsid w:val="00857E46"/>
    <w:rsid w:val="00860D27"/>
    <w:rsid w:val="00861798"/>
    <w:rsid w:val="00861840"/>
    <w:rsid w:val="00861971"/>
    <w:rsid w:val="00862F55"/>
    <w:rsid w:val="00863B59"/>
    <w:rsid w:val="00865EB4"/>
    <w:rsid w:val="008660A1"/>
    <w:rsid w:val="008663C5"/>
    <w:rsid w:val="00867F55"/>
    <w:rsid w:val="00870B43"/>
    <w:rsid w:val="00872BD1"/>
    <w:rsid w:val="00872EC5"/>
    <w:rsid w:val="0087528D"/>
    <w:rsid w:val="0087537E"/>
    <w:rsid w:val="00886772"/>
    <w:rsid w:val="00891253"/>
    <w:rsid w:val="00891AC4"/>
    <w:rsid w:val="0089238E"/>
    <w:rsid w:val="0089243F"/>
    <w:rsid w:val="00892D5F"/>
    <w:rsid w:val="00893917"/>
    <w:rsid w:val="008972EB"/>
    <w:rsid w:val="008A0775"/>
    <w:rsid w:val="008A29B7"/>
    <w:rsid w:val="008A2A0D"/>
    <w:rsid w:val="008A2D47"/>
    <w:rsid w:val="008A3038"/>
    <w:rsid w:val="008A321B"/>
    <w:rsid w:val="008A4611"/>
    <w:rsid w:val="008A4FCD"/>
    <w:rsid w:val="008A67C5"/>
    <w:rsid w:val="008A7912"/>
    <w:rsid w:val="008A7937"/>
    <w:rsid w:val="008B3E48"/>
    <w:rsid w:val="008B4531"/>
    <w:rsid w:val="008B5F41"/>
    <w:rsid w:val="008B73C2"/>
    <w:rsid w:val="008B7483"/>
    <w:rsid w:val="008C3659"/>
    <w:rsid w:val="008C36B5"/>
    <w:rsid w:val="008C4B8B"/>
    <w:rsid w:val="008C5B38"/>
    <w:rsid w:val="008C69C5"/>
    <w:rsid w:val="008D1E67"/>
    <w:rsid w:val="008D40DC"/>
    <w:rsid w:val="008D45FF"/>
    <w:rsid w:val="008D46CC"/>
    <w:rsid w:val="008D681E"/>
    <w:rsid w:val="008D7C75"/>
    <w:rsid w:val="008E08B9"/>
    <w:rsid w:val="008E1245"/>
    <w:rsid w:val="008E27CF"/>
    <w:rsid w:val="008E3949"/>
    <w:rsid w:val="008E4781"/>
    <w:rsid w:val="008E499C"/>
    <w:rsid w:val="008E4FB9"/>
    <w:rsid w:val="008E5190"/>
    <w:rsid w:val="008E56CD"/>
    <w:rsid w:val="008E677B"/>
    <w:rsid w:val="008E7B11"/>
    <w:rsid w:val="008F027A"/>
    <w:rsid w:val="008F087F"/>
    <w:rsid w:val="008F32FE"/>
    <w:rsid w:val="008F3DC8"/>
    <w:rsid w:val="008F5564"/>
    <w:rsid w:val="008F7991"/>
    <w:rsid w:val="0090013C"/>
    <w:rsid w:val="009002B5"/>
    <w:rsid w:val="00902C01"/>
    <w:rsid w:val="00902CC6"/>
    <w:rsid w:val="009035CB"/>
    <w:rsid w:val="00906095"/>
    <w:rsid w:val="00907D40"/>
    <w:rsid w:val="00911296"/>
    <w:rsid w:val="00913163"/>
    <w:rsid w:val="00913569"/>
    <w:rsid w:val="0091422A"/>
    <w:rsid w:val="009174D5"/>
    <w:rsid w:val="00920D81"/>
    <w:rsid w:val="00921485"/>
    <w:rsid w:val="00923448"/>
    <w:rsid w:val="009239CE"/>
    <w:rsid w:val="00923BA9"/>
    <w:rsid w:val="009254E2"/>
    <w:rsid w:val="00931E7E"/>
    <w:rsid w:val="00932618"/>
    <w:rsid w:val="00932965"/>
    <w:rsid w:val="00932DA8"/>
    <w:rsid w:val="009363E9"/>
    <w:rsid w:val="0093741B"/>
    <w:rsid w:val="00940345"/>
    <w:rsid w:val="00940DCA"/>
    <w:rsid w:val="00941FF7"/>
    <w:rsid w:val="0094209F"/>
    <w:rsid w:val="00943A76"/>
    <w:rsid w:val="009444C8"/>
    <w:rsid w:val="00944C54"/>
    <w:rsid w:val="00944DBA"/>
    <w:rsid w:val="00945DAA"/>
    <w:rsid w:val="00947168"/>
    <w:rsid w:val="00947AF0"/>
    <w:rsid w:val="009530D5"/>
    <w:rsid w:val="00953D9C"/>
    <w:rsid w:val="00954BB3"/>
    <w:rsid w:val="009552D7"/>
    <w:rsid w:val="00955C8F"/>
    <w:rsid w:val="00961147"/>
    <w:rsid w:val="0096219E"/>
    <w:rsid w:val="00962619"/>
    <w:rsid w:val="009642B2"/>
    <w:rsid w:val="009661F8"/>
    <w:rsid w:val="00971207"/>
    <w:rsid w:val="009716B8"/>
    <w:rsid w:val="00971BF5"/>
    <w:rsid w:val="0097351C"/>
    <w:rsid w:val="00973940"/>
    <w:rsid w:val="009742D3"/>
    <w:rsid w:val="0097631F"/>
    <w:rsid w:val="00976CE2"/>
    <w:rsid w:val="00976D64"/>
    <w:rsid w:val="0098082B"/>
    <w:rsid w:val="009809A1"/>
    <w:rsid w:val="00980EB3"/>
    <w:rsid w:val="00981796"/>
    <w:rsid w:val="009821EE"/>
    <w:rsid w:val="009829BA"/>
    <w:rsid w:val="00983656"/>
    <w:rsid w:val="009922D2"/>
    <w:rsid w:val="00992F1A"/>
    <w:rsid w:val="00995B33"/>
    <w:rsid w:val="00996519"/>
    <w:rsid w:val="00997D30"/>
    <w:rsid w:val="009A04AC"/>
    <w:rsid w:val="009A1CD8"/>
    <w:rsid w:val="009A2707"/>
    <w:rsid w:val="009A326C"/>
    <w:rsid w:val="009A35E0"/>
    <w:rsid w:val="009A4C5B"/>
    <w:rsid w:val="009A56E9"/>
    <w:rsid w:val="009A64C9"/>
    <w:rsid w:val="009A79FB"/>
    <w:rsid w:val="009B2D97"/>
    <w:rsid w:val="009B4B33"/>
    <w:rsid w:val="009B59EB"/>
    <w:rsid w:val="009B6EFD"/>
    <w:rsid w:val="009B78FB"/>
    <w:rsid w:val="009C19CD"/>
    <w:rsid w:val="009C1D4D"/>
    <w:rsid w:val="009C2490"/>
    <w:rsid w:val="009C2557"/>
    <w:rsid w:val="009C6BD6"/>
    <w:rsid w:val="009C75A3"/>
    <w:rsid w:val="009D14CD"/>
    <w:rsid w:val="009D1816"/>
    <w:rsid w:val="009D2BFF"/>
    <w:rsid w:val="009D52F8"/>
    <w:rsid w:val="009D6CE2"/>
    <w:rsid w:val="009D7E25"/>
    <w:rsid w:val="009E0598"/>
    <w:rsid w:val="009E2310"/>
    <w:rsid w:val="009E354A"/>
    <w:rsid w:val="009E57FF"/>
    <w:rsid w:val="009E68C4"/>
    <w:rsid w:val="009E79D1"/>
    <w:rsid w:val="009F04C9"/>
    <w:rsid w:val="009F11B7"/>
    <w:rsid w:val="009F2235"/>
    <w:rsid w:val="009F2456"/>
    <w:rsid w:val="009F2EAB"/>
    <w:rsid w:val="009F319E"/>
    <w:rsid w:val="009F31F7"/>
    <w:rsid w:val="009F36A8"/>
    <w:rsid w:val="009F5A96"/>
    <w:rsid w:val="009F6106"/>
    <w:rsid w:val="00A010BF"/>
    <w:rsid w:val="00A01A34"/>
    <w:rsid w:val="00A034E5"/>
    <w:rsid w:val="00A04C9A"/>
    <w:rsid w:val="00A05FCE"/>
    <w:rsid w:val="00A06B7A"/>
    <w:rsid w:val="00A07CAC"/>
    <w:rsid w:val="00A07D5E"/>
    <w:rsid w:val="00A10EC6"/>
    <w:rsid w:val="00A12134"/>
    <w:rsid w:val="00A12620"/>
    <w:rsid w:val="00A12741"/>
    <w:rsid w:val="00A12ECD"/>
    <w:rsid w:val="00A13A95"/>
    <w:rsid w:val="00A15A5A"/>
    <w:rsid w:val="00A168A9"/>
    <w:rsid w:val="00A20A4E"/>
    <w:rsid w:val="00A20B73"/>
    <w:rsid w:val="00A211F9"/>
    <w:rsid w:val="00A24FC2"/>
    <w:rsid w:val="00A26D3B"/>
    <w:rsid w:val="00A2751A"/>
    <w:rsid w:val="00A318EB"/>
    <w:rsid w:val="00A364D3"/>
    <w:rsid w:val="00A3766F"/>
    <w:rsid w:val="00A376C7"/>
    <w:rsid w:val="00A3774D"/>
    <w:rsid w:val="00A37927"/>
    <w:rsid w:val="00A430FD"/>
    <w:rsid w:val="00A457E0"/>
    <w:rsid w:val="00A4719B"/>
    <w:rsid w:val="00A47301"/>
    <w:rsid w:val="00A47D64"/>
    <w:rsid w:val="00A52079"/>
    <w:rsid w:val="00A57702"/>
    <w:rsid w:val="00A60139"/>
    <w:rsid w:val="00A64E22"/>
    <w:rsid w:val="00A674CC"/>
    <w:rsid w:val="00A67EEF"/>
    <w:rsid w:val="00A707A3"/>
    <w:rsid w:val="00A76CF3"/>
    <w:rsid w:val="00A77BC1"/>
    <w:rsid w:val="00A800FD"/>
    <w:rsid w:val="00A802F3"/>
    <w:rsid w:val="00A80A9F"/>
    <w:rsid w:val="00A81D22"/>
    <w:rsid w:val="00A82361"/>
    <w:rsid w:val="00A82969"/>
    <w:rsid w:val="00A82C5D"/>
    <w:rsid w:val="00A835EF"/>
    <w:rsid w:val="00A83F1F"/>
    <w:rsid w:val="00A847B1"/>
    <w:rsid w:val="00A861F7"/>
    <w:rsid w:val="00A86620"/>
    <w:rsid w:val="00A93395"/>
    <w:rsid w:val="00A95292"/>
    <w:rsid w:val="00A9576A"/>
    <w:rsid w:val="00A97F18"/>
    <w:rsid w:val="00AA3CEC"/>
    <w:rsid w:val="00AA608B"/>
    <w:rsid w:val="00AB2389"/>
    <w:rsid w:val="00AB53ED"/>
    <w:rsid w:val="00AB6BAC"/>
    <w:rsid w:val="00AC00DD"/>
    <w:rsid w:val="00AC0A4C"/>
    <w:rsid w:val="00AC16D7"/>
    <w:rsid w:val="00AC1DCE"/>
    <w:rsid w:val="00AC2402"/>
    <w:rsid w:val="00AC288C"/>
    <w:rsid w:val="00AC2CBF"/>
    <w:rsid w:val="00AC4EB7"/>
    <w:rsid w:val="00AC4F9B"/>
    <w:rsid w:val="00AC5653"/>
    <w:rsid w:val="00AC6024"/>
    <w:rsid w:val="00AC72C7"/>
    <w:rsid w:val="00AC7A9C"/>
    <w:rsid w:val="00AD2EE0"/>
    <w:rsid w:val="00AD521E"/>
    <w:rsid w:val="00AD5AB8"/>
    <w:rsid w:val="00AD664F"/>
    <w:rsid w:val="00AD67D3"/>
    <w:rsid w:val="00AD7338"/>
    <w:rsid w:val="00AD7BB9"/>
    <w:rsid w:val="00AD7C06"/>
    <w:rsid w:val="00AD7EB7"/>
    <w:rsid w:val="00AD7ED3"/>
    <w:rsid w:val="00AE0254"/>
    <w:rsid w:val="00AE1AF7"/>
    <w:rsid w:val="00AE4490"/>
    <w:rsid w:val="00AE767D"/>
    <w:rsid w:val="00AF0D36"/>
    <w:rsid w:val="00AF0DFB"/>
    <w:rsid w:val="00AF1302"/>
    <w:rsid w:val="00AF16D7"/>
    <w:rsid w:val="00AF2084"/>
    <w:rsid w:val="00AF492C"/>
    <w:rsid w:val="00AF58BF"/>
    <w:rsid w:val="00AF5C32"/>
    <w:rsid w:val="00AF76B2"/>
    <w:rsid w:val="00B00BDD"/>
    <w:rsid w:val="00B017F3"/>
    <w:rsid w:val="00B0227A"/>
    <w:rsid w:val="00B03DF8"/>
    <w:rsid w:val="00B05869"/>
    <w:rsid w:val="00B06F8E"/>
    <w:rsid w:val="00B078EC"/>
    <w:rsid w:val="00B07F22"/>
    <w:rsid w:val="00B12B4E"/>
    <w:rsid w:val="00B14A99"/>
    <w:rsid w:val="00B16622"/>
    <w:rsid w:val="00B16EEF"/>
    <w:rsid w:val="00B20387"/>
    <w:rsid w:val="00B20E16"/>
    <w:rsid w:val="00B241FA"/>
    <w:rsid w:val="00B24E12"/>
    <w:rsid w:val="00B30CEE"/>
    <w:rsid w:val="00B31FF5"/>
    <w:rsid w:val="00B33EB3"/>
    <w:rsid w:val="00B3422B"/>
    <w:rsid w:val="00B3452E"/>
    <w:rsid w:val="00B3639A"/>
    <w:rsid w:val="00B36FA5"/>
    <w:rsid w:val="00B44960"/>
    <w:rsid w:val="00B44B2D"/>
    <w:rsid w:val="00B46D25"/>
    <w:rsid w:val="00B46F90"/>
    <w:rsid w:val="00B52690"/>
    <w:rsid w:val="00B526CD"/>
    <w:rsid w:val="00B5333E"/>
    <w:rsid w:val="00B538C4"/>
    <w:rsid w:val="00B53E44"/>
    <w:rsid w:val="00B5641D"/>
    <w:rsid w:val="00B564B5"/>
    <w:rsid w:val="00B568F2"/>
    <w:rsid w:val="00B570A7"/>
    <w:rsid w:val="00B61752"/>
    <w:rsid w:val="00B64D6D"/>
    <w:rsid w:val="00B67D27"/>
    <w:rsid w:val="00B714F0"/>
    <w:rsid w:val="00B71759"/>
    <w:rsid w:val="00B71ED1"/>
    <w:rsid w:val="00B71FC8"/>
    <w:rsid w:val="00B73119"/>
    <w:rsid w:val="00B802A3"/>
    <w:rsid w:val="00B84487"/>
    <w:rsid w:val="00B860B1"/>
    <w:rsid w:val="00B86C86"/>
    <w:rsid w:val="00B90174"/>
    <w:rsid w:val="00B93C22"/>
    <w:rsid w:val="00B94D80"/>
    <w:rsid w:val="00B95858"/>
    <w:rsid w:val="00B95B5D"/>
    <w:rsid w:val="00B97AC2"/>
    <w:rsid w:val="00BA3EEC"/>
    <w:rsid w:val="00BA4797"/>
    <w:rsid w:val="00BA5B43"/>
    <w:rsid w:val="00BB0591"/>
    <w:rsid w:val="00BB6346"/>
    <w:rsid w:val="00BB6362"/>
    <w:rsid w:val="00BB76A0"/>
    <w:rsid w:val="00BC0BA2"/>
    <w:rsid w:val="00BC2BEC"/>
    <w:rsid w:val="00BC5677"/>
    <w:rsid w:val="00BD1DF5"/>
    <w:rsid w:val="00BD2820"/>
    <w:rsid w:val="00BD5345"/>
    <w:rsid w:val="00BD6DB4"/>
    <w:rsid w:val="00BD73F1"/>
    <w:rsid w:val="00BE036E"/>
    <w:rsid w:val="00BE1545"/>
    <w:rsid w:val="00BE1C01"/>
    <w:rsid w:val="00BE2BB9"/>
    <w:rsid w:val="00BE6218"/>
    <w:rsid w:val="00BE7B64"/>
    <w:rsid w:val="00BE7FBD"/>
    <w:rsid w:val="00BF52BD"/>
    <w:rsid w:val="00BF540F"/>
    <w:rsid w:val="00BF545F"/>
    <w:rsid w:val="00BF5941"/>
    <w:rsid w:val="00BF7036"/>
    <w:rsid w:val="00C00133"/>
    <w:rsid w:val="00C00170"/>
    <w:rsid w:val="00C027CE"/>
    <w:rsid w:val="00C04981"/>
    <w:rsid w:val="00C04E76"/>
    <w:rsid w:val="00C04FF9"/>
    <w:rsid w:val="00C05F18"/>
    <w:rsid w:val="00C062AE"/>
    <w:rsid w:val="00C0712D"/>
    <w:rsid w:val="00C123A5"/>
    <w:rsid w:val="00C126D5"/>
    <w:rsid w:val="00C1295A"/>
    <w:rsid w:val="00C15864"/>
    <w:rsid w:val="00C160D3"/>
    <w:rsid w:val="00C17252"/>
    <w:rsid w:val="00C17696"/>
    <w:rsid w:val="00C17867"/>
    <w:rsid w:val="00C17B96"/>
    <w:rsid w:val="00C20B41"/>
    <w:rsid w:val="00C23F57"/>
    <w:rsid w:val="00C253BC"/>
    <w:rsid w:val="00C2545C"/>
    <w:rsid w:val="00C26BF4"/>
    <w:rsid w:val="00C277E4"/>
    <w:rsid w:val="00C27AEB"/>
    <w:rsid w:val="00C34DAD"/>
    <w:rsid w:val="00C36176"/>
    <w:rsid w:val="00C3685C"/>
    <w:rsid w:val="00C37B5C"/>
    <w:rsid w:val="00C41AB4"/>
    <w:rsid w:val="00C41BEE"/>
    <w:rsid w:val="00C423D1"/>
    <w:rsid w:val="00C456A7"/>
    <w:rsid w:val="00C53E86"/>
    <w:rsid w:val="00C54E49"/>
    <w:rsid w:val="00C66EEF"/>
    <w:rsid w:val="00C7187E"/>
    <w:rsid w:val="00C7390C"/>
    <w:rsid w:val="00C73DE1"/>
    <w:rsid w:val="00C77DD9"/>
    <w:rsid w:val="00C81D56"/>
    <w:rsid w:val="00C821D7"/>
    <w:rsid w:val="00C82596"/>
    <w:rsid w:val="00C8520A"/>
    <w:rsid w:val="00C870D2"/>
    <w:rsid w:val="00C909DC"/>
    <w:rsid w:val="00C91A00"/>
    <w:rsid w:val="00C91C7D"/>
    <w:rsid w:val="00C921D4"/>
    <w:rsid w:val="00C9499C"/>
    <w:rsid w:val="00C95898"/>
    <w:rsid w:val="00C969DD"/>
    <w:rsid w:val="00C97D08"/>
    <w:rsid w:val="00CA40B6"/>
    <w:rsid w:val="00CA5519"/>
    <w:rsid w:val="00CA68E6"/>
    <w:rsid w:val="00CA7EEA"/>
    <w:rsid w:val="00CB1344"/>
    <w:rsid w:val="00CB1A84"/>
    <w:rsid w:val="00CB464A"/>
    <w:rsid w:val="00CB77B7"/>
    <w:rsid w:val="00CC0CC0"/>
    <w:rsid w:val="00CC1B55"/>
    <w:rsid w:val="00CC1E90"/>
    <w:rsid w:val="00CC28B1"/>
    <w:rsid w:val="00CC4FCA"/>
    <w:rsid w:val="00CC725A"/>
    <w:rsid w:val="00CD0F88"/>
    <w:rsid w:val="00CD28EF"/>
    <w:rsid w:val="00CD3406"/>
    <w:rsid w:val="00CD4121"/>
    <w:rsid w:val="00CD4F56"/>
    <w:rsid w:val="00CD5767"/>
    <w:rsid w:val="00CD5E6B"/>
    <w:rsid w:val="00CE0F6C"/>
    <w:rsid w:val="00CE4ABD"/>
    <w:rsid w:val="00CE4B2B"/>
    <w:rsid w:val="00CE5227"/>
    <w:rsid w:val="00CE61B6"/>
    <w:rsid w:val="00CE7A53"/>
    <w:rsid w:val="00CF1435"/>
    <w:rsid w:val="00CF184F"/>
    <w:rsid w:val="00CF2A4A"/>
    <w:rsid w:val="00CF2C3B"/>
    <w:rsid w:val="00CF4842"/>
    <w:rsid w:val="00CF4F15"/>
    <w:rsid w:val="00CF51F4"/>
    <w:rsid w:val="00CF599F"/>
    <w:rsid w:val="00D0074F"/>
    <w:rsid w:val="00D02CFF"/>
    <w:rsid w:val="00D03026"/>
    <w:rsid w:val="00D0337E"/>
    <w:rsid w:val="00D04BC1"/>
    <w:rsid w:val="00D05068"/>
    <w:rsid w:val="00D07376"/>
    <w:rsid w:val="00D07DD8"/>
    <w:rsid w:val="00D12146"/>
    <w:rsid w:val="00D12517"/>
    <w:rsid w:val="00D16494"/>
    <w:rsid w:val="00D17B45"/>
    <w:rsid w:val="00D20B4D"/>
    <w:rsid w:val="00D20FC8"/>
    <w:rsid w:val="00D21DBC"/>
    <w:rsid w:val="00D221CB"/>
    <w:rsid w:val="00D2244F"/>
    <w:rsid w:val="00D23242"/>
    <w:rsid w:val="00D26A37"/>
    <w:rsid w:val="00D272AA"/>
    <w:rsid w:val="00D319E3"/>
    <w:rsid w:val="00D323A7"/>
    <w:rsid w:val="00D32CD2"/>
    <w:rsid w:val="00D330C0"/>
    <w:rsid w:val="00D348C5"/>
    <w:rsid w:val="00D35481"/>
    <w:rsid w:val="00D4323A"/>
    <w:rsid w:val="00D44A51"/>
    <w:rsid w:val="00D44E7F"/>
    <w:rsid w:val="00D45AB6"/>
    <w:rsid w:val="00D469CF"/>
    <w:rsid w:val="00D5191E"/>
    <w:rsid w:val="00D527B0"/>
    <w:rsid w:val="00D5576D"/>
    <w:rsid w:val="00D622E7"/>
    <w:rsid w:val="00D62385"/>
    <w:rsid w:val="00D63395"/>
    <w:rsid w:val="00D633B3"/>
    <w:rsid w:val="00D63802"/>
    <w:rsid w:val="00D6551E"/>
    <w:rsid w:val="00D65E74"/>
    <w:rsid w:val="00D67FA6"/>
    <w:rsid w:val="00D768C5"/>
    <w:rsid w:val="00D76921"/>
    <w:rsid w:val="00D77151"/>
    <w:rsid w:val="00D8325E"/>
    <w:rsid w:val="00D83925"/>
    <w:rsid w:val="00D83B97"/>
    <w:rsid w:val="00D84473"/>
    <w:rsid w:val="00D84D27"/>
    <w:rsid w:val="00D857FB"/>
    <w:rsid w:val="00D85984"/>
    <w:rsid w:val="00D90290"/>
    <w:rsid w:val="00D90EAC"/>
    <w:rsid w:val="00D916FC"/>
    <w:rsid w:val="00D948DC"/>
    <w:rsid w:val="00D9637F"/>
    <w:rsid w:val="00D96D3B"/>
    <w:rsid w:val="00D971A8"/>
    <w:rsid w:val="00D97991"/>
    <w:rsid w:val="00DA0878"/>
    <w:rsid w:val="00DA12A7"/>
    <w:rsid w:val="00DA4D9E"/>
    <w:rsid w:val="00DA7010"/>
    <w:rsid w:val="00DA7777"/>
    <w:rsid w:val="00DB435B"/>
    <w:rsid w:val="00DB4CD9"/>
    <w:rsid w:val="00DC2F32"/>
    <w:rsid w:val="00DC2F67"/>
    <w:rsid w:val="00DC3230"/>
    <w:rsid w:val="00DC382C"/>
    <w:rsid w:val="00DC594D"/>
    <w:rsid w:val="00DD01F5"/>
    <w:rsid w:val="00DD26EE"/>
    <w:rsid w:val="00DD63E5"/>
    <w:rsid w:val="00DE1017"/>
    <w:rsid w:val="00DE150D"/>
    <w:rsid w:val="00DE1CA0"/>
    <w:rsid w:val="00DE2463"/>
    <w:rsid w:val="00DE7115"/>
    <w:rsid w:val="00DF14BB"/>
    <w:rsid w:val="00DF3A8F"/>
    <w:rsid w:val="00DF48C4"/>
    <w:rsid w:val="00DF5AFC"/>
    <w:rsid w:val="00E0160B"/>
    <w:rsid w:val="00E04822"/>
    <w:rsid w:val="00E04839"/>
    <w:rsid w:val="00E05D39"/>
    <w:rsid w:val="00E05E5C"/>
    <w:rsid w:val="00E06559"/>
    <w:rsid w:val="00E0702A"/>
    <w:rsid w:val="00E12C57"/>
    <w:rsid w:val="00E13759"/>
    <w:rsid w:val="00E15688"/>
    <w:rsid w:val="00E16FE2"/>
    <w:rsid w:val="00E201D3"/>
    <w:rsid w:val="00E2225F"/>
    <w:rsid w:val="00E248D3"/>
    <w:rsid w:val="00E30A78"/>
    <w:rsid w:val="00E3146C"/>
    <w:rsid w:val="00E32517"/>
    <w:rsid w:val="00E336E3"/>
    <w:rsid w:val="00E341D3"/>
    <w:rsid w:val="00E363BE"/>
    <w:rsid w:val="00E3691A"/>
    <w:rsid w:val="00E36E04"/>
    <w:rsid w:val="00E371FE"/>
    <w:rsid w:val="00E375AB"/>
    <w:rsid w:val="00E40880"/>
    <w:rsid w:val="00E40A96"/>
    <w:rsid w:val="00E40C7A"/>
    <w:rsid w:val="00E41409"/>
    <w:rsid w:val="00E4186D"/>
    <w:rsid w:val="00E4187F"/>
    <w:rsid w:val="00E419CA"/>
    <w:rsid w:val="00E42B36"/>
    <w:rsid w:val="00E4505F"/>
    <w:rsid w:val="00E45206"/>
    <w:rsid w:val="00E46AD2"/>
    <w:rsid w:val="00E46BF4"/>
    <w:rsid w:val="00E55A44"/>
    <w:rsid w:val="00E55A55"/>
    <w:rsid w:val="00E607EB"/>
    <w:rsid w:val="00E60A9C"/>
    <w:rsid w:val="00E60D72"/>
    <w:rsid w:val="00E62D7A"/>
    <w:rsid w:val="00E6446A"/>
    <w:rsid w:val="00E67904"/>
    <w:rsid w:val="00E71AA7"/>
    <w:rsid w:val="00E73792"/>
    <w:rsid w:val="00E74728"/>
    <w:rsid w:val="00E763DB"/>
    <w:rsid w:val="00E8436E"/>
    <w:rsid w:val="00E84814"/>
    <w:rsid w:val="00E861B0"/>
    <w:rsid w:val="00E93065"/>
    <w:rsid w:val="00E9588A"/>
    <w:rsid w:val="00E9714D"/>
    <w:rsid w:val="00E97B06"/>
    <w:rsid w:val="00EA03D3"/>
    <w:rsid w:val="00EA132F"/>
    <w:rsid w:val="00EA1956"/>
    <w:rsid w:val="00EA24DD"/>
    <w:rsid w:val="00EA2C81"/>
    <w:rsid w:val="00EA339D"/>
    <w:rsid w:val="00EA6C88"/>
    <w:rsid w:val="00EA7660"/>
    <w:rsid w:val="00EB0FE9"/>
    <w:rsid w:val="00EB2A7E"/>
    <w:rsid w:val="00EB3203"/>
    <w:rsid w:val="00EB6EA5"/>
    <w:rsid w:val="00EC13BB"/>
    <w:rsid w:val="00EC2737"/>
    <w:rsid w:val="00EC2852"/>
    <w:rsid w:val="00EC29EB"/>
    <w:rsid w:val="00EC41C0"/>
    <w:rsid w:val="00EC4CBB"/>
    <w:rsid w:val="00EC56B4"/>
    <w:rsid w:val="00EC6AC4"/>
    <w:rsid w:val="00EC709C"/>
    <w:rsid w:val="00ED0751"/>
    <w:rsid w:val="00ED1213"/>
    <w:rsid w:val="00ED3A63"/>
    <w:rsid w:val="00ED4D3F"/>
    <w:rsid w:val="00ED4D40"/>
    <w:rsid w:val="00ED53F4"/>
    <w:rsid w:val="00ED6C85"/>
    <w:rsid w:val="00EE24E8"/>
    <w:rsid w:val="00EE3D93"/>
    <w:rsid w:val="00EE5505"/>
    <w:rsid w:val="00EE75F1"/>
    <w:rsid w:val="00EE77A0"/>
    <w:rsid w:val="00EF13A0"/>
    <w:rsid w:val="00EF2A02"/>
    <w:rsid w:val="00EF4430"/>
    <w:rsid w:val="00EF493A"/>
    <w:rsid w:val="00EF55A3"/>
    <w:rsid w:val="00EF6032"/>
    <w:rsid w:val="00EF69BC"/>
    <w:rsid w:val="00EF74F5"/>
    <w:rsid w:val="00F01986"/>
    <w:rsid w:val="00F03861"/>
    <w:rsid w:val="00F06249"/>
    <w:rsid w:val="00F0735D"/>
    <w:rsid w:val="00F0778F"/>
    <w:rsid w:val="00F07A0E"/>
    <w:rsid w:val="00F1082B"/>
    <w:rsid w:val="00F13615"/>
    <w:rsid w:val="00F15AD3"/>
    <w:rsid w:val="00F20887"/>
    <w:rsid w:val="00F211EF"/>
    <w:rsid w:val="00F218F4"/>
    <w:rsid w:val="00F22CF8"/>
    <w:rsid w:val="00F231C8"/>
    <w:rsid w:val="00F2342C"/>
    <w:rsid w:val="00F23DCB"/>
    <w:rsid w:val="00F315B3"/>
    <w:rsid w:val="00F31B96"/>
    <w:rsid w:val="00F33814"/>
    <w:rsid w:val="00F3418C"/>
    <w:rsid w:val="00F35CFB"/>
    <w:rsid w:val="00F431B9"/>
    <w:rsid w:val="00F43854"/>
    <w:rsid w:val="00F46960"/>
    <w:rsid w:val="00F502CC"/>
    <w:rsid w:val="00F51F3D"/>
    <w:rsid w:val="00F52090"/>
    <w:rsid w:val="00F53C6E"/>
    <w:rsid w:val="00F54F4F"/>
    <w:rsid w:val="00F56497"/>
    <w:rsid w:val="00F60DD2"/>
    <w:rsid w:val="00F6693A"/>
    <w:rsid w:val="00F705B3"/>
    <w:rsid w:val="00F70A08"/>
    <w:rsid w:val="00F71BDF"/>
    <w:rsid w:val="00F76363"/>
    <w:rsid w:val="00F84530"/>
    <w:rsid w:val="00F84A45"/>
    <w:rsid w:val="00F85952"/>
    <w:rsid w:val="00F868BA"/>
    <w:rsid w:val="00F8705D"/>
    <w:rsid w:val="00F87746"/>
    <w:rsid w:val="00F90DEB"/>
    <w:rsid w:val="00F90E17"/>
    <w:rsid w:val="00F91570"/>
    <w:rsid w:val="00F9545B"/>
    <w:rsid w:val="00F975BE"/>
    <w:rsid w:val="00F9777F"/>
    <w:rsid w:val="00FA1134"/>
    <w:rsid w:val="00FA2236"/>
    <w:rsid w:val="00FA26E7"/>
    <w:rsid w:val="00FA3921"/>
    <w:rsid w:val="00FA6117"/>
    <w:rsid w:val="00FB15D6"/>
    <w:rsid w:val="00FB18E9"/>
    <w:rsid w:val="00FB1BE4"/>
    <w:rsid w:val="00FB1D96"/>
    <w:rsid w:val="00FB1FE6"/>
    <w:rsid w:val="00FB2F99"/>
    <w:rsid w:val="00FB2F9B"/>
    <w:rsid w:val="00FB39A4"/>
    <w:rsid w:val="00FB3B0C"/>
    <w:rsid w:val="00FB3CD4"/>
    <w:rsid w:val="00FB62F5"/>
    <w:rsid w:val="00FB6923"/>
    <w:rsid w:val="00FC02BF"/>
    <w:rsid w:val="00FC0D5E"/>
    <w:rsid w:val="00FC4283"/>
    <w:rsid w:val="00FC43A0"/>
    <w:rsid w:val="00FC4FE9"/>
    <w:rsid w:val="00FC61EA"/>
    <w:rsid w:val="00FD297E"/>
    <w:rsid w:val="00FD44CC"/>
    <w:rsid w:val="00FD44F4"/>
    <w:rsid w:val="00FD510C"/>
    <w:rsid w:val="00FD6D9B"/>
    <w:rsid w:val="00FD7E68"/>
    <w:rsid w:val="00FE1578"/>
    <w:rsid w:val="00FE16A6"/>
    <w:rsid w:val="00FE1F5B"/>
    <w:rsid w:val="00FE5A52"/>
    <w:rsid w:val="00FE753E"/>
    <w:rsid w:val="00FE7B94"/>
    <w:rsid w:val="00FF047F"/>
    <w:rsid w:val="00FF15C2"/>
    <w:rsid w:val="00FF5561"/>
    <w:rsid w:val="01026155"/>
    <w:rsid w:val="01037591"/>
    <w:rsid w:val="01066A48"/>
    <w:rsid w:val="01073FE4"/>
    <w:rsid w:val="0108465F"/>
    <w:rsid w:val="010A3C11"/>
    <w:rsid w:val="010B22B0"/>
    <w:rsid w:val="010D427B"/>
    <w:rsid w:val="010D7DD7"/>
    <w:rsid w:val="010F1DA1"/>
    <w:rsid w:val="010F3B4F"/>
    <w:rsid w:val="01110220"/>
    <w:rsid w:val="011164C1"/>
    <w:rsid w:val="011224B3"/>
    <w:rsid w:val="01154EDD"/>
    <w:rsid w:val="01172A03"/>
    <w:rsid w:val="01186239"/>
    <w:rsid w:val="011A24F4"/>
    <w:rsid w:val="011C0A03"/>
    <w:rsid w:val="011D4A64"/>
    <w:rsid w:val="011E0236"/>
    <w:rsid w:val="01233FB5"/>
    <w:rsid w:val="01236662"/>
    <w:rsid w:val="01244937"/>
    <w:rsid w:val="01255120"/>
    <w:rsid w:val="0127533C"/>
    <w:rsid w:val="012A2707"/>
    <w:rsid w:val="012A3FF6"/>
    <w:rsid w:val="012A4E2C"/>
    <w:rsid w:val="012A6BDB"/>
    <w:rsid w:val="012D7448"/>
    <w:rsid w:val="012F41F1"/>
    <w:rsid w:val="01336B85"/>
    <w:rsid w:val="013435B5"/>
    <w:rsid w:val="013730A5"/>
    <w:rsid w:val="013C246A"/>
    <w:rsid w:val="013F078F"/>
    <w:rsid w:val="01401F5A"/>
    <w:rsid w:val="01417A3A"/>
    <w:rsid w:val="01423F24"/>
    <w:rsid w:val="01431A4A"/>
    <w:rsid w:val="01437C9C"/>
    <w:rsid w:val="01445665"/>
    <w:rsid w:val="0147539A"/>
    <w:rsid w:val="014C6B51"/>
    <w:rsid w:val="014D0B1B"/>
    <w:rsid w:val="014F6641"/>
    <w:rsid w:val="014F74C3"/>
    <w:rsid w:val="01510DA4"/>
    <w:rsid w:val="01521B58"/>
    <w:rsid w:val="0153724B"/>
    <w:rsid w:val="01541EA9"/>
    <w:rsid w:val="0156352C"/>
    <w:rsid w:val="015974C0"/>
    <w:rsid w:val="015C0226"/>
    <w:rsid w:val="015C3258"/>
    <w:rsid w:val="015D1AA1"/>
    <w:rsid w:val="016519C1"/>
    <w:rsid w:val="016814B1"/>
    <w:rsid w:val="016C2D4F"/>
    <w:rsid w:val="016D4D19"/>
    <w:rsid w:val="016E3B36"/>
    <w:rsid w:val="016E583E"/>
    <w:rsid w:val="016F593D"/>
    <w:rsid w:val="01703B2F"/>
    <w:rsid w:val="01761E20"/>
    <w:rsid w:val="01763BCE"/>
    <w:rsid w:val="017716F4"/>
    <w:rsid w:val="017815E6"/>
    <w:rsid w:val="01785B98"/>
    <w:rsid w:val="017A0E14"/>
    <w:rsid w:val="017B2F92"/>
    <w:rsid w:val="017D31AE"/>
    <w:rsid w:val="01804A4C"/>
    <w:rsid w:val="01883901"/>
    <w:rsid w:val="018856AF"/>
    <w:rsid w:val="018B1C01"/>
    <w:rsid w:val="018D4A98"/>
    <w:rsid w:val="018E101A"/>
    <w:rsid w:val="018F6A3E"/>
    <w:rsid w:val="0191060D"/>
    <w:rsid w:val="01916C5A"/>
    <w:rsid w:val="019422A6"/>
    <w:rsid w:val="019C5B72"/>
    <w:rsid w:val="01A050EF"/>
    <w:rsid w:val="01A06D45"/>
    <w:rsid w:val="01A06E9D"/>
    <w:rsid w:val="01A249C3"/>
    <w:rsid w:val="01A26771"/>
    <w:rsid w:val="01A3073B"/>
    <w:rsid w:val="01A71FD9"/>
    <w:rsid w:val="01AA498B"/>
    <w:rsid w:val="01AA5738"/>
    <w:rsid w:val="01AF5332"/>
    <w:rsid w:val="01B446F6"/>
    <w:rsid w:val="01B841E6"/>
    <w:rsid w:val="01BB2C92"/>
    <w:rsid w:val="01BB7833"/>
    <w:rsid w:val="01BB7D42"/>
    <w:rsid w:val="01BC366C"/>
    <w:rsid w:val="01BD7A4F"/>
    <w:rsid w:val="01C0753F"/>
    <w:rsid w:val="01C40DDD"/>
    <w:rsid w:val="01C62C13"/>
    <w:rsid w:val="01C9417B"/>
    <w:rsid w:val="01CA0CB2"/>
    <w:rsid w:val="01CF7782"/>
    <w:rsid w:val="01D222BB"/>
    <w:rsid w:val="01D54643"/>
    <w:rsid w:val="01D6466C"/>
    <w:rsid w:val="01DA16D0"/>
    <w:rsid w:val="01DA7527"/>
    <w:rsid w:val="01DB1C83"/>
    <w:rsid w:val="01DD59FB"/>
    <w:rsid w:val="01E1703D"/>
    <w:rsid w:val="01E4674A"/>
    <w:rsid w:val="01E62A26"/>
    <w:rsid w:val="01EB6738"/>
    <w:rsid w:val="01EC680E"/>
    <w:rsid w:val="01EE1701"/>
    <w:rsid w:val="01EE5E5A"/>
    <w:rsid w:val="01EE7C08"/>
    <w:rsid w:val="01F10D3F"/>
    <w:rsid w:val="01F12967"/>
    <w:rsid w:val="01F26C9E"/>
    <w:rsid w:val="01F30330"/>
    <w:rsid w:val="01F33470"/>
    <w:rsid w:val="01F34CE5"/>
    <w:rsid w:val="01F562D5"/>
    <w:rsid w:val="01F64D0F"/>
    <w:rsid w:val="01F8011C"/>
    <w:rsid w:val="01F82835"/>
    <w:rsid w:val="01FA65AD"/>
    <w:rsid w:val="01FC2DC5"/>
    <w:rsid w:val="01FF4D18"/>
    <w:rsid w:val="01FF4EDD"/>
    <w:rsid w:val="0201354E"/>
    <w:rsid w:val="020236B3"/>
    <w:rsid w:val="020242B9"/>
    <w:rsid w:val="020403A9"/>
    <w:rsid w:val="020624C0"/>
    <w:rsid w:val="02076F1C"/>
    <w:rsid w:val="020B07BA"/>
    <w:rsid w:val="020B6A0C"/>
    <w:rsid w:val="0212133D"/>
    <w:rsid w:val="021458C6"/>
    <w:rsid w:val="021763A5"/>
    <w:rsid w:val="02181129"/>
    <w:rsid w:val="021B3A9F"/>
    <w:rsid w:val="021D229B"/>
    <w:rsid w:val="021F7DC1"/>
    <w:rsid w:val="02201D8C"/>
    <w:rsid w:val="02203B3A"/>
    <w:rsid w:val="022111B0"/>
    <w:rsid w:val="022B2C0A"/>
    <w:rsid w:val="022C4D44"/>
    <w:rsid w:val="02305889"/>
    <w:rsid w:val="023147CF"/>
    <w:rsid w:val="023327B6"/>
    <w:rsid w:val="023F4C0B"/>
    <w:rsid w:val="023F7AC3"/>
    <w:rsid w:val="02423373"/>
    <w:rsid w:val="02441F1E"/>
    <w:rsid w:val="02446160"/>
    <w:rsid w:val="024737BC"/>
    <w:rsid w:val="02497AEA"/>
    <w:rsid w:val="024C0DD3"/>
    <w:rsid w:val="024E73C1"/>
    <w:rsid w:val="02510197"/>
    <w:rsid w:val="02517D10"/>
    <w:rsid w:val="02580FFA"/>
    <w:rsid w:val="025857DA"/>
    <w:rsid w:val="025D4D8E"/>
    <w:rsid w:val="026305F6"/>
    <w:rsid w:val="02647ECA"/>
    <w:rsid w:val="02654E0F"/>
    <w:rsid w:val="02671768"/>
    <w:rsid w:val="02672D95"/>
    <w:rsid w:val="026925B9"/>
    <w:rsid w:val="026A02B6"/>
    <w:rsid w:val="026E0D49"/>
    <w:rsid w:val="0270061D"/>
    <w:rsid w:val="0273010D"/>
    <w:rsid w:val="02750329"/>
    <w:rsid w:val="0275631F"/>
    <w:rsid w:val="02785724"/>
    <w:rsid w:val="027A76EE"/>
    <w:rsid w:val="027C0D50"/>
    <w:rsid w:val="027C3466"/>
    <w:rsid w:val="027D2D3A"/>
    <w:rsid w:val="027E1C8A"/>
    <w:rsid w:val="027E4FEB"/>
    <w:rsid w:val="027F4D04"/>
    <w:rsid w:val="02817D96"/>
    <w:rsid w:val="02820350"/>
    <w:rsid w:val="028265A2"/>
    <w:rsid w:val="02826E3F"/>
    <w:rsid w:val="028574C3"/>
    <w:rsid w:val="02873BB9"/>
    <w:rsid w:val="02881E0B"/>
    <w:rsid w:val="028A47BB"/>
    <w:rsid w:val="028B5457"/>
    <w:rsid w:val="028E4F47"/>
    <w:rsid w:val="02907ECF"/>
    <w:rsid w:val="02914177"/>
    <w:rsid w:val="029307AF"/>
    <w:rsid w:val="02940D48"/>
    <w:rsid w:val="02994018"/>
    <w:rsid w:val="029A63A6"/>
    <w:rsid w:val="029A7D90"/>
    <w:rsid w:val="029C1412"/>
    <w:rsid w:val="029E2267"/>
    <w:rsid w:val="029F10A4"/>
    <w:rsid w:val="02A1111E"/>
    <w:rsid w:val="02A209F3"/>
    <w:rsid w:val="02A4476B"/>
    <w:rsid w:val="02A46519"/>
    <w:rsid w:val="02A97FA7"/>
    <w:rsid w:val="02AA53EC"/>
    <w:rsid w:val="02AC34C4"/>
    <w:rsid w:val="02AF107E"/>
    <w:rsid w:val="02AF383B"/>
    <w:rsid w:val="02B20C36"/>
    <w:rsid w:val="02B50726"/>
    <w:rsid w:val="02B80DE2"/>
    <w:rsid w:val="02BC7D06"/>
    <w:rsid w:val="02BD75DA"/>
    <w:rsid w:val="02BF06DE"/>
    <w:rsid w:val="02C40969"/>
    <w:rsid w:val="02C866AB"/>
    <w:rsid w:val="02C941D1"/>
    <w:rsid w:val="02C9441A"/>
    <w:rsid w:val="02CC2CA4"/>
    <w:rsid w:val="02CD2E68"/>
    <w:rsid w:val="02CE17E8"/>
    <w:rsid w:val="02D0730E"/>
    <w:rsid w:val="02D7069C"/>
    <w:rsid w:val="02D74B40"/>
    <w:rsid w:val="02D768EE"/>
    <w:rsid w:val="02D84414"/>
    <w:rsid w:val="02D908B8"/>
    <w:rsid w:val="02DA66D9"/>
    <w:rsid w:val="02DD1A68"/>
    <w:rsid w:val="02DF57A3"/>
    <w:rsid w:val="02E056E5"/>
    <w:rsid w:val="02E24B61"/>
    <w:rsid w:val="02E26B72"/>
    <w:rsid w:val="02E308F8"/>
    <w:rsid w:val="02E42DB9"/>
    <w:rsid w:val="02E5725D"/>
    <w:rsid w:val="02E828A9"/>
    <w:rsid w:val="02EA7AB7"/>
    <w:rsid w:val="02EB774C"/>
    <w:rsid w:val="02EE29ED"/>
    <w:rsid w:val="02EE59E6"/>
    <w:rsid w:val="02F2197A"/>
    <w:rsid w:val="02F23728"/>
    <w:rsid w:val="02FB2749"/>
    <w:rsid w:val="02FB7A58"/>
    <w:rsid w:val="02FF7CC0"/>
    <w:rsid w:val="030342BE"/>
    <w:rsid w:val="030376E3"/>
    <w:rsid w:val="030401BB"/>
    <w:rsid w:val="030614DE"/>
    <w:rsid w:val="0306659A"/>
    <w:rsid w:val="03084CFA"/>
    <w:rsid w:val="030D2310"/>
    <w:rsid w:val="030E3B75"/>
    <w:rsid w:val="03103B27"/>
    <w:rsid w:val="03157404"/>
    <w:rsid w:val="03157E45"/>
    <w:rsid w:val="03194B7A"/>
    <w:rsid w:val="03195159"/>
    <w:rsid w:val="031A07BC"/>
    <w:rsid w:val="031C07A5"/>
    <w:rsid w:val="031D7743"/>
    <w:rsid w:val="031E276F"/>
    <w:rsid w:val="03200295"/>
    <w:rsid w:val="03231B33"/>
    <w:rsid w:val="03253AFD"/>
    <w:rsid w:val="032558AB"/>
    <w:rsid w:val="032633D2"/>
    <w:rsid w:val="032636FF"/>
    <w:rsid w:val="0328539C"/>
    <w:rsid w:val="032A1114"/>
    <w:rsid w:val="032A3D5D"/>
    <w:rsid w:val="032D29B2"/>
    <w:rsid w:val="032F46D3"/>
    <w:rsid w:val="032F672A"/>
    <w:rsid w:val="03367AB9"/>
    <w:rsid w:val="033834D4"/>
    <w:rsid w:val="033B50CF"/>
    <w:rsid w:val="033B58DE"/>
    <w:rsid w:val="033E16C3"/>
    <w:rsid w:val="03404493"/>
    <w:rsid w:val="03443858"/>
    <w:rsid w:val="0345496C"/>
    <w:rsid w:val="03457CFC"/>
    <w:rsid w:val="034A3F1B"/>
    <w:rsid w:val="034C108A"/>
    <w:rsid w:val="034C72DC"/>
    <w:rsid w:val="034E28C3"/>
    <w:rsid w:val="03515129"/>
    <w:rsid w:val="035171B9"/>
    <w:rsid w:val="03595555"/>
    <w:rsid w:val="035A11C2"/>
    <w:rsid w:val="035C4890"/>
    <w:rsid w:val="035E3634"/>
    <w:rsid w:val="03600692"/>
    <w:rsid w:val="03600D18"/>
    <w:rsid w:val="03600D99"/>
    <w:rsid w:val="0361265C"/>
    <w:rsid w:val="0365214C"/>
    <w:rsid w:val="03655CA8"/>
    <w:rsid w:val="0367198B"/>
    <w:rsid w:val="036B4AE3"/>
    <w:rsid w:val="036D1000"/>
    <w:rsid w:val="03720321"/>
    <w:rsid w:val="03724869"/>
    <w:rsid w:val="03771E7F"/>
    <w:rsid w:val="03775E15"/>
    <w:rsid w:val="03791753"/>
    <w:rsid w:val="037B0283"/>
    <w:rsid w:val="037B54CB"/>
    <w:rsid w:val="037B7D63"/>
    <w:rsid w:val="037C672A"/>
    <w:rsid w:val="037E4FBC"/>
    <w:rsid w:val="0381685A"/>
    <w:rsid w:val="038275BB"/>
    <w:rsid w:val="03846C33"/>
    <w:rsid w:val="03855EB5"/>
    <w:rsid w:val="03870789"/>
    <w:rsid w:val="0388408C"/>
    <w:rsid w:val="03885E3A"/>
    <w:rsid w:val="03887BE8"/>
    <w:rsid w:val="038A3D52"/>
    <w:rsid w:val="038C76D9"/>
    <w:rsid w:val="038D75F5"/>
    <w:rsid w:val="038F541B"/>
    <w:rsid w:val="03925D37"/>
    <w:rsid w:val="039447DF"/>
    <w:rsid w:val="039558ED"/>
    <w:rsid w:val="039667A9"/>
    <w:rsid w:val="039E11BA"/>
    <w:rsid w:val="03A03184"/>
    <w:rsid w:val="03A10C87"/>
    <w:rsid w:val="03A60E92"/>
    <w:rsid w:val="03A753D5"/>
    <w:rsid w:val="03AC38D7"/>
    <w:rsid w:val="03AC52B5"/>
    <w:rsid w:val="03AE34A5"/>
    <w:rsid w:val="03B36DFE"/>
    <w:rsid w:val="03B5742C"/>
    <w:rsid w:val="03B629A7"/>
    <w:rsid w:val="03B84C51"/>
    <w:rsid w:val="03BC5198"/>
    <w:rsid w:val="03BD3B21"/>
    <w:rsid w:val="03BE185C"/>
    <w:rsid w:val="03BE2679"/>
    <w:rsid w:val="03C03826"/>
    <w:rsid w:val="03C30C20"/>
    <w:rsid w:val="03C339E9"/>
    <w:rsid w:val="03C33A72"/>
    <w:rsid w:val="03C350C4"/>
    <w:rsid w:val="03C417F2"/>
    <w:rsid w:val="03CB41EA"/>
    <w:rsid w:val="03D25B2B"/>
    <w:rsid w:val="03D34A61"/>
    <w:rsid w:val="03D37B8D"/>
    <w:rsid w:val="03D71F0F"/>
    <w:rsid w:val="03E272F9"/>
    <w:rsid w:val="03E868D9"/>
    <w:rsid w:val="03EA1ECC"/>
    <w:rsid w:val="03EA3B15"/>
    <w:rsid w:val="03EB382D"/>
    <w:rsid w:val="03EC0177"/>
    <w:rsid w:val="03ED2BAC"/>
    <w:rsid w:val="03ED6CBD"/>
    <w:rsid w:val="03EF1A15"/>
    <w:rsid w:val="03EF5EB9"/>
    <w:rsid w:val="03F31E31"/>
    <w:rsid w:val="03F424FF"/>
    <w:rsid w:val="03F46082"/>
    <w:rsid w:val="03F4702C"/>
    <w:rsid w:val="03F50C28"/>
    <w:rsid w:val="03F55ADA"/>
    <w:rsid w:val="03FB03BA"/>
    <w:rsid w:val="03FB4891"/>
    <w:rsid w:val="03FD05D6"/>
    <w:rsid w:val="03FE341B"/>
    <w:rsid w:val="04010721"/>
    <w:rsid w:val="04025BED"/>
    <w:rsid w:val="04041965"/>
    <w:rsid w:val="04073203"/>
    <w:rsid w:val="0407719B"/>
    <w:rsid w:val="040C2E11"/>
    <w:rsid w:val="040D00EE"/>
    <w:rsid w:val="040D1A80"/>
    <w:rsid w:val="040F20B8"/>
    <w:rsid w:val="04133216"/>
    <w:rsid w:val="041476CE"/>
    <w:rsid w:val="041656DE"/>
    <w:rsid w:val="04171F2E"/>
    <w:rsid w:val="041C2AF6"/>
    <w:rsid w:val="041C3CA0"/>
    <w:rsid w:val="041D7E34"/>
    <w:rsid w:val="041E001C"/>
    <w:rsid w:val="041E22FB"/>
    <w:rsid w:val="04227316"/>
    <w:rsid w:val="04293179"/>
    <w:rsid w:val="042961F2"/>
    <w:rsid w:val="042A6EF2"/>
    <w:rsid w:val="043145C7"/>
    <w:rsid w:val="043164D2"/>
    <w:rsid w:val="04333FF8"/>
    <w:rsid w:val="043549B3"/>
    <w:rsid w:val="04357D70"/>
    <w:rsid w:val="04366AF4"/>
    <w:rsid w:val="04390A47"/>
    <w:rsid w:val="0442423B"/>
    <w:rsid w:val="04451A62"/>
    <w:rsid w:val="0446094A"/>
    <w:rsid w:val="04473600"/>
    <w:rsid w:val="044C6E68"/>
    <w:rsid w:val="04510922"/>
    <w:rsid w:val="04531FA4"/>
    <w:rsid w:val="04536448"/>
    <w:rsid w:val="045521C0"/>
    <w:rsid w:val="04571418"/>
    <w:rsid w:val="045A77D7"/>
    <w:rsid w:val="045B1517"/>
    <w:rsid w:val="045F303F"/>
    <w:rsid w:val="04602EFC"/>
    <w:rsid w:val="046248DD"/>
    <w:rsid w:val="04644481"/>
    <w:rsid w:val="04644636"/>
    <w:rsid w:val="04644B57"/>
    <w:rsid w:val="04651CD8"/>
    <w:rsid w:val="0466398A"/>
    <w:rsid w:val="04675A50"/>
    <w:rsid w:val="046B19E4"/>
    <w:rsid w:val="046B3792"/>
    <w:rsid w:val="046C12B8"/>
    <w:rsid w:val="046E6DDE"/>
    <w:rsid w:val="047010F6"/>
    <w:rsid w:val="047168CE"/>
    <w:rsid w:val="04730898"/>
    <w:rsid w:val="047563BF"/>
    <w:rsid w:val="04763EE5"/>
    <w:rsid w:val="04787DF0"/>
    <w:rsid w:val="047906BB"/>
    <w:rsid w:val="0479335F"/>
    <w:rsid w:val="047A16D5"/>
    <w:rsid w:val="047C599F"/>
    <w:rsid w:val="047D1717"/>
    <w:rsid w:val="047D1CE0"/>
    <w:rsid w:val="047D7880"/>
    <w:rsid w:val="047E21C8"/>
    <w:rsid w:val="047E7CC5"/>
    <w:rsid w:val="04846602"/>
    <w:rsid w:val="04853043"/>
    <w:rsid w:val="048603F5"/>
    <w:rsid w:val="04881CDA"/>
    <w:rsid w:val="048E509B"/>
    <w:rsid w:val="0490144A"/>
    <w:rsid w:val="049031F8"/>
    <w:rsid w:val="0490334F"/>
    <w:rsid w:val="049038AD"/>
    <w:rsid w:val="04912D27"/>
    <w:rsid w:val="04926CEC"/>
    <w:rsid w:val="049735E6"/>
    <w:rsid w:val="049802FF"/>
    <w:rsid w:val="04996AB2"/>
    <w:rsid w:val="049C5F77"/>
    <w:rsid w:val="049E3BEA"/>
    <w:rsid w:val="049E532B"/>
    <w:rsid w:val="04A14B9C"/>
    <w:rsid w:val="04A2513C"/>
    <w:rsid w:val="04A503C2"/>
    <w:rsid w:val="04A524A5"/>
    <w:rsid w:val="04A566ED"/>
    <w:rsid w:val="04A62A1C"/>
    <w:rsid w:val="04AA38CE"/>
    <w:rsid w:val="04AB1614"/>
    <w:rsid w:val="04AB70F7"/>
    <w:rsid w:val="04AC0DBF"/>
    <w:rsid w:val="04AC10F3"/>
    <w:rsid w:val="04AE64BD"/>
    <w:rsid w:val="04B32967"/>
    <w:rsid w:val="04B844FD"/>
    <w:rsid w:val="04BB2B23"/>
    <w:rsid w:val="04BD1688"/>
    <w:rsid w:val="04BE0603"/>
    <w:rsid w:val="04BF57BC"/>
    <w:rsid w:val="04C258B7"/>
    <w:rsid w:val="04C32FE5"/>
    <w:rsid w:val="04C35BB6"/>
    <w:rsid w:val="04C64E6C"/>
    <w:rsid w:val="04CA1777"/>
    <w:rsid w:val="04CB2483"/>
    <w:rsid w:val="04CB2C07"/>
    <w:rsid w:val="04CD61FB"/>
    <w:rsid w:val="04CD7216"/>
    <w:rsid w:val="04D035F5"/>
    <w:rsid w:val="04D8694E"/>
    <w:rsid w:val="04D90F62"/>
    <w:rsid w:val="04DA26C6"/>
    <w:rsid w:val="04DA7433"/>
    <w:rsid w:val="04DC01EC"/>
    <w:rsid w:val="04DC2E7E"/>
    <w:rsid w:val="04E13A54"/>
    <w:rsid w:val="04E15802"/>
    <w:rsid w:val="04E377CC"/>
    <w:rsid w:val="04E452F2"/>
    <w:rsid w:val="04E725E5"/>
    <w:rsid w:val="04E84DE3"/>
    <w:rsid w:val="04E946B7"/>
    <w:rsid w:val="04EB48D3"/>
    <w:rsid w:val="04ED23F9"/>
    <w:rsid w:val="04ED512E"/>
    <w:rsid w:val="04ED5ADE"/>
    <w:rsid w:val="04F061E7"/>
    <w:rsid w:val="04F32274"/>
    <w:rsid w:val="04F74F41"/>
    <w:rsid w:val="04F95D82"/>
    <w:rsid w:val="04FE5A96"/>
    <w:rsid w:val="050140F6"/>
    <w:rsid w:val="05015EA4"/>
    <w:rsid w:val="050240E8"/>
    <w:rsid w:val="050339CA"/>
    <w:rsid w:val="05051ECB"/>
    <w:rsid w:val="050553B0"/>
    <w:rsid w:val="05056D9E"/>
    <w:rsid w:val="05085F79"/>
    <w:rsid w:val="05092FAB"/>
    <w:rsid w:val="050B1604"/>
    <w:rsid w:val="050F6813"/>
    <w:rsid w:val="05104339"/>
    <w:rsid w:val="05112581"/>
    <w:rsid w:val="05122449"/>
    <w:rsid w:val="051701F8"/>
    <w:rsid w:val="0518120E"/>
    <w:rsid w:val="0519082B"/>
    <w:rsid w:val="051C2760"/>
    <w:rsid w:val="051F2311"/>
    <w:rsid w:val="05222A18"/>
    <w:rsid w:val="05280D03"/>
    <w:rsid w:val="052C2D4C"/>
    <w:rsid w:val="052C3958"/>
    <w:rsid w:val="052E66A1"/>
    <w:rsid w:val="053022E6"/>
    <w:rsid w:val="0530348E"/>
    <w:rsid w:val="05362D36"/>
    <w:rsid w:val="05393890"/>
    <w:rsid w:val="053A4F12"/>
    <w:rsid w:val="053D7827"/>
    <w:rsid w:val="053E2C54"/>
    <w:rsid w:val="05412745"/>
    <w:rsid w:val="05432019"/>
    <w:rsid w:val="05446D9B"/>
    <w:rsid w:val="05467D5B"/>
    <w:rsid w:val="054C5DAB"/>
    <w:rsid w:val="054D733B"/>
    <w:rsid w:val="05516791"/>
    <w:rsid w:val="05527564"/>
    <w:rsid w:val="05540F4D"/>
    <w:rsid w:val="05551D4C"/>
    <w:rsid w:val="0556761A"/>
    <w:rsid w:val="05572330"/>
    <w:rsid w:val="05573C2E"/>
    <w:rsid w:val="055A4B17"/>
    <w:rsid w:val="055B3E3B"/>
    <w:rsid w:val="055F62E0"/>
    <w:rsid w:val="05610E93"/>
    <w:rsid w:val="05656433"/>
    <w:rsid w:val="056621AB"/>
    <w:rsid w:val="05676E89"/>
    <w:rsid w:val="056A1F45"/>
    <w:rsid w:val="056A3957"/>
    <w:rsid w:val="056A3A4A"/>
    <w:rsid w:val="056C15C2"/>
    <w:rsid w:val="056C5FA6"/>
    <w:rsid w:val="056D353A"/>
    <w:rsid w:val="056F44DC"/>
    <w:rsid w:val="05706B86"/>
    <w:rsid w:val="057074F8"/>
    <w:rsid w:val="05716C8F"/>
    <w:rsid w:val="05720B50"/>
    <w:rsid w:val="05751064"/>
    <w:rsid w:val="057523EE"/>
    <w:rsid w:val="05760640"/>
    <w:rsid w:val="057743B8"/>
    <w:rsid w:val="05783516"/>
    <w:rsid w:val="05790131"/>
    <w:rsid w:val="0580326D"/>
    <w:rsid w:val="05822C21"/>
    <w:rsid w:val="05851720"/>
    <w:rsid w:val="05876466"/>
    <w:rsid w:val="0588243D"/>
    <w:rsid w:val="058A057E"/>
    <w:rsid w:val="058B39C0"/>
    <w:rsid w:val="058B6D6F"/>
    <w:rsid w:val="058D14E6"/>
    <w:rsid w:val="0591547A"/>
    <w:rsid w:val="05924D4E"/>
    <w:rsid w:val="0593240E"/>
    <w:rsid w:val="059559C7"/>
    <w:rsid w:val="05997E8B"/>
    <w:rsid w:val="059B00A7"/>
    <w:rsid w:val="059D6B5E"/>
    <w:rsid w:val="05A01219"/>
    <w:rsid w:val="05A30D0A"/>
    <w:rsid w:val="05A30D9B"/>
    <w:rsid w:val="05A351AD"/>
    <w:rsid w:val="05A86320"/>
    <w:rsid w:val="05AB1BD6"/>
    <w:rsid w:val="05AE5D59"/>
    <w:rsid w:val="05B06327"/>
    <w:rsid w:val="05B13426"/>
    <w:rsid w:val="05B1372E"/>
    <w:rsid w:val="05B31A1F"/>
    <w:rsid w:val="05B44CC5"/>
    <w:rsid w:val="05B65B11"/>
    <w:rsid w:val="05B922DB"/>
    <w:rsid w:val="05BE5B43"/>
    <w:rsid w:val="05C06951"/>
    <w:rsid w:val="05C12F5C"/>
    <w:rsid w:val="05C15910"/>
    <w:rsid w:val="05C7533E"/>
    <w:rsid w:val="05C80770"/>
    <w:rsid w:val="05CA273A"/>
    <w:rsid w:val="05CA425E"/>
    <w:rsid w:val="05CD222A"/>
    <w:rsid w:val="05D11D1B"/>
    <w:rsid w:val="05D435B9"/>
    <w:rsid w:val="05D92A62"/>
    <w:rsid w:val="05D9472B"/>
    <w:rsid w:val="05DA6E27"/>
    <w:rsid w:val="05DB5EAC"/>
    <w:rsid w:val="05E11832"/>
    <w:rsid w:val="05E32442"/>
    <w:rsid w:val="05E530D0"/>
    <w:rsid w:val="05E64E6F"/>
    <w:rsid w:val="05E7509A"/>
    <w:rsid w:val="05E76E48"/>
    <w:rsid w:val="05E96551"/>
    <w:rsid w:val="05EC0902"/>
    <w:rsid w:val="05EC421F"/>
    <w:rsid w:val="05EC4B0F"/>
    <w:rsid w:val="05ED01D7"/>
    <w:rsid w:val="05ED0C57"/>
    <w:rsid w:val="05ED2D9C"/>
    <w:rsid w:val="05EF21A1"/>
    <w:rsid w:val="05F35E11"/>
    <w:rsid w:val="05F530BF"/>
    <w:rsid w:val="05F6197E"/>
    <w:rsid w:val="05F72E03"/>
    <w:rsid w:val="05F81055"/>
    <w:rsid w:val="05F9301F"/>
    <w:rsid w:val="05F94DCD"/>
    <w:rsid w:val="05FB6D97"/>
    <w:rsid w:val="05FD4278"/>
    <w:rsid w:val="05FE23E4"/>
    <w:rsid w:val="06007F0A"/>
    <w:rsid w:val="06022AF2"/>
    <w:rsid w:val="06023C82"/>
    <w:rsid w:val="06055520"/>
    <w:rsid w:val="06061473"/>
    <w:rsid w:val="06096508"/>
    <w:rsid w:val="060A6EE3"/>
    <w:rsid w:val="060D1576"/>
    <w:rsid w:val="060D78CC"/>
    <w:rsid w:val="060F6432"/>
    <w:rsid w:val="06110369"/>
    <w:rsid w:val="06113A92"/>
    <w:rsid w:val="06127C3D"/>
    <w:rsid w:val="06135E8F"/>
    <w:rsid w:val="06145C04"/>
    <w:rsid w:val="06151B1C"/>
    <w:rsid w:val="0616566E"/>
    <w:rsid w:val="061834A6"/>
    <w:rsid w:val="06191CA7"/>
    <w:rsid w:val="06191E33"/>
    <w:rsid w:val="06193F2D"/>
    <w:rsid w:val="061E4834"/>
    <w:rsid w:val="062067FE"/>
    <w:rsid w:val="0622458C"/>
    <w:rsid w:val="06253BBA"/>
    <w:rsid w:val="062736E9"/>
    <w:rsid w:val="062956B3"/>
    <w:rsid w:val="062A31D9"/>
    <w:rsid w:val="062C0CFF"/>
    <w:rsid w:val="062C318E"/>
    <w:rsid w:val="062E2CC9"/>
    <w:rsid w:val="062E5A35"/>
    <w:rsid w:val="062F0417"/>
    <w:rsid w:val="063148F2"/>
    <w:rsid w:val="063576A3"/>
    <w:rsid w:val="06361B7E"/>
    <w:rsid w:val="06390BF0"/>
    <w:rsid w:val="063B2989"/>
    <w:rsid w:val="063B3638"/>
    <w:rsid w:val="063D4BD2"/>
    <w:rsid w:val="063F4ED6"/>
    <w:rsid w:val="063F7CC0"/>
    <w:rsid w:val="06403946"/>
    <w:rsid w:val="06405223"/>
    <w:rsid w:val="064106E2"/>
    <w:rsid w:val="06426774"/>
    <w:rsid w:val="064424ED"/>
    <w:rsid w:val="06477394"/>
    <w:rsid w:val="06483DF7"/>
    <w:rsid w:val="064B4CFE"/>
    <w:rsid w:val="064D79F0"/>
    <w:rsid w:val="065467ED"/>
    <w:rsid w:val="06580047"/>
    <w:rsid w:val="0659586C"/>
    <w:rsid w:val="065A1D10"/>
    <w:rsid w:val="065B5A88"/>
    <w:rsid w:val="065D35AE"/>
    <w:rsid w:val="065F2287"/>
    <w:rsid w:val="065F7326"/>
    <w:rsid w:val="06620BC5"/>
    <w:rsid w:val="066606B5"/>
    <w:rsid w:val="06690468"/>
    <w:rsid w:val="066E1CEE"/>
    <w:rsid w:val="066E57BB"/>
    <w:rsid w:val="06712BB6"/>
    <w:rsid w:val="067327FF"/>
    <w:rsid w:val="06732DD2"/>
    <w:rsid w:val="06742B78"/>
    <w:rsid w:val="06744775"/>
    <w:rsid w:val="0677742C"/>
    <w:rsid w:val="0677779A"/>
    <w:rsid w:val="067A4160"/>
    <w:rsid w:val="067D77AC"/>
    <w:rsid w:val="06813805"/>
    <w:rsid w:val="06823015"/>
    <w:rsid w:val="068517DD"/>
    <w:rsid w:val="0685511C"/>
    <w:rsid w:val="068648B3"/>
    <w:rsid w:val="0687687D"/>
    <w:rsid w:val="068F128E"/>
    <w:rsid w:val="068F347F"/>
    <w:rsid w:val="06910EAC"/>
    <w:rsid w:val="06913258"/>
    <w:rsid w:val="06915006"/>
    <w:rsid w:val="06965E6A"/>
    <w:rsid w:val="069A035E"/>
    <w:rsid w:val="069C69C9"/>
    <w:rsid w:val="069C6A66"/>
    <w:rsid w:val="069D1BFD"/>
    <w:rsid w:val="06A50AB1"/>
    <w:rsid w:val="06A613AE"/>
    <w:rsid w:val="06A72A7B"/>
    <w:rsid w:val="06AB256C"/>
    <w:rsid w:val="06AC0092"/>
    <w:rsid w:val="06AE7966"/>
    <w:rsid w:val="06B1389B"/>
    <w:rsid w:val="06B14123"/>
    <w:rsid w:val="06B238FA"/>
    <w:rsid w:val="06B34F7C"/>
    <w:rsid w:val="06B4103F"/>
    <w:rsid w:val="06B8457A"/>
    <w:rsid w:val="06B86A37"/>
    <w:rsid w:val="06BA455D"/>
    <w:rsid w:val="06BA788C"/>
    <w:rsid w:val="06BC02D5"/>
    <w:rsid w:val="06C13B3D"/>
    <w:rsid w:val="06C23411"/>
    <w:rsid w:val="06C3105C"/>
    <w:rsid w:val="06C35109"/>
    <w:rsid w:val="06C4690C"/>
    <w:rsid w:val="06C74ECC"/>
    <w:rsid w:val="06CD24E2"/>
    <w:rsid w:val="06CE06C9"/>
    <w:rsid w:val="06CE625A"/>
    <w:rsid w:val="06D21E10"/>
    <w:rsid w:val="06D350E4"/>
    <w:rsid w:val="06D373CC"/>
    <w:rsid w:val="06D418A0"/>
    <w:rsid w:val="06D422BF"/>
    <w:rsid w:val="06D511C9"/>
    <w:rsid w:val="06D5614F"/>
    <w:rsid w:val="06D564A9"/>
    <w:rsid w:val="06D7510F"/>
    <w:rsid w:val="06DC394C"/>
    <w:rsid w:val="06E4311A"/>
    <w:rsid w:val="06E8731C"/>
    <w:rsid w:val="06E94E42"/>
    <w:rsid w:val="06F2019A"/>
    <w:rsid w:val="06F21D26"/>
    <w:rsid w:val="06F35CC1"/>
    <w:rsid w:val="06F7755F"/>
    <w:rsid w:val="06FA2F84"/>
    <w:rsid w:val="06FC4B75"/>
    <w:rsid w:val="06FE5A89"/>
    <w:rsid w:val="06FF4665"/>
    <w:rsid w:val="070031C0"/>
    <w:rsid w:val="07017BB4"/>
    <w:rsid w:val="07034156"/>
    <w:rsid w:val="07034F2D"/>
    <w:rsid w:val="07047ECE"/>
    <w:rsid w:val="070752C8"/>
    <w:rsid w:val="07083E35"/>
    <w:rsid w:val="070B300A"/>
    <w:rsid w:val="070D7FA1"/>
    <w:rsid w:val="070F7770"/>
    <w:rsid w:val="07127832"/>
    <w:rsid w:val="07162832"/>
    <w:rsid w:val="07184017"/>
    <w:rsid w:val="071874D5"/>
    <w:rsid w:val="071933F3"/>
    <w:rsid w:val="071B72C1"/>
    <w:rsid w:val="071C5217"/>
    <w:rsid w:val="071E2D3E"/>
    <w:rsid w:val="071F2612"/>
    <w:rsid w:val="07247C28"/>
    <w:rsid w:val="072C53B9"/>
    <w:rsid w:val="072C6C00"/>
    <w:rsid w:val="072E0AA7"/>
    <w:rsid w:val="072F1BDD"/>
    <w:rsid w:val="0733007C"/>
    <w:rsid w:val="07347160"/>
    <w:rsid w:val="07350087"/>
    <w:rsid w:val="07362B24"/>
    <w:rsid w:val="073F0F06"/>
    <w:rsid w:val="073F4A62"/>
    <w:rsid w:val="07402AEC"/>
    <w:rsid w:val="074309F6"/>
    <w:rsid w:val="074327A4"/>
    <w:rsid w:val="074402CA"/>
    <w:rsid w:val="07447AF0"/>
    <w:rsid w:val="07463D6E"/>
    <w:rsid w:val="07464042"/>
    <w:rsid w:val="07481042"/>
    <w:rsid w:val="07484826"/>
    <w:rsid w:val="0748606E"/>
    <w:rsid w:val="07493558"/>
    <w:rsid w:val="074A3038"/>
    <w:rsid w:val="074B576A"/>
    <w:rsid w:val="07500A1D"/>
    <w:rsid w:val="07504EC1"/>
    <w:rsid w:val="07506C6F"/>
    <w:rsid w:val="07516F96"/>
    <w:rsid w:val="07520C39"/>
    <w:rsid w:val="075449B1"/>
    <w:rsid w:val="07560379"/>
    <w:rsid w:val="07576777"/>
    <w:rsid w:val="07585B24"/>
    <w:rsid w:val="075B74B8"/>
    <w:rsid w:val="075C73C2"/>
    <w:rsid w:val="075E138C"/>
    <w:rsid w:val="0761680F"/>
    <w:rsid w:val="07630750"/>
    <w:rsid w:val="076369A2"/>
    <w:rsid w:val="076444C8"/>
    <w:rsid w:val="076458E2"/>
    <w:rsid w:val="076470DA"/>
    <w:rsid w:val="07691ADF"/>
    <w:rsid w:val="07695A44"/>
    <w:rsid w:val="07697D31"/>
    <w:rsid w:val="076B5E84"/>
    <w:rsid w:val="076B7DD1"/>
    <w:rsid w:val="076D15CF"/>
    <w:rsid w:val="076E018C"/>
    <w:rsid w:val="076F161C"/>
    <w:rsid w:val="076F3599"/>
    <w:rsid w:val="07704C08"/>
    <w:rsid w:val="07724E37"/>
    <w:rsid w:val="07726BE5"/>
    <w:rsid w:val="07740BAF"/>
    <w:rsid w:val="0774305B"/>
    <w:rsid w:val="07752464"/>
    <w:rsid w:val="077566D6"/>
    <w:rsid w:val="07761196"/>
    <w:rsid w:val="0777244E"/>
    <w:rsid w:val="077A6255"/>
    <w:rsid w:val="07825BA3"/>
    <w:rsid w:val="07827A92"/>
    <w:rsid w:val="07846919"/>
    <w:rsid w:val="07852DBD"/>
    <w:rsid w:val="07886400"/>
    <w:rsid w:val="078A2181"/>
    <w:rsid w:val="078B414B"/>
    <w:rsid w:val="078E7909"/>
    <w:rsid w:val="07902FF6"/>
    <w:rsid w:val="0790350F"/>
    <w:rsid w:val="079254DA"/>
    <w:rsid w:val="07943000"/>
    <w:rsid w:val="07972AF0"/>
    <w:rsid w:val="07987FF3"/>
    <w:rsid w:val="079C21B1"/>
    <w:rsid w:val="079C2B5F"/>
    <w:rsid w:val="079C731E"/>
    <w:rsid w:val="07A11279"/>
    <w:rsid w:val="07A25DD3"/>
    <w:rsid w:val="07A86AAB"/>
    <w:rsid w:val="07AA5515"/>
    <w:rsid w:val="07AE39F0"/>
    <w:rsid w:val="07AF3D02"/>
    <w:rsid w:val="07B0770E"/>
    <w:rsid w:val="07B216D8"/>
    <w:rsid w:val="07B436A2"/>
    <w:rsid w:val="07B76450"/>
    <w:rsid w:val="07B90CB8"/>
    <w:rsid w:val="07B94814"/>
    <w:rsid w:val="07BD28E7"/>
    <w:rsid w:val="07BD6694"/>
    <w:rsid w:val="07C02047"/>
    <w:rsid w:val="07C35693"/>
    <w:rsid w:val="07C4334D"/>
    <w:rsid w:val="07C5140B"/>
    <w:rsid w:val="07C84A57"/>
    <w:rsid w:val="07CA07CF"/>
    <w:rsid w:val="07CF5DE6"/>
    <w:rsid w:val="07D433FC"/>
    <w:rsid w:val="07D653C6"/>
    <w:rsid w:val="07D9661C"/>
    <w:rsid w:val="07DB478B"/>
    <w:rsid w:val="07DB720D"/>
    <w:rsid w:val="07DC6755"/>
    <w:rsid w:val="07DD49A7"/>
    <w:rsid w:val="07DE0237"/>
    <w:rsid w:val="07DE1CA3"/>
    <w:rsid w:val="07DE2EB9"/>
    <w:rsid w:val="07E1307F"/>
    <w:rsid w:val="07E31891"/>
    <w:rsid w:val="07E94D14"/>
    <w:rsid w:val="07EF7A7C"/>
    <w:rsid w:val="07F2366A"/>
    <w:rsid w:val="07F608C5"/>
    <w:rsid w:val="07F97307"/>
    <w:rsid w:val="07FA5FF5"/>
    <w:rsid w:val="07FB495C"/>
    <w:rsid w:val="07FB4E2D"/>
    <w:rsid w:val="07FD3FAA"/>
    <w:rsid w:val="07FE2B6F"/>
    <w:rsid w:val="07FE4E1D"/>
    <w:rsid w:val="08010A48"/>
    <w:rsid w:val="08031F33"/>
    <w:rsid w:val="08033CE1"/>
    <w:rsid w:val="0803674C"/>
    <w:rsid w:val="0805367D"/>
    <w:rsid w:val="080812F8"/>
    <w:rsid w:val="080B2B96"/>
    <w:rsid w:val="080D2DB2"/>
    <w:rsid w:val="080E56D3"/>
    <w:rsid w:val="081163FE"/>
    <w:rsid w:val="08123F24"/>
    <w:rsid w:val="08145258"/>
    <w:rsid w:val="08145EEF"/>
    <w:rsid w:val="08163A15"/>
    <w:rsid w:val="081C23EE"/>
    <w:rsid w:val="081D1247"/>
    <w:rsid w:val="081D2FF5"/>
    <w:rsid w:val="081F6A2B"/>
    <w:rsid w:val="082641D3"/>
    <w:rsid w:val="0829214F"/>
    <w:rsid w:val="082B41E7"/>
    <w:rsid w:val="082D6FB2"/>
    <w:rsid w:val="082F2355"/>
    <w:rsid w:val="082F4AD6"/>
    <w:rsid w:val="0832034D"/>
    <w:rsid w:val="08332819"/>
    <w:rsid w:val="083373EB"/>
    <w:rsid w:val="083420ED"/>
    <w:rsid w:val="08342585"/>
    <w:rsid w:val="08386081"/>
    <w:rsid w:val="083902CC"/>
    <w:rsid w:val="08395955"/>
    <w:rsid w:val="083A0AD3"/>
    <w:rsid w:val="083D3697"/>
    <w:rsid w:val="083D71F3"/>
    <w:rsid w:val="084314D4"/>
    <w:rsid w:val="08470072"/>
    <w:rsid w:val="084A7B62"/>
    <w:rsid w:val="084C5688"/>
    <w:rsid w:val="084D31AF"/>
    <w:rsid w:val="084F6BDA"/>
    <w:rsid w:val="08504710"/>
    <w:rsid w:val="085208D7"/>
    <w:rsid w:val="08537121"/>
    <w:rsid w:val="0858227F"/>
    <w:rsid w:val="085B03F1"/>
    <w:rsid w:val="085D1644"/>
    <w:rsid w:val="08640C24"/>
    <w:rsid w:val="0865202A"/>
    <w:rsid w:val="08672A7F"/>
    <w:rsid w:val="08687FE8"/>
    <w:rsid w:val="086D0483"/>
    <w:rsid w:val="08702094"/>
    <w:rsid w:val="087370B9"/>
    <w:rsid w:val="0878022B"/>
    <w:rsid w:val="08783C2B"/>
    <w:rsid w:val="087846CF"/>
    <w:rsid w:val="08796337"/>
    <w:rsid w:val="087A0447"/>
    <w:rsid w:val="087A1DBC"/>
    <w:rsid w:val="087B3986"/>
    <w:rsid w:val="087B5320"/>
    <w:rsid w:val="087C25AC"/>
    <w:rsid w:val="087F7DB7"/>
    <w:rsid w:val="08835998"/>
    <w:rsid w:val="08841607"/>
    <w:rsid w:val="08871606"/>
    <w:rsid w:val="08872B64"/>
    <w:rsid w:val="08913D11"/>
    <w:rsid w:val="089259BF"/>
    <w:rsid w:val="08955357"/>
    <w:rsid w:val="08962DA7"/>
    <w:rsid w:val="0899065E"/>
    <w:rsid w:val="08994710"/>
    <w:rsid w:val="089B216C"/>
    <w:rsid w:val="089B76EE"/>
    <w:rsid w:val="089D5EE4"/>
    <w:rsid w:val="089E3A0A"/>
    <w:rsid w:val="089F1C5C"/>
    <w:rsid w:val="08A043D7"/>
    <w:rsid w:val="08A05F2E"/>
    <w:rsid w:val="08A2174C"/>
    <w:rsid w:val="08A30046"/>
    <w:rsid w:val="08A40C9B"/>
    <w:rsid w:val="08A454C4"/>
    <w:rsid w:val="08A54D99"/>
    <w:rsid w:val="08A639AA"/>
    <w:rsid w:val="08A67A43"/>
    <w:rsid w:val="08A70B11"/>
    <w:rsid w:val="08A90D2D"/>
    <w:rsid w:val="08AB6853"/>
    <w:rsid w:val="08AE02E0"/>
    <w:rsid w:val="08B03E69"/>
    <w:rsid w:val="08B123F7"/>
    <w:rsid w:val="08B309A8"/>
    <w:rsid w:val="08B3524C"/>
    <w:rsid w:val="08B35707"/>
    <w:rsid w:val="08B576D2"/>
    <w:rsid w:val="08B60D54"/>
    <w:rsid w:val="08B651F8"/>
    <w:rsid w:val="08BA12DC"/>
    <w:rsid w:val="08BC0A60"/>
    <w:rsid w:val="08BF40AC"/>
    <w:rsid w:val="08C130A6"/>
    <w:rsid w:val="08C24E1C"/>
    <w:rsid w:val="08C36FAA"/>
    <w:rsid w:val="08C46FC0"/>
    <w:rsid w:val="08C56C55"/>
    <w:rsid w:val="08C622D9"/>
    <w:rsid w:val="08C70205"/>
    <w:rsid w:val="08C711B3"/>
    <w:rsid w:val="08C90A87"/>
    <w:rsid w:val="08C94F2B"/>
    <w:rsid w:val="08CA47FF"/>
    <w:rsid w:val="08CC0F44"/>
    <w:rsid w:val="08CD1F5E"/>
    <w:rsid w:val="08CE0793"/>
    <w:rsid w:val="08D12A6B"/>
    <w:rsid w:val="08D21C65"/>
    <w:rsid w:val="08D34766"/>
    <w:rsid w:val="08D61C16"/>
    <w:rsid w:val="08D631A4"/>
    <w:rsid w:val="08D66B1B"/>
    <w:rsid w:val="08DA2C94"/>
    <w:rsid w:val="08DB07BA"/>
    <w:rsid w:val="08DF2459"/>
    <w:rsid w:val="08E04023"/>
    <w:rsid w:val="08E13A42"/>
    <w:rsid w:val="08E40290"/>
    <w:rsid w:val="08E63BD4"/>
    <w:rsid w:val="08E92ED7"/>
    <w:rsid w:val="08EB280C"/>
    <w:rsid w:val="08EC40FA"/>
    <w:rsid w:val="08ED6389"/>
    <w:rsid w:val="08EE1341"/>
    <w:rsid w:val="08F301FA"/>
    <w:rsid w:val="08F31FA8"/>
    <w:rsid w:val="08F510F1"/>
    <w:rsid w:val="08F55D20"/>
    <w:rsid w:val="08F57ACE"/>
    <w:rsid w:val="08F71A98"/>
    <w:rsid w:val="08FA62A0"/>
    <w:rsid w:val="08FC1517"/>
    <w:rsid w:val="08FC70AE"/>
    <w:rsid w:val="08FD1B2B"/>
    <w:rsid w:val="08FF063A"/>
    <w:rsid w:val="08FF26FB"/>
    <w:rsid w:val="09047D11"/>
    <w:rsid w:val="09052C8B"/>
    <w:rsid w:val="09061CDB"/>
    <w:rsid w:val="09062FB7"/>
    <w:rsid w:val="09063A89"/>
    <w:rsid w:val="090715AF"/>
    <w:rsid w:val="090716A9"/>
    <w:rsid w:val="09075A53"/>
    <w:rsid w:val="090B10A0"/>
    <w:rsid w:val="090E3D28"/>
    <w:rsid w:val="09102B0D"/>
    <w:rsid w:val="09104908"/>
    <w:rsid w:val="09137F54"/>
    <w:rsid w:val="09193B40"/>
    <w:rsid w:val="091B0E74"/>
    <w:rsid w:val="091B505B"/>
    <w:rsid w:val="091C3C92"/>
    <w:rsid w:val="091E151E"/>
    <w:rsid w:val="091F7660"/>
    <w:rsid w:val="092263E9"/>
    <w:rsid w:val="09233C81"/>
    <w:rsid w:val="09245202"/>
    <w:rsid w:val="09246605"/>
    <w:rsid w:val="0925302E"/>
    <w:rsid w:val="09274D60"/>
    <w:rsid w:val="0929057C"/>
    <w:rsid w:val="09293C1C"/>
    <w:rsid w:val="09297778"/>
    <w:rsid w:val="092B0A8A"/>
    <w:rsid w:val="092D7BF0"/>
    <w:rsid w:val="092E2FE0"/>
    <w:rsid w:val="093525C0"/>
    <w:rsid w:val="09371E95"/>
    <w:rsid w:val="09381F46"/>
    <w:rsid w:val="093966C8"/>
    <w:rsid w:val="093A7BD7"/>
    <w:rsid w:val="093C56FD"/>
    <w:rsid w:val="093D3223"/>
    <w:rsid w:val="093E76C7"/>
    <w:rsid w:val="093F2E67"/>
    <w:rsid w:val="094027B0"/>
    <w:rsid w:val="094124F8"/>
    <w:rsid w:val="09421EC5"/>
    <w:rsid w:val="09435F26"/>
    <w:rsid w:val="09442E8E"/>
    <w:rsid w:val="0944374D"/>
    <w:rsid w:val="09456739"/>
    <w:rsid w:val="094620D8"/>
    <w:rsid w:val="09464A8E"/>
    <w:rsid w:val="09472ACA"/>
    <w:rsid w:val="09473C48"/>
    <w:rsid w:val="09495C58"/>
    <w:rsid w:val="094B3189"/>
    <w:rsid w:val="094B5940"/>
    <w:rsid w:val="094C3466"/>
    <w:rsid w:val="094D45D6"/>
    <w:rsid w:val="09502F56"/>
    <w:rsid w:val="09525C74"/>
    <w:rsid w:val="09532A47"/>
    <w:rsid w:val="095347F5"/>
    <w:rsid w:val="0957140D"/>
    <w:rsid w:val="095872E1"/>
    <w:rsid w:val="095A6D23"/>
    <w:rsid w:val="095B2D12"/>
    <w:rsid w:val="095D51F4"/>
    <w:rsid w:val="095E1B17"/>
    <w:rsid w:val="095E38C5"/>
    <w:rsid w:val="095F3199"/>
    <w:rsid w:val="09652EA6"/>
    <w:rsid w:val="09664528"/>
    <w:rsid w:val="096A30C7"/>
    <w:rsid w:val="096B06AD"/>
    <w:rsid w:val="096D58B6"/>
    <w:rsid w:val="097053A7"/>
    <w:rsid w:val="09732F58"/>
    <w:rsid w:val="09750895"/>
    <w:rsid w:val="09773D0A"/>
    <w:rsid w:val="097D36AD"/>
    <w:rsid w:val="097E16AA"/>
    <w:rsid w:val="09803C7A"/>
    <w:rsid w:val="098623BF"/>
    <w:rsid w:val="098D41AA"/>
    <w:rsid w:val="098E102A"/>
    <w:rsid w:val="09903C9B"/>
    <w:rsid w:val="0991427C"/>
    <w:rsid w:val="09940ED8"/>
    <w:rsid w:val="099472E7"/>
    <w:rsid w:val="09992B4F"/>
    <w:rsid w:val="099A5DD9"/>
    <w:rsid w:val="099C263F"/>
    <w:rsid w:val="099C43EE"/>
    <w:rsid w:val="099D3F60"/>
    <w:rsid w:val="099E1A2B"/>
    <w:rsid w:val="09A33F5B"/>
    <w:rsid w:val="09A47E92"/>
    <w:rsid w:val="09A552C3"/>
    <w:rsid w:val="09A74E02"/>
    <w:rsid w:val="09A866C9"/>
    <w:rsid w:val="09A908B8"/>
    <w:rsid w:val="09AA4D5C"/>
    <w:rsid w:val="09AB63DF"/>
    <w:rsid w:val="09AC5238"/>
    <w:rsid w:val="09AD65FB"/>
    <w:rsid w:val="09AE43B9"/>
    <w:rsid w:val="09AF2373"/>
    <w:rsid w:val="09B278C7"/>
    <w:rsid w:val="09B41737"/>
    <w:rsid w:val="09B71227"/>
    <w:rsid w:val="09B74D83"/>
    <w:rsid w:val="09B8461D"/>
    <w:rsid w:val="09B94F9F"/>
    <w:rsid w:val="09BF2FEC"/>
    <w:rsid w:val="09C120A6"/>
    <w:rsid w:val="09C13C52"/>
    <w:rsid w:val="09C13E54"/>
    <w:rsid w:val="09C51A5B"/>
    <w:rsid w:val="09C82713"/>
    <w:rsid w:val="09CB082F"/>
    <w:rsid w:val="09CD0A4B"/>
    <w:rsid w:val="09CD45A7"/>
    <w:rsid w:val="09CE2731"/>
    <w:rsid w:val="09D04097"/>
    <w:rsid w:val="09D205CD"/>
    <w:rsid w:val="09D207B5"/>
    <w:rsid w:val="09D66891"/>
    <w:rsid w:val="09D678FF"/>
    <w:rsid w:val="09D77138"/>
    <w:rsid w:val="09D83701"/>
    <w:rsid w:val="09DA1233"/>
    <w:rsid w:val="09DA6CC4"/>
    <w:rsid w:val="09DC2A3C"/>
    <w:rsid w:val="09E0077E"/>
    <w:rsid w:val="09E01C83"/>
    <w:rsid w:val="09E4331D"/>
    <w:rsid w:val="09E663FF"/>
    <w:rsid w:val="09E75B73"/>
    <w:rsid w:val="09E87633"/>
    <w:rsid w:val="09EA2A96"/>
    <w:rsid w:val="09EA33AB"/>
    <w:rsid w:val="09EC7123"/>
    <w:rsid w:val="09ED0CA9"/>
    <w:rsid w:val="09ED4C49"/>
    <w:rsid w:val="09EF09C1"/>
    <w:rsid w:val="09F345F9"/>
    <w:rsid w:val="09F510F6"/>
    <w:rsid w:val="09F85FFA"/>
    <w:rsid w:val="09FA0A64"/>
    <w:rsid w:val="09FB5866"/>
    <w:rsid w:val="09FD1845"/>
    <w:rsid w:val="09FE32FC"/>
    <w:rsid w:val="0A032DE8"/>
    <w:rsid w:val="0A0420EC"/>
    <w:rsid w:val="0A0514CC"/>
    <w:rsid w:val="0A081FD4"/>
    <w:rsid w:val="0A083831"/>
    <w:rsid w:val="0A087CFA"/>
    <w:rsid w:val="0A0D0E47"/>
    <w:rsid w:val="0A0D52EB"/>
    <w:rsid w:val="0A0F31C8"/>
    <w:rsid w:val="0A106A9E"/>
    <w:rsid w:val="0A1A02E4"/>
    <w:rsid w:val="0A1B17B6"/>
    <w:rsid w:val="0A1C108A"/>
    <w:rsid w:val="0A1C72DC"/>
    <w:rsid w:val="0A1F2494"/>
    <w:rsid w:val="0A22659F"/>
    <w:rsid w:val="0A23066B"/>
    <w:rsid w:val="0A2758D1"/>
    <w:rsid w:val="0A2763AD"/>
    <w:rsid w:val="0A287A2F"/>
    <w:rsid w:val="0A2979F9"/>
    <w:rsid w:val="0A2A0E89"/>
    <w:rsid w:val="0A2B022C"/>
    <w:rsid w:val="0A32493B"/>
    <w:rsid w:val="0A326B00"/>
    <w:rsid w:val="0A342878"/>
    <w:rsid w:val="0A3665F0"/>
    <w:rsid w:val="0A367DE2"/>
    <w:rsid w:val="0A375EC4"/>
    <w:rsid w:val="0A391C3C"/>
    <w:rsid w:val="0A3B59B5"/>
    <w:rsid w:val="0A3D797F"/>
    <w:rsid w:val="0A40121D"/>
    <w:rsid w:val="0A413E05"/>
    <w:rsid w:val="0A4365D1"/>
    <w:rsid w:val="0A44780B"/>
    <w:rsid w:val="0A486323"/>
    <w:rsid w:val="0A4A5BF8"/>
    <w:rsid w:val="0A4B1FCC"/>
    <w:rsid w:val="0A4D6DF4"/>
    <w:rsid w:val="0A4D7496"/>
    <w:rsid w:val="0A516F86"/>
    <w:rsid w:val="0A522CFE"/>
    <w:rsid w:val="0A525F9A"/>
    <w:rsid w:val="0A542283"/>
    <w:rsid w:val="0A5627EE"/>
    <w:rsid w:val="0A5A1A5C"/>
    <w:rsid w:val="0A5B1BB3"/>
    <w:rsid w:val="0A5B4153"/>
    <w:rsid w:val="0A5D1DCF"/>
    <w:rsid w:val="0A5D3B7D"/>
    <w:rsid w:val="0A5E78F5"/>
    <w:rsid w:val="0A5F4EA0"/>
    <w:rsid w:val="0A6071C9"/>
    <w:rsid w:val="0A633E56"/>
    <w:rsid w:val="0A65393A"/>
    <w:rsid w:val="0A656ED5"/>
    <w:rsid w:val="0A660193"/>
    <w:rsid w:val="0A663F6C"/>
    <w:rsid w:val="0A6767AA"/>
    <w:rsid w:val="0A682522"/>
    <w:rsid w:val="0A6A629A"/>
    <w:rsid w:val="0A6D380D"/>
    <w:rsid w:val="0A6F38B0"/>
    <w:rsid w:val="0A6F500B"/>
    <w:rsid w:val="0A6F565E"/>
    <w:rsid w:val="0A717628"/>
    <w:rsid w:val="0A726EFC"/>
    <w:rsid w:val="0A727E5D"/>
    <w:rsid w:val="0A7315F2"/>
    <w:rsid w:val="0A7333A0"/>
    <w:rsid w:val="0A754621"/>
    <w:rsid w:val="0A767C1F"/>
    <w:rsid w:val="0A794110"/>
    <w:rsid w:val="0A7964DD"/>
    <w:rsid w:val="0A7B2255"/>
    <w:rsid w:val="0A7E3AF3"/>
    <w:rsid w:val="0A811ED5"/>
    <w:rsid w:val="0A83110A"/>
    <w:rsid w:val="0A836670"/>
    <w:rsid w:val="0A836CA4"/>
    <w:rsid w:val="0A844986"/>
    <w:rsid w:val="0A8505CC"/>
    <w:rsid w:val="0A851326"/>
    <w:rsid w:val="0A870BFA"/>
    <w:rsid w:val="0A876E4C"/>
    <w:rsid w:val="0A894972"/>
    <w:rsid w:val="0A8E59EA"/>
    <w:rsid w:val="0A910E0B"/>
    <w:rsid w:val="0A943317"/>
    <w:rsid w:val="0A95192F"/>
    <w:rsid w:val="0A9926DB"/>
    <w:rsid w:val="0A9958A9"/>
    <w:rsid w:val="0A9F57E7"/>
    <w:rsid w:val="0AA07B2C"/>
    <w:rsid w:val="0AA23C86"/>
    <w:rsid w:val="0AA417AC"/>
    <w:rsid w:val="0AA6399E"/>
    <w:rsid w:val="0AA7129C"/>
    <w:rsid w:val="0AA736B4"/>
    <w:rsid w:val="0AAA2B3A"/>
    <w:rsid w:val="0AAB0D8C"/>
    <w:rsid w:val="0AAC68B2"/>
    <w:rsid w:val="0AAE43D8"/>
    <w:rsid w:val="0AB35D19"/>
    <w:rsid w:val="0AB47515"/>
    <w:rsid w:val="0AB67731"/>
    <w:rsid w:val="0AB80DB3"/>
    <w:rsid w:val="0ABA2D7D"/>
    <w:rsid w:val="0ABB6AF5"/>
    <w:rsid w:val="0ABB76FA"/>
    <w:rsid w:val="0AC04174"/>
    <w:rsid w:val="0AC059D5"/>
    <w:rsid w:val="0AC21C32"/>
    <w:rsid w:val="0AC27E84"/>
    <w:rsid w:val="0AC534D0"/>
    <w:rsid w:val="0AC65D2A"/>
    <w:rsid w:val="0AC77248"/>
    <w:rsid w:val="0ACC0D02"/>
    <w:rsid w:val="0ACC399D"/>
    <w:rsid w:val="0ACF0F1B"/>
    <w:rsid w:val="0ACF3A80"/>
    <w:rsid w:val="0ACF434F"/>
    <w:rsid w:val="0AD007F3"/>
    <w:rsid w:val="0AD602EB"/>
    <w:rsid w:val="0ADB0F46"/>
    <w:rsid w:val="0ADB2CF4"/>
    <w:rsid w:val="0ADB7197"/>
    <w:rsid w:val="0ADD2F10"/>
    <w:rsid w:val="0ADD629B"/>
    <w:rsid w:val="0ADD6933"/>
    <w:rsid w:val="0AE0030A"/>
    <w:rsid w:val="0AE05D8E"/>
    <w:rsid w:val="0AE23312"/>
    <w:rsid w:val="0AE326DB"/>
    <w:rsid w:val="0AE33940"/>
    <w:rsid w:val="0AE61DC4"/>
    <w:rsid w:val="0AE918B4"/>
    <w:rsid w:val="0AEA2F37"/>
    <w:rsid w:val="0AEA3D9F"/>
    <w:rsid w:val="0AEC2D42"/>
    <w:rsid w:val="0AEF054D"/>
    <w:rsid w:val="0AEF74FA"/>
    <w:rsid w:val="0AF10769"/>
    <w:rsid w:val="0AF142C5"/>
    <w:rsid w:val="0AF618DB"/>
    <w:rsid w:val="0AF86F5E"/>
    <w:rsid w:val="0AFA5870"/>
    <w:rsid w:val="0AFB1076"/>
    <w:rsid w:val="0AFB3396"/>
    <w:rsid w:val="0AFD2C6A"/>
    <w:rsid w:val="0AFE0C86"/>
    <w:rsid w:val="0AFF4C34"/>
    <w:rsid w:val="0B02541A"/>
    <w:rsid w:val="0B02781D"/>
    <w:rsid w:val="0B065FC2"/>
    <w:rsid w:val="0B071D3B"/>
    <w:rsid w:val="0B09160F"/>
    <w:rsid w:val="0B095168"/>
    <w:rsid w:val="0B0A5387"/>
    <w:rsid w:val="0B0B35D9"/>
    <w:rsid w:val="0B0E333B"/>
    <w:rsid w:val="0B114967"/>
    <w:rsid w:val="0B120A5A"/>
    <w:rsid w:val="0B134D63"/>
    <w:rsid w:val="0B152188"/>
    <w:rsid w:val="0B1B102D"/>
    <w:rsid w:val="0B21104E"/>
    <w:rsid w:val="0B2203FB"/>
    <w:rsid w:val="0B224DC6"/>
    <w:rsid w:val="0B2625DD"/>
    <w:rsid w:val="0B2C305A"/>
    <w:rsid w:val="0B2C54F0"/>
    <w:rsid w:val="0B2E72C7"/>
    <w:rsid w:val="0B301291"/>
    <w:rsid w:val="0B30303F"/>
    <w:rsid w:val="0B36617C"/>
    <w:rsid w:val="0B366EAA"/>
    <w:rsid w:val="0B3B3792"/>
    <w:rsid w:val="0B3C19E4"/>
    <w:rsid w:val="0B3D1B83"/>
    <w:rsid w:val="0B3D575C"/>
    <w:rsid w:val="0B3F32C0"/>
    <w:rsid w:val="0B41349E"/>
    <w:rsid w:val="0B440899"/>
    <w:rsid w:val="0B460AB5"/>
    <w:rsid w:val="0B463F92"/>
    <w:rsid w:val="0B4765DB"/>
    <w:rsid w:val="0B481B96"/>
    <w:rsid w:val="0B4E1717"/>
    <w:rsid w:val="0B4E3706"/>
    <w:rsid w:val="0B4E5DF0"/>
    <w:rsid w:val="0B4E7969"/>
    <w:rsid w:val="0B4F7789"/>
    <w:rsid w:val="0B505490"/>
    <w:rsid w:val="0B513B8A"/>
    <w:rsid w:val="0B51601C"/>
    <w:rsid w:val="0B554854"/>
    <w:rsid w:val="0B565DA7"/>
    <w:rsid w:val="0B593FC8"/>
    <w:rsid w:val="0B5C2086"/>
    <w:rsid w:val="0B5D7BAD"/>
    <w:rsid w:val="0B613FDE"/>
    <w:rsid w:val="0B616D12"/>
    <w:rsid w:val="0B61769D"/>
    <w:rsid w:val="0B621790"/>
    <w:rsid w:val="0B64718D"/>
    <w:rsid w:val="0B681122"/>
    <w:rsid w:val="0B6902FF"/>
    <w:rsid w:val="0B6D4294"/>
    <w:rsid w:val="0B6D57EE"/>
    <w:rsid w:val="0B6E5916"/>
    <w:rsid w:val="0B731858"/>
    <w:rsid w:val="0B76450E"/>
    <w:rsid w:val="0B770C6E"/>
    <w:rsid w:val="0B7728CA"/>
    <w:rsid w:val="0B776EC0"/>
    <w:rsid w:val="0B7849E6"/>
    <w:rsid w:val="0B7A42BB"/>
    <w:rsid w:val="0B7B7D63"/>
    <w:rsid w:val="0B7C568E"/>
    <w:rsid w:val="0B7E6900"/>
    <w:rsid w:val="0B802BBC"/>
    <w:rsid w:val="0B815649"/>
    <w:rsid w:val="0B835865"/>
    <w:rsid w:val="0B860EB1"/>
    <w:rsid w:val="0B8B007F"/>
    <w:rsid w:val="0B8B2DEC"/>
    <w:rsid w:val="0B8C15FE"/>
    <w:rsid w:val="0B8D0851"/>
    <w:rsid w:val="0B8D0BBC"/>
    <w:rsid w:val="0B8E5FB8"/>
    <w:rsid w:val="0B92713F"/>
    <w:rsid w:val="0B927B7B"/>
    <w:rsid w:val="0B9319D4"/>
    <w:rsid w:val="0B957346"/>
    <w:rsid w:val="0B983B48"/>
    <w:rsid w:val="0B994EA4"/>
    <w:rsid w:val="0B9B1792"/>
    <w:rsid w:val="0B9B6BA7"/>
    <w:rsid w:val="0BA05757"/>
    <w:rsid w:val="0BA352FE"/>
    <w:rsid w:val="0BA520C8"/>
    <w:rsid w:val="0BA615D2"/>
    <w:rsid w:val="0BA62885"/>
    <w:rsid w:val="0BA650B0"/>
    <w:rsid w:val="0BA94BA0"/>
    <w:rsid w:val="0BAA1044"/>
    <w:rsid w:val="0BAB72B9"/>
    <w:rsid w:val="0BAE0408"/>
    <w:rsid w:val="0BB05F2E"/>
    <w:rsid w:val="0BBC2B25"/>
    <w:rsid w:val="0BBF6171"/>
    <w:rsid w:val="0BC221A5"/>
    <w:rsid w:val="0BC44020"/>
    <w:rsid w:val="0BC524AE"/>
    <w:rsid w:val="0BC96FF0"/>
    <w:rsid w:val="0BCB720C"/>
    <w:rsid w:val="0BCD088E"/>
    <w:rsid w:val="0BCD125C"/>
    <w:rsid w:val="0BCD6AE0"/>
    <w:rsid w:val="0BD04822"/>
    <w:rsid w:val="0BD065D0"/>
    <w:rsid w:val="0BD076CB"/>
    <w:rsid w:val="0BD16E51"/>
    <w:rsid w:val="0BD178A8"/>
    <w:rsid w:val="0BD26DFA"/>
    <w:rsid w:val="0BD45B9A"/>
    <w:rsid w:val="0BD460C1"/>
    <w:rsid w:val="0BD87233"/>
    <w:rsid w:val="0BDA408B"/>
    <w:rsid w:val="0BDE0CED"/>
    <w:rsid w:val="0BDF05C2"/>
    <w:rsid w:val="0BDF6813"/>
    <w:rsid w:val="0BE45BD8"/>
    <w:rsid w:val="0BE47889"/>
    <w:rsid w:val="0BEF29F9"/>
    <w:rsid w:val="0BF00B79"/>
    <w:rsid w:val="0BF1691B"/>
    <w:rsid w:val="0BF16C73"/>
    <w:rsid w:val="0BF4406D"/>
    <w:rsid w:val="0BF56037"/>
    <w:rsid w:val="0BF57DE5"/>
    <w:rsid w:val="0BF70001"/>
    <w:rsid w:val="0BF838CA"/>
    <w:rsid w:val="0BF91683"/>
    <w:rsid w:val="0BFC1173"/>
    <w:rsid w:val="0BFE0F43"/>
    <w:rsid w:val="0C0045D1"/>
    <w:rsid w:val="0C004AA5"/>
    <w:rsid w:val="0C012733"/>
    <w:rsid w:val="0C0227F6"/>
    <w:rsid w:val="0C0B13B7"/>
    <w:rsid w:val="0C0F5E25"/>
    <w:rsid w:val="0C0F7AC3"/>
    <w:rsid w:val="0C105208"/>
    <w:rsid w:val="0C1069CD"/>
    <w:rsid w:val="0C112E71"/>
    <w:rsid w:val="0C14470F"/>
    <w:rsid w:val="0C193AD3"/>
    <w:rsid w:val="0C197F77"/>
    <w:rsid w:val="0C1B4361"/>
    <w:rsid w:val="0C1C1816"/>
    <w:rsid w:val="0C1E10EA"/>
    <w:rsid w:val="0C1F44A1"/>
    <w:rsid w:val="0C201306"/>
    <w:rsid w:val="0C22507E"/>
    <w:rsid w:val="0C232BA4"/>
    <w:rsid w:val="0C2561AC"/>
    <w:rsid w:val="0C272694"/>
    <w:rsid w:val="0C2A095B"/>
    <w:rsid w:val="0C2A3F33"/>
    <w:rsid w:val="0C2A7A8F"/>
    <w:rsid w:val="0C2B1A59"/>
    <w:rsid w:val="0C2C3B66"/>
    <w:rsid w:val="0C2C7CAB"/>
    <w:rsid w:val="0C300E1D"/>
    <w:rsid w:val="0C322DE7"/>
    <w:rsid w:val="0C34090D"/>
    <w:rsid w:val="0C346B5F"/>
    <w:rsid w:val="0C36712A"/>
    <w:rsid w:val="0C394176"/>
    <w:rsid w:val="0C3E21FE"/>
    <w:rsid w:val="0C406E1C"/>
    <w:rsid w:val="0C4274CE"/>
    <w:rsid w:val="0C434FF4"/>
    <w:rsid w:val="0C437F80"/>
    <w:rsid w:val="0C451DA5"/>
    <w:rsid w:val="0C480CD6"/>
    <w:rsid w:val="0C48260B"/>
    <w:rsid w:val="0C497722"/>
    <w:rsid w:val="0C497C20"/>
    <w:rsid w:val="0C4A02EF"/>
    <w:rsid w:val="0C4C20FB"/>
    <w:rsid w:val="0C4D5E73"/>
    <w:rsid w:val="0C4F5747"/>
    <w:rsid w:val="0C542D5E"/>
    <w:rsid w:val="0C564D28"/>
    <w:rsid w:val="0C566AD6"/>
    <w:rsid w:val="0C5734B3"/>
    <w:rsid w:val="0C577332"/>
    <w:rsid w:val="0C590374"/>
    <w:rsid w:val="0C5937ED"/>
    <w:rsid w:val="0C5C1C12"/>
    <w:rsid w:val="0C5D2346"/>
    <w:rsid w:val="0C5D60B6"/>
    <w:rsid w:val="0C6024D4"/>
    <w:rsid w:val="0C63281E"/>
    <w:rsid w:val="0C6531BD"/>
    <w:rsid w:val="0C670CE3"/>
    <w:rsid w:val="0C676F35"/>
    <w:rsid w:val="0C692CAD"/>
    <w:rsid w:val="0C6D3E11"/>
    <w:rsid w:val="0C6D3E1F"/>
    <w:rsid w:val="0C6E32C9"/>
    <w:rsid w:val="0C716269"/>
    <w:rsid w:val="0C7451AE"/>
    <w:rsid w:val="0C776A4C"/>
    <w:rsid w:val="0C782EF0"/>
    <w:rsid w:val="0C7E54E8"/>
    <w:rsid w:val="0C80138F"/>
    <w:rsid w:val="0C801DA5"/>
    <w:rsid w:val="0C8278CB"/>
    <w:rsid w:val="0C833643"/>
    <w:rsid w:val="0C8573BB"/>
    <w:rsid w:val="0C8B665C"/>
    <w:rsid w:val="0C8C05C9"/>
    <w:rsid w:val="0C8C24F7"/>
    <w:rsid w:val="0C92141A"/>
    <w:rsid w:val="0C937D2A"/>
    <w:rsid w:val="0C9456E7"/>
    <w:rsid w:val="0C985340"/>
    <w:rsid w:val="0C9B273A"/>
    <w:rsid w:val="0C9C2591"/>
    <w:rsid w:val="0C9E222B"/>
    <w:rsid w:val="0CA00946"/>
    <w:rsid w:val="0CA02447"/>
    <w:rsid w:val="0CA06CF9"/>
    <w:rsid w:val="0CA14B38"/>
    <w:rsid w:val="0CA35A93"/>
    <w:rsid w:val="0CA61B23"/>
    <w:rsid w:val="0CA93FEC"/>
    <w:rsid w:val="0CAD246E"/>
    <w:rsid w:val="0CAF0888"/>
    <w:rsid w:val="0CB3217A"/>
    <w:rsid w:val="0CB3271F"/>
    <w:rsid w:val="0CB63A18"/>
    <w:rsid w:val="0CBD4DA7"/>
    <w:rsid w:val="0CBE467B"/>
    <w:rsid w:val="0CBF150B"/>
    <w:rsid w:val="0CBF689E"/>
    <w:rsid w:val="0CC04897"/>
    <w:rsid w:val="0CC17E6B"/>
    <w:rsid w:val="0CC25F19"/>
    <w:rsid w:val="0CC71781"/>
    <w:rsid w:val="0CC80D42"/>
    <w:rsid w:val="0CC9374C"/>
    <w:rsid w:val="0CCA1272"/>
    <w:rsid w:val="0CCE0D62"/>
    <w:rsid w:val="0CCF0636"/>
    <w:rsid w:val="0CD0339C"/>
    <w:rsid w:val="0CD64E37"/>
    <w:rsid w:val="0CD8034A"/>
    <w:rsid w:val="0CD84E2D"/>
    <w:rsid w:val="0CD914B5"/>
    <w:rsid w:val="0CD9214E"/>
    <w:rsid w:val="0CD93263"/>
    <w:rsid w:val="0CDB667B"/>
    <w:rsid w:val="0CDD4579"/>
    <w:rsid w:val="0CE045F1"/>
    <w:rsid w:val="0CE04884"/>
    <w:rsid w:val="0CE3096D"/>
    <w:rsid w:val="0CE51C08"/>
    <w:rsid w:val="0CEB00AB"/>
    <w:rsid w:val="0CEB12F2"/>
    <w:rsid w:val="0CEC38A7"/>
    <w:rsid w:val="0CED439E"/>
    <w:rsid w:val="0CEE5747"/>
    <w:rsid w:val="0CF12CA2"/>
    <w:rsid w:val="0CF27D16"/>
    <w:rsid w:val="0CF34325"/>
    <w:rsid w:val="0CF53506"/>
    <w:rsid w:val="0CF54541"/>
    <w:rsid w:val="0CF77159"/>
    <w:rsid w:val="0CF84031"/>
    <w:rsid w:val="0CFB38AF"/>
    <w:rsid w:val="0CFD1647"/>
    <w:rsid w:val="0CFE2CC9"/>
    <w:rsid w:val="0CFE523C"/>
    <w:rsid w:val="0D002EE5"/>
    <w:rsid w:val="0D023324"/>
    <w:rsid w:val="0D043D93"/>
    <w:rsid w:val="0D0578A7"/>
    <w:rsid w:val="0D060C57"/>
    <w:rsid w:val="0D084CFA"/>
    <w:rsid w:val="0D0A78C0"/>
    <w:rsid w:val="0D0C188A"/>
    <w:rsid w:val="0D0E5F91"/>
    <w:rsid w:val="0D10175C"/>
    <w:rsid w:val="0D1241E1"/>
    <w:rsid w:val="0D1411E7"/>
    <w:rsid w:val="0D14139C"/>
    <w:rsid w:val="0D162709"/>
    <w:rsid w:val="0D181FDD"/>
    <w:rsid w:val="0D183D8B"/>
    <w:rsid w:val="0D195087"/>
    <w:rsid w:val="0D1A092B"/>
    <w:rsid w:val="0D1A5D55"/>
    <w:rsid w:val="0D1C07C5"/>
    <w:rsid w:val="0D1C4D8A"/>
    <w:rsid w:val="0D1D5845"/>
    <w:rsid w:val="0D213D12"/>
    <w:rsid w:val="0D225512"/>
    <w:rsid w:val="0D227D66"/>
    <w:rsid w:val="0D2332ED"/>
    <w:rsid w:val="0D270472"/>
    <w:rsid w:val="0D272220"/>
    <w:rsid w:val="0D2766C4"/>
    <w:rsid w:val="0D280F9E"/>
    <w:rsid w:val="0D292DC9"/>
    <w:rsid w:val="0D293F6C"/>
    <w:rsid w:val="0D296FD8"/>
    <w:rsid w:val="0D2B6EAC"/>
    <w:rsid w:val="0D2C7836"/>
    <w:rsid w:val="0D2D431B"/>
    <w:rsid w:val="0D2E35AF"/>
    <w:rsid w:val="0D2F5CF3"/>
    <w:rsid w:val="0D3037CB"/>
    <w:rsid w:val="0D330BC5"/>
    <w:rsid w:val="0D344206"/>
    <w:rsid w:val="0D38442D"/>
    <w:rsid w:val="0D3878F6"/>
    <w:rsid w:val="0D3A1F53"/>
    <w:rsid w:val="0D3C19AE"/>
    <w:rsid w:val="0D3C3320"/>
    <w:rsid w:val="0D3C4A65"/>
    <w:rsid w:val="0D3C6AEE"/>
    <w:rsid w:val="0D3D5EE8"/>
    <w:rsid w:val="0D3F756A"/>
    <w:rsid w:val="0D407F3C"/>
    <w:rsid w:val="0D4350B1"/>
    <w:rsid w:val="0D466B4A"/>
    <w:rsid w:val="0D4A2113"/>
    <w:rsid w:val="0D4B1C6C"/>
    <w:rsid w:val="0D4C612B"/>
    <w:rsid w:val="0D4E1EA3"/>
    <w:rsid w:val="0D4E3C51"/>
    <w:rsid w:val="0D5158F0"/>
    <w:rsid w:val="0D5374B9"/>
    <w:rsid w:val="0D5D5C42"/>
    <w:rsid w:val="0D5E30A2"/>
    <w:rsid w:val="0D5E7FED"/>
    <w:rsid w:val="0D5F7C0C"/>
    <w:rsid w:val="0D604FFD"/>
    <w:rsid w:val="0D6214AA"/>
    <w:rsid w:val="0D674D7D"/>
    <w:rsid w:val="0D67662C"/>
    <w:rsid w:val="0D6A3EDB"/>
    <w:rsid w:val="0D6C40D7"/>
    <w:rsid w:val="0D6D057B"/>
    <w:rsid w:val="0D6D580F"/>
    <w:rsid w:val="0D6E23AF"/>
    <w:rsid w:val="0D6E60A1"/>
    <w:rsid w:val="0D703786"/>
    <w:rsid w:val="0D7511DD"/>
    <w:rsid w:val="0D755681"/>
    <w:rsid w:val="0D75742F"/>
    <w:rsid w:val="0D764D13"/>
    <w:rsid w:val="0D790AD4"/>
    <w:rsid w:val="0D7D4536"/>
    <w:rsid w:val="0D7F02AE"/>
    <w:rsid w:val="0D814026"/>
    <w:rsid w:val="0D821B4C"/>
    <w:rsid w:val="0D8256A8"/>
    <w:rsid w:val="0D8404F5"/>
    <w:rsid w:val="0D86163D"/>
    <w:rsid w:val="0D8633EB"/>
    <w:rsid w:val="0D87687F"/>
    <w:rsid w:val="0D887163"/>
    <w:rsid w:val="0D896A37"/>
    <w:rsid w:val="0D91434C"/>
    <w:rsid w:val="0D921D8F"/>
    <w:rsid w:val="0D951880"/>
    <w:rsid w:val="0D9659D7"/>
    <w:rsid w:val="0D9A266D"/>
    <w:rsid w:val="0D9B7981"/>
    <w:rsid w:val="0DA07C14"/>
    <w:rsid w:val="0DA33F9D"/>
    <w:rsid w:val="0DA4324B"/>
    <w:rsid w:val="0DA63A8D"/>
    <w:rsid w:val="0DA6583B"/>
    <w:rsid w:val="0DA87440"/>
    <w:rsid w:val="0DAB000F"/>
    <w:rsid w:val="0DAE5F03"/>
    <w:rsid w:val="0DAF0099"/>
    <w:rsid w:val="0DB13E81"/>
    <w:rsid w:val="0DB22432"/>
    <w:rsid w:val="0DB51DAB"/>
    <w:rsid w:val="0DB5782C"/>
    <w:rsid w:val="0DB64EBF"/>
    <w:rsid w:val="0DB70C97"/>
    <w:rsid w:val="0DBC6E0C"/>
    <w:rsid w:val="0DBE2B84"/>
    <w:rsid w:val="0DC10DA5"/>
    <w:rsid w:val="0DC31980"/>
    <w:rsid w:val="0DC43B46"/>
    <w:rsid w:val="0DC53EBC"/>
    <w:rsid w:val="0DC67C8B"/>
    <w:rsid w:val="0DC7755F"/>
    <w:rsid w:val="0DC9020F"/>
    <w:rsid w:val="0DCD468E"/>
    <w:rsid w:val="0DCE08EE"/>
    <w:rsid w:val="0DD01FDB"/>
    <w:rsid w:val="0DD24882"/>
    <w:rsid w:val="0DD3176D"/>
    <w:rsid w:val="0DD423A8"/>
    <w:rsid w:val="0DD60BC3"/>
    <w:rsid w:val="0DD80B73"/>
    <w:rsid w:val="0DDC300B"/>
    <w:rsid w:val="0DDD6D83"/>
    <w:rsid w:val="0DDF6F9F"/>
    <w:rsid w:val="0DE14AC5"/>
    <w:rsid w:val="0DE42452"/>
    <w:rsid w:val="0DE6032D"/>
    <w:rsid w:val="0DEA1445"/>
    <w:rsid w:val="0DEA37B4"/>
    <w:rsid w:val="0DEF3493"/>
    <w:rsid w:val="0DF04D08"/>
    <w:rsid w:val="0DF50570"/>
    <w:rsid w:val="0DF56B3A"/>
    <w:rsid w:val="0DF81025"/>
    <w:rsid w:val="0DFA16E3"/>
    <w:rsid w:val="0DFC545B"/>
    <w:rsid w:val="0DFC6867"/>
    <w:rsid w:val="0DFF319D"/>
    <w:rsid w:val="0E051C5E"/>
    <w:rsid w:val="0E07353A"/>
    <w:rsid w:val="0E0802A4"/>
    <w:rsid w:val="0E090A68"/>
    <w:rsid w:val="0E0E518E"/>
    <w:rsid w:val="0E1529C0"/>
    <w:rsid w:val="0E1779C3"/>
    <w:rsid w:val="0E19600D"/>
    <w:rsid w:val="0E1A7BFE"/>
    <w:rsid w:val="0E2055ED"/>
    <w:rsid w:val="0E211365"/>
    <w:rsid w:val="0E2432B2"/>
    <w:rsid w:val="0E255E7E"/>
    <w:rsid w:val="0E271458"/>
    <w:rsid w:val="0E29469D"/>
    <w:rsid w:val="0E2A1FC8"/>
    <w:rsid w:val="0E2C21E4"/>
    <w:rsid w:val="0E2C2973"/>
    <w:rsid w:val="0E2C63FF"/>
    <w:rsid w:val="0E2D7D0A"/>
    <w:rsid w:val="0E2F75DE"/>
    <w:rsid w:val="0E315238"/>
    <w:rsid w:val="0E320E7D"/>
    <w:rsid w:val="0E325320"/>
    <w:rsid w:val="0E3474EE"/>
    <w:rsid w:val="0E356BBF"/>
    <w:rsid w:val="0E36390A"/>
    <w:rsid w:val="0E382F17"/>
    <w:rsid w:val="0E383259"/>
    <w:rsid w:val="0E386240"/>
    <w:rsid w:val="0E3A4EE9"/>
    <w:rsid w:val="0E3B6E0C"/>
    <w:rsid w:val="0E3C6E26"/>
    <w:rsid w:val="0E3D1A4B"/>
    <w:rsid w:val="0E3D23C6"/>
    <w:rsid w:val="0E3E2B15"/>
    <w:rsid w:val="0E3F3599"/>
    <w:rsid w:val="0E4017EB"/>
    <w:rsid w:val="0E4137B5"/>
    <w:rsid w:val="0E466867"/>
    <w:rsid w:val="0E4A269A"/>
    <w:rsid w:val="0E4A60A8"/>
    <w:rsid w:val="0E4D368D"/>
    <w:rsid w:val="0E511C4A"/>
    <w:rsid w:val="0E511C4E"/>
    <w:rsid w:val="0E544F7C"/>
    <w:rsid w:val="0E547045"/>
    <w:rsid w:val="0E562298"/>
    <w:rsid w:val="0E575204"/>
    <w:rsid w:val="0E5B34E1"/>
    <w:rsid w:val="0E5C239D"/>
    <w:rsid w:val="0E5C2EA3"/>
    <w:rsid w:val="0E5E1C72"/>
    <w:rsid w:val="0E5E7EC3"/>
    <w:rsid w:val="0E60058A"/>
    <w:rsid w:val="0E600C40"/>
    <w:rsid w:val="0E6010CF"/>
    <w:rsid w:val="0E6059EA"/>
    <w:rsid w:val="0E611762"/>
    <w:rsid w:val="0E62280C"/>
    <w:rsid w:val="0E653000"/>
    <w:rsid w:val="0E6574A4"/>
    <w:rsid w:val="0E666D78"/>
    <w:rsid w:val="0E6A2D0C"/>
    <w:rsid w:val="0E6A6868"/>
    <w:rsid w:val="0E6C0832"/>
    <w:rsid w:val="0E6C1921"/>
    <w:rsid w:val="0E6C1F07"/>
    <w:rsid w:val="0E6C7CE9"/>
    <w:rsid w:val="0E6F58D0"/>
    <w:rsid w:val="0E71409B"/>
    <w:rsid w:val="0E746EC6"/>
    <w:rsid w:val="0E76520D"/>
    <w:rsid w:val="0E770F85"/>
    <w:rsid w:val="0E774EDA"/>
    <w:rsid w:val="0E7C617B"/>
    <w:rsid w:val="0E7D4221"/>
    <w:rsid w:val="0E802EB3"/>
    <w:rsid w:val="0E803068"/>
    <w:rsid w:val="0E803383"/>
    <w:rsid w:val="0E8042DE"/>
    <w:rsid w:val="0E80785B"/>
    <w:rsid w:val="0E807E3A"/>
    <w:rsid w:val="0E81372E"/>
    <w:rsid w:val="0E8214E5"/>
    <w:rsid w:val="0E833DCE"/>
    <w:rsid w:val="0E8813E4"/>
    <w:rsid w:val="0E890027"/>
    <w:rsid w:val="0E903CBF"/>
    <w:rsid w:val="0E921140"/>
    <w:rsid w:val="0E9658AF"/>
    <w:rsid w:val="0E9659EB"/>
    <w:rsid w:val="0E972D83"/>
    <w:rsid w:val="0E9B4C74"/>
    <w:rsid w:val="0E9E2578"/>
    <w:rsid w:val="0EA224A6"/>
    <w:rsid w:val="0EA23611"/>
    <w:rsid w:val="0EA31D7A"/>
    <w:rsid w:val="0EA3386C"/>
    <w:rsid w:val="0EA33B28"/>
    <w:rsid w:val="0EA55919"/>
    <w:rsid w:val="0EA55AF2"/>
    <w:rsid w:val="0EA63619"/>
    <w:rsid w:val="0EA813EB"/>
    <w:rsid w:val="0EA85283"/>
    <w:rsid w:val="0EAA24B3"/>
    <w:rsid w:val="0EAB7F23"/>
    <w:rsid w:val="0EAC0AC2"/>
    <w:rsid w:val="0EAD041A"/>
    <w:rsid w:val="0EAD149C"/>
    <w:rsid w:val="0EAE0E4B"/>
    <w:rsid w:val="0EAE425B"/>
    <w:rsid w:val="0EAF24CD"/>
    <w:rsid w:val="0EAF6971"/>
    <w:rsid w:val="0EB164B9"/>
    <w:rsid w:val="0EB65F51"/>
    <w:rsid w:val="0EB775D4"/>
    <w:rsid w:val="0EBB70C4"/>
    <w:rsid w:val="0EBE0962"/>
    <w:rsid w:val="0EBE2240"/>
    <w:rsid w:val="0EBE4E06"/>
    <w:rsid w:val="0EC140FE"/>
    <w:rsid w:val="0EC8358F"/>
    <w:rsid w:val="0ECB42B9"/>
    <w:rsid w:val="0ECE5049"/>
    <w:rsid w:val="0ED057FE"/>
    <w:rsid w:val="0ED32660"/>
    <w:rsid w:val="0ED65881"/>
    <w:rsid w:val="0ED71A24"/>
    <w:rsid w:val="0EDC703A"/>
    <w:rsid w:val="0EE0414A"/>
    <w:rsid w:val="0EE20AF5"/>
    <w:rsid w:val="0EE4486D"/>
    <w:rsid w:val="0EE5365C"/>
    <w:rsid w:val="0EE628AF"/>
    <w:rsid w:val="0EE71B02"/>
    <w:rsid w:val="0EE907DF"/>
    <w:rsid w:val="0EEA5BFB"/>
    <w:rsid w:val="0EEB051B"/>
    <w:rsid w:val="0EEC3721"/>
    <w:rsid w:val="0EF427A5"/>
    <w:rsid w:val="0EF44B98"/>
    <w:rsid w:val="0EF77D11"/>
    <w:rsid w:val="0EF8579D"/>
    <w:rsid w:val="0EF93ADD"/>
    <w:rsid w:val="0EFE3455"/>
    <w:rsid w:val="0EFE50BE"/>
    <w:rsid w:val="0F000F7B"/>
    <w:rsid w:val="0F034FE7"/>
    <w:rsid w:val="0F075BB4"/>
    <w:rsid w:val="0F0B1785"/>
    <w:rsid w:val="0F0D3D5B"/>
    <w:rsid w:val="0F0E1587"/>
    <w:rsid w:val="0F11271D"/>
    <w:rsid w:val="0F117D24"/>
    <w:rsid w:val="0F1217BA"/>
    <w:rsid w:val="0F130337"/>
    <w:rsid w:val="0F136F00"/>
    <w:rsid w:val="0F163FF4"/>
    <w:rsid w:val="0F184516"/>
    <w:rsid w:val="0F1B23BF"/>
    <w:rsid w:val="0F1B5DB5"/>
    <w:rsid w:val="0F1F3AF7"/>
    <w:rsid w:val="0F26545B"/>
    <w:rsid w:val="0F28378B"/>
    <w:rsid w:val="0F285CEE"/>
    <w:rsid w:val="0F2904D1"/>
    <w:rsid w:val="0F2A5FF8"/>
    <w:rsid w:val="0F2C4779"/>
    <w:rsid w:val="0F2E7896"/>
    <w:rsid w:val="0F2F1860"/>
    <w:rsid w:val="0F310A6C"/>
    <w:rsid w:val="0F3375A2"/>
    <w:rsid w:val="0F337DA7"/>
    <w:rsid w:val="0F3535B7"/>
    <w:rsid w:val="0F3550C8"/>
    <w:rsid w:val="0F3A6C12"/>
    <w:rsid w:val="0F3A7A70"/>
    <w:rsid w:val="0F3B7E78"/>
    <w:rsid w:val="0F3C1CFE"/>
    <w:rsid w:val="0F3E7FEF"/>
    <w:rsid w:val="0F4470B9"/>
    <w:rsid w:val="0F4617D1"/>
    <w:rsid w:val="0F4940AF"/>
    <w:rsid w:val="0F4B5E65"/>
    <w:rsid w:val="0F4C5F6E"/>
    <w:rsid w:val="0F4D1D8B"/>
    <w:rsid w:val="0F4F660B"/>
    <w:rsid w:val="0F502EB3"/>
    <w:rsid w:val="0F5337A0"/>
    <w:rsid w:val="0F53554E"/>
    <w:rsid w:val="0F537622"/>
    <w:rsid w:val="0F553F03"/>
    <w:rsid w:val="0F566553"/>
    <w:rsid w:val="0F566DED"/>
    <w:rsid w:val="0F586B9D"/>
    <w:rsid w:val="0F5F2778"/>
    <w:rsid w:val="0F5F44FB"/>
    <w:rsid w:val="0F5F5CA1"/>
    <w:rsid w:val="0F600249"/>
    <w:rsid w:val="0F6302CD"/>
    <w:rsid w:val="0F655282"/>
    <w:rsid w:val="0F68089E"/>
    <w:rsid w:val="0F684FA3"/>
    <w:rsid w:val="0F6A6EFB"/>
    <w:rsid w:val="0F6E05DA"/>
    <w:rsid w:val="0F6F57D8"/>
    <w:rsid w:val="0F7200CA"/>
    <w:rsid w:val="0F7554C5"/>
    <w:rsid w:val="0F76123D"/>
    <w:rsid w:val="0F76748F"/>
    <w:rsid w:val="0F7A75F3"/>
    <w:rsid w:val="0F7B6853"/>
    <w:rsid w:val="0F7C2CF7"/>
    <w:rsid w:val="0F7F00F1"/>
    <w:rsid w:val="0F7F6343"/>
    <w:rsid w:val="0F8110A9"/>
    <w:rsid w:val="0F855182"/>
    <w:rsid w:val="0F8753C4"/>
    <w:rsid w:val="0F8E2A2A"/>
    <w:rsid w:val="0F8E47D8"/>
    <w:rsid w:val="0F8F6F95"/>
    <w:rsid w:val="0F9022FF"/>
    <w:rsid w:val="0F916077"/>
    <w:rsid w:val="0F943740"/>
    <w:rsid w:val="0F96368D"/>
    <w:rsid w:val="0F964CB9"/>
    <w:rsid w:val="0F982ACF"/>
    <w:rsid w:val="0F985657"/>
    <w:rsid w:val="0F987405"/>
    <w:rsid w:val="0F996122"/>
    <w:rsid w:val="0F9A4F2B"/>
    <w:rsid w:val="0F9B6F46"/>
    <w:rsid w:val="0F9C5147"/>
    <w:rsid w:val="0F9D7695"/>
    <w:rsid w:val="0F9F69E6"/>
    <w:rsid w:val="0FA67D74"/>
    <w:rsid w:val="0FA704BD"/>
    <w:rsid w:val="0FA861BC"/>
    <w:rsid w:val="0FA97864"/>
    <w:rsid w:val="0FAA7127"/>
    <w:rsid w:val="0FAF4B86"/>
    <w:rsid w:val="0FB029A1"/>
    <w:rsid w:val="0FB32491"/>
    <w:rsid w:val="0FB35FED"/>
    <w:rsid w:val="0FB63339"/>
    <w:rsid w:val="0FB66C1E"/>
    <w:rsid w:val="0FB71F81"/>
    <w:rsid w:val="0FB75ADD"/>
    <w:rsid w:val="0FB81855"/>
    <w:rsid w:val="0FB83603"/>
    <w:rsid w:val="0FB9077E"/>
    <w:rsid w:val="0FBC30F4"/>
    <w:rsid w:val="0FBF66B5"/>
    <w:rsid w:val="0FC1070A"/>
    <w:rsid w:val="0FC20482"/>
    <w:rsid w:val="0FC23F80"/>
    <w:rsid w:val="0FC4644C"/>
    <w:rsid w:val="0FC71A98"/>
    <w:rsid w:val="0FCB1589"/>
    <w:rsid w:val="0FCB3FB4"/>
    <w:rsid w:val="0FCE1079"/>
    <w:rsid w:val="0FD0658C"/>
    <w:rsid w:val="0FD3668F"/>
    <w:rsid w:val="0FD74C28"/>
    <w:rsid w:val="0FD7617F"/>
    <w:rsid w:val="0FD77F2D"/>
    <w:rsid w:val="0FD961A1"/>
    <w:rsid w:val="0FDA7A1E"/>
    <w:rsid w:val="0FDE750E"/>
    <w:rsid w:val="0FE10DAC"/>
    <w:rsid w:val="0FE20680"/>
    <w:rsid w:val="0FE25086"/>
    <w:rsid w:val="0FE47A65"/>
    <w:rsid w:val="0FE8213B"/>
    <w:rsid w:val="0FE863E6"/>
    <w:rsid w:val="0FE90167"/>
    <w:rsid w:val="0FE926E0"/>
    <w:rsid w:val="0FEC2C08"/>
    <w:rsid w:val="0FEE5277"/>
    <w:rsid w:val="0FEF171B"/>
    <w:rsid w:val="0FF420A0"/>
    <w:rsid w:val="0FF44F39"/>
    <w:rsid w:val="0FF50FCD"/>
    <w:rsid w:val="0FF7412C"/>
    <w:rsid w:val="0FF75F61"/>
    <w:rsid w:val="0FFA3C1C"/>
    <w:rsid w:val="0FFC3E38"/>
    <w:rsid w:val="0FFD2107"/>
    <w:rsid w:val="0FFE0A8A"/>
    <w:rsid w:val="10054422"/>
    <w:rsid w:val="10075BFE"/>
    <w:rsid w:val="100920B1"/>
    <w:rsid w:val="100B4351"/>
    <w:rsid w:val="100D394F"/>
    <w:rsid w:val="100E1DEC"/>
    <w:rsid w:val="100E5613"/>
    <w:rsid w:val="100F409A"/>
    <w:rsid w:val="10127F8E"/>
    <w:rsid w:val="10150A56"/>
    <w:rsid w:val="101822F4"/>
    <w:rsid w:val="101E5B5C"/>
    <w:rsid w:val="10205149"/>
    <w:rsid w:val="1021389E"/>
    <w:rsid w:val="1022670E"/>
    <w:rsid w:val="1025052A"/>
    <w:rsid w:val="102723E9"/>
    <w:rsid w:val="10282537"/>
    <w:rsid w:val="102869DB"/>
    <w:rsid w:val="102D2243"/>
    <w:rsid w:val="102D3FF1"/>
    <w:rsid w:val="102E6E42"/>
    <w:rsid w:val="10303AE2"/>
    <w:rsid w:val="10305E2E"/>
    <w:rsid w:val="103143DF"/>
    <w:rsid w:val="103233B6"/>
    <w:rsid w:val="10337554"/>
    <w:rsid w:val="10374E70"/>
    <w:rsid w:val="10394744"/>
    <w:rsid w:val="103B249D"/>
    <w:rsid w:val="103E61FE"/>
    <w:rsid w:val="103F3D25"/>
    <w:rsid w:val="10417A9D"/>
    <w:rsid w:val="104430E9"/>
    <w:rsid w:val="1045758D"/>
    <w:rsid w:val="104874A8"/>
    <w:rsid w:val="104B26C9"/>
    <w:rsid w:val="104B4477"/>
    <w:rsid w:val="104D4694"/>
    <w:rsid w:val="104D6442"/>
    <w:rsid w:val="104E54F3"/>
    <w:rsid w:val="10501A8E"/>
    <w:rsid w:val="10507CE0"/>
    <w:rsid w:val="105201EF"/>
    <w:rsid w:val="10521CAA"/>
    <w:rsid w:val="10545A22"/>
    <w:rsid w:val="105D53A7"/>
    <w:rsid w:val="105E064F"/>
    <w:rsid w:val="105E29DF"/>
    <w:rsid w:val="10645539"/>
    <w:rsid w:val="106907B9"/>
    <w:rsid w:val="106A0DA2"/>
    <w:rsid w:val="106C2D6C"/>
    <w:rsid w:val="106F63B8"/>
    <w:rsid w:val="10700268"/>
    <w:rsid w:val="10702130"/>
    <w:rsid w:val="10703EDE"/>
    <w:rsid w:val="10717588"/>
    <w:rsid w:val="10727C56"/>
    <w:rsid w:val="107409F0"/>
    <w:rsid w:val="10741C20"/>
    <w:rsid w:val="107B4D5D"/>
    <w:rsid w:val="107F2524"/>
    <w:rsid w:val="10821154"/>
    <w:rsid w:val="10827943"/>
    <w:rsid w:val="10857989"/>
    <w:rsid w:val="10863702"/>
    <w:rsid w:val="108667FB"/>
    <w:rsid w:val="1088747A"/>
    <w:rsid w:val="108A74EF"/>
    <w:rsid w:val="108C6184"/>
    <w:rsid w:val="108C6F6A"/>
    <w:rsid w:val="108D4A90"/>
    <w:rsid w:val="108E3380"/>
    <w:rsid w:val="108F2D32"/>
    <w:rsid w:val="109127D2"/>
    <w:rsid w:val="10923E54"/>
    <w:rsid w:val="10933CC8"/>
    <w:rsid w:val="10967DE9"/>
    <w:rsid w:val="1097590F"/>
    <w:rsid w:val="109C20FB"/>
    <w:rsid w:val="109D1177"/>
    <w:rsid w:val="109E4EEF"/>
    <w:rsid w:val="10A047C3"/>
    <w:rsid w:val="10A06571"/>
    <w:rsid w:val="10A2678D"/>
    <w:rsid w:val="10A32505"/>
    <w:rsid w:val="10A5627E"/>
    <w:rsid w:val="10A73DA4"/>
    <w:rsid w:val="10A9124C"/>
    <w:rsid w:val="10A9313E"/>
    <w:rsid w:val="10A97473"/>
    <w:rsid w:val="10AB4F16"/>
    <w:rsid w:val="10AC4F54"/>
    <w:rsid w:val="10B12A59"/>
    <w:rsid w:val="10B14C22"/>
    <w:rsid w:val="10B262A5"/>
    <w:rsid w:val="10B4026F"/>
    <w:rsid w:val="10B62239"/>
    <w:rsid w:val="10B63FE7"/>
    <w:rsid w:val="10B808B8"/>
    <w:rsid w:val="10B85FB1"/>
    <w:rsid w:val="10BB33AB"/>
    <w:rsid w:val="10BB784F"/>
    <w:rsid w:val="10BC7123"/>
    <w:rsid w:val="10C06C14"/>
    <w:rsid w:val="10C5422A"/>
    <w:rsid w:val="10C758F9"/>
    <w:rsid w:val="10C761F4"/>
    <w:rsid w:val="10CA5CE4"/>
    <w:rsid w:val="10CD5E8D"/>
    <w:rsid w:val="10D12BCF"/>
    <w:rsid w:val="10D43D46"/>
    <w:rsid w:val="10D4446D"/>
    <w:rsid w:val="10D6121D"/>
    <w:rsid w:val="10D66437"/>
    <w:rsid w:val="10D716DC"/>
    <w:rsid w:val="10DC1574"/>
    <w:rsid w:val="10DC61F9"/>
    <w:rsid w:val="10DF681D"/>
    <w:rsid w:val="10E0332C"/>
    <w:rsid w:val="10E041AF"/>
    <w:rsid w:val="10E24DDC"/>
    <w:rsid w:val="10E344BC"/>
    <w:rsid w:val="10E36DA6"/>
    <w:rsid w:val="10E438C4"/>
    <w:rsid w:val="10E54DCB"/>
    <w:rsid w:val="10E87F18"/>
    <w:rsid w:val="10E943BC"/>
    <w:rsid w:val="10EA0134"/>
    <w:rsid w:val="10EA557E"/>
    <w:rsid w:val="10ED662E"/>
    <w:rsid w:val="10EE0286"/>
    <w:rsid w:val="10EF12A7"/>
    <w:rsid w:val="10EF74F9"/>
    <w:rsid w:val="10F23976"/>
    <w:rsid w:val="10F44B0F"/>
    <w:rsid w:val="10F468BD"/>
    <w:rsid w:val="10F81694"/>
    <w:rsid w:val="10F92125"/>
    <w:rsid w:val="10FB5E9E"/>
    <w:rsid w:val="10FC5772"/>
    <w:rsid w:val="10FC680D"/>
    <w:rsid w:val="10FD39C4"/>
    <w:rsid w:val="10FE598E"/>
    <w:rsid w:val="11032FA4"/>
    <w:rsid w:val="11073D87"/>
    <w:rsid w:val="110831BA"/>
    <w:rsid w:val="110C3C07"/>
    <w:rsid w:val="110C70F7"/>
    <w:rsid w:val="110F1949"/>
    <w:rsid w:val="111156C1"/>
    <w:rsid w:val="11155124"/>
    <w:rsid w:val="1115653F"/>
    <w:rsid w:val="11160F29"/>
    <w:rsid w:val="11162CD7"/>
    <w:rsid w:val="1116435E"/>
    <w:rsid w:val="111827EC"/>
    <w:rsid w:val="111927C8"/>
    <w:rsid w:val="11192861"/>
    <w:rsid w:val="111D7BC2"/>
    <w:rsid w:val="111E4C42"/>
    <w:rsid w:val="11203B56"/>
    <w:rsid w:val="11230D99"/>
    <w:rsid w:val="1124167A"/>
    <w:rsid w:val="11256311"/>
    <w:rsid w:val="112631E6"/>
    <w:rsid w:val="11274A63"/>
    <w:rsid w:val="11290C5D"/>
    <w:rsid w:val="112A43FB"/>
    <w:rsid w:val="112D61CC"/>
    <w:rsid w:val="112F78F5"/>
    <w:rsid w:val="11301FEB"/>
    <w:rsid w:val="11334623"/>
    <w:rsid w:val="11335423"/>
    <w:rsid w:val="11335BD7"/>
    <w:rsid w:val="11343316"/>
    <w:rsid w:val="11361987"/>
    <w:rsid w:val="11380EA0"/>
    <w:rsid w:val="113969C6"/>
    <w:rsid w:val="113B273E"/>
    <w:rsid w:val="113B44EC"/>
    <w:rsid w:val="113B746E"/>
    <w:rsid w:val="113E3FDC"/>
    <w:rsid w:val="114415F3"/>
    <w:rsid w:val="11451107"/>
    <w:rsid w:val="11477335"/>
    <w:rsid w:val="114809B7"/>
    <w:rsid w:val="1149458E"/>
    <w:rsid w:val="114A2981"/>
    <w:rsid w:val="114B6CE0"/>
    <w:rsid w:val="114C494B"/>
    <w:rsid w:val="114C66F9"/>
    <w:rsid w:val="114E06C3"/>
    <w:rsid w:val="114F313B"/>
    <w:rsid w:val="11524273"/>
    <w:rsid w:val="11534B75"/>
    <w:rsid w:val="11537A88"/>
    <w:rsid w:val="11566B15"/>
    <w:rsid w:val="11586E4C"/>
    <w:rsid w:val="11595733"/>
    <w:rsid w:val="115A7D34"/>
    <w:rsid w:val="115D26B4"/>
    <w:rsid w:val="11621F45"/>
    <w:rsid w:val="11660CBD"/>
    <w:rsid w:val="11665A0D"/>
    <w:rsid w:val="11670431"/>
    <w:rsid w:val="1168783A"/>
    <w:rsid w:val="116E2B13"/>
    <w:rsid w:val="1170297A"/>
    <w:rsid w:val="11717F0E"/>
    <w:rsid w:val="11725CB3"/>
    <w:rsid w:val="11731F41"/>
    <w:rsid w:val="117443FC"/>
    <w:rsid w:val="117542D0"/>
    <w:rsid w:val="1176264A"/>
    <w:rsid w:val="117B0D8C"/>
    <w:rsid w:val="117C7BAE"/>
    <w:rsid w:val="117D2D56"/>
    <w:rsid w:val="11800151"/>
    <w:rsid w:val="1182634D"/>
    <w:rsid w:val="11835C77"/>
    <w:rsid w:val="118440E5"/>
    <w:rsid w:val="11847C41"/>
    <w:rsid w:val="118714DF"/>
    <w:rsid w:val="118B7BB0"/>
    <w:rsid w:val="118F1102"/>
    <w:rsid w:val="11910EE1"/>
    <w:rsid w:val="11934328"/>
    <w:rsid w:val="11936FD1"/>
    <w:rsid w:val="119423A3"/>
    <w:rsid w:val="11946CB7"/>
    <w:rsid w:val="11957EC4"/>
    <w:rsid w:val="11967974"/>
    <w:rsid w:val="11976650"/>
    <w:rsid w:val="119836EC"/>
    <w:rsid w:val="11991213"/>
    <w:rsid w:val="119F0A9C"/>
    <w:rsid w:val="11A527CB"/>
    <w:rsid w:val="11A71B81"/>
    <w:rsid w:val="11AA463D"/>
    <w:rsid w:val="11AB1672"/>
    <w:rsid w:val="11AC0EE5"/>
    <w:rsid w:val="11AC7198"/>
    <w:rsid w:val="11AF228F"/>
    <w:rsid w:val="11B17059"/>
    <w:rsid w:val="11B52FE3"/>
    <w:rsid w:val="11B56F4B"/>
    <w:rsid w:val="11B84184"/>
    <w:rsid w:val="11BC387F"/>
    <w:rsid w:val="11BC7DA1"/>
    <w:rsid w:val="11BD15AF"/>
    <w:rsid w:val="11BE5EDC"/>
    <w:rsid w:val="11BF336F"/>
    <w:rsid w:val="11C40985"/>
    <w:rsid w:val="11C52008"/>
    <w:rsid w:val="11C71193"/>
    <w:rsid w:val="11CB5358"/>
    <w:rsid w:val="11D0301A"/>
    <w:rsid w:val="11D423ED"/>
    <w:rsid w:val="11D64215"/>
    <w:rsid w:val="11D706B9"/>
    <w:rsid w:val="11D84431"/>
    <w:rsid w:val="11D94BA5"/>
    <w:rsid w:val="11DA3D05"/>
    <w:rsid w:val="11DA4164"/>
    <w:rsid w:val="11DB00E2"/>
    <w:rsid w:val="11DB182B"/>
    <w:rsid w:val="11DC260A"/>
    <w:rsid w:val="11DD37F5"/>
    <w:rsid w:val="11DF30C9"/>
    <w:rsid w:val="11E026B8"/>
    <w:rsid w:val="11E06E41"/>
    <w:rsid w:val="11E20E0C"/>
    <w:rsid w:val="11E55BE0"/>
    <w:rsid w:val="11E56A12"/>
    <w:rsid w:val="11E710E0"/>
    <w:rsid w:val="11E83A70"/>
    <w:rsid w:val="11E861A7"/>
    <w:rsid w:val="11E95D4A"/>
    <w:rsid w:val="11EB06E5"/>
    <w:rsid w:val="11EB1685"/>
    <w:rsid w:val="11EE77B0"/>
    <w:rsid w:val="11F1049F"/>
    <w:rsid w:val="11F254F3"/>
    <w:rsid w:val="11F36B75"/>
    <w:rsid w:val="11F56D91"/>
    <w:rsid w:val="11FB29E1"/>
    <w:rsid w:val="11FE7297"/>
    <w:rsid w:val="11FF551A"/>
    <w:rsid w:val="12004DCC"/>
    <w:rsid w:val="12015736"/>
    <w:rsid w:val="120314AE"/>
    <w:rsid w:val="12032D71"/>
    <w:rsid w:val="12042934"/>
    <w:rsid w:val="12072620"/>
    <w:rsid w:val="1209283C"/>
    <w:rsid w:val="120C624E"/>
    <w:rsid w:val="120D16B2"/>
    <w:rsid w:val="120D40DA"/>
    <w:rsid w:val="120E7E53"/>
    <w:rsid w:val="12103BCB"/>
    <w:rsid w:val="12105979"/>
    <w:rsid w:val="121300A2"/>
    <w:rsid w:val="12144FC0"/>
    <w:rsid w:val="121511E1"/>
    <w:rsid w:val="12154D3D"/>
    <w:rsid w:val="12187DE7"/>
    <w:rsid w:val="121C60CC"/>
    <w:rsid w:val="121D1E44"/>
    <w:rsid w:val="121D3BF2"/>
    <w:rsid w:val="122076A1"/>
    <w:rsid w:val="12211934"/>
    <w:rsid w:val="12260CF8"/>
    <w:rsid w:val="122D2087"/>
    <w:rsid w:val="12342733"/>
    <w:rsid w:val="12353631"/>
    <w:rsid w:val="123569BF"/>
    <w:rsid w:val="1235791F"/>
    <w:rsid w:val="12374CB3"/>
    <w:rsid w:val="12380A2C"/>
    <w:rsid w:val="123B7AF5"/>
    <w:rsid w:val="123C676E"/>
    <w:rsid w:val="123E6BA9"/>
    <w:rsid w:val="123F4338"/>
    <w:rsid w:val="123F4AC3"/>
    <w:rsid w:val="12413D84"/>
    <w:rsid w:val="124243FD"/>
    <w:rsid w:val="1243034D"/>
    <w:rsid w:val="12435D4E"/>
    <w:rsid w:val="12443874"/>
    <w:rsid w:val="124473D0"/>
    <w:rsid w:val="1245103A"/>
    <w:rsid w:val="1246139A"/>
    <w:rsid w:val="124A70DD"/>
    <w:rsid w:val="124A7724"/>
    <w:rsid w:val="124E024F"/>
    <w:rsid w:val="124E7C83"/>
    <w:rsid w:val="12505D75"/>
    <w:rsid w:val="12525738"/>
    <w:rsid w:val="12525F91"/>
    <w:rsid w:val="12535865"/>
    <w:rsid w:val="1255782F"/>
    <w:rsid w:val="125629DD"/>
    <w:rsid w:val="125735A8"/>
    <w:rsid w:val="125759BD"/>
    <w:rsid w:val="125910CE"/>
    <w:rsid w:val="125F245C"/>
    <w:rsid w:val="12641A72"/>
    <w:rsid w:val="12665599"/>
    <w:rsid w:val="12696E37"/>
    <w:rsid w:val="126B0E01"/>
    <w:rsid w:val="126C30D5"/>
    <w:rsid w:val="126C329A"/>
    <w:rsid w:val="126F08F1"/>
    <w:rsid w:val="127001C5"/>
    <w:rsid w:val="1271078C"/>
    <w:rsid w:val="127203E1"/>
    <w:rsid w:val="12745F08"/>
    <w:rsid w:val="12751C80"/>
    <w:rsid w:val="127A1044"/>
    <w:rsid w:val="127A7296"/>
    <w:rsid w:val="127B5307"/>
    <w:rsid w:val="127C6B6A"/>
    <w:rsid w:val="127C6D88"/>
    <w:rsid w:val="127C7ED8"/>
    <w:rsid w:val="127D2E09"/>
    <w:rsid w:val="127E0B34"/>
    <w:rsid w:val="127E6D86"/>
    <w:rsid w:val="12802AFE"/>
    <w:rsid w:val="12827872"/>
    <w:rsid w:val="12891287"/>
    <w:rsid w:val="128B14A3"/>
    <w:rsid w:val="128D6FC9"/>
    <w:rsid w:val="12904837"/>
    <w:rsid w:val="12905D43"/>
    <w:rsid w:val="12961F72"/>
    <w:rsid w:val="12977E48"/>
    <w:rsid w:val="12991800"/>
    <w:rsid w:val="129B6A9E"/>
    <w:rsid w:val="129E06A0"/>
    <w:rsid w:val="129E4D32"/>
    <w:rsid w:val="12A019F6"/>
    <w:rsid w:val="12A32349"/>
    <w:rsid w:val="12A668E6"/>
    <w:rsid w:val="12A706E1"/>
    <w:rsid w:val="12A731F1"/>
    <w:rsid w:val="12A73712"/>
    <w:rsid w:val="12A8795F"/>
    <w:rsid w:val="12AA1929"/>
    <w:rsid w:val="12AA36D7"/>
    <w:rsid w:val="12AB3A2D"/>
    <w:rsid w:val="12AD1419"/>
    <w:rsid w:val="12B02EA0"/>
    <w:rsid w:val="12B10F0A"/>
    <w:rsid w:val="12B201C4"/>
    <w:rsid w:val="12B207DE"/>
    <w:rsid w:val="12B46304"/>
    <w:rsid w:val="12B47C01"/>
    <w:rsid w:val="12BA7692"/>
    <w:rsid w:val="12BC165D"/>
    <w:rsid w:val="12C015B1"/>
    <w:rsid w:val="12C119B6"/>
    <w:rsid w:val="12C43AFC"/>
    <w:rsid w:val="12C50B46"/>
    <w:rsid w:val="12CD386A"/>
    <w:rsid w:val="12CD633D"/>
    <w:rsid w:val="12D105F7"/>
    <w:rsid w:val="12D43A76"/>
    <w:rsid w:val="12D70831"/>
    <w:rsid w:val="12D740DA"/>
    <w:rsid w:val="12DF21F8"/>
    <w:rsid w:val="12E0359D"/>
    <w:rsid w:val="12E12E71"/>
    <w:rsid w:val="12E177FF"/>
    <w:rsid w:val="12E36BE9"/>
    <w:rsid w:val="12E41E2C"/>
    <w:rsid w:val="12EA441C"/>
    <w:rsid w:val="12EA5817"/>
    <w:rsid w:val="12EB3CF0"/>
    <w:rsid w:val="12ED06E6"/>
    <w:rsid w:val="12ED7A68"/>
    <w:rsid w:val="12EE01F9"/>
    <w:rsid w:val="12EE3177"/>
    <w:rsid w:val="12EE5628"/>
    <w:rsid w:val="12EF1A32"/>
    <w:rsid w:val="12EF6F01"/>
    <w:rsid w:val="12F11306"/>
    <w:rsid w:val="12F457CE"/>
    <w:rsid w:val="12F603C9"/>
    <w:rsid w:val="12F64B6E"/>
    <w:rsid w:val="12F708E7"/>
    <w:rsid w:val="12F71C17"/>
    <w:rsid w:val="12F84AB4"/>
    <w:rsid w:val="12F8573B"/>
    <w:rsid w:val="12F93E7C"/>
    <w:rsid w:val="12FD27F6"/>
    <w:rsid w:val="12FF42E8"/>
    <w:rsid w:val="13023513"/>
    <w:rsid w:val="130A686C"/>
    <w:rsid w:val="130C25E4"/>
    <w:rsid w:val="130C4392"/>
    <w:rsid w:val="130C6140"/>
    <w:rsid w:val="131119A8"/>
    <w:rsid w:val="13113756"/>
    <w:rsid w:val="131274CE"/>
    <w:rsid w:val="13143247"/>
    <w:rsid w:val="131646AF"/>
    <w:rsid w:val="131977B0"/>
    <w:rsid w:val="131C20FB"/>
    <w:rsid w:val="131C53CB"/>
    <w:rsid w:val="13203999"/>
    <w:rsid w:val="13223BB5"/>
    <w:rsid w:val="132437C9"/>
    <w:rsid w:val="13250FB0"/>
    <w:rsid w:val="13290E76"/>
    <w:rsid w:val="132D4908"/>
    <w:rsid w:val="132D60B6"/>
    <w:rsid w:val="132F62D2"/>
    <w:rsid w:val="13313DF9"/>
    <w:rsid w:val="13347445"/>
    <w:rsid w:val="13354C50"/>
    <w:rsid w:val="13367661"/>
    <w:rsid w:val="13382F7C"/>
    <w:rsid w:val="13392E6D"/>
    <w:rsid w:val="133F61FB"/>
    <w:rsid w:val="1340228E"/>
    <w:rsid w:val="1340403C"/>
    <w:rsid w:val="13407460"/>
    <w:rsid w:val="13421B62"/>
    <w:rsid w:val="13427DB4"/>
    <w:rsid w:val="13431A4F"/>
    <w:rsid w:val="13433B2C"/>
    <w:rsid w:val="13451652"/>
    <w:rsid w:val="13453400"/>
    <w:rsid w:val="13491142"/>
    <w:rsid w:val="134A0035"/>
    <w:rsid w:val="134C478E"/>
    <w:rsid w:val="134F427F"/>
    <w:rsid w:val="13511DA5"/>
    <w:rsid w:val="1351449B"/>
    <w:rsid w:val="13542E8D"/>
    <w:rsid w:val="13581385"/>
    <w:rsid w:val="135A3344"/>
    <w:rsid w:val="135B0E75"/>
    <w:rsid w:val="135B2456"/>
    <w:rsid w:val="135E2714"/>
    <w:rsid w:val="135F763C"/>
    <w:rsid w:val="136046DE"/>
    <w:rsid w:val="13606F15"/>
    <w:rsid w:val="13623FB2"/>
    <w:rsid w:val="13631E88"/>
    <w:rsid w:val="13637D2A"/>
    <w:rsid w:val="136B15CD"/>
    <w:rsid w:val="136E0BA9"/>
    <w:rsid w:val="136E4E00"/>
    <w:rsid w:val="13702B73"/>
    <w:rsid w:val="13712B66"/>
    <w:rsid w:val="13724665"/>
    <w:rsid w:val="13781A27"/>
    <w:rsid w:val="137837D5"/>
    <w:rsid w:val="13785584"/>
    <w:rsid w:val="137912FC"/>
    <w:rsid w:val="137A0B3F"/>
    <w:rsid w:val="137A7C32"/>
    <w:rsid w:val="137D703E"/>
    <w:rsid w:val="137E6912"/>
    <w:rsid w:val="137F34E4"/>
    <w:rsid w:val="138228A6"/>
    <w:rsid w:val="13822B81"/>
    <w:rsid w:val="13854A28"/>
    <w:rsid w:val="138630FC"/>
    <w:rsid w:val="13893C35"/>
    <w:rsid w:val="13897791"/>
    <w:rsid w:val="138A5BED"/>
    <w:rsid w:val="138A6F08"/>
    <w:rsid w:val="138E4DA7"/>
    <w:rsid w:val="13912A93"/>
    <w:rsid w:val="13957CB9"/>
    <w:rsid w:val="139A199E"/>
    <w:rsid w:val="139B61FD"/>
    <w:rsid w:val="139D188B"/>
    <w:rsid w:val="139D56D2"/>
    <w:rsid w:val="139F5206"/>
    <w:rsid w:val="13A01AF0"/>
    <w:rsid w:val="13A20852"/>
    <w:rsid w:val="13A22600"/>
    <w:rsid w:val="13A744F8"/>
    <w:rsid w:val="13A9398F"/>
    <w:rsid w:val="13AA7707"/>
    <w:rsid w:val="13AC16D1"/>
    <w:rsid w:val="13B42718"/>
    <w:rsid w:val="13B54A2A"/>
    <w:rsid w:val="13B567D8"/>
    <w:rsid w:val="13B642FE"/>
    <w:rsid w:val="13BA5B9C"/>
    <w:rsid w:val="13BC5129"/>
    <w:rsid w:val="13BF31B2"/>
    <w:rsid w:val="13C06F2A"/>
    <w:rsid w:val="13C50722"/>
    <w:rsid w:val="13C6192D"/>
    <w:rsid w:val="13C62793"/>
    <w:rsid w:val="13C702B9"/>
    <w:rsid w:val="13C7475D"/>
    <w:rsid w:val="13C81B1B"/>
    <w:rsid w:val="13C86498"/>
    <w:rsid w:val="13C86E56"/>
    <w:rsid w:val="13C87418"/>
    <w:rsid w:val="13C94031"/>
    <w:rsid w:val="13CB7DA9"/>
    <w:rsid w:val="13CE328A"/>
    <w:rsid w:val="13CE5AEB"/>
    <w:rsid w:val="13D2292A"/>
    <w:rsid w:val="13D529D6"/>
    <w:rsid w:val="13D9398B"/>
    <w:rsid w:val="13DA0911"/>
    <w:rsid w:val="13DF3855"/>
    <w:rsid w:val="13E135E4"/>
    <w:rsid w:val="13E80E38"/>
    <w:rsid w:val="13E86A02"/>
    <w:rsid w:val="13E9022F"/>
    <w:rsid w:val="13E946D3"/>
    <w:rsid w:val="13EA360C"/>
    <w:rsid w:val="13EB55D7"/>
    <w:rsid w:val="13ED41C3"/>
    <w:rsid w:val="13EE5846"/>
    <w:rsid w:val="13EF0E92"/>
    <w:rsid w:val="13F10D43"/>
    <w:rsid w:val="13F76DF0"/>
    <w:rsid w:val="13F866C4"/>
    <w:rsid w:val="13FA41EA"/>
    <w:rsid w:val="140375EF"/>
    <w:rsid w:val="1408243B"/>
    <w:rsid w:val="140908D1"/>
    <w:rsid w:val="14094576"/>
    <w:rsid w:val="140B275F"/>
    <w:rsid w:val="140B63F8"/>
    <w:rsid w:val="140C50F1"/>
    <w:rsid w:val="14103A0E"/>
    <w:rsid w:val="14126A31"/>
    <w:rsid w:val="14131750"/>
    <w:rsid w:val="141334FE"/>
    <w:rsid w:val="141352AC"/>
    <w:rsid w:val="14151024"/>
    <w:rsid w:val="141617B9"/>
    <w:rsid w:val="14171240"/>
    <w:rsid w:val="141727F4"/>
    <w:rsid w:val="14180B15"/>
    <w:rsid w:val="14184FB8"/>
    <w:rsid w:val="141C0605"/>
    <w:rsid w:val="141C12C4"/>
    <w:rsid w:val="141C6857"/>
    <w:rsid w:val="141C6C87"/>
    <w:rsid w:val="141D3A32"/>
    <w:rsid w:val="141F1EA3"/>
    <w:rsid w:val="142179C9"/>
    <w:rsid w:val="14224631"/>
    <w:rsid w:val="14235114"/>
    <w:rsid w:val="14246165"/>
    <w:rsid w:val="14264FE0"/>
    <w:rsid w:val="1429210D"/>
    <w:rsid w:val="14294FB5"/>
    <w:rsid w:val="142A4557"/>
    <w:rsid w:val="142B2081"/>
    <w:rsid w:val="142B677C"/>
    <w:rsid w:val="142B6A9A"/>
    <w:rsid w:val="142E54CB"/>
    <w:rsid w:val="142F202D"/>
    <w:rsid w:val="142F2704"/>
    <w:rsid w:val="14333BA0"/>
    <w:rsid w:val="14357918"/>
    <w:rsid w:val="14363DC9"/>
    <w:rsid w:val="143811B7"/>
    <w:rsid w:val="14397409"/>
    <w:rsid w:val="143C61AE"/>
    <w:rsid w:val="143D1571"/>
    <w:rsid w:val="143D5096"/>
    <w:rsid w:val="143D7478"/>
    <w:rsid w:val="143E2110"/>
    <w:rsid w:val="143E2D27"/>
    <w:rsid w:val="144018A0"/>
    <w:rsid w:val="14411C3A"/>
    <w:rsid w:val="144135AB"/>
    <w:rsid w:val="1442123D"/>
    <w:rsid w:val="14425B91"/>
    <w:rsid w:val="14435ECB"/>
    <w:rsid w:val="14436503"/>
    <w:rsid w:val="1444735B"/>
    <w:rsid w:val="144679F0"/>
    <w:rsid w:val="144705DE"/>
    <w:rsid w:val="14484ED0"/>
    <w:rsid w:val="14495172"/>
    <w:rsid w:val="144C76BE"/>
    <w:rsid w:val="144D471F"/>
    <w:rsid w:val="14504752"/>
    <w:rsid w:val="1458550B"/>
    <w:rsid w:val="145E56A4"/>
    <w:rsid w:val="14602603"/>
    <w:rsid w:val="14624D7D"/>
    <w:rsid w:val="14630544"/>
    <w:rsid w:val="14632F8D"/>
    <w:rsid w:val="14681A9C"/>
    <w:rsid w:val="146855F8"/>
    <w:rsid w:val="14691002"/>
    <w:rsid w:val="14691370"/>
    <w:rsid w:val="146D0E60"/>
    <w:rsid w:val="146E5BB6"/>
    <w:rsid w:val="14706BA3"/>
    <w:rsid w:val="14740441"/>
    <w:rsid w:val="1478624B"/>
    <w:rsid w:val="147953AA"/>
    <w:rsid w:val="147C1D2F"/>
    <w:rsid w:val="147D6E97"/>
    <w:rsid w:val="147E5951"/>
    <w:rsid w:val="14811F83"/>
    <w:rsid w:val="148166BA"/>
    <w:rsid w:val="148443FC"/>
    <w:rsid w:val="1485511B"/>
    <w:rsid w:val="14883EEC"/>
    <w:rsid w:val="14885C9A"/>
    <w:rsid w:val="1488724D"/>
    <w:rsid w:val="148937C0"/>
    <w:rsid w:val="14894F45"/>
    <w:rsid w:val="148D2E09"/>
    <w:rsid w:val="148D45F4"/>
    <w:rsid w:val="148D56A6"/>
    <w:rsid w:val="148E3042"/>
    <w:rsid w:val="1490670C"/>
    <w:rsid w:val="14935149"/>
    <w:rsid w:val="149363ED"/>
    <w:rsid w:val="149615C3"/>
    <w:rsid w:val="14983A03"/>
    <w:rsid w:val="149A3C1F"/>
    <w:rsid w:val="149C3354"/>
    <w:rsid w:val="149C7998"/>
    <w:rsid w:val="14A64372"/>
    <w:rsid w:val="14AB7BDB"/>
    <w:rsid w:val="14AC1173"/>
    <w:rsid w:val="14AE41E5"/>
    <w:rsid w:val="14B1056C"/>
    <w:rsid w:val="14B20F69"/>
    <w:rsid w:val="14B26F05"/>
    <w:rsid w:val="14B27262"/>
    <w:rsid w:val="14B3099F"/>
    <w:rsid w:val="14B43BFF"/>
    <w:rsid w:val="14B52807"/>
    <w:rsid w:val="14B5364C"/>
    <w:rsid w:val="14B60A59"/>
    <w:rsid w:val="14B7032D"/>
    <w:rsid w:val="14B9773F"/>
    <w:rsid w:val="14BB7AA2"/>
    <w:rsid w:val="14BC5D06"/>
    <w:rsid w:val="14BC76F2"/>
    <w:rsid w:val="14BD72BC"/>
    <w:rsid w:val="14BD76C0"/>
    <w:rsid w:val="14BF24DC"/>
    <w:rsid w:val="14BF29AF"/>
    <w:rsid w:val="14C242DC"/>
    <w:rsid w:val="14C376F9"/>
    <w:rsid w:val="14C52A4A"/>
    <w:rsid w:val="14C65435"/>
    <w:rsid w:val="14C82772"/>
    <w:rsid w:val="14CA3BC4"/>
    <w:rsid w:val="14CD7B51"/>
    <w:rsid w:val="14CF1B1B"/>
    <w:rsid w:val="14CF38C9"/>
    <w:rsid w:val="14CF5677"/>
    <w:rsid w:val="14D233B9"/>
    <w:rsid w:val="14D26F15"/>
    <w:rsid w:val="14D52C06"/>
    <w:rsid w:val="14D709D0"/>
    <w:rsid w:val="14DC1B42"/>
    <w:rsid w:val="14E07D19"/>
    <w:rsid w:val="14E34C69"/>
    <w:rsid w:val="14E4693C"/>
    <w:rsid w:val="14E54675"/>
    <w:rsid w:val="14E54802"/>
    <w:rsid w:val="14E6365A"/>
    <w:rsid w:val="14E804E7"/>
    <w:rsid w:val="14E8498B"/>
    <w:rsid w:val="14EB154F"/>
    <w:rsid w:val="14EB7FD7"/>
    <w:rsid w:val="14EC0958"/>
    <w:rsid w:val="14EC11E4"/>
    <w:rsid w:val="14EC5101"/>
    <w:rsid w:val="14ED01F3"/>
    <w:rsid w:val="14ED3D4F"/>
    <w:rsid w:val="14ED3F87"/>
    <w:rsid w:val="14EE1C90"/>
    <w:rsid w:val="14EF46DF"/>
    <w:rsid w:val="14F43330"/>
    <w:rsid w:val="14F5074A"/>
    <w:rsid w:val="14F670A8"/>
    <w:rsid w:val="14F926F4"/>
    <w:rsid w:val="14FA3656"/>
    <w:rsid w:val="14FC0436"/>
    <w:rsid w:val="14FC30CF"/>
    <w:rsid w:val="14FE26D5"/>
    <w:rsid w:val="14FE41AE"/>
    <w:rsid w:val="14FE5F5C"/>
    <w:rsid w:val="15082937"/>
    <w:rsid w:val="15086EEE"/>
    <w:rsid w:val="150870B3"/>
    <w:rsid w:val="150A2B53"/>
    <w:rsid w:val="150A47FA"/>
    <w:rsid w:val="150B2427"/>
    <w:rsid w:val="150D5150"/>
    <w:rsid w:val="15113EE2"/>
    <w:rsid w:val="15115C90"/>
    <w:rsid w:val="1514752E"/>
    <w:rsid w:val="15161052"/>
    <w:rsid w:val="15170DCC"/>
    <w:rsid w:val="15192D96"/>
    <w:rsid w:val="151E215B"/>
    <w:rsid w:val="152139F9"/>
    <w:rsid w:val="15233C15"/>
    <w:rsid w:val="1525275F"/>
    <w:rsid w:val="152754B3"/>
    <w:rsid w:val="152B4878"/>
    <w:rsid w:val="152B5200"/>
    <w:rsid w:val="152F4368"/>
    <w:rsid w:val="152F6116"/>
    <w:rsid w:val="15306131"/>
    <w:rsid w:val="15306422"/>
    <w:rsid w:val="15325C06"/>
    <w:rsid w:val="1534372C"/>
    <w:rsid w:val="15396F94"/>
    <w:rsid w:val="153B4ABB"/>
    <w:rsid w:val="15432254"/>
    <w:rsid w:val="15436065"/>
    <w:rsid w:val="15436ADA"/>
    <w:rsid w:val="15437E13"/>
    <w:rsid w:val="15482CFA"/>
    <w:rsid w:val="15485AA9"/>
    <w:rsid w:val="15497818"/>
    <w:rsid w:val="154C4F1A"/>
    <w:rsid w:val="154F0566"/>
    <w:rsid w:val="15520BE1"/>
    <w:rsid w:val="15521E10"/>
    <w:rsid w:val="155344FA"/>
    <w:rsid w:val="15545B7C"/>
    <w:rsid w:val="15565D98"/>
    <w:rsid w:val="1557566D"/>
    <w:rsid w:val="15591DB4"/>
    <w:rsid w:val="15593193"/>
    <w:rsid w:val="155A4C95"/>
    <w:rsid w:val="155C53FF"/>
    <w:rsid w:val="155D7127"/>
    <w:rsid w:val="155E0F1E"/>
    <w:rsid w:val="15605E79"/>
    <w:rsid w:val="15620C93"/>
    <w:rsid w:val="15657D89"/>
    <w:rsid w:val="15695ACC"/>
    <w:rsid w:val="156A53A0"/>
    <w:rsid w:val="156C13D0"/>
    <w:rsid w:val="156C736A"/>
    <w:rsid w:val="156E4978"/>
    <w:rsid w:val="1570031F"/>
    <w:rsid w:val="15712BD2"/>
    <w:rsid w:val="15735CFA"/>
    <w:rsid w:val="15744470"/>
    <w:rsid w:val="1574621E"/>
    <w:rsid w:val="15781464"/>
    <w:rsid w:val="157955E3"/>
    <w:rsid w:val="157B57FF"/>
    <w:rsid w:val="157F52EF"/>
    <w:rsid w:val="15836462"/>
    <w:rsid w:val="1584754E"/>
    <w:rsid w:val="15890F77"/>
    <w:rsid w:val="1589441B"/>
    <w:rsid w:val="158C3568"/>
    <w:rsid w:val="158D108E"/>
    <w:rsid w:val="158E5532"/>
    <w:rsid w:val="158F4E06"/>
    <w:rsid w:val="15961B0D"/>
    <w:rsid w:val="15962639"/>
    <w:rsid w:val="15973CBB"/>
    <w:rsid w:val="159A6830"/>
    <w:rsid w:val="159B37AB"/>
    <w:rsid w:val="159E5049"/>
    <w:rsid w:val="15A05265"/>
    <w:rsid w:val="15A308B2"/>
    <w:rsid w:val="15A33053"/>
    <w:rsid w:val="15A703A2"/>
    <w:rsid w:val="15A765F4"/>
    <w:rsid w:val="15A83398"/>
    <w:rsid w:val="15A84347"/>
    <w:rsid w:val="15A922C4"/>
    <w:rsid w:val="15AC7766"/>
    <w:rsid w:val="15AE0920"/>
    <w:rsid w:val="15AE34DE"/>
    <w:rsid w:val="15AE3FF0"/>
    <w:rsid w:val="15B01A2B"/>
    <w:rsid w:val="15B048FD"/>
    <w:rsid w:val="15B34F99"/>
    <w:rsid w:val="15B61CF7"/>
    <w:rsid w:val="15B8435D"/>
    <w:rsid w:val="15B8610B"/>
    <w:rsid w:val="15BA1E98"/>
    <w:rsid w:val="15BB3E4D"/>
    <w:rsid w:val="15BC073A"/>
    <w:rsid w:val="15BD7BC5"/>
    <w:rsid w:val="15BF56EC"/>
    <w:rsid w:val="15C727F2"/>
    <w:rsid w:val="15C72899"/>
    <w:rsid w:val="15C7386F"/>
    <w:rsid w:val="15C90318"/>
    <w:rsid w:val="15CA21A7"/>
    <w:rsid w:val="15CC6333"/>
    <w:rsid w:val="15CD3837"/>
    <w:rsid w:val="15CE592F"/>
    <w:rsid w:val="15D31197"/>
    <w:rsid w:val="15D50CA5"/>
    <w:rsid w:val="15D55DE5"/>
    <w:rsid w:val="15D66ED9"/>
    <w:rsid w:val="15DA0777"/>
    <w:rsid w:val="15DB004C"/>
    <w:rsid w:val="15DB629E"/>
    <w:rsid w:val="15E038B4"/>
    <w:rsid w:val="15E45152"/>
    <w:rsid w:val="15E46F00"/>
    <w:rsid w:val="15E64540"/>
    <w:rsid w:val="15E92769"/>
    <w:rsid w:val="15EA397F"/>
    <w:rsid w:val="15EF58A5"/>
    <w:rsid w:val="15F07F9B"/>
    <w:rsid w:val="15F1021F"/>
    <w:rsid w:val="15F15AC1"/>
    <w:rsid w:val="15F555B1"/>
    <w:rsid w:val="15F5735F"/>
    <w:rsid w:val="15F745E6"/>
    <w:rsid w:val="15F80BFE"/>
    <w:rsid w:val="15F829AC"/>
    <w:rsid w:val="15FD4466"/>
    <w:rsid w:val="15FF4094"/>
    <w:rsid w:val="15FF54BC"/>
    <w:rsid w:val="16033E62"/>
    <w:rsid w:val="160457F4"/>
    <w:rsid w:val="16050CEC"/>
    <w:rsid w:val="1605735B"/>
    <w:rsid w:val="16072CE0"/>
    <w:rsid w:val="160855D3"/>
    <w:rsid w:val="1609105D"/>
    <w:rsid w:val="1609594A"/>
    <w:rsid w:val="16097F0F"/>
    <w:rsid w:val="160B6B83"/>
    <w:rsid w:val="160C46A9"/>
    <w:rsid w:val="160D2DE2"/>
    <w:rsid w:val="160D2E3F"/>
    <w:rsid w:val="160E4121"/>
    <w:rsid w:val="161001F1"/>
    <w:rsid w:val="161741B4"/>
    <w:rsid w:val="16175528"/>
    <w:rsid w:val="1617627A"/>
    <w:rsid w:val="16191346"/>
    <w:rsid w:val="161A0033"/>
    <w:rsid w:val="161C2B3E"/>
    <w:rsid w:val="161D68B6"/>
    <w:rsid w:val="161F618A"/>
    <w:rsid w:val="162005C0"/>
    <w:rsid w:val="16227A29"/>
    <w:rsid w:val="1626576B"/>
    <w:rsid w:val="162947E2"/>
    <w:rsid w:val="162B0FD3"/>
    <w:rsid w:val="162B2D81"/>
    <w:rsid w:val="162C7CB7"/>
    <w:rsid w:val="162E461F"/>
    <w:rsid w:val="162F17D3"/>
    <w:rsid w:val="16302145"/>
    <w:rsid w:val="1631337C"/>
    <w:rsid w:val="16361726"/>
    <w:rsid w:val="163C7FBE"/>
    <w:rsid w:val="163D0D06"/>
    <w:rsid w:val="164200CB"/>
    <w:rsid w:val="16421E79"/>
    <w:rsid w:val="16461969"/>
    <w:rsid w:val="1647748F"/>
    <w:rsid w:val="164C2CF7"/>
    <w:rsid w:val="164D0F49"/>
    <w:rsid w:val="164D3FE5"/>
    <w:rsid w:val="164D5BED"/>
    <w:rsid w:val="164E081E"/>
    <w:rsid w:val="165110B9"/>
    <w:rsid w:val="165322D8"/>
    <w:rsid w:val="16573AA7"/>
    <w:rsid w:val="16583490"/>
    <w:rsid w:val="16596B12"/>
    <w:rsid w:val="165A18B8"/>
    <w:rsid w:val="165A7C71"/>
    <w:rsid w:val="166149F5"/>
    <w:rsid w:val="166167A3"/>
    <w:rsid w:val="16620EAE"/>
    <w:rsid w:val="16640041"/>
    <w:rsid w:val="166718DF"/>
    <w:rsid w:val="166938A9"/>
    <w:rsid w:val="166B499D"/>
    <w:rsid w:val="16704C38"/>
    <w:rsid w:val="1672275E"/>
    <w:rsid w:val="16724536"/>
    <w:rsid w:val="16734519"/>
    <w:rsid w:val="167548BC"/>
    <w:rsid w:val="16761AB0"/>
    <w:rsid w:val="16782A7D"/>
    <w:rsid w:val="167A7865"/>
    <w:rsid w:val="168129A1"/>
    <w:rsid w:val="16813FC1"/>
    <w:rsid w:val="16831C06"/>
    <w:rsid w:val="16837291"/>
    <w:rsid w:val="16846E3B"/>
    <w:rsid w:val="168626AD"/>
    <w:rsid w:val="168801D3"/>
    <w:rsid w:val="16895CFA"/>
    <w:rsid w:val="168C1346"/>
    <w:rsid w:val="168E1562"/>
    <w:rsid w:val="16920E3C"/>
    <w:rsid w:val="16922E00"/>
    <w:rsid w:val="16946B78"/>
    <w:rsid w:val="169907E9"/>
    <w:rsid w:val="169923E1"/>
    <w:rsid w:val="16992F61"/>
    <w:rsid w:val="169C77DB"/>
    <w:rsid w:val="16A56F42"/>
    <w:rsid w:val="16A62408"/>
    <w:rsid w:val="16A91EF8"/>
    <w:rsid w:val="16AD3796"/>
    <w:rsid w:val="16B02866"/>
    <w:rsid w:val="16B17081"/>
    <w:rsid w:val="16B3323F"/>
    <w:rsid w:val="16B335E3"/>
    <w:rsid w:val="16B34B25"/>
    <w:rsid w:val="16B40FC8"/>
    <w:rsid w:val="16B4461D"/>
    <w:rsid w:val="16B5271D"/>
    <w:rsid w:val="16B54D41"/>
    <w:rsid w:val="16B70AB9"/>
    <w:rsid w:val="16BA5DAD"/>
    <w:rsid w:val="16BC7E7D"/>
    <w:rsid w:val="16BF171B"/>
    <w:rsid w:val="16BF1FD6"/>
    <w:rsid w:val="16C136E5"/>
    <w:rsid w:val="16C84A74"/>
    <w:rsid w:val="16CB6312"/>
    <w:rsid w:val="16CE50F1"/>
    <w:rsid w:val="16D00F31"/>
    <w:rsid w:val="16D056D6"/>
    <w:rsid w:val="16D36F75"/>
    <w:rsid w:val="16D50F3F"/>
    <w:rsid w:val="16D52CED"/>
    <w:rsid w:val="16DE4297"/>
    <w:rsid w:val="16E06DF6"/>
    <w:rsid w:val="16E66CA8"/>
    <w:rsid w:val="16E91669"/>
    <w:rsid w:val="16E921FA"/>
    <w:rsid w:val="16E922E1"/>
    <w:rsid w:val="16EA2C3C"/>
    <w:rsid w:val="16EB42BE"/>
    <w:rsid w:val="16F2564D"/>
    <w:rsid w:val="16F27D5E"/>
    <w:rsid w:val="16F412D7"/>
    <w:rsid w:val="16F47617"/>
    <w:rsid w:val="16F5513D"/>
    <w:rsid w:val="16F70EB5"/>
    <w:rsid w:val="16F76DA3"/>
    <w:rsid w:val="16F77107"/>
    <w:rsid w:val="16FC64CC"/>
    <w:rsid w:val="16FE0496"/>
    <w:rsid w:val="16FE530E"/>
    <w:rsid w:val="16FF3FF7"/>
    <w:rsid w:val="1700420E"/>
    <w:rsid w:val="17005FBC"/>
    <w:rsid w:val="17057837"/>
    <w:rsid w:val="17057A40"/>
    <w:rsid w:val="17066772"/>
    <w:rsid w:val="170762D6"/>
    <w:rsid w:val="17087858"/>
    <w:rsid w:val="17096C1F"/>
    <w:rsid w:val="170A508C"/>
    <w:rsid w:val="170A6E3A"/>
    <w:rsid w:val="170B6505"/>
    <w:rsid w:val="170E6C31"/>
    <w:rsid w:val="170F26A3"/>
    <w:rsid w:val="1711641B"/>
    <w:rsid w:val="1712072B"/>
    <w:rsid w:val="1712503E"/>
    <w:rsid w:val="17141EB2"/>
    <w:rsid w:val="1716248C"/>
    <w:rsid w:val="171862DF"/>
    <w:rsid w:val="171A0BFF"/>
    <w:rsid w:val="171B6AD4"/>
    <w:rsid w:val="17201528"/>
    <w:rsid w:val="172024A5"/>
    <w:rsid w:val="1720665E"/>
    <w:rsid w:val="17214184"/>
    <w:rsid w:val="17233577"/>
    <w:rsid w:val="17242B35"/>
    <w:rsid w:val="172932E5"/>
    <w:rsid w:val="172B0B5F"/>
    <w:rsid w:val="172B3A97"/>
    <w:rsid w:val="172C2525"/>
    <w:rsid w:val="172D0FFE"/>
    <w:rsid w:val="172D2F59"/>
    <w:rsid w:val="1732013F"/>
    <w:rsid w:val="173254C8"/>
    <w:rsid w:val="17326391"/>
    <w:rsid w:val="173369A0"/>
    <w:rsid w:val="17367C2F"/>
    <w:rsid w:val="173C4B1A"/>
    <w:rsid w:val="173F6ABB"/>
    <w:rsid w:val="1740460A"/>
    <w:rsid w:val="17417784"/>
    <w:rsid w:val="17423429"/>
    <w:rsid w:val="17427E0B"/>
    <w:rsid w:val="17430EAD"/>
    <w:rsid w:val="174329DC"/>
    <w:rsid w:val="174560C4"/>
    <w:rsid w:val="17493CDA"/>
    <w:rsid w:val="174979EB"/>
    <w:rsid w:val="174B4BAD"/>
    <w:rsid w:val="174D3905"/>
    <w:rsid w:val="174D6D27"/>
    <w:rsid w:val="174F6F43"/>
    <w:rsid w:val="175005C5"/>
    <w:rsid w:val="1750298E"/>
    <w:rsid w:val="1750629D"/>
    <w:rsid w:val="17510D31"/>
    <w:rsid w:val="175400B6"/>
    <w:rsid w:val="17542220"/>
    <w:rsid w:val="175C51BC"/>
    <w:rsid w:val="175C6F6A"/>
    <w:rsid w:val="175E0F34"/>
    <w:rsid w:val="175E473E"/>
    <w:rsid w:val="176606B7"/>
    <w:rsid w:val="1766571A"/>
    <w:rsid w:val="176756C6"/>
    <w:rsid w:val="176A78D9"/>
    <w:rsid w:val="176B01E9"/>
    <w:rsid w:val="176C53FF"/>
    <w:rsid w:val="176E0569"/>
    <w:rsid w:val="176F1DA7"/>
    <w:rsid w:val="17740098"/>
    <w:rsid w:val="177469AA"/>
    <w:rsid w:val="1776002C"/>
    <w:rsid w:val="1777018B"/>
    <w:rsid w:val="177E695D"/>
    <w:rsid w:val="1780534F"/>
    <w:rsid w:val="17842B8C"/>
    <w:rsid w:val="17854713"/>
    <w:rsid w:val="1789364A"/>
    <w:rsid w:val="178D5376"/>
    <w:rsid w:val="1791130A"/>
    <w:rsid w:val="17946704"/>
    <w:rsid w:val="17982457"/>
    <w:rsid w:val="1799326E"/>
    <w:rsid w:val="179B3F36"/>
    <w:rsid w:val="179D24FA"/>
    <w:rsid w:val="179D539B"/>
    <w:rsid w:val="179D7CAF"/>
    <w:rsid w:val="179E3A27"/>
    <w:rsid w:val="179E57D5"/>
    <w:rsid w:val="17A032FB"/>
    <w:rsid w:val="17A0779F"/>
    <w:rsid w:val="17A10052"/>
    <w:rsid w:val="17A15284"/>
    <w:rsid w:val="17A24CCE"/>
    <w:rsid w:val="17A32DEB"/>
    <w:rsid w:val="17A42169"/>
    <w:rsid w:val="17A728DB"/>
    <w:rsid w:val="17A74689"/>
    <w:rsid w:val="17A86FB9"/>
    <w:rsid w:val="17AC7EF2"/>
    <w:rsid w:val="17AF2403"/>
    <w:rsid w:val="17AF6134"/>
    <w:rsid w:val="17B2319A"/>
    <w:rsid w:val="17B360C4"/>
    <w:rsid w:val="17B374D2"/>
    <w:rsid w:val="17B46DA6"/>
    <w:rsid w:val="17B60D70"/>
    <w:rsid w:val="17B75D8F"/>
    <w:rsid w:val="17B84914"/>
    <w:rsid w:val="17B8748A"/>
    <w:rsid w:val="17BB1EE3"/>
    <w:rsid w:val="17BE19D3"/>
    <w:rsid w:val="17C05B51"/>
    <w:rsid w:val="17C074F9"/>
    <w:rsid w:val="17C112A1"/>
    <w:rsid w:val="17C261B5"/>
    <w:rsid w:val="17C26596"/>
    <w:rsid w:val="17CE1BA5"/>
    <w:rsid w:val="17D363F7"/>
    <w:rsid w:val="17DA6952"/>
    <w:rsid w:val="17DD49B3"/>
    <w:rsid w:val="17DF272E"/>
    <w:rsid w:val="17E17026"/>
    <w:rsid w:val="17E21B65"/>
    <w:rsid w:val="17E325A1"/>
    <w:rsid w:val="17E458DD"/>
    <w:rsid w:val="17E72CD8"/>
    <w:rsid w:val="17E86A50"/>
    <w:rsid w:val="17EC6DB3"/>
    <w:rsid w:val="17EE0FBD"/>
    <w:rsid w:val="17EE2AE9"/>
    <w:rsid w:val="17EF371C"/>
    <w:rsid w:val="17F43647"/>
    <w:rsid w:val="17F5541F"/>
    <w:rsid w:val="17FA6EAF"/>
    <w:rsid w:val="17FB2C27"/>
    <w:rsid w:val="17FD074D"/>
    <w:rsid w:val="17FE313F"/>
    <w:rsid w:val="18001FEB"/>
    <w:rsid w:val="18003D99"/>
    <w:rsid w:val="18005551"/>
    <w:rsid w:val="18024F65"/>
    <w:rsid w:val="18027B12"/>
    <w:rsid w:val="18057602"/>
    <w:rsid w:val="18062637"/>
    <w:rsid w:val="180941FC"/>
    <w:rsid w:val="180C273E"/>
    <w:rsid w:val="180E295A"/>
    <w:rsid w:val="180E4708"/>
    <w:rsid w:val="181066D2"/>
    <w:rsid w:val="18133809"/>
    <w:rsid w:val="1813394F"/>
    <w:rsid w:val="18133ACD"/>
    <w:rsid w:val="18136923"/>
    <w:rsid w:val="18144BAA"/>
    <w:rsid w:val="18160940"/>
    <w:rsid w:val="18175678"/>
    <w:rsid w:val="181810E3"/>
    <w:rsid w:val="181B0BD3"/>
    <w:rsid w:val="181D0DEF"/>
    <w:rsid w:val="181D494B"/>
    <w:rsid w:val="181E6D58"/>
    <w:rsid w:val="18212253"/>
    <w:rsid w:val="18221F62"/>
    <w:rsid w:val="18245CDA"/>
    <w:rsid w:val="18251A52"/>
    <w:rsid w:val="182B52BA"/>
    <w:rsid w:val="182D65B9"/>
    <w:rsid w:val="182E4DAB"/>
    <w:rsid w:val="182F12DD"/>
    <w:rsid w:val="18325562"/>
    <w:rsid w:val="18356C52"/>
    <w:rsid w:val="18360C1B"/>
    <w:rsid w:val="18377F44"/>
    <w:rsid w:val="183B4E94"/>
    <w:rsid w:val="183D6D9C"/>
    <w:rsid w:val="18403EE6"/>
    <w:rsid w:val="1840688C"/>
    <w:rsid w:val="184244F2"/>
    <w:rsid w:val="184620F4"/>
    <w:rsid w:val="18473768"/>
    <w:rsid w:val="18492359"/>
    <w:rsid w:val="184A100D"/>
    <w:rsid w:val="184A3267"/>
    <w:rsid w:val="184C3483"/>
    <w:rsid w:val="184D2CC7"/>
    <w:rsid w:val="185354FE"/>
    <w:rsid w:val="18550589"/>
    <w:rsid w:val="18552337"/>
    <w:rsid w:val="18583BD5"/>
    <w:rsid w:val="18585984"/>
    <w:rsid w:val="185A16FC"/>
    <w:rsid w:val="185A27C8"/>
    <w:rsid w:val="185B4D74"/>
    <w:rsid w:val="185C2CD9"/>
    <w:rsid w:val="185D2A7F"/>
    <w:rsid w:val="185D2F9A"/>
    <w:rsid w:val="185D743E"/>
    <w:rsid w:val="185F31B6"/>
    <w:rsid w:val="185F5314"/>
    <w:rsid w:val="18610CDC"/>
    <w:rsid w:val="1864558B"/>
    <w:rsid w:val="18664544"/>
    <w:rsid w:val="1867206B"/>
    <w:rsid w:val="186B1B5B"/>
    <w:rsid w:val="186B36C3"/>
    <w:rsid w:val="18707171"/>
    <w:rsid w:val="18716A45"/>
    <w:rsid w:val="187660A7"/>
    <w:rsid w:val="1877148A"/>
    <w:rsid w:val="187977CB"/>
    <w:rsid w:val="187A784B"/>
    <w:rsid w:val="187B72D5"/>
    <w:rsid w:val="187C7A8E"/>
    <w:rsid w:val="187D1526"/>
    <w:rsid w:val="187E26D8"/>
    <w:rsid w:val="187E2872"/>
    <w:rsid w:val="187E3513"/>
    <w:rsid w:val="187F4F3E"/>
    <w:rsid w:val="1881498A"/>
    <w:rsid w:val="188327F5"/>
    <w:rsid w:val="188350F6"/>
    <w:rsid w:val="18846779"/>
    <w:rsid w:val="188744BB"/>
    <w:rsid w:val="18893950"/>
    <w:rsid w:val="18893D8F"/>
    <w:rsid w:val="188B5D59"/>
    <w:rsid w:val="188C359B"/>
    <w:rsid w:val="188C616C"/>
    <w:rsid w:val="188E6525"/>
    <w:rsid w:val="18925339"/>
    <w:rsid w:val="18940358"/>
    <w:rsid w:val="18964460"/>
    <w:rsid w:val="18966319"/>
    <w:rsid w:val="18967F8F"/>
    <w:rsid w:val="189A4299"/>
    <w:rsid w:val="189B7400"/>
    <w:rsid w:val="189C1D14"/>
    <w:rsid w:val="189E3CDE"/>
    <w:rsid w:val="18A0649E"/>
    <w:rsid w:val="18A137CE"/>
    <w:rsid w:val="18A64941"/>
    <w:rsid w:val="18A66091"/>
    <w:rsid w:val="18AC4015"/>
    <w:rsid w:val="18AE4FE0"/>
    <w:rsid w:val="18AF4F15"/>
    <w:rsid w:val="18B0756E"/>
    <w:rsid w:val="18B2778A"/>
    <w:rsid w:val="18B30864"/>
    <w:rsid w:val="18B76AC3"/>
    <w:rsid w:val="18B828C6"/>
    <w:rsid w:val="18BB3A78"/>
    <w:rsid w:val="18C1177B"/>
    <w:rsid w:val="18C13F1E"/>
    <w:rsid w:val="18C354F3"/>
    <w:rsid w:val="18C748B7"/>
    <w:rsid w:val="18CD0120"/>
    <w:rsid w:val="18CD45C3"/>
    <w:rsid w:val="18D036BA"/>
    <w:rsid w:val="18D07033"/>
    <w:rsid w:val="18D21BDA"/>
    <w:rsid w:val="18D411E6"/>
    <w:rsid w:val="18D53478"/>
    <w:rsid w:val="18D55226"/>
    <w:rsid w:val="18D62220"/>
    <w:rsid w:val="18D92F68"/>
    <w:rsid w:val="18D97FF0"/>
    <w:rsid w:val="18DA6CE0"/>
    <w:rsid w:val="18E461B2"/>
    <w:rsid w:val="18E702C9"/>
    <w:rsid w:val="18E831AB"/>
    <w:rsid w:val="18EA23E1"/>
    <w:rsid w:val="18EF453A"/>
    <w:rsid w:val="18F41B50"/>
    <w:rsid w:val="18F558C8"/>
    <w:rsid w:val="18F8118C"/>
    <w:rsid w:val="18F97A4B"/>
    <w:rsid w:val="18FA6A3B"/>
    <w:rsid w:val="18FB68AA"/>
    <w:rsid w:val="18FC27B3"/>
    <w:rsid w:val="18FC727B"/>
    <w:rsid w:val="18FE652B"/>
    <w:rsid w:val="18FF04F5"/>
    <w:rsid w:val="18FF4051"/>
    <w:rsid w:val="19002AD9"/>
    <w:rsid w:val="19031D93"/>
    <w:rsid w:val="19033B41"/>
    <w:rsid w:val="190675DC"/>
    <w:rsid w:val="19067AD5"/>
    <w:rsid w:val="19073D1E"/>
    <w:rsid w:val="190855FC"/>
    <w:rsid w:val="19095749"/>
    <w:rsid w:val="190D7311"/>
    <w:rsid w:val="19143FA0"/>
    <w:rsid w:val="19157D18"/>
    <w:rsid w:val="19197809"/>
    <w:rsid w:val="191C4C03"/>
    <w:rsid w:val="19283F59"/>
    <w:rsid w:val="19297320"/>
    <w:rsid w:val="192D0BBE"/>
    <w:rsid w:val="192F4936"/>
    <w:rsid w:val="19340262"/>
    <w:rsid w:val="19393B2E"/>
    <w:rsid w:val="193A152D"/>
    <w:rsid w:val="193C7538"/>
    <w:rsid w:val="193D1C1D"/>
    <w:rsid w:val="193E3DEA"/>
    <w:rsid w:val="19404D95"/>
    <w:rsid w:val="19406B43"/>
    <w:rsid w:val="1941466A"/>
    <w:rsid w:val="194303E2"/>
    <w:rsid w:val="19445F08"/>
    <w:rsid w:val="194C5826"/>
    <w:rsid w:val="194D1260"/>
    <w:rsid w:val="194D74B2"/>
    <w:rsid w:val="19502AFF"/>
    <w:rsid w:val="19510D51"/>
    <w:rsid w:val="19516372"/>
    <w:rsid w:val="19540841"/>
    <w:rsid w:val="1956627C"/>
    <w:rsid w:val="19566367"/>
    <w:rsid w:val="1959420D"/>
    <w:rsid w:val="195C5947"/>
    <w:rsid w:val="195C76F5"/>
    <w:rsid w:val="195F2D42"/>
    <w:rsid w:val="19600F94"/>
    <w:rsid w:val="19662322"/>
    <w:rsid w:val="196640D0"/>
    <w:rsid w:val="19670574"/>
    <w:rsid w:val="19676254"/>
    <w:rsid w:val="196820BE"/>
    <w:rsid w:val="19697BFA"/>
    <w:rsid w:val="196A2016"/>
    <w:rsid w:val="196A3BC0"/>
    <w:rsid w:val="196B7938"/>
    <w:rsid w:val="196D545F"/>
    <w:rsid w:val="196F11D7"/>
    <w:rsid w:val="19727C40"/>
    <w:rsid w:val="19762565"/>
    <w:rsid w:val="1977008B"/>
    <w:rsid w:val="197902A7"/>
    <w:rsid w:val="19793E03"/>
    <w:rsid w:val="197C38F4"/>
    <w:rsid w:val="1981715C"/>
    <w:rsid w:val="198253AE"/>
    <w:rsid w:val="198307A0"/>
    <w:rsid w:val="19836A30"/>
    <w:rsid w:val="19837B96"/>
    <w:rsid w:val="198563BA"/>
    <w:rsid w:val="19882298"/>
    <w:rsid w:val="1988673C"/>
    <w:rsid w:val="198A08A3"/>
    <w:rsid w:val="198C07E7"/>
    <w:rsid w:val="198D7236"/>
    <w:rsid w:val="1990376A"/>
    <w:rsid w:val="1991288D"/>
    <w:rsid w:val="199826A2"/>
    <w:rsid w:val="199928BC"/>
    <w:rsid w:val="199A2A8A"/>
    <w:rsid w:val="199B6470"/>
    <w:rsid w:val="199E2CD2"/>
    <w:rsid w:val="19A001FF"/>
    <w:rsid w:val="19A1157D"/>
    <w:rsid w:val="19A215AC"/>
    <w:rsid w:val="19A22731"/>
    <w:rsid w:val="19A30E80"/>
    <w:rsid w:val="19A31B3A"/>
    <w:rsid w:val="19A360B0"/>
    <w:rsid w:val="19A466D8"/>
    <w:rsid w:val="19A5109C"/>
    <w:rsid w:val="19A53D57"/>
    <w:rsid w:val="19A74E14"/>
    <w:rsid w:val="19A846E9"/>
    <w:rsid w:val="19AA0461"/>
    <w:rsid w:val="19AD1CFF"/>
    <w:rsid w:val="19AD7F51"/>
    <w:rsid w:val="19B04F57"/>
    <w:rsid w:val="19B117EF"/>
    <w:rsid w:val="19B17A41"/>
    <w:rsid w:val="19B246A6"/>
    <w:rsid w:val="19B42B09"/>
    <w:rsid w:val="19B60BB4"/>
    <w:rsid w:val="19B94B48"/>
    <w:rsid w:val="19BB08C0"/>
    <w:rsid w:val="19BD0194"/>
    <w:rsid w:val="19BE3EE6"/>
    <w:rsid w:val="19BF7295"/>
    <w:rsid w:val="19C01422"/>
    <w:rsid w:val="19C07C84"/>
    <w:rsid w:val="19C11B7D"/>
    <w:rsid w:val="19C3210F"/>
    <w:rsid w:val="19C71013"/>
    <w:rsid w:val="19C861D5"/>
    <w:rsid w:val="19CA019A"/>
    <w:rsid w:val="19CD414F"/>
    <w:rsid w:val="19CE23A1"/>
    <w:rsid w:val="19CE38AB"/>
    <w:rsid w:val="19CF7E4E"/>
    <w:rsid w:val="19D21766"/>
    <w:rsid w:val="19D35C0A"/>
    <w:rsid w:val="19D61256"/>
    <w:rsid w:val="19D618FD"/>
    <w:rsid w:val="19D674A8"/>
    <w:rsid w:val="19D67606"/>
    <w:rsid w:val="19D76D7C"/>
    <w:rsid w:val="19D8128E"/>
    <w:rsid w:val="19DD2996"/>
    <w:rsid w:val="19DE1F55"/>
    <w:rsid w:val="19DF16C9"/>
    <w:rsid w:val="19E03E83"/>
    <w:rsid w:val="19E213B5"/>
    <w:rsid w:val="19E25E4D"/>
    <w:rsid w:val="19E33973"/>
    <w:rsid w:val="19E52AA1"/>
    <w:rsid w:val="19E67CB1"/>
    <w:rsid w:val="19E72434"/>
    <w:rsid w:val="19E85757"/>
    <w:rsid w:val="19EC6CCB"/>
    <w:rsid w:val="19EE2A43"/>
    <w:rsid w:val="19EF40C6"/>
    <w:rsid w:val="19F416DC"/>
    <w:rsid w:val="19F811CC"/>
    <w:rsid w:val="19F93196"/>
    <w:rsid w:val="19FB2A6A"/>
    <w:rsid w:val="19FD05F9"/>
    <w:rsid w:val="19FD2C86"/>
    <w:rsid w:val="1A004AF6"/>
    <w:rsid w:val="1A023DF9"/>
    <w:rsid w:val="1A06729A"/>
    <w:rsid w:val="1A08177F"/>
    <w:rsid w:val="1A091C0D"/>
    <w:rsid w:val="1A0A608C"/>
    <w:rsid w:val="1A102F1D"/>
    <w:rsid w:val="1A1104E0"/>
    <w:rsid w:val="1A116732"/>
    <w:rsid w:val="1A117A54"/>
    <w:rsid w:val="1A1468B2"/>
    <w:rsid w:val="1A165AF6"/>
    <w:rsid w:val="1A187AC0"/>
    <w:rsid w:val="1A192EA2"/>
    <w:rsid w:val="1A1F7F65"/>
    <w:rsid w:val="1A2533A1"/>
    <w:rsid w:val="1A2570E8"/>
    <w:rsid w:val="1A2802E4"/>
    <w:rsid w:val="1A286DDC"/>
    <w:rsid w:val="1A2C3279"/>
    <w:rsid w:val="1A2D1F11"/>
    <w:rsid w:val="1A2E0ABF"/>
    <w:rsid w:val="1A302E2B"/>
    <w:rsid w:val="1A31469E"/>
    <w:rsid w:val="1A320E4B"/>
    <w:rsid w:val="1A342515"/>
    <w:rsid w:val="1A3441CE"/>
    <w:rsid w:val="1A352420"/>
    <w:rsid w:val="1A367D00"/>
    <w:rsid w:val="1A367D04"/>
    <w:rsid w:val="1A3B63C7"/>
    <w:rsid w:val="1A3D7527"/>
    <w:rsid w:val="1A4008BB"/>
    <w:rsid w:val="1A424B3D"/>
    <w:rsid w:val="1A424E64"/>
    <w:rsid w:val="1A450189"/>
    <w:rsid w:val="1A473F02"/>
    <w:rsid w:val="1A4A0B93"/>
    <w:rsid w:val="1A4A453E"/>
    <w:rsid w:val="1A4A54E1"/>
    <w:rsid w:val="1A4A57A0"/>
    <w:rsid w:val="1A4C20EE"/>
    <w:rsid w:val="1A4C32C6"/>
    <w:rsid w:val="1A4E0D98"/>
    <w:rsid w:val="1A4E269A"/>
    <w:rsid w:val="1A5331D4"/>
    <w:rsid w:val="1A5403CD"/>
    <w:rsid w:val="1A543565"/>
    <w:rsid w:val="1A58610F"/>
    <w:rsid w:val="1A5A4033"/>
    <w:rsid w:val="1A5B3096"/>
    <w:rsid w:val="1A5E3F18"/>
    <w:rsid w:val="1A606E55"/>
    <w:rsid w:val="1A654388"/>
    <w:rsid w:val="1A671606"/>
    <w:rsid w:val="1A6920CA"/>
    <w:rsid w:val="1A6B0F3B"/>
    <w:rsid w:val="1A6B5DA4"/>
    <w:rsid w:val="1A6C1BBA"/>
    <w:rsid w:val="1A705206"/>
    <w:rsid w:val="1A70799A"/>
    <w:rsid w:val="1A711FFD"/>
    <w:rsid w:val="1A7151D3"/>
    <w:rsid w:val="1A736AA5"/>
    <w:rsid w:val="1A756CC1"/>
    <w:rsid w:val="1A7C5940"/>
    <w:rsid w:val="1A815EF1"/>
    <w:rsid w:val="1A824F3A"/>
    <w:rsid w:val="1A847E44"/>
    <w:rsid w:val="1A8770A3"/>
    <w:rsid w:val="1A882AFB"/>
    <w:rsid w:val="1A8C400A"/>
    <w:rsid w:val="1A8C42F1"/>
    <w:rsid w:val="1A8C6C9A"/>
    <w:rsid w:val="1A8C7B66"/>
    <w:rsid w:val="1A8E0352"/>
    <w:rsid w:val="1A8E38DF"/>
    <w:rsid w:val="1A907657"/>
    <w:rsid w:val="1A930EF5"/>
    <w:rsid w:val="1A93374E"/>
    <w:rsid w:val="1A937147"/>
    <w:rsid w:val="1A963D9D"/>
    <w:rsid w:val="1A97157D"/>
    <w:rsid w:val="1A973C10"/>
    <w:rsid w:val="1A9829AF"/>
    <w:rsid w:val="1A9A6727"/>
    <w:rsid w:val="1A9B10DB"/>
    <w:rsid w:val="1A9C2008"/>
    <w:rsid w:val="1A9E4BEC"/>
    <w:rsid w:val="1A9F789A"/>
    <w:rsid w:val="1AA03612"/>
    <w:rsid w:val="1AA2738A"/>
    <w:rsid w:val="1AA43102"/>
    <w:rsid w:val="1AA44EB0"/>
    <w:rsid w:val="1AA60C1F"/>
    <w:rsid w:val="1AA657FB"/>
    <w:rsid w:val="1AA66E7A"/>
    <w:rsid w:val="1AA749A0"/>
    <w:rsid w:val="1AA94BBC"/>
    <w:rsid w:val="1AAC6D0A"/>
    <w:rsid w:val="1AB33345"/>
    <w:rsid w:val="1AB86BAD"/>
    <w:rsid w:val="1AB95B35"/>
    <w:rsid w:val="1AB9713F"/>
    <w:rsid w:val="1AC165D8"/>
    <w:rsid w:val="1AC612CA"/>
    <w:rsid w:val="1AC76DF0"/>
    <w:rsid w:val="1ACB1A35"/>
    <w:rsid w:val="1ACC0065"/>
    <w:rsid w:val="1ACC4407"/>
    <w:rsid w:val="1ACD2659"/>
    <w:rsid w:val="1ACE017F"/>
    <w:rsid w:val="1AD06143"/>
    <w:rsid w:val="1AD301C7"/>
    <w:rsid w:val="1AD31C39"/>
    <w:rsid w:val="1AD80FFE"/>
    <w:rsid w:val="1AD916A0"/>
    <w:rsid w:val="1ADD4244"/>
    <w:rsid w:val="1AE31E7C"/>
    <w:rsid w:val="1AE33203"/>
    <w:rsid w:val="1AE87493"/>
    <w:rsid w:val="1AE9320B"/>
    <w:rsid w:val="1AEB6F83"/>
    <w:rsid w:val="1AED2CFB"/>
    <w:rsid w:val="1AEF729B"/>
    <w:rsid w:val="1AEF7F03"/>
    <w:rsid w:val="1AF04599"/>
    <w:rsid w:val="1AF16E44"/>
    <w:rsid w:val="1AF5570C"/>
    <w:rsid w:val="1AF55843"/>
    <w:rsid w:val="1AF80A52"/>
    <w:rsid w:val="1AF85EED"/>
    <w:rsid w:val="1AFA143C"/>
    <w:rsid w:val="1AFC1190"/>
    <w:rsid w:val="1AFE1CD8"/>
    <w:rsid w:val="1B0032DD"/>
    <w:rsid w:val="1B005AA3"/>
    <w:rsid w:val="1B027E29"/>
    <w:rsid w:val="1B065E75"/>
    <w:rsid w:val="1B083691"/>
    <w:rsid w:val="1B087B35"/>
    <w:rsid w:val="1B0D6EF9"/>
    <w:rsid w:val="1B0E7A42"/>
    <w:rsid w:val="1B0F0EC3"/>
    <w:rsid w:val="1B1262BE"/>
    <w:rsid w:val="1B1500D5"/>
    <w:rsid w:val="1B154000"/>
    <w:rsid w:val="1B1F3BFD"/>
    <w:rsid w:val="1B1F6C2C"/>
    <w:rsid w:val="1B214753"/>
    <w:rsid w:val="1B216501"/>
    <w:rsid w:val="1B23671D"/>
    <w:rsid w:val="1B244243"/>
    <w:rsid w:val="1B253B23"/>
    <w:rsid w:val="1B29152A"/>
    <w:rsid w:val="1B291859"/>
    <w:rsid w:val="1B3179B3"/>
    <w:rsid w:val="1B32070E"/>
    <w:rsid w:val="1B3501FE"/>
    <w:rsid w:val="1B374894"/>
    <w:rsid w:val="1B397CEE"/>
    <w:rsid w:val="1B3A2C32"/>
    <w:rsid w:val="1B3C1444"/>
    <w:rsid w:val="1B3C333B"/>
    <w:rsid w:val="1B3C77DE"/>
    <w:rsid w:val="1B3E70B3"/>
    <w:rsid w:val="1B42360F"/>
    <w:rsid w:val="1B430B6D"/>
    <w:rsid w:val="1B4641B9"/>
    <w:rsid w:val="1B46547E"/>
    <w:rsid w:val="1B465BB0"/>
    <w:rsid w:val="1B494B83"/>
    <w:rsid w:val="1B4A1EFB"/>
    <w:rsid w:val="1B4D19EC"/>
    <w:rsid w:val="1B4E306E"/>
    <w:rsid w:val="1B4E7CDC"/>
    <w:rsid w:val="1B4F3513"/>
    <w:rsid w:val="1B50456C"/>
    <w:rsid w:val="1B527002"/>
    <w:rsid w:val="1B5B0AD9"/>
    <w:rsid w:val="1B5D1E8A"/>
    <w:rsid w:val="1B5E1503"/>
    <w:rsid w:val="1B5E59A7"/>
    <w:rsid w:val="1B5E7755"/>
    <w:rsid w:val="1B5F527B"/>
    <w:rsid w:val="1B634D6B"/>
    <w:rsid w:val="1B642891"/>
    <w:rsid w:val="1B6603B7"/>
    <w:rsid w:val="1B661EA8"/>
    <w:rsid w:val="1B6706BA"/>
    <w:rsid w:val="1B670870"/>
    <w:rsid w:val="1B6B1E72"/>
    <w:rsid w:val="1B6D3826"/>
    <w:rsid w:val="1B6F4B94"/>
    <w:rsid w:val="1B721452"/>
    <w:rsid w:val="1B744685"/>
    <w:rsid w:val="1B753643"/>
    <w:rsid w:val="1B754A9E"/>
    <w:rsid w:val="1B770050"/>
    <w:rsid w:val="1B7C5E2D"/>
    <w:rsid w:val="1B7C65B2"/>
    <w:rsid w:val="1B7E1BA5"/>
    <w:rsid w:val="1B7F68FC"/>
    <w:rsid w:val="1B80591D"/>
    <w:rsid w:val="1B813443"/>
    <w:rsid w:val="1B83540D"/>
    <w:rsid w:val="1B845BC7"/>
    <w:rsid w:val="1B854CE1"/>
    <w:rsid w:val="1B866CAC"/>
    <w:rsid w:val="1B8A679C"/>
    <w:rsid w:val="1B8B42C2"/>
    <w:rsid w:val="1B8B6070"/>
    <w:rsid w:val="1B8C2514"/>
    <w:rsid w:val="1B8E468F"/>
    <w:rsid w:val="1B9118D8"/>
    <w:rsid w:val="1B950C9D"/>
    <w:rsid w:val="1B95178E"/>
    <w:rsid w:val="1B982ED9"/>
    <w:rsid w:val="1B9C4A2D"/>
    <w:rsid w:val="1B9D672E"/>
    <w:rsid w:val="1BA07D6D"/>
    <w:rsid w:val="1BA65B85"/>
    <w:rsid w:val="1BA66BDD"/>
    <w:rsid w:val="1BAF6202"/>
    <w:rsid w:val="1BB10937"/>
    <w:rsid w:val="1BBB45BA"/>
    <w:rsid w:val="1BBC5D0B"/>
    <w:rsid w:val="1BBE6445"/>
    <w:rsid w:val="1BC25F36"/>
    <w:rsid w:val="1BC33A5C"/>
    <w:rsid w:val="1BC53330"/>
    <w:rsid w:val="1BC53AEF"/>
    <w:rsid w:val="1BC53E8D"/>
    <w:rsid w:val="1BC61780"/>
    <w:rsid w:val="1BC63F3A"/>
    <w:rsid w:val="1BC65F68"/>
    <w:rsid w:val="1BC674DA"/>
    <w:rsid w:val="1BC81F41"/>
    <w:rsid w:val="1BCA4DEA"/>
    <w:rsid w:val="1BCB0A96"/>
    <w:rsid w:val="1BCD20AA"/>
    <w:rsid w:val="1BCE298C"/>
    <w:rsid w:val="1BCF0653"/>
    <w:rsid w:val="1BD01CD5"/>
    <w:rsid w:val="1BD143CB"/>
    <w:rsid w:val="1BD96DDB"/>
    <w:rsid w:val="1BDA610C"/>
    <w:rsid w:val="1BDC2DB4"/>
    <w:rsid w:val="1BE023A8"/>
    <w:rsid w:val="1BE063BC"/>
    <w:rsid w:val="1BEA0FE8"/>
    <w:rsid w:val="1BEA723A"/>
    <w:rsid w:val="1BEC4D61"/>
    <w:rsid w:val="1BED2887"/>
    <w:rsid w:val="1BEE6D2B"/>
    <w:rsid w:val="1BEF2AA3"/>
    <w:rsid w:val="1BF27E9D"/>
    <w:rsid w:val="1BF43C15"/>
    <w:rsid w:val="1BF50D3B"/>
    <w:rsid w:val="1BF55974"/>
    <w:rsid w:val="1BF9122C"/>
    <w:rsid w:val="1BFB4FA4"/>
    <w:rsid w:val="1BFE2CE6"/>
    <w:rsid w:val="1BFF185E"/>
    <w:rsid w:val="1C00023C"/>
    <w:rsid w:val="1C006A5E"/>
    <w:rsid w:val="1C0227D6"/>
    <w:rsid w:val="1C033698"/>
    <w:rsid w:val="1C085913"/>
    <w:rsid w:val="1C093968"/>
    <w:rsid w:val="1C093B64"/>
    <w:rsid w:val="1C0B727F"/>
    <w:rsid w:val="1C0B7E01"/>
    <w:rsid w:val="1C0E117B"/>
    <w:rsid w:val="1C1442B7"/>
    <w:rsid w:val="1C161DDD"/>
    <w:rsid w:val="1C197B20"/>
    <w:rsid w:val="1C1B73F4"/>
    <w:rsid w:val="1C1B7562"/>
    <w:rsid w:val="1C1C0D86"/>
    <w:rsid w:val="1C1E0C92"/>
    <w:rsid w:val="1C20736E"/>
    <w:rsid w:val="1C220782"/>
    <w:rsid w:val="1C224C26"/>
    <w:rsid w:val="1C254920"/>
    <w:rsid w:val="1C270B40"/>
    <w:rsid w:val="1C2A5C7B"/>
    <w:rsid w:val="1C2A7637"/>
    <w:rsid w:val="1C2C33AF"/>
    <w:rsid w:val="1C2F4C4D"/>
    <w:rsid w:val="1C327276"/>
    <w:rsid w:val="1C33298F"/>
    <w:rsid w:val="1C33473D"/>
    <w:rsid w:val="1C346708"/>
    <w:rsid w:val="1C362480"/>
    <w:rsid w:val="1C3745E0"/>
    <w:rsid w:val="1C387FA6"/>
    <w:rsid w:val="1C393E25"/>
    <w:rsid w:val="1C395ACC"/>
    <w:rsid w:val="1C3B1844"/>
    <w:rsid w:val="1C3F55D8"/>
    <w:rsid w:val="1C403F9F"/>
    <w:rsid w:val="1C4050AC"/>
    <w:rsid w:val="1C420E24"/>
    <w:rsid w:val="1C42303D"/>
    <w:rsid w:val="1C433AA4"/>
    <w:rsid w:val="1C444B9D"/>
    <w:rsid w:val="1C453120"/>
    <w:rsid w:val="1C463FF3"/>
    <w:rsid w:val="1C493F61"/>
    <w:rsid w:val="1C4A75EE"/>
    <w:rsid w:val="1C4C57FF"/>
    <w:rsid w:val="1C4E7A4A"/>
    <w:rsid w:val="1C52798D"/>
    <w:rsid w:val="1C532F9E"/>
    <w:rsid w:val="1C542906"/>
    <w:rsid w:val="1C5446B4"/>
    <w:rsid w:val="1C586408"/>
    <w:rsid w:val="1C5A616E"/>
    <w:rsid w:val="1C5A763E"/>
    <w:rsid w:val="1C5B250F"/>
    <w:rsid w:val="1C5D3A88"/>
    <w:rsid w:val="1C5E11F7"/>
    <w:rsid w:val="1C654B13"/>
    <w:rsid w:val="1C672639"/>
    <w:rsid w:val="1C687AF5"/>
    <w:rsid w:val="1C6A1BB2"/>
    <w:rsid w:val="1C6C3782"/>
    <w:rsid w:val="1C6C5D0E"/>
    <w:rsid w:val="1C6D719E"/>
    <w:rsid w:val="1C6E1C1A"/>
    <w:rsid w:val="1C7134B8"/>
    <w:rsid w:val="1C7362F5"/>
    <w:rsid w:val="1C746B04"/>
    <w:rsid w:val="1C76645C"/>
    <w:rsid w:val="1C766D20"/>
    <w:rsid w:val="1C7D7C9C"/>
    <w:rsid w:val="1C7F08DB"/>
    <w:rsid w:val="1C8079FF"/>
    <w:rsid w:val="1C813499"/>
    <w:rsid w:val="1C8423E9"/>
    <w:rsid w:val="1C856F63"/>
    <w:rsid w:val="1C876837"/>
    <w:rsid w:val="1C890801"/>
    <w:rsid w:val="1C8916EF"/>
    <w:rsid w:val="1C896A53"/>
    <w:rsid w:val="1C907DE2"/>
    <w:rsid w:val="1C917C4A"/>
    <w:rsid w:val="1C931680"/>
    <w:rsid w:val="1C981A4A"/>
    <w:rsid w:val="1C99656B"/>
    <w:rsid w:val="1C9A2C02"/>
    <w:rsid w:val="1C9B4E56"/>
    <w:rsid w:val="1C9C2643"/>
    <w:rsid w:val="1C9E3D80"/>
    <w:rsid w:val="1C9F6277"/>
    <w:rsid w:val="1CA13D9D"/>
    <w:rsid w:val="1CA23671"/>
    <w:rsid w:val="1CA4563B"/>
    <w:rsid w:val="1CA47169"/>
    <w:rsid w:val="1CA53161"/>
    <w:rsid w:val="1CA76EDA"/>
    <w:rsid w:val="1CAC6131"/>
    <w:rsid w:val="1CAD0994"/>
    <w:rsid w:val="1CAE0268"/>
    <w:rsid w:val="1CB02232"/>
    <w:rsid w:val="1CB25FAA"/>
    <w:rsid w:val="1CB3587E"/>
    <w:rsid w:val="1CB533A4"/>
    <w:rsid w:val="1CB763CB"/>
    <w:rsid w:val="1CBA1931"/>
    <w:rsid w:val="1CBC4A16"/>
    <w:rsid w:val="1CBD2E61"/>
    <w:rsid w:val="1CBF49A9"/>
    <w:rsid w:val="1CC655B2"/>
    <w:rsid w:val="1CC7132A"/>
    <w:rsid w:val="1CC82A58"/>
    <w:rsid w:val="1CCC7BD7"/>
    <w:rsid w:val="1CCE6AC3"/>
    <w:rsid w:val="1CD00BDB"/>
    <w:rsid w:val="1CD06430"/>
    <w:rsid w:val="1CD37F80"/>
    <w:rsid w:val="1CD44489"/>
    <w:rsid w:val="1CD44ED8"/>
    <w:rsid w:val="1CD53E93"/>
    <w:rsid w:val="1CD55FDE"/>
    <w:rsid w:val="1CD7745F"/>
    <w:rsid w:val="1CD959C2"/>
    <w:rsid w:val="1CDA2E0B"/>
    <w:rsid w:val="1CDD28FB"/>
    <w:rsid w:val="1CE974F2"/>
    <w:rsid w:val="1CED1570"/>
    <w:rsid w:val="1CEE2D5A"/>
    <w:rsid w:val="1CEE2F53"/>
    <w:rsid w:val="1CF00444"/>
    <w:rsid w:val="1CF06AD2"/>
    <w:rsid w:val="1CF31F94"/>
    <w:rsid w:val="1CF57188"/>
    <w:rsid w:val="1CF57C45"/>
    <w:rsid w:val="1CF76B90"/>
    <w:rsid w:val="1CFC0FF0"/>
    <w:rsid w:val="1CFD2FA0"/>
    <w:rsid w:val="1CFE04F7"/>
    <w:rsid w:val="1CFF2872"/>
    <w:rsid w:val="1CFF44B6"/>
    <w:rsid w:val="1D0517BB"/>
    <w:rsid w:val="1D0667AD"/>
    <w:rsid w:val="1D0936F0"/>
    <w:rsid w:val="1D0B56BA"/>
    <w:rsid w:val="1D0C6B3B"/>
    <w:rsid w:val="1D0E51AB"/>
    <w:rsid w:val="1D100F23"/>
    <w:rsid w:val="1D102CD1"/>
    <w:rsid w:val="1D1125A5"/>
    <w:rsid w:val="1D1240FB"/>
    <w:rsid w:val="1D1341B8"/>
    <w:rsid w:val="1D1539C4"/>
    <w:rsid w:val="1D1D719C"/>
    <w:rsid w:val="1D1E3640"/>
    <w:rsid w:val="1D207523"/>
    <w:rsid w:val="1D216C8C"/>
    <w:rsid w:val="1D2520AA"/>
    <w:rsid w:val="1D2624F4"/>
    <w:rsid w:val="1D2642A2"/>
    <w:rsid w:val="1D281B34"/>
    <w:rsid w:val="1D291554"/>
    <w:rsid w:val="1D30431D"/>
    <w:rsid w:val="1D3058D7"/>
    <w:rsid w:val="1D312CF3"/>
    <w:rsid w:val="1D3201F7"/>
    <w:rsid w:val="1D392512"/>
    <w:rsid w:val="1D3A5FA0"/>
    <w:rsid w:val="1D3E4824"/>
    <w:rsid w:val="1D4330A6"/>
    <w:rsid w:val="1D465B98"/>
    <w:rsid w:val="1D4744FC"/>
    <w:rsid w:val="1D491D3F"/>
    <w:rsid w:val="1D4A37BA"/>
    <w:rsid w:val="1D4B790E"/>
    <w:rsid w:val="1D4F7307"/>
    <w:rsid w:val="1D5030CD"/>
    <w:rsid w:val="1D540A4C"/>
    <w:rsid w:val="1D540C01"/>
    <w:rsid w:val="1D540F6D"/>
    <w:rsid w:val="1D592170"/>
    <w:rsid w:val="1D5933D9"/>
    <w:rsid w:val="1D5F77B4"/>
    <w:rsid w:val="1D621A6B"/>
    <w:rsid w:val="1D64056B"/>
    <w:rsid w:val="1D6550DA"/>
    <w:rsid w:val="1D682B0D"/>
    <w:rsid w:val="1D6A73EB"/>
    <w:rsid w:val="1D6D248F"/>
    <w:rsid w:val="1D6D4B18"/>
    <w:rsid w:val="1D6E79F7"/>
    <w:rsid w:val="1D7141FA"/>
    <w:rsid w:val="1D715D71"/>
    <w:rsid w:val="1D7437EB"/>
    <w:rsid w:val="1D750D86"/>
    <w:rsid w:val="1D7768AC"/>
    <w:rsid w:val="1D7940CD"/>
    <w:rsid w:val="1D794440"/>
    <w:rsid w:val="1D7E169F"/>
    <w:rsid w:val="1D7E5E8C"/>
    <w:rsid w:val="1D7F18CA"/>
    <w:rsid w:val="1D805A3D"/>
    <w:rsid w:val="1D807E56"/>
    <w:rsid w:val="1D85088A"/>
    <w:rsid w:val="1D85546D"/>
    <w:rsid w:val="1D862F93"/>
    <w:rsid w:val="1D886D0B"/>
    <w:rsid w:val="1D892481"/>
    <w:rsid w:val="1D8A2A83"/>
    <w:rsid w:val="1D8A4831"/>
    <w:rsid w:val="1D8B75E7"/>
    <w:rsid w:val="1D8D60CF"/>
    <w:rsid w:val="1D8F2158"/>
    <w:rsid w:val="1D903E12"/>
    <w:rsid w:val="1D90796E"/>
    <w:rsid w:val="1D927131"/>
    <w:rsid w:val="1D932FF9"/>
    <w:rsid w:val="1D9456B0"/>
    <w:rsid w:val="1D945939"/>
    <w:rsid w:val="1D954C16"/>
    <w:rsid w:val="1D992CC6"/>
    <w:rsid w:val="1D994A74"/>
    <w:rsid w:val="1D9B59B9"/>
    <w:rsid w:val="1D9D13B5"/>
    <w:rsid w:val="1D9D7EC9"/>
    <w:rsid w:val="1DA578BD"/>
    <w:rsid w:val="1DA67191"/>
    <w:rsid w:val="1DA90758"/>
    <w:rsid w:val="1DA946BB"/>
    <w:rsid w:val="1DAA6C81"/>
    <w:rsid w:val="1DAB29F9"/>
    <w:rsid w:val="1DAC6342"/>
    <w:rsid w:val="1DAD49C3"/>
    <w:rsid w:val="1DAD5074"/>
    <w:rsid w:val="1DAE190B"/>
    <w:rsid w:val="1DB00010"/>
    <w:rsid w:val="1DB16262"/>
    <w:rsid w:val="1DB16ABC"/>
    <w:rsid w:val="1DB54D10"/>
    <w:rsid w:val="1DB775F0"/>
    <w:rsid w:val="1DB9543B"/>
    <w:rsid w:val="1DBB273F"/>
    <w:rsid w:val="1DBC0763"/>
    <w:rsid w:val="1DBC69B5"/>
    <w:rsid w:val="1DBE272D"/>
    <w:rsid w:val="1DC55869"/>
    <w:rsid w:val="1DC563C2"/>
    <w:rsid w:val="1DC75A85"/>
    <w:rsid w:val="1DC843F4"/>
    <w:rsid w:val="1DCA2E80"/>
    <w:rsid w:val="1DCA7323"/>
    <w:rsid w:val="1DCB6BF8"/>
    <w:rsid w:val="1DCF0982"/>
    <w:rsid w:val="1DCF3786"/>
    <w:rsid w:val="1DCF493A"/>
    <w:rsid w:val="1DD0023F"/>
    <w:rsid w:val="1DD27F86"/>
    <w:rsid w:val="1DD75C8E"/>
    <w:rsid w:val="1DD97ED7"/>
    <w:rsid w:val="1DDB508D"/>
    <w:rsid w:val="1DDC3DD2"/>
    <w:rsid w:val="1DDC4EBB"/>
    <w:rsid w:val="1DDE0576"/>
    <w:rsid w:val="1DE026A3"/>
    <w:rsid w:val="1DE50E5D"/>
    <w:rsid w:val="1DE5415D"/>
    <w:rsid w:val="1DE628D3"/>
    <w:rsid w:val="1DE62C31"/>
    <w:rsid w:val="1DE651E8"/>
    <w:rsid w:val="1DE653AB"/>
    <w:rsid w:val="1DE779B1"/>
    <w:rsid w:val="1DE8432D"/>
    <w:rsid w:val="1DEA038E"/>
    <w:rsid w:val="1DED3012"/>
    <w:rsid w:val="1DED6B6E"/>
    <w:rsid w:val="1DF4614E"/>
    <w:rsid w:val="1DF60600"/>
    <w:rsid w:val="1DF63B37"/>
    <w:rsid w:val="1DFA74DE"/>
    <w:rsid w:val="1DFC7937"/>
    <w:rsid w:val="1DFE71E1"/>
    <w:rsid w:val="1DFE7A69"/>
    <w:rsid w:val="1E00075A"/>
    <w:rsid w:val="1E00158C"/>
    <w:rsid w:val="1E0431F6"/>
    <w:rsid w:val="1E077677"/>
    <w:rsid w:val="1E09193B"/>
    <w:rsid w:val="1E0A001A"/>
    <w:rsid w:val="1E0B5246"/>
    <w:rsid w:val="1E0D0FBE"/>
    <w:rsid w:val="1E116E56"/>
    <w:rsid w:val="1E162569"/>
    <w:rsid w:val="1E17001A"/>
    <w:rsid w:val="1E19489C"/>
    <w:rsid w:val="1E262080"/>
    <w:rsid w:val="1E2A6014"/>
    <w:rsid w:val="1E2A7432"/>
    <w:rsid w:val="1E2B2D0C"/>
    <w:rsid w:val="1E2E2A61"/>
    <w:rsid w:val="1E2F1712"/>
    <w:rsid w:val="1E2F3490"/>
    <w:rsid w:val="1E312B23"/>
    <w:rsid w:val="1E325C8B"/>
    <w:rsid w:val="1E334580"/>
    <w:rsid w:val="1E366A68"/>
    <w:rsid w:val="1E3B3DF6"/>
    <w:rsid w:val="1E3C449A"/>
    <w:rsid w:val="1E3E386E"/>
    <w:rsid w:val="1E3E561C"/>
    <w:rsid w:val="1E3E73CA"/>
    <w:rsid w:val="1E403121"/>
    <w:rsid w:val="1E426EBA"/>
    <w:rsid w:val="1E434A92"/>
    <w:rsid w:val="1E464836"/>
    <w:rsid w:val="1E470974"/>
    <w:rsid w:val="1E4A4DAB"/>
    <w:rsid w:val="1E4F1523"/>
    <w:rsid w:val="1E513330"/>
    <w:rsid w:val="1E513FF3"/>
    <w:rsid w:val="1E537319"/>
    <w:rsid w:val="1E562965"/>
    <w:rsid w:val="1E5E181A"/>
    <w:rsid w:val="1E5E47E0"/>
    <w:rsid w:val="1E62130A"/>
    <w:rsid w:val="1E66588C"/>
    <w:rsid w:val="1E6A399F"/>
    <w:rsid w:val="1E6E3114"/>
    <w:rsid w:val="1E6F3B5C"/>
    <w:rsid w:val="1E707C63"/>
    <w:rsid w:val="1E727D04"/>
    <w:rsid w:val="1E7554E1"/>
    <w:rsid w:val="1E761259"/>
    <w:rsid w:val="1E764DB5"/>
    <w:rsid w:val="1E780D78"/>
    <w:rsid w:val="1E782E38"/>
    <w:rsid w:val="1E786332"/>
    <w:rsid w:val="1E7948A6"/>
    <w:rsid w:val="1E7B061E"/>
    <w:rsid w:val="1E7B23CC"/>
    <w:rsid w:val="1E7C1110"/>
    <w:rsid w:val="1E7E3E80"/>
    <w:rsid w:val="1E802B32"/>
    <w:rsid w:val="1E80337B"/>
    <w:rsid w:val="1E8176EB"/>
    <w:rsid w:val="1E831280"/>
    <w:rsid w:val="1E845724"/>
    <w:rsid w:val="1E861883"/>
    <w:rsid w:val="1E894AE9"/>
    <w:rsid w:val="1E8B0808"/>
    <w:rsid w:val="1E8F4F70"/>
    <w:rsid w:val="1E8F7C25"/>
    <w:rsid w:val="1E91606B"/>
    <w:rsid w:val="1E92221F"/>
    <w:rsid w:val="1E9331E2"/>
    <w:rsid w:val="1E94009B"/>
    <w:rsid w:val="1E9406B0"/>
    <w:rsid w:val="1E984D2C"/>
    <w:rsid w:val="1E9A2E1F"/>
    <w:rsid w:val="1E9D67E6"/>
    <w:rsid w:val="1EA41923"/>
    <w:rsid w:val="1EA44B67"/>
    <w:rsid w:val="1EA47B74"/>
    <w:rsid w:val="1EA5578E"/>
    <w:rsid w:val="1EAA6006"/>
    <w:rsid w:val="1EAB0F03"/>
    <w:rsid w:val="1EB06519"/>
    <w:rsid w:val="1EB268D8"/>
    <w:rsid w:val="1EB3600A"/>
    <w:rsid w:val="1EB37DB8"/>
    <w:rsid w:val="1EB76D94"/>
    <w:rsid w:val="1EBC3110"/>
    <w:rsid w:val="1EBF50DB"/>
    <w:rsid w:val="1EBF675C"/>
    <w:rsid w:val="1EC93E92"/>
    <w:rsid w:val="1ECA6EAF"/>
    <w:rsid w:val="1ECC6AB2"/>
    <w:rsid w:val="1ECD1D9F"/>
    <w:rsid w:val="1ECE074D"/>
    <w:rsid w:val="1ED0096A"/>
    <w:rsid w:val="1ED1023E"/>
    <w:rsid w:val="1ED470A1"/>
    <w:rsid w:val="1ED64D67"/>
    <w:rsid w:val="1ED65854"/>
    <w:rsid w:val="1ED81084"/>
    <w:rsid w:val="1ED85A70"/>
    <w:rsid w:val="1EDB4A9C"/>
    <w:rsid w:val="1EDD2F7B"/>
    <w:rsid w:val="1EDE6ADB"/>
    <w:rsid w:val="1EE00E84"/>
    <w:rsid w:val="1EE47B84"/>
    <w:rsid w:val="1EE47F71"/>
    <w:rsid w:val="1EE61F3B"/>
    <w:rsid w:val="1EE97401"/>
    <w:rsid w:val="1EEB28F1"/>
    <w:rsid w:val="1EED01A0"/>
    <w:rsid w:val="1EED0356"/>
    <w:rsid w:val="1EED0876"/>
    <w:rsid w:val="1EF1268E"/>
    <w:rsid w:val="1EF23D6B"/>
    <w:rsid w:val="1EF503D0"/>
    <w:rsid w:val="1EF53F2C"/>
    <w:rsid w:val="1EF570AA"/>
    <w:rsid w:val="1EF978A2"/>
    <w:rsid w:val="1EFD54D7"/>
    <w:rsid w:val="1F026649"/>
    <w:rsid w:val="1F047610"/>
    <w:rsid w:val="1F0A3482"/>
    <w:rsid w:val="1F0B3750"/>
    <w:rsid w:val="1F0D396C"/>
    <w:rsid w:val="1F0E4FEE"/>
    <w:rsid w:val="1F10520A"/>
    <w:rsid w:val="1F152820"/>
    <w:rsid w:val="1F182311"/>
    <w:rsid w:val="1F1840BF"/>
    <w:rsid w:val="1F1B770B"/>
    <w:rsid w:val="1F212F73"/>
    <w:rsid w:val="1F220A99"/>
    <w:rsid w:val="1F23673E"/>
    <w:rsid w:val="1F240CB5"/>
    <w:rsid w:val="1F244811"/>
    <w:rsid w:val="1F2C1918"/>
    <w:rsid w:val="1F2D681C"/>
    <w:rsid w:val="1F301408"/>
    <w:rsid w:val="1F301EB6"/>
    <w:rsid w:val="1F321BCC"/>
    <w:rsid w:val="1F334A54"/>
    <w:rsid w:val="1F354C71"/>
    <w:rsid w:val="1F372797"/>
    <w:rsid w:val="1F38206B"/>
    <w:rsid w:val="1F3C1B5B"/>
    <w:rsid w:val="1F3E1885"/>
    <w:rsid w:val="1F43738D"/>
    <w:rsid w:val="1F43764D"/>
    <w:rsid w:val="1F4377A5"/>
    <w:rsid w:val="1F443106"/>
    <w:rsid w:val="1F446D63"/>
    <w:rsid w:val="1F464788"/>
    <w:rsid w:val="1F497EF6"/>
    <w:rsid w:val="1F4E1E6D"/>
    <w:rsid w:val="1F4E71C8"/>
    <w:rsid w:val="1F4E7AE0"/>
    <w:rsid w:val="1F512138"/>
    <w:rsid w:val="1F520CB4"/>
    <w:rsid w:val="1F5258E7"/>
    <w:rsid w:val="1F5350F7"/>
    <w:rsid w:val="1F596413"/>
    <w:rsid w:val="1F5A0233"/>
    <w:rsid w:val="1F6115C2"/>
    <w:rsid w:val="1F613491"/>
    <w:rsid w:val="1F664E2A"/>
    <w:rsid w:val="1F6A2B6C"/>
    <w:rsid w:val="1F6D256E"/>
    <w:rsid w:val="1F6D440A"/>
    <w:rsid w:val="1F707A57"/>
    <w:rsid w:val="1F707A5F"/>
    <w:rsid w:val="1F711E07"/>
    <w:rsid w:val="1F7237CF"/>
    <w:rsid w:val="1F775289"/>
    <w:rsid w:val="1F777037"/>
    <w:rsid w:val="1F7A2683"/>
    <w:rsid w:val="1F7C289F"/>
    <w:rsid w:val="1F7C464D"/>
    <w:rsid w:val="1F7D096C"/>
    <w:rsid w:val="1F81068D"/>
    <w:rsid w:val="1F83778A"/>
    <w:rsid w:val="1F841F36"/>
    <w:rsid w:val="1F843502"/>
    <w:rsid w:val="1F861028"/>
    <w:rsid w:val="1F8654CC"/>
    <w:rsid w:val="1F8844AA"/>
    <w:rsid w:val="1F8A4417"/>
    <w:rsid w:val="1F8A4FBC"/>
    <w:rsid w:val="1F8C2552"/>
    <w:rsid w:val="1F8C28DD"/>
    <w:rsid w:val="1F8D14FC"/>
    <w:rsid w:val="1F8E5BB9"/>
    <w:rsid w:val="1F92003C"/>
    <w:rsid w:val="1F923E71"/>
    <w:rsid w:val="1F953961"/>
    <w:rsid w:val="1F95570F"/>
    <w:rsid w:val="1F971487"/>
    <w:rsid w:val="1F9906FB"/>
    <w:rsid w:val="1F996889"/>
    <w:rsid w:val="1F9A4AD4"/>
    <w:rsid w:val="1F9B59A8"/>
    <w:rsid w:val="1F9E26EA"/>
    <w:rsid w:val="1F9E2816"/>
    <w:rsid w:val="1F9F20EA"/>
    <w:rsid w:val="1FA00F22"/>
    <w:rsid w:val="1FA45268"/>
    <w:rsid w:val="1FA47700"/>
    <w:rsid w:val="1FA71066"/>
    <w:rsid w:val="1FA97BE3"/>
    <w:rsid w:val="1FAE057F"/>
    <w:rsid w:val="1FAE25D2"/>
    <w:rsid w:val="1FAE4963"/>
    <w:rsid w:val="1FAF67D1"/>
    <w:rsid w:val="1FB262C1"/>
    <w:rsid w:val="1FB361D8"/>
    <w:rsid w:val="1FB373E9"/>
    <w:rsid w:val="1FB45B95"/>
    <w:rsid w:val="1FB5190D"/>
    <w:rsid w:val="1FB54D03"/>
    <w:rsid w:val="1FB65588"/>
    <w:rsid w:val="1FB738D7"/>
    <w:rsid w:val="1FB95B8D"/>
    <w:rsid w:val="1FBE0616"/>
    <w:rsid w:val="1FBE20A2"/>
    <w:rsid w:val="1FBF0FF0"/>
    <w:rsid w:val="1FC11800"/>
    <w:rsid w:val="1FC64311"/>
    <w:rsid w:val="1FC67118"/>
    <w:rsid w:val="1FCA128A"/>
    <w:rsid w:val="1FCB2EDF"/>
    <w:rsid w:val="1FD363E8"/>
    <w:rsid w:val="1FD654B5"/>
    <w:rsid w:val="1FD862B1"/>
    <w:rsid w:val="1FD9205F"/>
    <w:rsid w:val="1FDC4A7B"/>
    <w:rsid w:val="1FDC50EC"/>
    <w:rsid w:val="1FDC6E9A"/>
    <w:rsid w:val="1FDE0E64"/>
    <w:rsid w:val="1FE22287"/>
    <w:rsid w:val="1FE346CD"/>
    <w:rsid w:val="1FE81CE3"/>
    <w:rsid w:val="1FEA19E8"/>
    <w:rsid w:val="1FED3359"/>
    <w:rsid w:val="1FED72F9"/>
    <w:rsid w:val="1FED77F6"/>
    <w:rsid w:val="1FF02F43"/>
    <w:rsid w:val="1FF13E14"/>
    <w:rsid w:val="1FF22056"/>
    <w:rsid w:val="1FF22631"/>
    <w:rsid w:val="1FF22B46"/>
    <w:rsid w:val="1FF322BA"/>
    <w:rsid w:val="1FF40688"/>
    <w:rsid w:val="1FF468DA"/>
    <w:rsid w:val="1FF70178"/>
    <w:rsid w:val="1FF95C9E"/>
    <w:rsid w:val="1FF97A4C"/>
    <w:rsid w:val="1FFA304C"/>
    <w:rsid w:val="1FFA4D30"/>
    <w:rsid w:val="1FFA543F"/>
    <w:rsid w:val="1FFC12EA"/>
    <w:rsid w:val="1FFC753C"/>
    <w:rsid w:val="1FFD537E"/>
    <w:rsid w:val="20000DDB"/>
    <w:rsid w:val="200076B1"/>
    <w:rsid w:val="20014B53"/>
    <w:rsid w:val="2001592C"/>
    <w:rsid w:val="20034FBD"/>
    <w:rsid w:val="20054643"/>
    <w:rsid w:val="2008261D"/>
    <w:rsid w:val="20085EE1"/>
    <w:rsid w:val="200A1C59"/>
    <w:rsid w:val="200A3A07"/>
    <w:rsid w:val="200E34D5"/>
    <w:rsid w:val="200F3162"/>
    <w:rsid w:val="20104D96"/>
    <w:rsid w:val="20115CD1"/>
    <w:rsid w:val="20120B0E"/>
    <w:rsid w:val="20146634"/>
    <w:rsid w:val="201535B1"/>
    <w:rsid w:val="20166C70"/>
    <w:rsid w:val="20172EF0"/>
    <w:rsid w:val="20174376"/>
    <w:rsid w:val="201A79C2"/>
    <w:rsid w:val="201B7F11"/>
    <w:rsid w:val="201C198C"/>
    <w:rsid w:val="201C2ED4"/>
    <w:rsid w:val="201E5705"/>
    <w:rsid w:val="201F6003"/>
    <w:rsid w:val="20234AC9"/>
    <w:rsid w:val="20237DE4"/>
    <w:rsid w:val="20252DD9"/>
    <w:rsid w:val="20256A93"/>
    <w:rsid w:val="2029585C"/>
    <w:rsid w:val="202B785C"/>
    <w:rsid w:val="202C3D0E"/>
    <w:rsid w:val="202C474F"/>
    <w:rsid w:val="202D3B9A"/>
    <w:rsid w:val="202E243F"/>
    <w:rsid w:val="20322137"/>
    <w:rsid w:val="20340A84"/>
    <w:rsid w:val="203826A0"/>
    <w:rsid w:val="20384A18"/>
    <w:rsid w:val="203B4489"/>
    <w:rsid w:val="203F0DEC"/>
    <w:rsid w:val="203F6EF4"/>
    <w:rsid w:val="20411C2C"/>
    <w:rsid w:val="20436F19"/>
    <w:rsid w:val="204A05F1"/>
    <w:rsid w:val="204D7D98"/>
    <w:rsid w:val="204F1D62"/>
    <w:rsid w:val="20531852"/>
    <w:rsid w:val="205503AD"/>
    <w:rsid w:val="20556FF8"/>
    <w:rsid w:val="20564E9E"/>
    <w:rsid w:val="20592BE1"/>
    <w:rsid w:val="205B27D3"/>
    <w:rsid w:val="205D37F1"/>
    <w:rsid w:val="205E516C"/>
    <w:rsid w:val="20601879"/>
    <w:rsid w:val="20640438"/>
    <w:rsid w:val="206747FF"/>
    <w:rsid w:val="206762CC"/>
    <w:rsid w:val="20686980"/>
    <w:rsid w:val="206A26F8"/>
    <w:rsid w:val="206C2914"/>
    <w:rsid w:val="20711CD8"/>
    <w:rsid w:val="20720F56"/>
    <w:rsid w:val="20736E74"/>
    <w:rsid w:val="20755AF0"/>
    <w:rsid w:val="20765541"/>
    <w:rsid w:val="20790B8D"/>
    <w:rsid w:val="207B1DBD"/>
    <w:rsid w:val="207B66B3"/>
    <w:rsid w:val="207E43F5"/>
    <w:rsid w:val="20823D54"/>
    <w:rsid w:val="20823EE5"/>
    <w:rsid w:val="2083592D"/>
    <w:rsid w:val="20870360"/>
    <w:rsid w:val="208714FC"/>
    <w:rsid w:val="208A2D9A"/>
    <w:rsid w:val="208C2D72"/>
    <w:rsid w:val="208D63E6"/>
    <w:rsid w:val="208E288A"/>
    <w:rsid w:val="209331F4"/>
    <w:rsid w:val="20944A77"/>
    <w:rsid w:val="2095281F"/>
    <w:rsid w:val="2096173F"/>
    <w:rsid w:val="20967991"/>
    <w:rsid w:val="20972A26"/>
    <w:rsid w:val="209812E5"/>
    <w:rsid w:val="209A666E"/>
    <w:rsid w:val="209C39D5"/>
    <w:rsid w:val="209C4621"/>
    <w:rsid w:val="20A022EC"/>
    <w:rsid w:val="20A026A6"/>
    <w:rsid w:val="20A200E4"/>
    <w:rsid w:val="20A26336"/>
    <w:rsid w:val="20A4013D"/>
    <w:rsid w:val="20A81A71"/>
    <w:rsid w:val="20A92C47"/>
    <w:rsid w:val="20AB6760"/>
    <w:rsid w:val="20AC2D10"/>
    <w:rsid w:val="20AC7CD9"/>
    <w:rsid w:val="20AD0837"/>
    <w:rsid w:val="20AE0889"/>
    <w:rsid w:val="20AF45AF"/>
    <w:rsid w:val="20AF7FE3"/>
    <w:rsid w:val="20B10327"/>
    <w:rsid w:val="20B147CB"/>
    <w:rsid w:val="20B16579"/>
    <w:rsid w:val="20B6593D"/>
    <w:rsid w:val="20B91875"/>
    <w:rsid w:val="20BC4BB0"/>
    <w:rsid w:val="20BC4F1C"/>
    <w:rsid w:val="20BD416F"/>
    <w:rsid w:val="20BE2A44"/>
    <w:rsid w:val="20BF5379"/>
    <w:rsid w:val="20C30738"/>
    <w:rsid w:val="20C322FA"/>
    <w:rsid w:val="20C370B9"/>
    <w:rsid w:val="20C462AC"/>
    <w:rsid w:val="20C55B80"/>
    <w:rsid w:val="20C656C0"/>
    <w:rsid w:val="20C95670"/>
    <w:rsid w:val="20CA738D"/>
    <w:rsid w:val="20CB694C"/>
    <w:rsid w:val="20CC5161"/>
    <w:rsid w:val="20CC6F0F"/>
    <w:rsid w:val="20CE0ED9"/>
    <w:rsid w:val="20CF69FF"/>
    <w:rsid w:val="20D00A70"/>
    <w:rsid w:val="20D109C9"/>
    <w:rsid w:val="20D12777"/>
    <w:rsid w:val="20D34741"/>
    <w:rsid w:val="20D83B05"/>
    <w:rsid w:val="20DA5ACF"/>
    <w:rsid w:val="20DB35F6"/>
    <w:rsid w:val="20DC0077"/>
    <w:rsid w:val="20DD3991"/>
    <w:rsid w:val="20DD736E"/>
    <w:rsid w:val="20E029BA"/>
    <w:rsid w:val="20E05897"/>
    <w:rsid w:val="20E26FD4"/>
    <w:rsid w:val="20E34258"/>
    <w:rsid w:val="20E56222"/>
    <w:rsid w:val="20E6220C"/>
    <w:rsid w:val="20E9617F"/>
    <w:rsid w:val="20EA3839"/>
    <w:rsid w:val="20F63E5A"/>
    <w:rsid w:val="20F73191"/>
    <w:rsid w:val="20F865D4"/>
    <w:rsid w:val="20FB5A46"/>
    <w:rsid w:val="20FD17BE"/>
    <w:rsid w:val="20FD569D"/>
    <w:rsid w:val="20FF70FF"/>
    <w:rsid w:val="210163ED"/>
    <w:rsid w:val="21025026"/>
    <w:rsid w:val="210422D3"/>
    <w:rsid w:val="21045795"/>
    <w:rsid w:val="210466A8"/>
    <w:rsid w:val="210501EA"/>
    <w:rsid w:val="210668C5"/>
    <w:rsid w:val="21066F1C"/>
    <w:rsid w:val="210A4734"/>
    <w:rsid w:val="211014F1"/>
    <w:rsid w:val="21115269"/>
    <w:rsid w:val="21133DFA"/>
    <w:rsid w:val="21141652"/>
    <w:rsid w:val="21154D5A"/>
    <w:rsid w:val="21162880"/>
    <w:rsid w:val="211943D1"/>
    <w:rsid w:val="21197683"/>
    <w:rsid w:val="211B39F2"/>
    <w:rsid w:val="211D776A"/>
    <w:rsid w:val="212626AE"/>
    <w:rsid w:val="21294361"/>
    <w:rsid w:val="21297761"/>
    <w:rsid w:val="212A1E87"/>
    <w:rsid w:val="212B632B"/>
    <w:rsid w:val="212E5E1B"/>
    <w:rsid w:val="21311468"/>
    <w:rsid w:val="21316A1F"/>
    <w:rsid w:val="21325751"/>
    <w:rsid w:val="21326A54"/>
    <w:rsid w:val="21354AB4"/>
    <w:rsid w:val="213571AA"/>
    <w:rsid w:val="21365EC9"/>
    <w:rsid w:val="21377E1A"/>
    <w:rsid w:val="213F1DD6"/>
    <w:rsid w:val="214178FD"/>
    <w:rsid w:val="2142452A"/>
    <w:rsid w:val="214747E7"/>
    <w:rsid w:val="2147798C"/>
    <w:rsid w:val="21486EDD"/>
    <w:rsid w:val="214B46A2"/>
    <w:rsid w:val="214C56C4"/>
    <w:rsid w:val="215238B8"/>
    <w:rsid w:val="215366BB"/>
    <w:rsid w:val="21556F04"/>
    <w:rsid w:val="21562C7C"/>
    <w:rsid w:val="215631BF"/>
    <w:rsid w:val="21577120"/>
    <w:rsid w:val="21582E98"/>
    <w:rsid w:val="215B0647"/>
    <w:rsid w:val="215B5563"/>
    <w:rsid w:val="215C04F3"/>
    <w:rsid w:val="215C64E4"/>
    <w:rsid w:val="215D7491"/>
    <w:rsid w:val="215F4227"/>
    <w:rsid w:val="215F5FD5"/>
    <w:rsid w:val="2160525C"/>
    <w:rsid w:val="21606850"/>
    <w:rsid w:val="21616461"/>
    <w:rsid w:val="21617F9F"/>
    <w:rsid w:val="21627873"/>
    <w:rsid w:val="21666A8A"/>
    <w:rsid w:val="21675C01"/>
    <w:rsid w:val="216830DB"/>
    <w:rsid w:val="21683BA7"/>
    <w:rsid w:val="21690C01"/>
    <w:rsid w:val="216B481E"/>
    <w:rsid w:val="216C24A0"/>
    <w:rsid w:val="216D6944"/>
    <w:rsid w:val="216E446A"/>
    <w:rsid w:val="217001E2"/>
    <w:rsid w:val="2170218B"/>
    <w:rsid w:val="217125A8"/>
    <w:rsid w:val="21730C92"/>
    <w:rsid w:val="217355DC"/>
    <w:rsid w:val="21751354"/>
    <w:rsid w:val="217557F8"/>
    <w:rsid w:val="21771570"/>
    <w:rsid w:val="217952E8"/>
    <w:rsid w:val="217A4BE7"/>
    <w:rsid w:val="217C517A"/>
    <w:rsid w:val="217D645B"/>
    <w:rsid w:val="217E2424"/>
    <w:rsid w:val="217F21D3"/>
    <w:rsid w:val="217F2FC3"/>
    <w:rsid w:val="21823A71"/>
    <w:rsid w:val="218421B5"/>
    <w:rsid w:val="21843C8D"/>
    <w:rsid w:val="2184494B"/>
    <w:rsid w:val="218912A4"/>
    <w:rsid w:val="2189415F"/>
    <w:rsid w:val="21894E00"/>
    <w:rsid w:val="218B2B1D"/>
    <w:rsid w:val="218B6DCA"/>
    <w:rsid w:val="218E04EB"/>
    <w:rsid w:val="21902893"/>
    <w:rsid w:val="219263AA"/>
    <w:rsid w:val="21933ED0"/>
    <w:rsid w:val="219577E4"/>
    <w:rsid w:val="21994DF3"/>
    <w:rsid w:val="219B78EA"/>
    <w:rsid w:val="219C0FD7"/>
    <w:rsid w:val="219D08AB"/>
    <w:rsid w:val="219F63D1"/>
    <w:rsid w:val="21A30240"/>
    <w:rsid w:val="21A460DD"/>
    <w:rsid w:val="21A46780"/>
    <w:rsid w:val="21A63C04"/>
    <w:rsid w:val="21A70722"/>
    <w:rsid w:val="21A810FD"/>
    <w:rsid w:val="21A94160"/>
    <w:rsid w:val="21AA278D"/>
    <w:rsid w:val="21AD4F92"/>
    <w:rsid w:val="21AE2AB8"/>
    <w:rsid w:val="21AF17F1"/>
    <w:rsid w:val="21B04A82"/>
    <w:rsid w:val="21B17FE2"/>
    <w:rsid w:val="21B26104"/>
    <w:rsid w:val="21B4324B"/>
    <w:rsid w:val="21B7126E"/>
    <w:rsid w:val="21B7196D"/>
    <w:rsid w:val="21B87493"/>
    <w:rsid w:val="21BE0F4D"/>
    <w:rsid w:val="21BE2E1C"/>
    <w:rsid w:val="21C02F32"/>
    <w:rsid w:val="21C229D1"/>
    <w:rsid w:val="21C26289"/>
    <w:rsid w:val="21C422DC"/>
    <w:rsid w:val="21C81F68"/>
    <w:rsid w:val="21C86AFD"/>
    <w:rsid w:val="21D06385"/>
    <w:rsid w:val="21D267A7"/>
    <w:rsid w:val="21D342CD"/>
    <w:rsid w:val="21D50624"/>
    <w:rsid w:val="21DA1AFF"/>
    <w:rsid w:val="21DA38AD"/>
    <w:rsid w:val="21DA69A3"/>
    <w:rsid w:val="21DC5877"/>
    <w:rsid w:val="21DF2ED8"/>
    <w:rsid w:val="21E01DC0"/>
    <w:rsid w:val="21E07116"/>
    <w:rsid w:val="21E14C3C"/>
    <w:rsid w:val="21E25BC6"/>
    <w:rsid w:val="21E30307"/>
    <w:rsid w:val="21E3110C"/>
    <w:rsid w:val="21E40288"/>
    <w:rsid w:val="21E62252"/>
    <w:rsid w:val="21E92F31"/>
    <w:rsid w:val="21EB1E39"/>
    <w:rsid w:val="21EC5EE4"/>
    <w:rsid w:val="21EE7ED8"/>
    <w:rsid w:val="21EE7F0D"/>
    <w:rsid w:val="21F04E7F"/>
    <w:rsid w:val="21F229A5"/>
    <w:rsid w:val="21F4496F"/>
    <w:rsid w:val="21F545E4"/>
    <w:rsid w:val="21F61ABE"/>
    <w:rsid w:val="21F806A2"/>
    <w:rsid w:val="21F93D33"/>
    <w:rsid w:val="21FA5CFD"/>
    <w:rsid w:val="21FC3824"/>
    <w:rsid w:val="21FE6C33"/>
    <w:rsid w:val="21FE759C"/>
    <w:rsid w:val="22006ED8"/>
    <w:rsid w:val="2205092A"/>
    <w:rsid w:val="2208666C"/>
    <w:rsid w:val="220A5F40"/>
    <w:rsid w:val="220B18C2"/>
    <w:rsid w:val="220D5A31"/>
    <w:rsid w:val="220F2B6A"/>
    <w:rsid w:val="220F4460"/>
    <w:rsid w:val="22120715"/>
    <w:rsid w:val="22130268"/>
    <w:rsid w:val="22133977"/>
    <w:rsid w:val="221768AF"/>
    <w:rsid w:val="221E379A"/>
    <w:rsid w:val="222039B6"/>
    <w:rsid w:val="2221328A"/>
    <w:rsid w:val="222339F7"/>
    <w:rsid w:val="22263671"/>
    <w:rsid w:val="222A4D23"/>
    <w:rsid w:val="222F59A7"/>
    <w:rsid w:val="22342FBD"/>
    <w:rsid w:val="22361B31"/>
    <w:rsid w:val="223631D9"/>
    <w:rsid w:val="22364F87"/>
    <w:rsid w:val="2237485C"/>
    <w:rsid w:val="2238127F"/>
    <w:rsid w:val="2238734A"/>
    <w:rsid w:val="223A0468"/>
    <w:rsid w:val="223A125B"/>
    <w:rsid w:val="223C00C4"/>
    <w:rsid w:val="223C1E72"/>
    <w:rsid w:val="22401962"/>
    <w:rsid w:val="22405E06"/>
    <w:rsid w:val="224070BF"/>
    <w:rsid w:val="22421B7E"/>
    <w:rsid w:val="22456F79"/>
    <w:rsid w:val="224605D8"/>
    <w:rsid w:val="224A458F"/>
    <w:rsid w:val="224C6605"/>
    <w:rsid w:val="224F1BA5"/>
    <w:rsid w:val="224F6049"/>
    <w:rsid w:val="225049AB"/>
    <w:rsid w:val="22521696"/>
    <w:rsid w:val="225263D4"/>
    <w:rsid w:val="22533DB6"/>
    <w:rsid w:val="2257505C"/>
    <w:rsid w:val="22592A24"/>
    <w:rsid w:val="225A28D3"/>
    <w:rsid w:val="225B3CD8"/>
    <w:rsid w:val="225B4F52"/>
    <w:rsid w:val="225B679C"/>
    <w:rsid w:val="225C2514"/>
    <w:rsid w:val="225D0766"/>
    <w:rsid w:val="225E628C"/>
    <w:rsid w:val="22636AE2"/>
    <w:rsid w:val="2267494E"/>
    <w:rsid w:val="2268710B"/>
    <w:rsid w:val="226A69DF"/>
    <w:rsid w:val="226B3DA4"/>
    <w:rsid w:val="226C09A9"/>
    <w:rsid w:val="226C1A26"/>
    <w:rsid w:val="226E008B"/>
    <w:rsid w:val="226E1C50"/>
    <w:rsid w:val="22745AB0"/>
    <w:rsid w:val="227635D6"/>
    <w:rsid w:val="22784224"/>
    <w:rsid w:val="22794E74"/>
    <w:rsid w:val="227B6E3E"/>
    <w:rsid w:val="227C00C0"/>
    <w:rsid w:val="227E248B"/>
    <w:rsid w:val="227E633A"/>
    <w:rsid w:val="228201CD"/>
    <w:rsid w:val="228246F3"/>
    <w:rsid w:val="22825F7D"/>
    <w:rsid w:val="22833F45"/>
    <w:rsid w:val="22895117"/>
    <w:rsid w:val="228C06EB"/>
    <w:rsid w:val="228C0968"/>
    <w:rsid w:val="228E4DC3"/>
    <w:rsid w:val="228E6B05"/>
    <w:rsid w:val="228F7BC5"/>
    <w:rsid w:val="229264FB"/>
    <w:rsid w:val="229323DA"/>
    <w:rsid w:val="22977065"/>
    <w:rsid w:val="229B38BC"/>
    <w:rsid w:val="229C4D78"/>
    <w:rsid w:val="229D0C0C"/>
    <w:rsid w:val="229F33DA"/>
    <w:rsid w:val="229F5731"/>
    <w:rsid w:val="22A243CB"/>
    <w:rsid w:val="22A4235C"/>
    <w:rsid w:val="22A719E1"/>
    <w:rsid w:val="22A74473"/>
    <w:rsid w:val="22A75E85"/>
    <w:rsid w:val="22A97CB5"/>
    <w:rsid w:val="22AE5C67"/>
    <w:rsid w:val="22AF0896"/>
    <w:rsid w:val="22AF4D3A"/>
    <w:rsid w:val="22B12152"/>
    <w:rsid w:val="22B13DE9"/>
    <w:rsid w:val="22B16D1B"/>
    <w:rsid w:val="22B46BAD"/>
    <w:rsid w:val="22B67E76"/>
    <w:rsid w:val="22B755C4"/>
    <w:rsid w:val="22B83BEE"/>
    <w:rsid w:val="22B934C3"/>
    <w:rsid w:val="22BA0B2D"/>
    <w:rsid w:val="22BB723B"/>
    <w:rsid w:val="22BC0E3A"/>
    <w:rsid w:val="22BE4F7D"/>
    <w:rsid w:val="22BE6D2B"/>
    <w:rsid w:val="22C00CF5"/>
    <w:rsid w:val="22C071EF"/>
    <w:rsid w:val="22C12A74"/>
    <w:rsid w:val="22C32593"/>
    <w:rsid w:val="22C500B9"/>
    <w:rsid w:val="22C5630B"/>
    <w:rsid w:val="22C803A3"/>
    <w:rsid w:val="22C97BAA"/>
    <w:rsid w:val="22CA56D0"/>
    <w:rsid w:val="22CB4AFE"/>
    <w:rsid w:val="22CC58EC"/>
    <w:rsid w:val="22CC769A"/>
    <w:rsid w:val="22CE200A"/>
    <w:rsid w:val="22CF718A"/>
    <w:rsid w:val="22D221CB"/>
    <w:rsid w:val="22D24584"/>
    <w:rsid w:val="22D36C7A"/>
    <w:rsid w:val="22D55DED"/>
    <w:rsid w:val="22DA1DB7"/>
    <w:rsid w:val="22DA2031"/>
    <w:rsid w:val="22DC35E7"/>
    <w:rsid w:val="22E101B2"/>
    <w:rsid w:val="22E20C6B"/>
    <w:rsid w:val="22E25993"/>
    <w:rsid w:val="22E361A1"/>
    <w:rsid w:val="22E449E3"/>
    <w:rsid w:val="22E54766"/>
    <w:rsid w:val="22E91FFA"/>
    <w:rsid w:val="22EC1AEA"/>
    <w:rsid w:val="22EF3388"/>
    <w:rsid w:val="22F0068D"/>
    <w:rsid w:val="22F34C27"/>
    <w:rsid w:val="22F372AE"/>
    <w:rsid w:val="22F4796D"/>
    <w:rsid w:val="22F56BF1"/>
    <w:rsid w:val="22F91025"/>
    <w:rsid w:val="22FA27A4"/>
    <w:rsid w:val="22FF7345"/>
    <w:rsid w:val="22FF7A6F"/>
    <w:rsid w:val="23005595"/>
    <w:rsid w:val="23024E6A"/>
    <w:rsid w:val="23037F9F"/>
    <w:rsid w:val="23045086"/>
    <w:rsid w:val="230512B4"/>
    <w:rsid w:val="23052BAC"/>
    <w:rsid w:val="23072480"/>
    <w:rsid w:val="2309444A"/>
    <w:rsid w:val="230961F8"/>
    <w:rsid w:val="230C250D"/>
    <w:rsid w:val="23114793"/>
    <w:rsid w:val="231177A3"/>
    <w:rsid w:val="231352C9"/>
    <w:rsid w:val="23160915"/>
    <w:rsid w:val="23164DB9"/>
    <w:rsid w:val="231B0975"/>
    <w:rsid w:val="231D7EF5"/>
    <w:rsid w:val="232012D6"/>
    <w:rsid w:val="232149CB"/>
    <w:rsid w:val="23264FFC"/>
    <w:rsid w:val="232703F4"/>
    <w:rsid w:val="232A50B4"/>
    <w:rsid w:val="23303358"/>
    <w:rsid w:val="23306AD2"/>
    <w:rsid w:val="233314C7"/>
    <w:rsid w:val="23356FED"/>
    <w:rsid w:val="23360FB7"/>
    <w:rsid w:val="233A4603"/>
    <w:rsid w:val="233D5EA2"/>
    <w:rsid w:val="23413D8A"/>
    <w:rsid w:val="23427BCD"/>
    <w:rsid w:val="23474F72"/>
    <w:rsid w:val="23476D20"/>
    <w:rsid w:val="23480D95"/>
    <w:rsid w:val="234A717D"/>
    <w:rsid w:val="234B7E6D"/>
    <w:rsid w:val="234C2589"/>
    <w:rsid w:val="234C4337"/>
    <w:rsid w:val="235002CB"/>
    <w:rsid w:val="23522AED"/>
    <w:rsid w:val="23582CDC"/>
    <w:rsid w:val="235A4CA6"/>
    <w:rsid w:val="235D02F2"/>
    <w:rsid w:val="235F669D"/>
    <w:rsid w:val="236108CF"/>
    <w:rsid w:val="2363682C"/>
    <w:rsid w:val="23641680"/>
    <w:rsid w:val="2365041A"/>
    <w:rsid w:val="2366189C"/>
    <w:rsid w:val="23681B5E"/>
    <w:rsid w:val="23690F67"/>
    <w:rsid w:val="2369138D"/>
    <w:rsid w:val="236B0C61"/>
    <w:rsid w:val="236E24FF"/>
    <w:rsid w:val="23700025"/>
    <w:rsid w:val="2371150A"/>
    <w:rsid w:val="23733619"/>
    <w:rsid w:val="23752A5C"/>
    <w:rsid w:val="23757D31"/>
    <w:rsid w:val="23773223"/>
    <w:rsid w:val="23774002"/>
    <w:rsid w:val="2378512C"/>
    <w:rsid w:val="237A3CFD"/>
    <w:rsid w:val="237B7A0A"/>
    <w:rsid w:val="237E12D4"/>
    <w:rsid w:val="237F295E"/>
    <w:rsid w:val="237F693D"/>
    <w:rsid w:val="23813F2E"/>
    <w:rsid w:val="238241FC"/>
    <w:rsid w:val="23867849"/>
    <w:rsid w:val="238866CF"/>
    <w:rsid w:val="238910E7"/>
    <w:rsid w:val="238A3A61"/>
    <w:rsid w:val="238B4600"/>
    <w:rsid w:val="238B4E5F"/>
    <w:rsid w:val="238E2F66"/>
    <w:rsid w:val="23906919"/>
    <w:rsid w:val="23940548"/>
    <w:rsid w:val="239419C9"/>
    <w:rsid w:val="23955CDE"/>
    <w:rsid w:val="23971A56"/>
    <w:rsid w:val="239D2DE4"/>
    <w:rsid w:val="23A27197"/>
    <w:rsid w:val="23A411CC"/>
    <w:rsid w:val="23A61C99"/>
    <w:rsid w:val="23A777BF"/>
    <w:rsid w:val="23A92664"/>
    <w:rsid w:val="23AC7032"/>
    <w:rsid w:val="23AD2A30"/>
    <w:rsid w:val="23AE4FF1"/>
    <w:rsid w:val="23AE6D9F"/>
    <w:rsid w:val="23B1490B"/>
    <w:rsid w:val="23B32608"/>
    <w:rsid w:val="23B5012E"/>
    <w:rsid w:val="23B56380"/>
    <w:rsid w:val="23B65205"/>
    <w:rsid w:val="23B96153"/>
    <w:rsid w:val="23BA3996"/>
    <w:rsid w:val="23BA4149"/>
    <w:rsid w:val="23BC4CA3"/>
    <w:rsid w:val="23BD6FE3"/>
    <w:rsid w:val="23BF7974"/>
    <w:rsid w:val="23C016DA"/>
    <w:rsid w:val="23C07E6C"/>
    <w:rsid w:val="23C12F77"/>
    <w:rsid w:val="23C30DB2"/>
    <w:rsid w:val="23C40371"/>
    <w:rsid w:val="23C6058D"/>
    <w:rsid w:val="23C6233B"/>
    <w:rsid w:val="23C72304"/>
    <w:rsid w:val="23C87E61"/>
    <w:rsid w:val="23CB5BA3"/>
    <w:rsid w:val="23CB7951"/>
    <w:rsid w:val="23CD191B"/>
    <w:rsid w:val="23CE7442"/>
    <w:rsid w:val="23D04F68"/>
    <w:rsid w:val="23D762F6"/>
    <w:rsid w:val="23DA1437"/>
    <w:rsid w:val="23DC390D"/>
    <w:rsid w:val="23DF33FD"/>
    <w:rsid w:val="23DF51AB"/>
    <w:rsid w:val="23E26A49"/>
    <w:rsid w:val="23E34C9B"/>
    <w:rsid w:val="23E7405F"/>
    <w:rsid w:val="23E97DD8"/>
    <w:rsid w:val="23EB1DA2"/>
    <w:rsid w:val="23ED3D6C"/>
    <w:rsid w:val="23EE54AF"/>
    <w:rsid w:val="23EF1892"/>
    <w:rsid w:val="23F51545"/>
    <w:rsid w:val="23F52C20"/>
    <w:rsid w:val="23F549CE"/>
    <w:rsid w:val="23F650D1"/>
    <w:rsid w:val="23F76998"/>
    <w:rsid w:val="23F90EA7"/>
    <w:rsid w:val="23FF1498"/>
    <w:rsid w:val="24003A12"/>
    <w:rsid w:val="240115C5"/>
    <w:rsid w:val="2401719F"/>
    <w:rsid w:val="240504A7"/>
    <w:rsid w:val="24063F72"/>
    <w:rsid w:val="240D7F6A"/>
    <w:rsid w:val="240F3CE2"/>
    <w:rsid w:val="24107A5A"/>
    <w:rsid w:val="24165975"/>
    <w:rsid w:val="24166017"/>
    <w:rsid w:val="2418246B"/>
    <w:rsid w:val="241C63FF"/>
    <w:rsid w:val="241E5CD3"/>
    <w:rsid w:val="24201CF7"/>
    <w:rsid w:val="24201D72"/>
    <w:rsid w:val="242407F4"/>
    <w:rsid w:val="24240AE6"/>
    <w:rsid w:val="24240BD5"/>
    <w:rsid w:val="2425376B"/>
    <w:rsid w:val="24264B88"/>
    <w:rsid w:val="24286B52"/>
    <w:rsid w:val="24294678"/>
    <w:rsid w:val="242B6642"/>
    <w:rsid w:val="242D4168"/>
    <w:rsid w:val="242F7B35"/>
    <w:rsid w:val="24310F11"/>
    <w:rsid w:val="2432177F"/>
    <w:rsid w:val="2434206F"/>
    <w:rsid w:val="24342224"/>
    <w:rsid w:val="2435126F"/>
    <w:rsid w:val="2435301D"/>
    <w:rsid w:val="243A0633"/>
    <w:rsid w:val="243C4BFD"/>
    <w:rsid w:val="243D776E"/>
    <w:rsid w:val="244119C2"/>
    <w:rsid w:val="24417C14"/>
    <w:rsid w:val="2443573A"/>
    <w:rsid w:val="24443260"/>
    <w:rsid w:val="24450BC8"/>
    <w:rsid w:val="2446522A"/>
    <w:rsid w:val="24477475"/>
    <w:rsid w:val="24477903"/>
    <w:rsid w:val="244B0C98"/>
    <w:rsid w:val="244D09ED"/>
    <w:rsid w:val="244D480A"/>
    <w:rsid w:val="244E3C37"/>
    <w:rsid w:val="245142FB"/>
    <w:rsid w:val="2451716B"/>
    <w:rsid w:val="2454722D"/>
    <w:rsid w:val="24547947"/>
    <w:rsid w:val="245711E5"/>
    <w:rsid w:val="245A2A83"/>
    <w:rsid w:val="245D6E4F"/>
    <w:rsid w:val="24601679"/>
    <w:rsid w:val="24634627"/>
    <w:rsid w:val="246411D6"/>
    <w:rsid w:val="24681644"/>
    <w:rsid w:val="246833F2"/>
    <w:rsid w:val="246856A3"/>
    <w:rsid w:val="246C2EE2"/>
    <w:rsid w:val="24723094"/>
    <w:rsid w:val="247315E8"/>
    <w:rsid w:val="24737443"/>
    <w:rsid w:val="24776475"/>
    <w:rsid w:val="247A6377"/>
    <w:rsid w:val="247C6E9E"/>
    <w:rsid w:val="247D4FD2"/>
    <w:rsid w:val="247D6B3E"/>
    <w:rsid w:val="247E0C93"/>
    <w:rsid w:val="248144B4"/>
    <w:rsid w:val="24816262"/>
    <w:rsid w:val="24823B09"/>
    <w:rsid w:val="24857B00"/>
    <w:rsid w:val="24861ACA"/>
    <w:rsid w:val="248755CD"/>
    <w:rsid w:val="248A3369"/>
    <w:rsid w:val="249828C7"/>
    <w:rsid w:val="249B11DF"/>
    <w:rsid w:val="249B37C8"/>
    <w:rsid w:val="249B7324"/>
    <w:rsid w:val="249E5066"/>
    <w:rsid w:val="24A65CC9"/>
    <w:rsid w:val="24A76F10"/>
    <w:rsid w:val="24A81A41"/>
    <w:rsid w:val="24AA2C10"/>
    <w:rsid w:val="24AA5BDC"/>
    <w:rsid w:val="24AC1531"/>
    <w:rsid w:val="24AC6D20"/>
    <w:rsid w:val="24AF66F7"/>
    <w:rsid w:val="24B055D0"/>
    <w:rsid w:val="24B30B11"/>
    <w:rsid w:val="24B36813"/>
    <w:rsid w:val="24B54A8C"/>
    <w:rsid w:val="24B6030A"/>
    <w:rsid w:val="24B6415E"/>
    <w:rsid w:val="24B64E89"/>
    <w:rsid w:val="24B65F0C"/>
    <w:rsid w:val="24B77ED6"/>
    <w:rsid w:val="24B81188"/>
    <w:rsid w:val="24BE3012"/>
    <w:rsid w:val="24C03631"/>
    <w:rsid w:val="24C0541C"/>
    <w:rsid w:val="24C22B02"/>
    <w:rsid w:val="24C50E97"/>
    <w:rsid w:val="24C5387B"/>
    <w:rsid w:val="24C70119"/>
    <w:rsid w:val="24C90335"/>
    <w:rsid w:val="24CA2344"/>
    <w:rsid w:val="24CC1BD3"/>
    <w:rsid w:val="24D047DF"/>
    <w:rsid w:val="24D10F97"/>
    <w:rsid w:val="24D171E9"/>
    <w:rsid w:val="24D35C2C"/>
    <w:rsid w:val="24D43674"/>
    <w:rsid w:val="24D665AE"/>
    <w:rsid w:val="24D811BA"/>
    <w:rsid w:val="24D82326"/>
    <w:rsid w:val="24D86B83"/>
    <w:rsid w:val="24D91EFD"/>
    <w:rsid w:val="24DB3BC4"/>
    <w:rsid w:val="24DB5972"/>
    <w:rsid w:val="24DD694A"/>
    <w:rsid w:val="24DE36B4"/>
    <w:rsid w:val="24DF150B"/>
    <w:rsid w:val="24E416D7"/>
    <w:rsid w:val="24E46F1D"/>
    <w:rsid w:val="24E52C95"/>
    <w:rsid w:val="24E707BB"/>
    <w:rsid w:val="24EB2A14"/>
    <w:rsid w:val="24EC77B9"/>
    <w:rsid w:val="24EC7B7F"/>
    <w:rsid w:val="24ED17F0"/>
    <w:rsid w:val="24ED2DEA"/>
    <w:rsid w:val="24EF6934"/>
    <w:rsid w:val="24F133E8"/>
    <w:rsid w:val="24F32C28"/>
    <w:rsid w:val="24F5112A"/>
    <w:rsid w:val="24F74099"/>
    <w:rsid w:val="24F9229C"/>
    <w:rsid w:val="24F923DE"/>
    <w:rsid w:val="24FB5FF1"/>
    <w:rsid w:val="24FB6014"/>
    <w:rsid w:val="24FD00FD"/>
    <w:rsid w:val="24FD3C3C"/>
    <w:rsid w:val="24FE5280"/>
    <w:rsid w:val="24FE5B05"/>
    <w:rsid w:val="2500012F"/>
    <w:rsid w:val="25034EC9"/>
    <w:rsid w:val="250639AE"/>
    <w:rsid w:val="250824DF"/>
    <w:rsid w:val="250A6664"/>
    <w:rsid w:val="250A7CB8"/>
    <w:rsid w:val="250C5C83"/>
    <w:rsid w:val="250E3F9A"/>
    <w:rsid w:val="2512504B"/>
    <w:rsid w:val="25132F85"/>
    <w:rsid w:val="251B1164"/>
    <w:rsid w:val="251B2213"/>
    <w:rsid w:val="251B66B7"/>
    <w:rsid w:val="251D6422"/>
    <w:rsid w:val="25231391"/>
    <w:rsid w:val="2524201B"/>
    <w:rsid w:val="25257535"/>
    <w:rsid w:val="25290DD3"/>
    <w:rsid w:val="25292B82"/>
    <w:rsid w:val="252A1881"/>
    <w:rsid w:val="252D671B"/>
    <w:rsid w:val="25317332"/>
    <w:rsid w:val="2533479E"/>
    <w:rsid w:val="253357AE"/>
    <w:rsid w:val="25353928"/>
    <w:rsid w:val="2536384B"/>
    <w:rsid w:val="2536704D"/>
    <w:rsid w:val="25387E2E"/>
    <w:rsid w:val="253908EB"/>
    <w:rsid w:val="253A41A3"/>
    <w:rsid w:val="253D03DB"/>
    <w:rsid w:val="253D3BCE"/>
    <w:rsid w:val="254259F1"/>
    <w:rsid w:val="2543028D"/>
    <w:rsid w:val="254479BB"/>
    <w:rsid w:val="254D2812"/>
    <w:rsid w:val="25503821"/>
    <w:rsid w:val="25506360"/>
    <w:rsid w:val="25513E86"/>
    <w:rsid w:val="25540214"/>
    <w:rsid w:val="25545725"/>
    <w:rsid w:val="255676EF"/>
    <w:rsid w:val="25570229"/>
    <w:rsid w:val="25583BFF"/>
    <w:rsid w:val="255B4D05"/>
    <w:rsid w:val="255E59A9"/>
    <w:rsid w:val="255F2A47"/>
    <w:rsid w:val="255F65A3"/>
    <w:rsid w:val="25624A68"/>
    <w:rsid w:val="25652808"/>
    <w:rsid w:val="256718FC"/>
    <w:rsid w:val="256736AA"/>
    <w:rsid w:val="256E4A38"/>
    <w:rsid w:val="256F74FA"/>
    <w:rsid w:val="2570107C"/>
    <w:rsid w:val="25706A02"/>
    <w:rsid w:val="2572277A"/>
    <w:rsid w:val="25723358"/>
    <w:rsid w:val="25757B75"/>
    <w:rsid w:val="257705A8"/>
    <w:rsid w:val="25773F95"/>
    <w:rsid w:val="25783B09"/>
    <w:rsid w:val="257F09F3"/>
    <w:rsid w:val="25806DC3"/>
    <w:rsid w:val="258204E4"/>
    <w:rsid w:val="2582321F"/>
    <w:rsid w:val="2582760D"/>
    <w:rsid w:val="25851A7C"/>
    <w:rsid w:val="2587768C"/>
    <w:rsid w:val="258778A8"/>
    <w:rsid w:val="25893A50"/>
    <w:rsid w:val="258B55EA"/>
    <w:rsid w:val="258C4EBE"/>
    <w:rsid w:val="25910727"/>
    <w:rsid w:val="25910769"/>
    <w:rsid w:val="25916979"/>
    <w:rsid w:val="25980838"/>
    <w:rsid w:val="25983863"/>
    <w:rsid w:val="259D0E7A"/>
    <w:rsid w:val="259D3570"/>
    <w:rsid w:val="259D531E"/>
    <w:rsid w:val="259E18A4"/>
    <w:rsid w:val="259F4C9D"/>
    <w:rsid w:val="25A0096A"/>
    <w:rsid w:val="25A22934"/>
    <w:rsid w:val="25A466AC"/>
    <w:rsid w:val="25A93CC2"/>
    <w:rsid w:val="25AB7A3A"/>
    <w:rsid w:val="25AC5561"/>
    <w:rsid w:val="25AC5AD5"/>
    <w:rsid w:val="25AD6DA4"/>
    <w:rsid w:val="25AF2202"/>
    <w:rsid w:val="25B23332"/>
    <w:rsid w:val="25B4065F"/>
    <w:rsid w:val="25B53AB1"/>
    <w:rsid w:val="25B53CA1"/>
    <w:rsid w:val="25BA2A69"/>
    <w:rsid w:val="25BB4AB6"/>
    <w:rsid w:val="25BD6FFF"/>
    <w:rsid w:val="25BD776E"/>
    <w:rsid w:val="25BD7B7E"/>
    <w:rsid w:val="25BF7042"/>
    <w:rsid w:val="25C14ADA"/>
    <w:rsid w:val="25C26B32"/>
    <w:rsid w:val="25C34750"/>
    <w:rsid w:val="25C40AFC"/>
    <w:rsid w:val="25C44658"/>
    <w:rsid w:val="25C64CB0"/>
    <w:rsid w:val="25C74149"/>
    <w:rsid w:val="25C94365"/>
    <w:rsid w:val="25CB48EA"/>
    <w:rsid w:val="25CB56EB"/>
    <w:rsid w:val="25CC175F"/>
    <w:rsid w:val="25CD7256"/>
    <w:rsid w:val="25D159EC"/>
    <w:rsid w:val="25D24FC7"/>
    <w:rsid w:val="25D845A8"/>
    <w:rsid w:val="25D9450E"/>
    <w:rsid w:val="25DA7418"/>
    <w:rsid w:val="25DD571A"/>
    <w:rsid w:val="25DE6EB0"/>
    <w:rsid w:val="25E01565"/>
    <w:rsid w:val="25E310F1"/>
    <w:rsid w:val="25E425EA"/>
    <w:rsid w:val="25E46D6D"/>
    <w:rsid w:val="25E53141"/>
    <w:rsid w:val="25E66CC5"/>
    <w:rsid w:val="25E940BF"/>
    <w:rsid w:val="25EB6089"/>
    <w:rsid w:val="25ED68B3"/>
    <w:rsid w:val="25F00188"/>
    <w:rsid w:val="25F0369F"/>
    <w:rsid w:val="25F52A64"/>
    <w:rsid w:val="25F70640"/>
    <w:rsid w:val="25F767DC"/>
    <w:rsid w:val="25F80363"/>
    <w:rsid w:val="25F806CE"/>
    <w:rsid w:val="25F80F5A"/>
    <w:rsid w:val="25F84D0D"/>
    <w:rsid w:val="25FA3F5C"/>
    <w:rsid w:val="25FA62CC"/>
    <w:rsid w:val="25FC2044"/>
    <w:rsid w:val="25FD131E"/>
    <w:rsid w:val="25FD7B6A"/>
    <w:rsid w:val="25FF1B34"/>
    <w:rsid w:val="2603304D"/>
    <w:rsid w:val="26044F26"/>
    <w:rsid w:val="2607705C"/>
    <w:rsid w:val="26084E8D"/>
    <w:rsid w:val="26094761"/>
    <w:rsid w:val="2609650F"/>
    <w:rsid w:val="260E3B25"/>
    <w:rsid w:val="261455E0"/>
    <w:rsid w:val="261C26E6"/>
    <w:rsid w:val="261E020C"/>
    <w:rsid w:val="261E16F9"/>
    <w:rsid w:val="26253415"/>
    <w:rsid w:val="26265313"/>
    <w:rsid w:val="26284BE7"/>
    <w:rsid w:val="2628784B"/>
    <w:rsid w:val="26296BB1"/>
    <w:rsid w:val="262A4E03"/>
    <w:rsid w:val="262D0D77"/>
    <w:rsid w:val="262E3C46"/>
    <w:rsid w:val="262F10D9"/>
    <w:rsid w:val="263537A8"/>
    <w:rsid w:val="263712CE"/>
    <w:rsid w:val="263A491A"/>
    <w:rsid w:val="263E440B"/>
    <w:rsid w:val="264069EF"/>
    <w:rsid w:val="26413D08"/>
    <w:rsid w:val="26415CA9"/>
    <w:rsid w:val="264628A4"/>
    <w:rsid w:val="26467763"/>
    <w:rsid w:val="264A7253"/>
    <w:rsid w:val="2652435A"/>
    <w:rsid w:val="2653085F"/>
    <w:rsid w:val="265417B0"/>
    <w:rsid w:val="265515CF"/>
    <w:rsid w:val="26597496"/>
    <w:rsid w:val="265A05A4"/>
    <w:rsid w:val="265A320F"/>
    <w:rsid w:val="265E2CFF"/>
    <w:rsid w:val="265E44AB"/>
    <w:rsid w:val="2662338C"/>
    <w:rsid w:val="26681488"/>
    <w:rsid w:val="266A3452"/>
    <w:rsid w:val="266F14D5"/>
    <w:rsid w:val="267047E0"/>
    <w:rsid w:val="26737C48"/>
    <w:rsid w:val="26741207"/>
    <w:rsid w:val="267442D0"/>
    <w:rsid w:val="2674607E"/>
    <w:rsid w:val="26773DC1"/>
    <w:rsid w:val="2677791D"/>
    <w:rsid w:val="26795F50"/>
    <w:rsid w:val="267A0FD2"/>
    <w:rsid w:val="267B53F0"/>
    <w:rsid w:val="267B565F"/>
    <w:rsid w:val="26802C75"/>
    <w:rsid w:val="26804A23"/>
    <w:rsid w:val="268169ED"/>
    <w:rsid w:val="268343F7"/>
    <w:rsid w:val="2685028B"/>
    <w:rsid w:val="268B5154"/>
    <w:rsid w:val="268B52B2"/>
    <w:rsid w:val="268C786C"/>
    <w:rsid w:val="268F110A"/>
    <w:rsid w:val="26937DC4"/>
    <w:rsid w:val="2694227D"/>
    <w:rsid w:val="2696426F"/>
    <w:rsid w:val="26997893"/>
    <w:rsid w:val="269F0C21"/>
    <w:rsid w:val="26A355BB"/>
    <w:rsid w:val="26A526DC"/>
    <w:rsid w:val="26A821C1"/>
    <w:rsid w:val="26B40B71"/>
    <w:rsid w:val="26B47DA6"/>
    <w:rsid w:val="26B50755"/>
    <w:rsid w:val="26B532BF"/>
    <w:rsid w:val="26B648E9"/>
    <w:rsid w:val="26B81871"/>
    <w:rsid w:val="26BB3CAD"/>
    <w:rsid w:val="26BC6706"/>
    <w:rsid w:val="26BE34A6"/>
    <w:rsid w:val="26BF01D9"/>
    <w:rsid w:val="26BF2053"/>
    <w:rsid w:val="26C0204E"/>
    <w:rsid w:val="26C1503C"/>
    <w:rsid w:val="26C22C59"/>
    <w:rsid w:val="26C22CF2"/>
    <w:rsid w:val="26C2328E"/>
    <w:rsid w:val="26C30DB4"/>
    <w:rsid w:val="26C83132"/>
    <w:rsid w:val="26C87517"/>
    <w:rsid w:val="26CB6C26"/>
    <w:rsid w:val="26D14BAB"/>
    <w:rsid w:val="26D46B1D"/>
    <w:rsid w:val="26D60AE7"/>
    <w:rsid w:val="26D7660D"/>
    <w:rsid w:val="26D905D7"/>
    <w:rsid w:val="26DC0380"/>
    <w:rsid w:val="26DF216F"/>
    <w:rsid w:val="26DF753D"/>
    <w:rsid w:val="26E03714"/>
    <w:rsid w:val="26E1530D"/>
    <w:rsid w:val="26E34FB2"/>
    <w:rsid w:val="26E56F7C"/>
    <w:rsid w:val="26E8206E"/>
    <w:rsid w:val="26E86A6C"/>
    <w:rsid w:val="26EA00EF"/>
    <w:rsid w:val="26EE73D4"/>
    <w:rsid w:val="26EF30E1"/>
    <w:rsid w:val="26EF7DFB"/>
    <w:rsid w:val="26F251F5"/>
    <w:rsid w:val="26F47BA6"/>
    <w:rsid w:val="26F57B3D"/>
    <w:rsid w:val="26F92A28"/>
    <w:rsid w:val="26FA14E9"/>
    <w:rsid w:val="26FB054E"/>
    <w:rsid w:val="26FC7E22"/>
    <w:rsid w:val="26FE003E"/>
    <w:rsid w:val="26FE3B9A"/>
    <w:rsid w:val="27004365"/>
    <w:rsid w:val="27005B64"/>
    <w:rsid w:val="270218DC"/>
    <w:rsid w:val="27060E39"/>
    <w:rsid w:val="27072B67"/>
    <w:rsid w:val="27082C6B"/>
    <w:rsid w:val="270B5F28"/>
    <w:rsid w:val="270E26BE"/>
    <w:rsid w:val="270F7B55"/>
    <w:rsid w:val="27117D71"/>
    <w:rsid w:val="271213BB"/>
    <w:rsid w:val="27151820"/>
    <w:rsid w:val="2716266C"/>
    <w:rsid w:val="271635D9"/>
    <w:rsid w:val="27167136"/>
    <w:rsid w:val="271D04C4"/>
    <w:rsid w:val="271D6716"/>
    <w:rsid w:val="271E248E"/>
    <w:rsid w:val="271F27F9"/>
    <w:rsid w:val="27204E4F"/>
    <w:rsid w:val="27223D2C"/>
    <w:rsid w:val="27231678"/>
    <w:rsid w:val="27293C01"/>
    <w:rsid w:val="27297642"/>
    <w:rsid w:val="272B5640"/>
    <w:rsid w:val="272C4BAB"/>
    <w:rsid w:val="272D447F"/>
    <w:rsid w:val="27313F6F"/>
    <w:rsid w:val="273306F3"/>
    <w:rsid w:val="273332C4"/>
    <w:rsid w:val="273431DA"/>
    <w:rsid w:val="273A72C8"/>
    <w:rsid w:val="273C4155"/>
    <w:rsid w:val="273D46C2"/>
    <w:rsid w:val="273E043A"/>
    <w:rsid w:val="27400656"/>
    <w:rsid w:val="27421E91"/>
    <w:rsid w:val="27461D7A"/>
    <w:rsid w:val="27493F03"/>
    <w:rsid w:val="274A6DDF"/>
    <w:rsid w:val="274C2B57"/>
    <w:rsid w:val="27506874"/>
    <w:rsid w:val="275B0FEC"/>
    <w:rsid w:val="275F617F"/>
    <w:rsid w:val="27601F0E"/>
    <w:rsid w:val="27604855"/>
    <w:rsid w:val="27646D90"/>
    <w:rsid w:val="27651E6B"/>
    <w:rsid w:val="27652186"/>
    <w:rsid w:val="27665F4A"/>
    <w:rsid w:val="2767173F"/>
    <w:rsid w:val="27672245"/>
    <w:rsid w:val="27685F18"/>
    <w:rsid w:val="276A122F"/>
    <w:rsid w:val="276A7481"/>
    <w:rsid w:val="276B56D3"/>
    <w:rsid w:val="276B72CD"/>
    <w:rsid w:val="276C6D8F"/>
    <w:rsid w:val="277015B9"/>
    <w:rsid w:val="27702CEA"/>
    <w:rsid w:val="27755C75"/>
    <w:rsid w:val="27781B9E"/>
    <w:rsid w:val="27784CB4"/>
    <w:rsid w:val="277B5A54"/>
    <w:rsid w:val="277D71B5"/>
    <w:rsid w:val="277E1A10"/>
    <w:rsid w:val="277E51DA"/>
    <w:rsid w:val="277F090B"/>
    <w:rsid w:val="277F4CDB"/>
    <w:rsid w:val="2783429F"/>
    <w:rsid w:val="27871DE1"/>
    <w:rsid w:val="27873B8F"/>
    <w:rsid w:val="27897907"/>
    <w:rsid w:val="278A3680"/>
    <w:rsid w:val="278D3841"/>
    <w:rsid w:val="278F719A"/>
    <w:rsid w:val="27912F2C"/>
    <w:rsid w:val="279369D8"/>
    <w:rsid w:val="279544FE"/>
    <w:rsid w:val="27962024"/>
    <w:rsid w:val="27983FEE"/>
    <w:rsid w:val="279871A5"/>
    <w:rsid w:val="279C61D3"/>
    <w:rsid w:val="27A110F5"/>
    <w:rsid w:val="27A335A0"/>
    <w:rsid w:val="27A504B9"/>
    <w:rsid w:val="27A57AF5"/>
    <w:rsid w:val="27A6670B"/>
    <w:rsid w:val="27A91D58"/>
    <w:rsid w:val="27AC2ADC"/>
    <w:rsid w:val="27B01338"/>
    <w:rsid w:val="27B0758A"/>
    <w:rsid w:val="27B16E5E"/>
    <w:rsid w:val="27B34984"/>
    <w:rsid w:val="27B34994"/>
    <w:rsid w:val="27B64475"/>
    <w:rsid w:val="27B9222B"/>
    <w:rsid w:val="27B95A4F"/>
    <w:rsid w:val="27BC5F2F"/>
    <w:rsid w:val="27BD1CA7"/>
    <w:rsid w:val="27BD3A55"/>
    <w:rsid w:val="27BE1357"/>
    <w:rsid w:val="27BF4B3F"/>
    <w:rsid w:val="27BF5A1F"/>
    <w:rsid w:val="27C02F88"/>
    <w:rsid w:val="27C2106B"/>
    <w:rsid w:val="27C51A15"/>
    <w:rsid w:val="27C577D9"/>
    <w:rsid w:val="27C60B5C"/>
    <w:rsid w:val="27C624E9"/>
    <w:rsid w:val="27C82E0F"/>
    <w:rsid w:val="27C939AE"/>
    <w:rsid w:val="27CA3675"/>
    <w:rsid w:val="27CB43C4"/>
    <w:rsid w:val="27CE17BE"/>
    <w:rsid w:val="27D05112"/>
    <w:rsid w:val="27D05536"/>
    <w:rsid w:val="27D35027"/>
    <w:rsid w:val="27D56FF1"/>
    <w:rsid w:val="27D668C5"/>
    <w:rsid w:val="27D66E7A"/>
    <w:rsid w:val="27D7197B"/>
    <w:rsid w:val="27D74B17"/>
    <w:rsid w:val="27D94D34"/>
    <w:rsid w:val="27E47234"/>
    <w:rsid w:val="27E55EA8"/>
    <w:rsid w:val="27E606F5"/>
    <w:rsid w:val="27E823ED"/>
    <w:rsid w:val="27E9484A"/>
    <w:rsid w:val="27EB411E"/>
    <w:rsid w:val="27EC0625"/>
    <w:rsid w:val="27EC7E96"/>
    <w:rsid w:val="27ED0005"/>
    <w:rsid w:val="27F36D6B"/>
    <w:rsid w:val="27F76F67"/>
    <w:rsid w:val="27FA0805"/>
    <w:rsid w:val="27FA25B3"/>
    <w:rsid w:val="27FC457D"/>
    <w:rsid w:val="2802590C"/>
    <w:rsid w:val="280751E1"/>
    <w:rsid w:val="28090A48"/>
    <w:rsid w:val="280D218A"/>
    <w:rsid w:val="280D678A"/>
    <w:rsid w:val="280E134B"/>
    <w:rsid w:val="280E42B1"/>
    <w:rsid w:val="280F41D9"/>
    <w:rsid w:val="2812597A"/>
    <w:rsid w:val="2815563F"/>
    <w:rsid w:val="28186FA1"/>
    <w:rsid w:val="281B76B8"/>
    <w:rsid w:val="281C077C"/>
    <w:rsid w:val="281D62A2"/>
    <w:rsid w:val="281E2D4C"/>
    <w:rsid w:val="281F026C"/>
    <w:rsid w:val="281F2FA3"/>
    <w:rsid w:val="28210E7B"/>
    <w:rsid w:val="28235FAE"/>
    <w:rsid w:val="28271219"/>
    <w:rsid w:val="282A0DD5"/>
    <w:rsid w:val="282B09BF"/>
    <w:rsid w:val="282C1F6A"/>
    <w:rsid w:val="28302479"/>
    <w:rsid w:val="28305FD5"/>
    <w:rsid w:val="283104DE"/>
    <w:rsid w:val="28352183"/>
    <w:rsid w:val="28371EFA"/>
    <w:rsid w:val="283C7070"/>
    <w:rsid w:val="283D06F2"/>
    <w:rsid w:val="283D6944"/>
    <w:rsid w:val="2841086C"/>
    <w:rsid w:val="28433F5A"/>
    <w:rsid w:val="28437A48"/>
    <w:rsid w:val="28441A80"/>
    <w:rsid w:val="2844618A"/>
    <w:rsid w:val="28461C9C"/>
    <w:rsid w:val="28477CB1"/>
    <w:rsid w:val="284877C3"/>
    <w:rsid w:val="284B1061"/>
    <w:rsid w:val="284B2CED"/>
    <w:rsid w:val="284F4356"/>
    <w:rsid w:val="284F6DB5"/>
    <w:rsid w:val="28520641"/>
    <w:rsid w:val="28551EE0"/>
    <w:rsid w:val="28560274"/>
    <w:rsid w:val="2859777F"/>
    <w:rsid w:val="285C14C0"/>
    <w:rsid w:val="285E08FB"/>
    <w:rsid w:val="285E12CD"/>
    <w:rsid w:val="285F3932"/>
    <w:rsid w:val="28605909"/>
    <w:rsid w:val="28605E18"/>
    <w:rsid w:val="28616AD6"/>
    <w:rsid w:val="28637FE7"/>
    <w:rsid w:val="28642123"/>
    <w:rsid w:val="28645D63"/>
    <w:rsid w:val="28650375"/>
    <w:rsid w:val="2866687F"/>
    <w:rsid w:val="286839C1"/>
    <w:rsid w:val="2869624B"/>
    <w:rsid w:val="286A4E74"/>
    <w:rsid w:val="286B2E69"/>
    <w:rsid w:val="286D547B"/>
    <w:rsid w:val="28703966"/>
    <w:rsid w:val="287560DE"/>
    <w:rsid w:val="287700A8"/>
    <w:rsid w:val="28777A17"/>
    <w:rsid w:val="287865BB"/>
    <w:rsid w:val="287B4761"/>
    <w:rsid w:val="287E31E4"/>
    <w:rsid w:val="287F0D0A"/>
    <w:rsid w:val="28816013"/>
    <w:rsid w:val="28834ADA"/>
    <w:rsid w:val="28846321"/>
    <w:rsid w:val="28862099"/>
    <w:rsid w:val="288761A4"/>
    <w:rsid w:val="28887BBF"/>
    <w:rsid w:val="288B012B"/>
    <w:rsid w:val="288B36A3"/>
    <w:rsid w:val="288E0F4E"/>
    <w:rsid w:val="288E1094"/>
    <w:rsid w:val="28917268"/>
    <w:rsid w:val="28944322"/>
    <w:rsid w:val="28944749"/>
    <w:rsid w:val="289522DC"/>
    <w:rsid w:val="28976054"/>
    <w:rsid w:val="289B1FE8"/>
    <w:rsid w:val="289F095F"/>
    <w:rsid w:val="28A16BF5"/>
    <w:rsid w:val="28AA222B"/>
    <w:rsid w:val="28AB1AFF"/>
    <w:rsid w:val="28AD1D1C"/>
    <w:rsid w:val="28B135BA"/>
    <w:rsid w:val="28B210E0"/>
    <w:rsid w:val="28B22E8E"/>
    <w:rsid w:val="28B5111E"/>
    <w:rsid w:val="28B74948"/>
    <w:rsid w:val="28B80660"/>
    <w:rsid w:val="28B9246E"/>
    <w:rsid w:val="28BD3D43"/>
    <w:rsid w:val="28BD5F34"/>
    <w:rsid w:val="28BE27A6"/>
    <w:rsid w:val="28C332ED"/>
    <w:rsid w:val="28C50E13"/>
    <w:rsid w:val="28C52BC1"/>
    <w:rsid w:val="28C606E7"/>
    <w:rsid w:val="28C72DDD"/>
    <w:rsid w:val="28C77B6A"/>
    <w:rsid w:val="28C87E31"/>
    <w:rsid w:val="28C978B9"/>
    <w:rsid w:val="28CA01D8"/>
    <w:rsid w:val="28CA642A"/>
    <w:rsid w:val="28CC4770"/>
    <w:rsid w:val="28CD1A76"/>
    <w:rsid w:val="28CD7CC6"/>
    <w:rsid w:val="28CE6601"/>
    <w:rsid w:val="28CF4BBB"/>
    <w:rsid w:val="28D128C4"/>
    <w:rsid w:val="28D64DCE"/>
    <w:rsid w:val="28D948BF"/>
    <w:rsid w:val="28DC7F0B"/>
    <w:rsid w:val="28E15521"/>
    <w:rsid w:val="28E219C5"/>
    <w:rsid w:val="28E22D21"/>
    <w:rsid w:val="28E3573D"/>
    <w:rsid w:val="28E47C6A"/>
    <w:rsid w:val="28E8208E"/>
    <w:rsid w:val="28EA0255"/>
    <w:rsid w:val="28EA3406"/>
    <w:rsid w:val="28EB2C53"/>
    <w:rsid w:val="28EB309B"/>
    <w:rsid w:val="28EC2844"/>
    <w:rsid w:val="28EE0E9F"/>
    <w:rsid w:val="28F039B6"/>
    <w:rsid w:val="28F12049"/>
    <w:rsid w:val="28F504EF"/>
    <w:rsid w:val="28F9286B"/>
    <w:rsid w:val="28FA43F5"/>
    <w:rsid w:val="28FB3ED4"/>
    <w:rsid w:val="28FC3BD8"/>
    <w:rsid w:val="28FC5481"/>
    <w:rsid w:val="28FE12D3"/>
    <w:rsid w:val="2900009D"/>
    <w:rsid w:val="29015BC3"/>
    <w:rsid w:val="29035C91"/>
    <w:rsid w:val="29050366"/>
    <w:rsid w:val="29051210"/>
    <w:rsid w:val="29052D01"/>
    <w:rsid w:val="290541A2"/>
    <w:rsid w:val="290556B4"/>
    <w:rsid w:val="29077E9F"/>
    <w:rsid w:val="290A48C5"/>
    <w:rsid w:val="290A574F"/>
    <w:rsid w:val="290F6532"/>
    <w:rsid w:val="2914403E"/>
    <w:rsid w:val="291476A5"/>
    <w:rsid w:val="29160140"/>
    <w:rsid w:val="29171565"/>
    <w:rsid w:val="29192F0D"/>
    <w:rsid w:val="291B6C85"/>
    <w:rsid w:val="291D2120"/>
    <w:rsid w:val="2920604A"/>
    <w:rsid w:val="29206C03"/>
    <w:rsid w:val="292177E4"/>
    <w:rsid w:val="29235B3A"/>
    <w:rsid w:val="29253660"/>
    <w:rsid w:val="29255C69"/>
    <w:rsid w:val="29276A9D"/>
    <w:rsid w:val="292813A2"/>
    <w:rsid w:val="292818F8"/>
    <w:rsid w:val="292C2C40"/>
    <w:rsid w:val="292D69B8"/>
    <w:rsid w:val="292D7D55"/>
    <w:rsid w:val="29325D7D"/>
    <w:rsid w:val="293470A9"/>
    <w:rsid w:val="29354DAB"/>
    <w:rsid w:val="29355EB7"/>
    <w:rsid w:val="29361D11"/>
    <w:rsid w:val="29366A6C"/>
    <w:rsid w:val="2939710B"/>
    <w:rsid w:val="293B7327"/>
    <w:rsid w:val="2940270F"/>
    <w:rsid w:val="29455AB0"/>
    <w:rsid w:val="294604BE"/>
    <w:rsid w:val="29464110"/>
    <w:rsid w:val="2946649C"/>
    <w:rsid w:val="29471828"/>
    <w:rsid w:val="294D0D1A"/>
    <w:rsid w:val="294E705B"/>
    <w:rsid w:val="294F2DD3"/>
    <w:rsid w:val="29503BAF"/>
    <w:rsid w:val="295108F9"/>
    <w:rsid w:val="295201CD"/>
    <w:rsid w:val="29542197"/>
    <w:rsid w:val="29557060"/>
    <w:rsid w:val="295F3567"/>
    <w:rsid w:val="29600B3C"/>
    <w:rsid w:val="29672381"/>
    <w:rsid w:val="29695C42"/>
    <w:rsid w:val="296D5007"/>
    <w:rsid w:val="296E79BD"/>
    <w:rsid w:val="296F3868"/>
    <w:rsid w:val="296F6ACB"/>
    <w:rsid w:val="29736AC1"/>
    <w:rsid w:val="297417ED"/>
    <w:rsid w:val="297C57AB"/>
    <w:rsid w:val="298365D8"/>
    <w:rsid w:val="2985212C"/>
    <w:rsid w:val="29863046"/>
    <w:rsid w:val="2987256D"/>
    <w:rsid w:val="2987407F"/>
    <w:rsid w:val="29883BEF"/>
    <w:rsid w:val="29892243"/>
    <w:rsid w:val="298962E5"/>
    <w:rsid w:val="298A079B"/>
    <w:rsid w:val="298D0473"/>
    <w:rsid w:val="298D25E5"/>
    <w:rsid w:val="298E30D3"/>
    <w:rsid w:val="298F528D"/>
    <w:rsid w:val="29900FC3"/>
    <w:rsid w:val="29984596"/>
    <w:rsid w:val="29995DFC"/>
    <w:rsid w:val="29997BDC"/>
    <w:rsid w:val="299D064F"/>
    <w:rsid w:val="299F1664"/>
    <w:rsid w:val="299F1898"/>
    <w:rsid w:val="29A058F9"/>
    <w:rsid w:val="29A20219"/>
    <w:rsid w:val="29A432E3"/>
    <w:rsid w:val="29A50C45"/>
    <w:rsid w:val="29A94291"/>
    <w:rsid w:val="29B175E9"/>
    <w:rsid w:val="29B4737D"/>
    <w:rsid w:val="29B522CE"/>
    <w:rsid w:val="29BB3FC4"/>
    <w:rsid w:val="29BC620F"/>
    <w:rsid w:val="29BD3CB7"/>
    <w:rsid w:val="29BD5F8E"/>
    <w:rsid w:val="29C173CE"/>
    <w:rsid w:val="29C410CB"/>
    <w:rsid w:val="29C42E79"/>
    <w:rsid w:val="29C76E0D"/>
    <w:rsid w:val="29C857A2"/>
    <w:rsid w:val="29C966E1"/>
    <w:rsid w:val="29CA2459"/>
    <w:rsid w:val="29CA4207"/>
    <w:rsid w:val="29CB572B"/>
    <w:rsid w:val="29D01312"/>
    <w:rsid w:val="29D032EE"/>
    <w:rsid w:val="29D566A1"/>
    <w:rsid w:val="29D65B8A"/>
    <w:rsid w:val="29D67050"/>
    <w:rsid w:val="29D82DC8"/>
    <w:rsid w:val="29D90840"/>
    <w:rsid w:val="29E21551"/>
    <w:rsid w:val="29E55626"/>
    <w:rsid w:val="29E940EF"/>
    <w:rsid w:val="29EA6657"/>
    <w:rsid w:val="29ED1D09"/>
    <w:rsid w:val="29F00112"/>
    <w:rsid w:val="29F15C38"/>
    <w:rsid w:val="29F40708"/>
    <w:rsid w:val="29F51284"/>
    <w:rsid w:val="29F714A0"/>
    <w:rsid w:val="29F7651B"/>
    <w:rsid w:val="29F80D74"/>
    <w:rsid w:val="29F833D4"/>
    <w:rsid w:val="29FA0456"/>
    <w:rsid w:val="29FA2D3E"/>
    <w:rsid w:val="29FD22B4"/>
    <w:rsid w:val="29FF0355"/>
    <w:rsid w:val="2A0106BA"/>
    <w:rsid w:val="2A0400B7"/>
    <w:rsid w:val="2A070203"/>
    <w:rsid w:val="2A070FB7"/>
    <w:rsid w:val="2A07545B"/>
    <w:rsid w:val="2A0767CB"/>
    <w:rsid w:val="2A091BEB"/>
    <w:rsid w:val="2A0B4F4C"/>
    <w:rsid w:val="2A0D546A"/>
    <w:rsid w:val="2A0F7BD4"/>
    <w:rsid w:val="2A102562"/>
    <w:rsid w:val="2A110E94"/>
    <w:rsid w:val="2A132E42"/>
    <w:rsid w:val="2A1376F4"/>
    <w:rsid w:val="2A14170E"/>
    <w:rsid w:val="2A157B78"/>
    <w:rsid w:val="2A190DF0"/>
    <w:rsid w:val="2A1A518F"/>
    <w:rsid w:val="2A1D4C7F"/>
    <w:rsid w:val="2A222295"/>
    <w:rsid w:val="2A225DF1"/>
    <w:rsid w:val="2A23482C"/>
    <w:rsid w:val="2A23710F"/>
    <w:rsid w:val="2A255CE0"/>
    <w:rsid w:val="2A27165A"/>
    <w:rsid w:val="2A306760"/>
    <w:rsid w:val="2A307D13"/>
    <w:rsid w:val="2A321A45"/>
    <w:rsid w:val="2A336250"/>
    <w:rsid w:val="2A351FC9"/>
    <w:rsid w:val="2A377AEF"/>
    <w:rsid w:val="2A3873C3"/>
    <w:rsid w:val="2A3914F6"/>
    <w:rsid w:val="2A3A6367"/>
    <w:rsid w:val="2A3B6409"/>
    <w:rsid w:val="2A3F0751"/>
    <w:rsid w:val="2A444941"/>
    <w:rsid w:val="2A4462E8"/>
    <w:rsid w:val="2A4561A0"/>
    <w:rsid w:val="2A46561B"/>
    <w:rsid w:val="2A470D52"/>
    <w:rsid w:val="2A472AAF"/>
    <w:rsid w:val="2A473AAA"/>
    <w:rsid w:val="2A482C60"/>
    <w:rsid w:val="2A4A0D9B"/>
    <w:rsid w:val="2A4F6F0B"/>
    <w:rsid w:val="2A521231"/>
    <w:rsid w:val="2A522B7B"/>
    <w:rsid w:val="2A524929"/>
    <w:rsid w:val="2A557F75"/>
    <w:rsid w:val="2A582EA2"/>
    <w:rsid w:val="2A5833C3"/>
    <w:rsid w:val="2A585CB7"/>
    <w:rsid w:val="2A5C08E2"/>
    <w:rsid w:val="2A6401B8"/>
    <w:rsid w:val="2A677CA8"/>
    <w:rsid w:val="2A68507D"/>
    <w:rsid w:val="2A693A20"/>
    <w:rsid w:val="2A6B59EA"/>
    <w:rsid w:val="2A6C52BE"/>
    <w:rsid w:val="2A6D1762"/>
    <w:rsid w:val="2A6E0367"/>
    <w:rsid w:val="2A703001"/>
    <w:rsid w:val="2A720E15"/>
    <w:rsid w:val="2A7523C5"/>
    <w:rsid w:val="2A78776A"/>
    <w:rsid w:val="2A7A3E7F"/>
    <w:rsid w:val="2A7A5C2D"/>
    <w:rsid w:val="2A7D127A"/>
    <w:rsid w:val="2A7E3970"/>
    <w:rsid w:val="2A7F3244"/>
    <w:rsid w:val="2A81661D"/>
    <w:rsid w:val="2A830F86"/>
    <w:rsid w:val="2A832EC5"/>
    <w:rsid w:val="2A8B3997"/>
    <w:rsid w:val="2A8C37E9"/>
    <w:rsid w:val="2A8D770F"/>
    <w:rsid w:val="2A8F792B"/>
    <w:rsid w:val="2A905451"/>
    <w:rsid w:val="2A917854"/>
    <w:rsid w:val="2A9226E6"/>
    <w:rsid w:val="2A97233B"/>
    <w:rsid w:val="2A994305"/>
    <w:rsid w:val="2A9A007E"/>
    <w:rsid w:val="2A9A017F"/>
    <w:rsid w:val="2A9E64BF"/>
    <w:rsid w:val="2AA333D6"/>
    <w:rsid w:val="2AAA4765"/>
    <w:rsid w:val="2AAD433F"/>
    <w:rsid w:val="2AB01024"/>
    <w:rsid w:val="2AB0600C"/>
    <w:rsid w:val="2AB06457"/>
    <w:rsid w:val="2AB30725"/>
    <w:rsid w:val="2AB52686"/>
    <w:rsid w:val="2AB62F3E"/>
    <w:rsid w:val="2AB90504"/>
    <w:rsid w:val="2ABB2FF2"/>
    <w:rsid w:val="2ABE5513"/>
    <w:rsid w:val="2AC11AAE"/>
    <w:rsid w:val="2AC33130"/>
    <w:rsid w:val="2AC5334C"/>
    <w:rsid w:val="2ACA0963"/>
    <w:rsid w:val="2ACB46DB"/>
    <w:rsid w:val="2ACB541A"/>
    <w:rsid w:val="2ACD2201"/>
    <w:rsid w:val="2ACF7D27"/>
    <w:rsid w:val="2AD27817"/>
    <w:rsid w:val="2AD321A5"/>
    <w:rsid w:val="2AD510B6"/>
    <w:rsid w:val="2AD708F4"/>
    <w:rsid w:val="2AD86E28"/>
    <w:rsid w:val="2ADA1594"/>
    <w:rsid w:val="2ADB0606"/>
    <w:rsid w:val="2ADB491E"/>
    <w:rsid w:val="2ADB5CCE"/>
    <w:rsid w:val="2ADC0A60"/>
    <w:rsid w:val="2ADE61BC"/>
    <w:rsid w:val="2ADE7DE6"/>
    <w:rsid w:val="2ADE7EB2"/>
    <w:rsid w:val="2AE17A5A"/>
    <w:rsid w:val="2AE20776"/>
    <w:rsid w:val="2AE30C16"/>
    <w:rsid w:val="2AE63E49"/>
    <w:rsid w:val="2AE8703B"/>
    <w:rsid w:val="2AE9366F"/>
    <w:rsid w:val="2AE94753"/>
    <w:rsid w:val="2AEC6B2B"/>
    <w:rsid w:val="2AED4651"/>
    <w:rsid w:val="2AEE4233"/>
    <w:rsid w:val="2AEF3A6B"/>
    <w:rsid w:val="2AF134EA"/>
    <w:rsid w:val="2AF1638B"/>
    <w:rsid w:val="2AF4778E"/>
    <w:rsid w:val="2AF552B4"/>
    <w:rsid w:val="2AF61758"/>
    <w:rsid w:val="2AFA28CA"/>
    <w:rsid w:val="2AFB4BDF"/>
    <w:rsid w:val="2AFB4FC0"/>
    <w:rsid w:val="2AFC6024"/>
    <w:rsid w:val="2AFE23BA"/>
    <w:rsid w:val="2AFE338E"/>
    <w:rsid w:val="2AFE5387"/>
    <w:rsid w:val="2B011946"/>
    <w:rsid w:val="2B011EAB"/>
    <w:rsid w:val="2B02634F"/>
    <w:rsid w:val="2B071B59"/>
    <w:rsid w:val="2B08148B"/>
    <w:rsid w:val="2B0B17FE"/>
    <w:rsid w:val="2B0D6AA1"/>
    <w:rsid w:val="2B0F6376"/>
    <w:rsid w:val="2B1440A6"/>
    <w:rsid w:val="2B177920"/>
    <w:rsid w:val="2B195E43"/>
    <w:rsid w:val="2B1971F4"/>
    <w:rsid w:val="2B1E0CAF"/>
    <w:rsid w:val="2B2008F3"/>
    <w:rsid w:val="2B2355B1"/>
    <w:rsid w:val="2B24488F"/>
    <w:rsid w:val="2B253B98"/>
    <w:rsid w:val="2B26076C"/>
    <w:rsid w:val="2B275DB5"/>
    <w:rsid w:val="2B296183"/>
    <w:rsid w:val="2B2D2CA0"/>
    <w:rsid w:val="2B2D4A4E"/>
    <w:rsid w:val="2B3202B6"/>
    <w:rsid w:val="2B3525CF"/>
    <w:rsid w:val="2B3617A6"/>
    <w:rsid w:val="2B377690"/>
    <w:rsid w:val="2B391645"/>
    <w:rsid w:val="2B395AE8"/>
    <w:rsid w:val="2B3B53BD"/>
    <w:rsid w:val="2B3C0859"/>
    <w:rsid w:val="2B3E30FF"/>
    <w:rsid w:val="2B422BBC"/>
    <w:rsid w:val="2B46105B"/>
    <w:rsid w:val="2B487ADA"/>
    <w:rsid w:val="2B51413A"/>
    <w:rsid w:val="2B5244B4"/>
    <w:rsid w:val="2B54647E"/>
    <w:rsid w:val="2B551417"/>
    <w:rsid w:val="2B5640A9"/>
    <w:rsid w:val="2B5B780D"/>
    <w:rsid w:val="2B5C2116"/>
    <w:rsid w:val="2B5D3585"/>
    <w:rsid w:val="2B5E72FD"/>
    <w:rsid w:val="2B5F7125"/>
    <w:rsid w:val="2B6220FE"/>
    <w:rsid w:val="2B62431A"/>
    <w:rsid w:val="2B6366C1"/>
    <w:rsid w:val="2B68546B"/>
    <w:rsid w:val="2B6C1A1A"/>
    <w:rsid w:val="2B6E5792"/>
    <w:rsid w:val="2B747456"/>
    <w:rsid w:val="2B750AC2"/>
    <w:rsid w:val="2B767845"/>
    <w:rsid w:val="2B78008F"/>
    <w:rsid w:val="2B7803BF"/>
    <w:rsid w:val="2B797C93"/>
    <w:rsid w:val="2B7B18A0"/>
    <w:rsid w:val="2B7D3C27"/>
    <w:rsid w:val="2B7F12A8"/>
    <w:rsid w:val="2B7F70EB"/>
    <w:rsid w:val="2B811550"/>
    <w:rsid w:val="2B844FB6"/>
    <w:rsid w:val="2B8454DA"/>
    <w:rsid w:val="2B8505B7"/>
    <w:rsid w:val="2B852ADC"/>
    <w:rsid w:val="2B8723B0"/>
    <w:rsid w:val="2B88362C"/>
    <w:rsid w:val="2B88437A"/>
    <w:rsid w:val="2B8A1EA0"/>
    <w:rsid w:val="2B8A2F99"/>
    <w:rsid w:val="2B8A6344"/>
    <w:rsid w:val="2B8B654E"/>
    <w:rsid w:val="2B8B76FF"/>
    <w:rsid w:val="2B940F71"/>
    <w:rsid w:val="2B97636B"/>
    <w:rsid w:val="2B986D7B"/>
    <w:rsid w:val="2B9B22FF"/>
    <w:rsid w:val="2B9B32B4"/>
    <w:rsid w:val="2B9B4991"/>
    <w:rsid w:val="2B9B5E5B"/>
    <w:rsid w:val="2B9D7E25"/>
    <w:rsid w:val="2BA1664E"/>
    <w:rsid w:val="2BA17DF7"/>
    <w:rsid w:val="2BA968D6"/>
    <w:rsid w:val="2BAA0794"/>
    <w:rsid w:val="2BAB25C7"/>
    <w:rsid w:val="2BAD51CA"/>
    <w:rsid w:val="2BAF0E32"/>
    <w:rsid w:val="2BB331A5"/>
    <w:rsid w:val="2BB46F1D"/>
    <w:rsid w:val="2BB60EE7"/>
    <w:rsid w:val="2BB62C95"/>
    <w:rsid w:val="2BB64A63"/>
    <w:rsid w:val="2BB67BC6"/>
    <w:rsid w:val="2BB715F3"/>
    <w:rsid w:val="2BB90EC9"/>
    <w:rsid w:val="2BBA09D7"/>
    <w:rsid w:val="2BBB474F"/>
    <w:rsid w:val="2BBD3D50"/>
    <w:rsid w:val="2BBF7847"/>
    <w:rsid w:val="2BC2163A"/>
    <w:rsid w:val="2BC25ADE"/>
    <w:rsid w:val="2BC37160"/>
    <w:rsid w:val="2BC43604"/>
    <w:rsid w:val="2BC61916"/>
    <w:rsid w:val="2BCA4992"/>
    <w:rsid w:val="2BCA6CEA"/>
    <w:rsid w:val="2BCC070B"/>
    <w:rsid w:val="2BCD01C8"/>
    <w:rsid w:val="2BCF2FB7"/>
    <w:rsid w:val="2BD30433"/>
    <w:rsid w:val="2BD51A91"/>
    <w:rsid w:val="2BD63337"/>
    <w:rsid w:val="2BD66E93"/>
    <w:rsid w:val="2BD7480F"/>
    <w:rsid w:val="2BDA1BE3"/>
    <w:rsid w:val="2BDB6BA0"/>
    <w:rsid w:val="2BDD6474"/>
    <w:rsid w:val="2BDF043E"/>
    <w:rsid w:val="2BE02720"/>
    <w:rsid w:val="2BE02DF6"/>
    <w:rsid w:val="2BE05F64"/>
    <w:rsid w:val="2BE21CDC"/>
    <w:rsid w:val="2BE27F2E"/>
    <w:rsid w:val="2BE57F02"/>
    <w:rsid w:val="2BE6256A"/>
    <w:rsid w:val="2BE710A1"/>
    <w:rsid w:val="2BEA0B91"/>
    <w:rsid w:val="2BEA293F"/>
    <w:rsid w:val="2BED6535"/>
    <w:rsid w:val="2BEF1BA9"/>
    <w:rsid w:val="2BEF6C69"/>
    <w:rsid w:val="2BF0280F"/>
    <w:rsid w:val="2BF10171"/>
    <w:rsid w:val="2BF21662"/>
    <w:rsid w:val="2BF37A45"/>
    <w:rsid w:val="2BF47DF0"/>
    <w:rsid w:val="2BF8505C"/>
    <w:rsid w:val="2BFA0DD4"/>
    <w:rsid w:val="2BFA7026"/>
    <w:rsid w:val="2BFD4C22"/>
    <w:rsid w:val="2BFE3AEE"/>
    <w:rsid w:val="2BFF288E"/>
    <w:rsid w:val="2BFF6C28"/>
    <w:rsid w:val="2C0003B4"/>
    <w:rsid w:val="2C0122E5"/>
    <w:rsid w:val="2C0734F1"/>
    <w:rsid w:val="2C091017"/>
    <w:rsid w:val="2C0B2FE1"/>
    <w:rsid w:val="2C0E033F"/>
    <w:rsid w:val="2C1018B8"/>
    <w:rsid w:val="2C111884"/>
    <w:rsid w:val="2C1520B2"/>
    <w:rsid w:val="2C153E60"/>
    <w:rsid w:val="2C161986"/>
    <w:rsid w:val="2C183950"/>
    <w:rsid w:val="2C1B0D4A"/>
    <w:rsid w:val="2C1C252C"/>
    <w:rsid w:val="2C1D41B0"/>
    <w:rsid w:val="2C2045B2"/>
    <w:rsid w:val="2C236827"/>
    <w:rsid w:val="2C273B93"/>
    <w:rsid w:val="2C2876FD"/>
    <w:rsid w:val="2C2A54CD"/>
    <w:rsid w:val="2C324A12"/>
    <w:rsid w:val="2C3437C3"/>
    <w:rsid w:val="2C365B84"/>
    <w:rsid w:val="2C38462A"/>
    <w:rsid w:val="2C3A4E40"/>
    <w:rsid w:val="2C3F26BA"/>
    <w:rsid w:val="2C3F712F"/>
    <w:rsid w:val="2C4134C5"/>
    <w:rsid w:val="2C47020D"/>
    <w:rsid w:val="2C475CE6"/>
    <w:rsid w:val="2C486E19"/>
    <w:rsid w:val="2C4B5AD3"/>
    <w:rsid w:val="2C4C2055"/>
    <w:rsid w:val="2C4F1421"/>
    <w:rsid w:val="2C504E98"/>
    <w:rsid w:val="2C536736"/>
    <w:rsid w:val="2C551035"/>
    <w:rsid w:val="2C567FD4"/>
    <w:rsid w:val="2C574478"/>
    <w:rsid w:val="2C575205"/>
    <w:rsid w:val="2C5801F0"/>
    <w:rsid w:val="2C5A7AC4"/>
    <w:rsid w:val="2C5B55EB"/>
    <w:rsid w:val="2C5E4578"/>
    <w:rsid w:val="2C602C01"/>
    <w:rsid w:val="2C603DC8"/>
    <w:rsid w:val="2C624BCB"/>
    <w:rsid w:val="2C653711"/>
    <w:rsid w:val="2C66290D"/>
    <w:rsid w:val="2C666469"/>
    <w:rsid w:val="2C671380"/>
    <w:rsid w:val="2C695F59"/>
    <w:rsid w:val="2C697D08"/>
    <w:rsid w:val="2C6B3A80"/>
    <w:rsid w:val="2C6D4685"/>
    <w:rsid w:val="2C6D74E6"/>
    <w:rsid w:val="2C6E17C2"/>
    <w:rsid w:val="2C6E531E"/>
    <w:rsid w:val="2C777F25"/>
    <w:rsid w:val="2C792640"/>
    <w:rsid w:val="2C7B76E5"/>
    <w:rsid w:val="2C7C4B86"/>
    <w:rsid w:val="2C7D1A05"/>
    <w:rsid w:val="2C830311"/>
    <w:rsid w:val="2C854435"/>
    <w:rsid w:val="2C8749DA"/>
    <w:rsid w:val="2C8814FC"/>
    <w:rsid w:val="2C8B60DC"/>
    <w:rsid w:val="2C8E776E"/>
    <w:rsid w:val="2C9111D4"/>
    <w:rsid w:val="2C923702"/>
    <w:rsid w:val="2C9254B0"/>
    <w:rsid w:val="2C931228"/>
    <w:rsid w:val="2C932FD6"/>
    <w:rsid w:val="2C942335"/>
    <w:rsid w:val="2C950AFD"/>
    <w:rsid w:val="2C96611B"/>
    <w:rsid w:val="2C9A4365"/>
    <w:rsid w:val="2C9E3E55"/>
    <w:rsid w:val="2C9E7F33"/>
    <w:rsid w:val="2CA23219"/>
    <w:rsid w:val="2CA66468"/>
    <w:rsid w:val="2CA91E8E"/>
    <w:rsid w:val="2CA945A8"/>
    <w:rsid w:val="2CAA4AF5"/>
    <w:rsid w:val="2CAC34BC"/>
    <w:rsid w:val="2CB201D5"/>
    <w:rsid w:val="2CB25B52"/>
    <w:rsid w:val="2CB64630"/>
    <w:rsid w:val="2CB72433"/>
    <w:rsid w:val="2CBA0563"/>
    <w:rsid w:val="2CBC077F"/>
    <w:rsid w:val="2CBC42DB"/>
    <w:rsid w:val="2CBF5B79"/>
    <w:rsid w:val="2CC03124"/>
    <w:rsid w:val="2CC15D95"/>
    <w:rsid w:val="2CC17B44"/>
    <w:rsid w:val="2CC338BC"/>
    <w:rsid w:val="2CC80B4D"/>
    <w:rsid w:val="2CC91977"/>
    <w:rsid w:val="2CC94C4A"/>
    <w:rsid w:val="2CCB451E"/>
    <w:rsid w:val="2CCD7CE6"/>
    <w:rsid w:val="2CCF3215"/>
    <w:rsid w:val="2CD07D87"/>
    <w:rsid w:val="2CD21D51"/>
    <w:rsid w:val="2CD5539D"/>
    <w:rsid w:val="2CD62E42"/>
    <w:rsid w:val="2CD81EA7"/>
    <w:rsid w:val="2CD93FA5"/>
    <w:rsid w:val="2CDA3A2B"/>
    <w:rsid w:val="2CDA6E57"/>
    <w:rsid w:val="2CDC29B2"/>
    <w:rsid w:val="2CE05106"/>
    <w:rsid w:val="2CE2526D"/>
    <w:rsid w:val="2CE2691F"/>
    <w:rsid w:val="2CE461DD"/>
    <w:rsid w:val="2CE83322"/>
    <w:rsid w:val="2CE90E48"/>
    <w:rsid w:val="2CEA709A"/>
    <w:rsid w:val="2CED50EF"/>
    <w:rsid w:val="2CF061F0"/>
    <w:rsid w:val="2CF27CFD"/>
    <w:rsid w:val="2CF577ED"/>
    <w:rsid w:val="2CF63C91"/>
    <w:rsid w:val="2CF65B93"/>
    <w:rsid w:val="2CF76EA6"/>
    <w:rsid w:val="2CFE22BA"/>
    <w:rsid w:val="2D012AC1"/>
    <w:rsid w:val="2D022BE9"/>
    <w:rsid w:val="2D030103"/>
    <w:rsid w:val="2D033DF6"/>
    <w:rsid w:val="2D042986"/>
    <w:rsid w:val="2D07415C"/>
    <w:rsid w:val="2D0A3299"/>
    <w:rsid w:val="2D0B13C9"/>
    <w:rsid w:val="2D102879"/>
    <w:rsid w:val="2D1057F5"/>
    <w:rsid w:val="2D12214D"/>
    <w:rsid w:val="2D1230C2"/>
    <w:rsid w:val="2D143F3E"/>
    <w:rsid w:val="2D1660E1"/>
    <w:rsid w:val="2D1C7470"/>
    <w:rsid w:val="2D1E6D44"/>
    <w:rsid w:val="2D1E755B"/>
    <w:rsid w:val="2D2307FE"/>
    <w:rsid w:val="2D236108"/>
    <w:rsid w:val="2D2500D2"/>
    <w:rsid w:val="2D256324"/>
    <w:rsid w:val="2D263E4A"/>
    <w:rsid w:val="2D283417"/>
    <w:rsid w:val="2D2A393B"/>
    <w:rsid w:val="2D2B320F"/>
    <w:rsid w:val="2D2D6F87"/>
    <w:rsid w:val="2D2F07C3"/>
    <w:rsid w:val="2D30727C"/>
    <w:rsid w:val="2D323B71"/>
    <w:rsid w:val="2D342F48"/>
    <w:rsid w:val="2D3447B9"/>
    <w:rsid w:val="2D3559E5"/>
    <w:rsid w:val="2D393B7E"/>
    <w:rsid w:val="2D3B5B48"/>
    <w:rsid w:val="2D3D4257"/>
    <w:rsid w:val="2D412FFB"/>
    <w:rsid w:val="2D460100"/>
    <w:rsid w:val="2D48093A"/>
    <w:rsid w:val="2D4907AC"/>
    <w:rsid w:val="2D496088"/>
    <w:rsid w:val="2D4A5D8B"/>
    <w:rsid w:val="2D4A6466"/>
    <w:rsid w:val="2D4A7B39"/>
    <w:rsid w:val="2D4B5504"/>
    <w:rsid w:val="2D4C4080"/>
    <w:rsid w:val="2D4D13D7"/>
    <w:rsid w:val="2D4F3FFF"/>
    <w:rsid w:val="2D522E91"/>
    <w:rsid w:val="2D524C40"/>
    <w:rsid w:val="2D5269EE"/>
    <w:rsid w:val="2D536CB5"/>
    <w:rsid w:val="2D564730"/>
    <w:rsid w:val="2D5664DE"/>
    <w:rsid w:val="2D572256"/>
    <w:rsid w:val="2D5E5392"/>
    <w:rsid w:val="2D654973"/>
    <w:rsid w:val="2D656721"/>
    <w:rsid w:val="2D656E43"/>
    <w:rsid w:val="2D661D22"/>
    <w:rsid w:val="2D6706EB"/>
    <w:rsid w:val="2D681A7C"/>
    <w:rsid w:val="2D684463"/>
    <w:rsid w:val="2D69103B"/>
    <w:rsid w:val="2D6D3827"/>
    <w:rsid w:val="2D6F75A0"/>
    <w:rsid w:val="2D742E08"/>
    <w:rsid w:val="2D746964"/>
    <w:rsid w:val="2D764909"/>
    <w:rsid w:val="2D7828F8"/>
    <w:rsid w:val="2D7918D9"/>
    <w:rsid w:val="2D7928B5"/>
    <w:rsid w:val="2D7B5947"/>
    <w:rsid w:val="2D7C1CBC"/>
    <w:rsid w:val="2D7E77E3"/>
    <w:rsid w:val="2D815C96"/>
    <w:rsid w:val="2D8172D3"/>
    <w:rsid w:val="2D825525"/>
    <w:rsid w:val="2D856DC3"/>
    <w:rsid w:val="2D865769"/>
    <w:rsid w:val="2D8748E9"/>
    <w:rsid w:val="2D897BF3"/>
    <w:rsid w:val="2D8F40BA"/>
    <w:rsid w:val="2D8F452C"/>
    <w:rsid w:val="2D9139BA"/>
    <w:rsid w:val="2D920630"/>
    <w:rsid w:val="2D9214E0"/>
    <w:rsid w:val="2D93041C"/>
    <w:rsid w:val="2D93624A"/>
    <w:rsid w:val="2D964B2C"/>
    <w:rsid w:val="2D984D48"/>
    <w:rsid w:val="2D990AC0"/>
    <w:rsid w:val="2D99286E"/>
    <w:rsid w:val="2D9B34BC"/>
    <w:rsid w:val="2D9C6103"/>
    <w:rsid w:val="2DA07759"/>
    <w:rsid w:val="2DA336ED"/>
    <w:rsid w:val="2DA71974"/>
    <w:rsid w:val="2DA90D03"/>
    <w:rsid w:val="2DAA05D8"/>
    <w:rsid w:val="2DAA4A7C"/>
    <w:rsid w:val="2DAD7088"/>
    <w:rsid w:val="2DAF2092"/>
    <w:rsid w:val="2DAF3E40"/>
    <w:rsid w:val="2DB142C8"/>
    <w:rsid w:val="2DB55996"/>
    <w:rsid w:val="2DB72CF5"/>
    <w:rsid w:val="2DB81A56"/>
    <w:rsid w:val="2DB87198"/>
    <w:rsid w:val="2DB94CBF"/>
    <w:rsid w:val="2DBB2C4D"/>
    <w:rsid w:val="2DBE4083"/>
    <w:rsid w:val="2DC142B4"/>
    <w:rsid w:val="2DC21DC5"/>
    <w:rsid w:val="2DC23B73"/>
    <w:rsid w:val="2DC378EB"/>
    <w:rsid w:val="2DC45B3D"/>
    <w:rsid w:val="2DC53663"/>
    <w:rsid w:val="2DCA2A28"/>
    <w:rsid w:val="2DCA6ECC"/>
    <w:rsid w:val="2DCB58EA"/>
    <w:rsid w:val="2DCE2CC7"/>
    <w:rsid w:val="2DCF44E2"/>
    <w:rsid w:val="2DD37B2E"/>
    <w:rsid w:val="2DD438A6"/>
    <w:rsid w:val="2DD56D57"/>
    <w:rsid w:val="2DD613CD"/>
    <w:rsid w:val="2DD651BD"/>
    <w:rsid w:val="2DD92C6B"/>
    <w:rsid w:val="2DD92D7B"/>
    <w:rsid w:val="2DDC5E76"/>
    <w:rsid w:val="2DDC7816"/>
    <w:rsid w:val="2DDD6BFF"/>
    <w:rsid w:val="2DE0186C"/>
    <w:rsid w:val="2DE25FC3"/>
    <w:rsid w:val="2DE47F8D"/>
    <w:rsid w:val="2DE50725"/>
    <w:rsid w:val="2DE51610"/>
    <w:rsid w:val="2DE64007"/>
    <w:rsid w:val="2DEA131C"/>
    <w:rsid w:val="2DEC6E42"/>
    <w:rsid w:val="2DEE1349"/>
    <w:rsid w:val="2DEE2BBA"/>
    <w:rsid w:val="2DF126AA"/>
    <w:rsid w:val="2DF277AF"/>
    <w:rsid w:val="2DF52CAD"/>
    <w:rsid w:val="2DF53F49"/>
    <w:rsid w:val="2DF81A3F"/>
    <w:rsid w:val="2DF9330D"/>
    <w:rsid w:val="2DFD4BAB"/>
    <w:rsid w:val="2DFF0781"/>
    <w:rsid w:val="2E0115CD"/>
    <w:rsid w:val="2E026666"/>
    <w:rsid w:val="2E053A60"/>
    <w:rsid w:val="2E0925B3"/>
    <w:rsid w:val="2E09626C"/>
    <w:rsid w:val="2E0A283D"/>
    <w:rsid w:val="2E0A608F"/>
    <w:rsid w:val="2E0F151E"/>
    <w:rsid w:val="2E0F261D"/>
    <w:rsid w:val="2E0F48DF"/>
    <w:rsid w:val="2E0F4AB8"/>
    <w:rsid w:val="2E100D83"/>
    <w:rsid w:val="2E134750"/>
    <w:rsid w:val="2E14437E"/>
    <w:rsid w:val="2E1448A5"/>
    <w:rsid w:val="2E156399"/>
    <w:rsid w:val="2E161FE6"/>
    <w:rsid w:val="2E183793"/>
    <w:rsid w:val="2E184226"/>
    <w:rsid w:val="2E1C2EF5"/>
    <w:rsid w:val="2E1C4B8D"/>
    <w:rsid w:val="2E224612"/>
    <w:rsid w:val="2E2501F1"/>
    <w:rsid w:val="2E291E44"/>
    <w:rsid w:val="2E2A1718"/>
    <w:rsid w:val="2E2E1209"/>
    <w:rsid w:val="2E2F33B9"/>
    <w:rsid w:val="2E2F6D2F"/>
    <w:rsid w:val="2E310CF9"/>
    <w:rsid w:val="2E312AA7"/>
    <w:rsid w:val="2E334A71"/>
    <w:rsid w:val="2E3507E9"/>
    <w:rsid w:val="2E3558C9"/>
    <w:rsid w:val="2E366468"/>
    <w:rsid w:val="2E383EF0"/>
    <w:rsid w:val="2E3A195C"/>
    <w:rsid w:val="2E3A7D38"/>
    <w:rsid w:val="2E3C1B78"/>
    <w:rsid w:val="2E416702"/>
    <w:rsid w:val="2E41718E"/>
    <w:rsid w:val="2E422F06"/>
    <w:rsid w:val="2E4308B6"/>
    <w:rsid w:val="2E431F47"/>
    <w:rsid w:val="2E440A2C"/>
    <w:rsid w:val="2E443131"/>
    <w:rsid w:val="2E443DF8"/>
    <w:rsid w:val="2E450300"/>
    <w:rsid w:val="2E456552"/>
    <w:rsid w:val="2E462777"/>
    <w:rsid w:val="2E467984"/>
    <w:rsid w:val="2E474078"/>
    <w:rsid w:val="2E4A0F63"/>
    <w:rsid w:val="2E4B103E"/>
    <w:rsid w:val="2E4B1DBB"/>
    <w:rsid w:val="2E4E36DF"/>
    <w:rsid w:val="2E4F65FE"/>
    <w:rsid w:val="2E505B4E"/>
    <w:rsid w:val="2E5161D8"/>
    <w:rsid w:val="2E516CA5"/>
    <w:rsid w:val="2E52619A"/>
    <w:rsid w:val="2E535759"/>
    <w:rsid w:val="2E552C39"/>
    <w:rsid w:val="2E57641F"/>
    <w:rsid w:val="2E586DFA"/>
    <w:rsid w:val="2E5A3DAC"/>
    <w:rsid w:val="2E615BE6"/>
    <w:rsid w:val="2E6966E5"/>
    <w:rsid w:val="2E6C1134"/>
    <w:rsid w:val="2E6E7857"/>
    <w:rsid w:val="2E6F28C9"/>
    <w:rsid w:val="2E7014D8"/>
    <w:rsid w:val="2E701821"/>
    <w:rsid w:val="2E7035CF"/>
    <w:rsid w:val="2E70537D"/>
    <w:rsid w:val="2E716947"/>
    <w:rsid w:val="2E755089"/>
    <w:rsid w:val="2E772BB0"/>
    <w:rsid w:val="2E782484"/>
    <w:rsid w:val="2E7A5327"/>
    <w:rsid w:val="2E7A61FC"/>
    <w:rsid w:val="2E7B3D22"/>
    <w:rsid w:val="2E7F3812"/>
    <w:rsid w:val="2E81758A"/>
    <w:rsid w:val="2E836845"/>
    <w:rsid w:val="2E864BA1"/>
    <w:rsid w:val="2E8760DA"/>
    <w:rsid w:val="2E8928E3"/>
    <w:rsid w:val="2E8B49D1"/>
    <w:rsid w:val="2E8D0A5F"/>
    <w:rsid w:val="2E8D5ED7"/>
    <w:rsid w:val="2E8E1CA7"/>
    <w:rsid w:val="2E913546"/>
    <w:rsid w:val="2E921785"/>
    <w:rsid w:val="2E923810"/>
    <w:rsid w:val="2E932EC4"/>
    <w:rsid w:val="2E94741A"/>
    <w:rsid w:val="2E954DE4"/>
    <w:rsid w:val="2E9759B4"/>
    <w:rsid w:val="2E982B26"/>
    <w:rsid w:val="2E9B6172"/>
    <w:rsid w:val="2E9D013C"/>
    <w:rsid w:val="2E9D1EEA"/>
    <w:rsid w:val="2E9D4867"/>
    <w:rsid w:val="2E9E5ADC"/>
    <w:rsid w:val="2EA15273"/>
    <w:rsid w:val="2EA4771D"/>
    <w:rsid w:val="2EA72D69"/>
    <w:rsid w:val="2EAA516C"/>
    <w:rsid w:val="2EAC037F"/>
    <w:rsid w:val="2EAD65D1"/>
    <w:rsid w:val="2EAE5EA6"/>
    <w:rsid w:val="2EAE6C4B"/>
    <w:rsid w:val="2EB05786"/>
    <w:rsid w:val="2EB063C9"/>
    <w:rsid w:val="2EB1632E"/>
    <w:rsid w:val="2EB23BE8"/>
    <w:rsid w:val="2EB32116"/>
    <w:rsid w:val="2EB57234"/>
    <w:rsid w:val="2EB63EF5"/>
    <w:rsid w:val="2EB77450"/>
    <w:rsid w:val="2EBD258D"/>
    <w:rsid w:val="2EC00067"/>
    <w:rsid w:val="2EC15BD9"/>
    <w:rsid w:val="2EC1611A"/>
    <w:rsid w:val="2EC851B9"/>
    <w:rsid w:val="2ECB4C8B"/>
    <w:rsid w:val="2ECB4CA9"/>
    <w:rsid w:val="2ED00512"/>
    <w:rsid w:val="2ED3341D"/>
    <w:rsid w:val="2ED3490B"/>
    <w:rsid w:val="2ED420CE"/>
    <w:rsid w:val="2ED81174"/>
    <w:rsid w:val="2EDA313F"/>
    <w:rsid w:val="2EDC2A13"/>
    <w:rsid w:val="2EDC6EB7"/>
    <w:rsid w:val="2EE43FBD"/>
    <w:rsid w:val="2EE61AE3"/>
    <w:rsid w:val="2EE95643"/>
    <w:rsid w:val="2EEB70FA"/>
    <w:rsid w:val="2EED3D5F"/>
    <w:rsid w:val="2EEE392F"/>
    <w:rsid w:val="2EEE547C"/>
    <w:rsid w:val="2EF014AF"/>
    <w:rsid w:val="2EF33202"/>
    <w:rsid w:val="2EF4149B"/>
    <w:rsid w:val="2EF57F78"/>
    <w:rsid w:val="2EF96879"/>
    <w:rsid w:val="2EFC12EE"/>
    <w:rsid w:val="2EFC1307"/>
    <w:rsid w:val="2EFC4E63"/>
    <w:rsid w:val="2EFD461F"/>
    <w:rsid w:val="2EFE0BDB"/>
    <w:rsid w:val="2F012479"/>
    <w:rsid w:val="2F01691D"/>
    <w:rsid w:val="2F030DBB"/>
    <w:rsid w:val="2F034443"/>
    <w:rsid w:val="2F034928"/>
    <w:rsid w:val="2F05640D"/>
    <w:rsid w:val="2F097580"/>
    <w:rsid w:val="2F0A091A"/>
    <w:rsid w:val="2F0C2E61"/>
    <w:rsid w:val="2F0D52C2"/>
    <w:rsid w:val="2F0D7E7A"/>
    <w:rsid w:val="2F0F5433"/>
    <w:rsid w:val="2F10090E"/>
    <w:rsid w:val="2F141663"/>
    <w:rsid w:val="2F171E02"/>
    <w:rsid w:val="2F193C67"/>
    <w:rsid w:val="2F1F6DA3"/>
    <w:rsid w:val="2F236894"/>
    <w:rsid w:val="2F252C88"/>
    <w:rsid w:val="2F260124"/>
    <w:rsid w:val="2F280BAD"/>
    <w:rsid w:val="2F2A5E74"/>
    <w:rsid w:val="2F2C0968"/>
    <w:rsid w:val="2F2D30EF"/>
    <w:rsid w:val="2F2F3FA8"/>
    <w:rsid w:val="2F326AD7"/>
    <w:rsid w:val="2F340AA1"/>
    <w:rsid w:val="2F3513B5"/>
    <w:rsid w:val="2F3679F8"/>
    <w:rsid w:val="2F3B0014"/>
    <w:rsid w:val="2F3B1E2F"/>
    <w:rsid w:val="2F3C1703"/>
    <w:rsid w:val="2F3C308F"/>
    <w:rsid w:val="2F3E7229"/>
    <w:rsid w:val="2F402ADE"/>
    <w:rsid w:val="2F407445"/>
    <w:rsid w:val="2F4131BE"/>
    <w:rsid w:val="2F416D1A"/>
    <w:rsid w:val="2F455109"/>
    <w:rsid w:val="2F4552CD"/>
    <w:rsid w:val="2F45680A"/>
    <w:rsid w:val="2F464330"/>
    <w:rsid w:val="2F482316"/>
    <w:rsid w:val="2F4E1D53"/>
    <w:rsid w:val="2F503401"/>
    <w:rsid w:val="2F561C58"/>
    <w:rsid w:val="2F5646C4"/>
    <w:rsid w:val="2F5E5A8A"/>
    <w:rsid w:val="2F5E5B1E"/>
    <w:rsid w:val="2F5E7918"/>
    <w:rsid w:val="2F5F53F2"/>
    <w:rsid w:val="2F601896"/>
    <w:rsid w:val="2F603644"/>
    <w:rsid w:val="2F642A08"/>
    <w:rsid w:val="2F6525D3"/>
    <w:rsid w:val="2F6615E8"/>
    <w:rsid w:val="2F662205"/>
    <w:rsid w:val="2F676EDC"/>
    <w:rsid w:val="2F683BFD"/>
    <w:rsid w:val="2F6A6270"/>
    <w:rsid w:val="2F6B1FE9"/>
    <w:rsid w:val="2F6B3D97"/>
    <w:rsid w:val="2F6C023B"/>
    <w:rsid w:val="2F6C1E8E"/>
    <w:rsid w:val="2F6E5CFC"/>
    <w:rsid w:val="2F6F3887"/>
    <w:rsid w:val="2F6F7D2B"/>
    <w:rsid w:val="2F7215C9"/>
    <w:rsid w:val="2F723377"/>
    <w:rsid w:val="2F7306D8"/>
    <w:rsid w:val="2F73532D"/>
    <w:rsid w:val="2F767465"/>
    <w:rsid w:val="2F782CC6"/>
    <w:rsid w:val="2F794705"/>
    <w:rsid w:val="2F7C41F6"/>
    <w:rsid w:val="2F7D4E1F"/>
    <w:rsid w:val="2F7E1D1C"/>
    <w:rsid w:val="2F7E7F6E"/>
    <w:rsid w:val="2F884949"/>
    <w:rsid w:val="2F8A06C1"/>
    <w:rsid w:val="2F8A6913"/>
    <w:rsid w:val="2F8E4ECC"/>
    <w:rsid w:val="2F8F3F29"/>
    <w:rsid w:val="2F8F5CD7"/>
    <w:rsid w:val="2F911A4F"/>
    <w:rsid w:val="2F924259"/>
    <w:rsid w:val="2F950E14"/>
    <w:rsid w:val="2F95496C"/>
    <w:rsid w:val="2F963509"/>
    <w:rsid w:val="2F971437"/>
    <w:rsid w:val="2F994DA8"/>
    <w:rsid w:val="2F9C30DB"/>
    <w:rsid w:val="2FA02C09"/>
    <w:rsid w:val="2FA038EE"/>
    <w:rsid w:val="2FA33530"/>
    <w:rsid w:val="2FA379D4"/>
    <w:rsid w:val="2FA46F93"/>
    <w:rsid w:val="2FA572A9"/>
    <w:rsid w:val="2FA863D9"/>
    <w:rsid w:val="2FAA0D63"/>
    <w:rsid w:val="2FAA7CE5"/>
    <w:rsid w:val="2FAC6889"/>
    <w:rsid w:val="2FAD43AF"/>
    <w:rsid w:val="2FAE65EC"/>
    <w:rsid w:val="2FAF1ED5"/>
    <w:rsid w:val="2FAF45CB"/>
    <w:rsid w:val="2FB219C5"/>
    <w:rsid w:val="2FB43990"/>
    <w:rsid w:val="2FB72317"/>
    <w:rsid w:val="2FB729B1"/>
    <w:rsid w:val="2FB90FA6"/>
    <w:rsid w:val="2FB971F8"/>
    <w:rsid w:val="2FBA16E7"/>
    <w:rsid w:val="2FBB2F70"/>
    <w:rsid w:val="2FBC66B9"/>
    <w:rsid w:val="2FC040E2"/>
    <w:rsid w:val="2FC31E25"/>
    <w:rsid w:val="2FC5794B"/>
    <w:rsid w:val="2FC811E9"/>
    <w:rsid w:val="2FC92EE1"/>
    <w:rsid w:val="2FC96A9B"/>
    <w:rsid w:val="2FCC083B"/>
    <w:rsid w:val="2FCF4325"/>
    <w:rsid w:val="2FD162F0"/>
    <w:rsid w:val="2FD44032"/>
    <w:rsid w:val="2FD52F89"/>
    <w:rsid w:val="2FD656B4"/>
    <w:rsid w:val="2FD9697A"/>
    <w:rsid w:val="2FDA5341"/>
    <w:rsid w:val="2FDB0F1C"/>
    <w:rsid w:val="2FDD2EE6"/>
    <w:rsid w:val="2FDE0A0C"/>
    <w:rsid w:val="2FDE5325"/>
    <w:rsid w:val="2FE0009C"/>
    <w:rsid w:val="2FE029D7"/>
    <w:rsid w:val="2FE04785"/>
    <w:rsid w:val="2FE06533"/>
    <w:rsid w:val="2FE778C1"/>
    <w:rsid w:val="2FE8064D"/>
    <w:rsid w:val="2FE90DE1"/>
    <w:rsid w:val="2FEA5460"/>
    <w:rsid w:val="2FEC3FAC"/>
    <w:rsid w:val="2FF23C8C"/>
    <w:rsid w:val="2FF23CE8"/>
    <w:rsid w:val="2FF26266"/>
    <w:rsid w:val="2FF3270A"/>
    <w:rsid w:val="2FF344B8"/>
    <w:rsid w:val="2FF975F4"/>
    <w:rsid w:val="2FFD0E93"/>
    <w:rsid w:val="2FFF10AF"/>
    <w:rsid w:val="30004E27"/>
    <w:rsid w:val="30006BD5"/>
    <w:rsid w:val="30032221"/>
    <w:rsid w:val="300739E0"/>
    <w:rsid w:val="300A1801"/>
    <w:rsid w:val="300F506A"/>
    <w:rsid w:val="30100F78"/>
    <w:rsid w:val="3010717A"/>
    <w:rsid w:val="30134B5A"/>
    <w:rsid w:val="30162FEC"/>
    <w:rsid w:val="30167753"/>
    <w:rsid w:val="30183F1E"/>
    <w:rsid w:val="30197C97"/>
    <w:rsid w:val="30200D7A"/>
    <w:rsid w:val="30204B81"/>
    <w:rsid w:val="3021268A"/>
    <w:rsid w:val="30215120"/>
    <w:rsid w:val="3022068C"/>
    <w:rsid w:val="30234671"/>
    <w:rsid w:val="302D1063"/>
    <w:rsid w:val="30303B70"/>
    <w:rsid w:val="3034062C"/>
    <w:rsid w:val="30340AFE"/>
    <w:rsid w:val="303747E6"/>
    <w:rsid w:val="3038011D"/>
    <w:rsid w:val="303A5423"/>
    <w:rsid w:val="303C2E9C"/>
    <w:rsid w:val="303F594F"/>
    <w:rsid w:val="303F6DB8"/>
    <w:rsid w:val="30403475"/>
    <w:rsid w:val="3040577F"/>
    <w:rsid w:val="30422D49"/>
    <w:rsid w:val="30427C69"/>
    <w:rsid w:val="304706D9"/>
    <w:rsid w:val="30474804"/>
    <w:rsid w:val="304A60A2"/>
    <w:rsid w:val="304B1F93"/>
    <w:rsid w:val="304B42F4"/>
    <w:rsid w:val="304E08DD"/>
    <w:rsid w:val="304E16EE"/>
    <w:rsid w:val="304E1BB0"/>
    <w:rsid w:val="30505F3D"/>
    <w:rsid w:val="30512BB9"/>
    <w:rsid w:val="30515C46"/>
    <w:rsid w:val="30521D00"/>
    <w:rsid w:val="30537704"/>
    <w:rsid w:val="30566483"/>
    <w:rsid w:val="305754A8"/>
    <w:rsid w:val="3059137B"/>
    <w:rsid w:val="305B3E0B"/>
    <w:rsid w:val="305C369C"/>
    <w:rsid w:val="305D273A"/>
    <w:rsid w:val="305F38FB"/>
    <w:rsid w:val="305F3A91"/>
    <w:rsid w:val="305F486D"/>
    <w:rsid w:val="3062163D"/>
    <w:rsid w:val="30641700"/>
    <w:rsid w:val="30647164"/>
    <w:rsid w:val="30653B40"/>
    <w:rsid w:val="30656A38"/>
    <w:rsid w:val="306951C8"/>
    <w:rsid w:val="3069608C"/>
    <w:rsid w:val="30696528"/>
    <w:rsid w:val="306B01C0"/>
    <w:rsid w:val="306C58BD"/>
    <w:rsid w:val="306C67BC"/>
    <w:rsid w:val="306E7FE2"/>
    <w:rsid w:val="30717AD3"/>
    <w:rsid w:val="30742770"/>
    <w:rsid w:val="3075311F"/>
    <w:rsid w:val="307849BD"/>
    <w:rsid w:val="307B5D50"/>
    <w:rsid w:val="307F4548"/>
    <w:rsid w:val="30800F67"/>
    <w:rsid w:val="30872C7E"/>
    <w:rsid w:val="308B46F0"/>
    <w:rsid w:val="308B51BC"/>
    <w:rsid w:val="308E2433"/>
    <w:rsid w:val="30907FB3"/>
    <w:rsid w:val="3091223A"/>
    <w:rsid w:val="30913CD1"/>
    <w:rsid w:val="30915A7F"/>
    <w:rsid w:val="309537C1"/>
    <w:rsid w:val="30954A7B"/>
    <w:rsid w:val="3095556F"/>
    <w:rsid w:val="309612E7"/>
    <w:rsid w:val="3097203E"/>
    <w:rsid w:val="30977539"/>
    <w:rsid w:val="30983075"/>
    <w:rsid w:val="309B728D"/>
    <w:rsid w:val="309C4B4F"/>
    <w:rsid w:val="309D08C8"/>
    <w:rsid w:val="309D61D2"/>
    <w:rsid w:val="309F7E2B"/>
    <w:rsid w:val="30A0125E"/>
    <w:rsid w:val="30A25EDE"/>
    <w:rsid w:val="30A36FF1"/>
    <w:rsid w:val="30A77050"/>
    <w:rsid w:val="30AA3AD7"/>
    <w:rsid w:val="30AB43DA"/>
    <w:rsid w:val="30AB6B41"/>
    <w:rsid w:val="30AC4667"/>
    <w:rsid w:val="30B01166"/>
    <w:rsid w:val="30B05F05"/>
    <w:rsid w:val="30B15BCA"/>
    <w:rsid w:val="30B22269"/>
    <w:rsid w:val="30B31E99"/>
    <w:rsid w:val="30BA3228"/>
    <w:rsid w:val="30BB2AFC"/>
    <w:rsid w:val="30BE52CE"/>
    <w:rsid w:val="30BF7EF6"/>
    <w:rsid w:val="30C16364"/>
    <w:rsid w:val="30C3032E"/>
    <w:rsid w:val="30C41820"/>
    <w:rsid w:val="30C776F3"/>
    <w:rsid w:val="30CC1ABC"/>
    <w:rsid w:val="30CD1ABC"/>
    <w:rsid w:val="30CF0F7B"/>
    <w:rsid w:val="30CF339E"/>
    <w:rsid w:val="30CF67E2"/>
    <w:rsid w:val="30D065A7"/>
    <w:rsid w:val="30D34D0C"/>
    <w:rsid w:val="30D51673"/>
    <w:rsid w:val="30DB6CFA"/>
    <w:rsid w:val="30DF3F6C"/>
    <w:rsid w:val="30DF4A3C"/>
    <w:rsid w:val="30E3277E"/>
    <w:rsid w:val="30E57655"/>
    <w:rsid w:val="30E7123C"/>
    <w:rsid w:val="30EA0F6A"/>
    <w:rsid w:val="30EA4837"/>
    <w:rsid w:val="30EB33E1"/>
    <w:rsid w:val="30ED5338"/>
    <w:rsid w:val="30EE1718"/>
    <w:rsid w:val="30F304E8"/>
    <w:rsid w:val="30F35E4C"/>
    <w:rsid w:val="30F45098"/>
    <w:rsid w:val="30F57DBC"/>
    <w:rsid w:val="30F72252"/>
    <w:rsid w:val="30F73B34"/>
    <w:rsid w:val="30F84A13"/>
    <w:rsid w:val="30F85AFE"/>
    <w:rsid w:val="30F96B01"/>
    <w:rsid w:val="30FC739C"/>
    <w:rsid w:val="30FD3114"/>
    <w:rsid w:val="30FF0C3A"/>
    <w:rsid w:val="30FF2666"/>
    <w:rsid w:val="310023E5"/>
    <w:rsid w:val="3105053C"/>
    <w:rsid w:val="31095983"/>
    <w:rsid w:val="310B3A83"/>
    <w:rsid w:val="310B5831"/>
    <w:rsid w:val="310B6BF3"/>
    <w:rsid w:val="310C0A92"/>
    <w:rsid w:val="310D15A9"/>
    <w:rsid w:val="310D6505"/>
    <w:rsid w:val="310F0DBA"/>
    <w:rsid w:val="310F3573"/>
    <w:rsid w:val="31132938"/>
    <w:rsid w:val="31172428"/>
    <w:rsid w:val="31175F84"/>
    <w:rsid w:val="31181CFC"/>
    <w:rsid w:val="31181E11"/>
    <w:rsid w:val="31191065"/>
    <w:rsid w:val="31191AA6"/>
    <w:rsid w:val="311B7998"/>
    <w:rsid w:val="311C359A"/>
    <w:rsid w:val="311C389A"/>
    <w:rsid w:val="311F752F"/>
    <w:rsid w:val="31216E03"/>
    <w:rsid w:val="31224929"/>
    <w:rsid w:val="31230DCD"/>
    <w:rsid w:val="312406A1"/>
    <w:rsid w:val="312863E3"/>
    <w:rsid w:val="312923BE"/>
    <w:rsid w:val="31295CB7"/>
    <w:rsid w:val="312B7C81"/>
    <w:rsid w:val="312C30F3"/>
    <w:rsid w:val="31322DBE"/>
    <w:rsid w:val="31324B0F"/>
    <w:rsid w:val="31342FDA"/>
    <w:rsid w:val="313474AF"/>
    <w:rsid w:val="3136638A"/>
    <w:rsid w:val="31375948"/>
    <w:rsid w:val="3138415A"/>
    <w:rsid w:val="313A63D7"/>
    <w:rsid w:val="313E1763"/>
    <w:rsid w:val="314315D3"/>
    <w:rsid w:val="31436C40"/>
    <w:rsid w:val="31436D79"/>
    <w:rsid w:val="3146700D"/>
    <w:rsid w:val="3147573E"/>
    <w:rsid w:val="31480833"/>
    <w:rsid w:val="31496359"/>
    <w:rsid w:val="314A0C26"/>
    <w:rsid w:val="314D409C"/>
    <w:rsid w:val="314D7E41"/>
    <w:rsid w:val="3151767C"/>
    <w:rsid w:val="31541D0B"/>
    <w:rsid w:val="31554CFE"/>
    <w:rsid w:val="31594C51"/>
    <w:rsid w:val="315A1D85"/>
    <w:rsid w:val="315A40C3"/>
    <w:rsid w:val="315C51CC"/>
    <w:rsid w:val="315E0057"/>
    <w:rsid w:val="315F16D9"/>
    <w:rsid w:val="316025BD"/>
    <w:rsid w:val="31605B7D"/>
    <w:rsid w:val="31607C0D"/>
    <w:rsid w:val="31615451"/>
    <w:rsid w:val="31633E12"/>
    <w:rsid w:val="31660CB9"/>
    <w:rsid w:val="3168639F"/>
    <w:rsid w:val="316A08B8"/>
    <w:rsid w:val="316D2048"/>
    <w:rsid w:val="317038E6"/>
    <w:rsid w:val="317253BD"/>
    <w:rsid w:val="31761B8D"/>
    <w:rsid w:val="317909ED"/>
    <w:rsid w:val="3179279B"/>
    <w:rsid w:val="317F088B"/>
    <w:rsid w:val="317F12ED"/>
    <w:rsid w:val="317F1658"/>
    <w:rsid w:val="317F1EE4"/>
    <w:rsid w:val="318008AB"/>
    <w:rsid w:val="31807FCD"/>
    <w:rsid w:val="318178A1"/>
    <w:rsid w:val="3183186B"/>
    <w:rsid w:val="3184795D"/>
    <w:rsid w:val="3186135C"/>
    <w:rsid w:val="318850D4"/>
    <w:rsid w:val="318D4498"/>
    <w:rsid w:val="318D46C1"/>
    <w:rsid w:val="318D6246"/>
    <w:rsid w:val="318D6C29"/>
    <w:rsid w:val="318F6462"/>
    <w:rsid w:val="3195334D"/>
    <w:rsid w:val="3199272A"/>
    <w:rsid w:val="319A2946"/>
    <w:rsid w:val="319A56D7"/>
    <w:rsid w:val="319A79EB"/>
    <w:rsid w:val="319C292D"/>
    <w:rsid w:val="319C46DB"/>
    <w:rsid w:val="319E0453"/>
    <w:rsid w:val="31A55C86"/>
    <w:rsid w:val="31A6555A"/>
    <w:rsid w:val="31A677D0"/>
    <w:rsid w:val="31A737AC"/>
    <w:rsid w:val="31A75F69"/>
    <w:rsid w:val="31B1462B"/>
    <w:rsid w:val="31B41A44"/>
    <w:rsid w:val="31B45014"/>
    <w:rsid w:val="31B75425"/>
    <w:rsid w:val="31B77767"/>
    <w:rsid w:val="31BC48A9"/>
    <w:rsid w:val="31BD5518"/>
    <w:rsid w:val="31C00377"/>
    <w:rsid w:val="31C0486E"/>
    <w:rsid w:val="31C36771"/>
    <w:rsid w:val="31C559E0"/>
    <w:rsid w:val="31C67FCF"/>
    <w:rsid w:val="31C9409A"/>
    <w:rsid w:val="31C942AB"/>
    <w:rsid w:val="31CB4865"/>
    <w:rsid w:val="31CD6F8B"/>
    <w:rsid w:val="31CF2D03"/>
    <w:rsid w:val="31D04385"/>
    <w:rsid w:val="31D16A7B"/>
    <w:rsid w:val="31D200FD"/>
    <w:rsid w:val="31D64091"/>
    <w:rsid w:val="31D64F52"/>
    <w:rsid w:val="31D67BED"/>
    <w:rsid w:val="31D85E36"/>
    <w:rsid w:val="31D9137E"/>
    <w:rsid w:val="31DB16A7"/>
    <w:rsid w:val="31DC5A4D"/>
    <w:rsid w:val="31DF64D1"/>
    <w:rsid w:val="31E00A6C"/>
    <w:rsid w:val="31E07965"/>
    <w:rsid w:val="31E210F2"/>
    <w:rsid w:val="31E3230A"/>
    <w:rsid w:val="31E51A96"/>
    <w:rsid w:val="31E55E87"/>
    <w:rsid w:val="31E56082"/>
    <w:rsid w:val="31E63A24"/>
    <w:rsid w:val="31E63BA8"/>
    <w:rsid w:val="31E72A58"/>
    <w:rsid w:val="31EC5663"/>
    <w:rsid w:val="31EF5153"/>
    <w:rsid w:val="31F3267A"/>
    <w:rsid w:val="31F44517"/>
    <w:rsid w:val="31F664E1"/>
    <w:rsid w:val="31F77B64"/>
    <w:rsid w:val="31F90194"/>
    <w:rsid w:val="31FE7144"/>
    <w:rsid w:val="3202732B"/>
    <w:rsid w:val="32030B5E"/>
    <w:rsid w:val="320A7220"/>
    <w:rsid w:val="32116E77"/>
    <w:rsid w:val="3212499D"/>
    <w:rsid w:val="32140715"/>
    <w:rsid w:val="32146967"/>
    <w:rsid w:val="321626E0"/>
    <w:rsid w:val="3216623C"/>
    <w:rsid w:val="322207CA"/>
    <w:rsid w:val="322272D6"/>
    <w:rsid w:val="32231491"/>
    <w:rsid w:val="32232C69"/>
    <w:rsid w:val="322703B5"/>
    <w:rsid w:val="32270449"/>
    <w:rsid w:val="3227669B"/>
    <w:rsid w:val="322850C0"/>
    <w:rsid w:val="322E2DFA"/>
    <w:rsid w:val="322F570A"/>
    <w:rsid w:val="322F72FD"/>
    <w:rsid w:val="323808A8"/>
    <w:rsid w:val="323A6E2B"/>
    <w:rsid w:val="323B5CA2"/>
    <w:rsid w:val="323C7F83"/>
    <w:rsid w:val="323D2CC1"/>
    <w:rsid w:val="323E597C"/>
    <w:rsid w:val="3240150B"/>
    <w:rsid w:val="32417A94"/>
    <w:rsid w:val="3242046E"/>
    <w:rsid w:val="32423DAF"/>
    <w:rsid w:val="32425283"/>
    <w:rsid w:val="32432DA9"/>
    <w:rsid w:val="32472899"/>
    <w:rsid w:val="32477843"/>
    <w:rsid w:val="324B1FED"/>
    <w:rsid w:val="324C0DBC"/>
    <w:rsid w:val="324D3D52"/>
    <w:rsid w:val="324F3ED3"/>
    <w:rsid w:val="324F5BF1"/>
    <w:rsid w:val="324F79A0"/>
    <w:rsid w:val="3250637F"/>
    <w:rsid w:val="32523D98"/>
    <w:rsid w:val="32534AFB"/>
    <w:rsid w:val="32590DE3"/>
    <w:rsid w:val="325B00F2"/>
    <w:rsid w:val="325B6344"/>
    <w:rsid w:val="325F6948"/>
    <w:rsid w:val="3260395B"/>
    <w:rsid w:val="326334BB"/>
    <w:rsid w:val="32650F71"/>
    <w:rsid w:val="326571C3"/>
    <w:rsid w:val="32673F49"/>
    <w:rsid w:val="32676E8E"/>
    <w:rsid w:val="32677F6B"/>
    <w:rsid w:val="326E7E26"/>
    <w:rsid w:val="327424C6"/>
    <w:rsid w:val="3276317E"/>
    <w:rsid w:val="327866DD"/>
    <w:rsid w:val="32790B1D"/>
    <w:rsid w:val="3279629B"/>
    <w:rsid w:val="327A0EC0"/>
    <w:rsid w:val="327A2A94"/>
    <w:rsid w:val="327A53F9"/>
    <w:rsid w:val="327E4DF7"/>
    <w:rsid w:val="327F266B"/>
    <w:rsid w:val="3281224F"/>
    <w:rsid w:val="328358F9"/>
    <w:rsid w:val="32841682"/>
    <w:rsid w:val="3284589B"/>
    <w:rsid w:val="32847649"/>
    <w:rsid w:val="3286551C"/>
    <w:rsid w:val="328A09D8"/>
    <w:rsid w:val="328A6C2A"/>
    <w:rsid w:val="328B4E7C"/>
    <w:rsid w:val="328E2276"/>
    <w:rsid w:val="32902492"/>
    <w:rsid w:val="3291620A"/>
    <w:rsid w:val="32963820"/>
    <w:rsid w:val="32966951"/>
    <w:rsid w:val="32994925"/>
    <w:rsid w:val="32997EC6"/>
    <w:rsid w:val="329B19F0"/>
    <w:rsid w:val="329D7C39"/>
    <w:rsid w:val="32A1072C"/>
    <w:rsid w:val="32A25D21"/>
    <w:rsid w:val="32A45FDC"/>
    <w:rsid w:val="32A47CEB"/>
    <w:rsid w:val="32A73338"/>
    <w:rsid w:val="32A970B0"/>
    <w:rsid w:val="32B1171B"/>
    <w:rsid w:val="32C043F9"/>
    <w:rsid w:val="32C21624"/>
    <w:rsid w:val="32C4213C"/>
    <w:rsid w:val="32C57C62"/>
    <w:rsid w:val="32CB6064"/>
    <w:rsid w:val="32CF28C2"/>
    <w:rsid w:val="32D0288E"/>
    <w:rsid w:val="32D050B8"/>
    <w:rsid w:val="32D06D32"/>
    <w:rsid w:val="32D22F57"/>
    <w:rsid w:val="32D240A2"/>
    <w:rsid w:val="32D63A96"/>
    <w:rsid w:val="32D81743"/>
    <w:rsid w:val="32DC09C7"/>
    <w:rsid w:val="32DC15E2"/>
    <w:rsid w:val="32DF0D23"/>
    <w:rsid w:val="32E60304"/>
    <w:rsid w:val="32E61097"/>
    <w:rsid w:val="32E77BD8"/>
    <w:rsid w:val="32E97DF4"/>
    <w:rsid w:val="32EC3440"/>
    <w:rsid w:val="32ED71B1"/>
    <w:rsid w:val="32EE0F67"/>
    <w:rsid w:val="32EE3D34"/>
    <w:rsid w:val="32F01183"/>
    <w:rsid w:val="32F02F31"/>
    <w:rsid w:val="32F522F5"/>
    <w:rsid w:val="32F96AA8"/>
    <w:rsid w:val="32FA3DAF"/>
    <w:rsid w:val="32FC18D5"/>
    <w:rsid w:val="32FC675A"/>
    <w:rsid w:val="33025375"/>
    <w:rsid w:val="33030EB6"/>
    <w:rsid w:val="33042538"/>
    <w:rsid w:val="33047A01"/>
    <w:rsid w:val="330662B0"/>
    <w:rsid w:val="330B38C7"/>
    <w:rsid w:val="331054A3"/>
    <w:rsid w:val="3316226B"/>
    <w:rsid w:val="3317670F"/>
    <w:rsid w:val="33185FE3"/>
    <w:rsid w:val="331D28ED"/>
    <w:rsid w:val="33226E62"/>
    <w:rsid w:val="33240E2C"/>
    <w:rsid w:val="3326578F"/>
    <w:rsid w:val="33266952"/>
    <w:rsid w:val="332B4D40"/>
    <w:rsid w:val="332E1CAB"/>
    <w:rsid w:val="332E6D10"/>
    <w:rsid w:val="33305A23"/>
    <w:rsid w:val="333077D1"/>
    <w:rsid w:val="33316C94"/>
    <w:rsid w:val="33342049"/>
    <w:rsid w:val="333429AC"/>
    <w:rsid w:val="33362AE2"/>
    <w:rsid w:val="333A0650"/>
    <w:rsid w:val="333A41AC"/>
    <w:rsid w:val="333D5A4A"/>
    <w:rsid w:val="333F17C2"/>
    <w:rsid w:val="33414383"/>
    <w:rsid w:val="33420DD0"/>
    <w:rsid w:val="33437504"/>
    <w:rsid w:val="3344139A"/>
    <w:rsid w:val="334528CA"/>
    <w:rsid w:val="33460DA3"/>
    <w:rsid w:val="33484B1B"/>
    <w:rsid w:val="33492641"/>
    <w:rsid w:val="334B0167"/>
    <w:rsid w:val="334B078B"/>
    <w:rsid w:val="3350577D"/>
    <w:rsid w:val="33526DDC"/>
    <w:rsid w:val="335331C4"/>
    <w:rsid w:val="335334BF"/>
    <w:rsid w:val="33542B54"/>
    <w:rsid w:val="33574D5E"/>
    <w:rsid w:val="33582884"/>
    <w:rsid w:val="33585AAE"/>
    <w:rsid w:val="335C6818"/>
    <w:rsid w:val="335D1FE1"/>
    <w:rsid w:val="33617221"/>
    <w:rsid w:val="3361798A"/>
    <w:rsid w:val="336205DE"/>
    <w:rsid w:val="33637EC3"/>
    <w:rsid w:val="33652E8C"/>
    <w:rsid w:val="336747D4"/>
    <w:rsid w:val="33675E3C"/>
    <w:rsid w:val="336808DE"/>
    <w:rsid w:val="33680D19"/>
    <w:rsid w:val="336851BD"/>
    <w:rsid w:val="33694A91"/>
    <w:rsid w:val="336C5A75"/>
    <w:rsid w:val="336D504A"/>
    <w:rsid w:val="336E0745"/>
    <w:rsid w:val="336E125E"/>
    <w:rsid w:val="336E20A7"/>
    <w:rsid w:val="33705E1F"/>
    <w:rsid w:val="33707BCD"/>
    <w:rsid w:val="33721B98"/>
    <w:rsid w:val="33725D15"/>
    <w:rsid w:val="33730803"/>
    <w:rsid w:val="33753436"/>
    <w:rsid w:val="337663FE"/>
    <w:rsid w:val="337765B5"/>
    <w:rsid w:val="337C146A"/>
    <w:rsid w:val="337C30AF"/>
    <w:rsid w:val="337E6DA1"/>
    <w:rsid w:val="33833DA5"/>
    <w:rsid w:val="338342F2"/>
    <w:rsid w:val="33876D5C"/>
    <w:rsid w:val="33884F17"/>
    <w:rsid w:val="338B0EAB"/>
    <w:rsid w:val="338B2C59"/>
    <w:rsid w:val="338B3674"/>
    <w:rsid w:val="338C39C7"/>
    <w:rsid w:val="338F44F8"/>
    <w:rsid w:val="339064C2"/>
    <w:rsid w:val="339449B1"/>
    <w:rsid w:val="33985F59"/>
    <w:rsid w:val="33997472"/>
    <w:rsid w:val="339A10EE"/>
    <w:rsid w:val="339A4C4A"/>
    <w:rsid w:val="339D7EF1"/>
    <w:rsid w:val="339E04FB"/>
    <w:rsid w:val="33A12EF5"/>
    <w:rsid w:val="33A37FA3"/>
    <w:rsid w:val="33A45AC9"/>
    <w:rsid w:val="33A725D0"/>
    <w:rsid w:val="33A87367"/>
    <w:rsid w:val="33AA239E"/>
    <w:rsid w:val="33AA3C56"/>
    <w:rsid w:val="33AB1106"/>
    <w:rsid w:val="33AC27B5"/>
    <w:rsid w:val="33AD0D36"/>
    <w:rsid w:val="33AD497E"/>
    <w:rsid w:val="33AE06F6"/>
    <w:rsid w:val="33B2200A"/>
    <w:rsid w:val="33B32E85"/>
    <w:rsid w:val="33B51F64"/>
    <w:rsid w:val="33B73BA0"/>
    <w:rsid w:val="33B757FC"/>
    <w:rsid w:val="33BA52ED"/>
    <w:rsid w:val="33BC2E13"/>
    <w:rsid w:val="33BC72B7"/>
    <w:rsid w:val="33BE4DDD"/>
    <w:rsid w:val="33BE6B8B"/>
    <w:rsid w:val="33C01934"/>
    <w:rsid w:val="33C10429"/>
    <w:rsid w:val="33C37F03"/>
    <w:rsid w:val="33C5112A"/>
    <w:rsid w:val="33C56E7F"/>
    <w:rsid w:val="33C749D9"/>
    <w:rsid w:val="33C817B8"/>
    <w:rsid w:val="33C81F13"/>
    <w:rsid w:val="33CA5530"/>
    <w:rsid w:val="33CB531A"/>
    <w:rsid w:val="33CC5D95"/>
    <w:rsid w:val="33D30C84"/>
    <w:rsid w:val="33D740F0"/>
    <w:rsid w:val="33D77C4D"/>
    <w:rsid w:val="33DC34B5"/>
    <w:rsid w:val="33E006B7"/>
    <w:rsid w:val="33E5680D"/>
    <w:rsid w:val="33E81E5A"/>
    <w:rsid w:val="33EA1F50"/>
    <w:rsid w:val="33EC0B41"/>
    <w:rsid w:val="33EF3C9C"/>
    <w:rsid w:val="33F16F60"/>
    <w:rsid w:val="33F22CD8"/>
    <w:rsid w:val="33F27464"/>
    <w:rsid w:val="33F56325"/>
    <w:rsid w:val="33F627C9"/>
    <w:rsid w:val="33F6401E"/>
    <w:rsid w:val="33F702EF"/>
    <w:rsid w:val="33F97BC3"/>
    <w:rsid w:val="33FB1443"/>
    <w:rsid w:val="33FD3B57"/>
    <w:rsid w:val="33FE07D7"/>
    <w:rsid w:val="33FE78CF"/>
    <w:rsid w:val="33FF7C1B"/>
    <w:rsid w:val="340071A3"/>
    <w:rsid w:val="34014CC9"/>
    <w:rsid w:val="34052A0C"/>
    <w:rsid w:val="34052D83"/>
    <w:rsid w:val="340622E0"/>
    <w:rsid w:val="340B21E3"/>
    <w:rsid w:val="340F62DC"/>
    <w:rsid w:val="3413690A"/>
    <w:rsid w:val="341472E4"/>
    <w:rsid w:val="341E1D1F"/>
    <w:rsid w:val="341E3ACD"/>
    <w:rsid w:val="342866FA"/>
    <w:rsid w:val="342945B4"/>
    <w:rsid w:val="342A06C4"/>
    <w:rsid w:val="342A4220"/>
    <w:rsid w:val="342C7F98"/>
    <w:rsid w:val="342D5031"/>
    <w:rsid w:val="342F2E1F"/>
    <w:rsid w:val="343155AF"/>
    <w:rsid w:val="3431735D"/>
    <w:rsid w:val="34336881"/>
    <w:rsid w:val="34337579"/>
    <w:rsid w:val="34367E3A"/>
    <w:rsid w:val="3437693D"/>
    <w:rsid w:val="343A070C"/>
    <w:rsid w:val="343B467F"/>
    <w:rsid w:val="343D67B3"/>
    <w:rsid w:val="343D67DA"/>
    <w:rsid w:val="343E7CCC"/>
    <w:rsid w:val="34401C96"/>
    <w:rsid w:val="344201BC"/>
    <w:rsid w:val="34473024"/>
    <w:rsid w:val="34474DD2"/>
    <w:rsid w:val="34482050"/>
    <w:rsid w:val="34483255"/>
    <w:rsid w:val="344D6161"/>
    <w:rsid w:val="34514D46"/>
    <w:rsid w:val="34524761"/>
    <w:rsid w:val="34530098"/>
    <w:rsid w:val="34540637"/>
    <w:rsid w:val="345474EF"/>
    <w:rsid w:val="345614B9"/>
    <w:rsid w:val="34565BE7"/>
    <w:rsid w:val="34580D8D"/>
    <w:rsid w:val="34594B05"/>
    <w:rsid w:val="345A75C8"/>
    <w:rsid w:val="345E211C"/>
    <w:rsid w:val="345E408F"/>
    <w:rsid w:val="345F05F0"/>
    <w:rsid w:val="34607C42"/>
    <w:rsid w:val="346277D2"/>
    <w:rsid w:val="346429D1"/>
    <w:rsid w:val="34645984"/>
    <w:rsid w:val="34663B95"/>
    <w:rsid w:val="3468088D"/>
    <w:rsid w:val="34687C30"/>
    <w:rsid w:val="346A5A7A"/>
    <w:rsid w:val="346D04EA"/>
    <w:rsid w:val="346E6803"/>
    <w:rsid w:val="34704EE8"/>
    <w:rsid w:val="34732300"/>
    <w:rsid w:val="34735BC7"/>
    <w:rsid w:val="34767593"/>
    <w:rsid w:val="34777A58"/>
    <w:rsid w:val="34781430"/>
    <w:rsid w:val="34796205"/>
    <w:rsid w:val="34796F56"/>
    <w:rsid w:val="347B7639"/>
    <w:rsid w:val="347E631A"/>
    <w:rsid w:val="34806536"/>
    <w:rsid w:val="34831B82"/>
    <w:rsid w:val="34847DD4"/>
    <w:rsid w:val="348558FB"/>
    <w:rsid w:val="34880F47"/>
    <w:rsid w:val="348A4CBF"/>
    <w:rsid w:val="348C6C89"/>
    <w:rsid w:val="348F116A"/>
    <w:rsid w:val="34930017"/>
    <w:rsid w:val="34945B3E"/>
    <w:rsid w:val="34954BD9"/>
    <w:rsid w:val="349C5E10"/>
    <w:rsid w:val="349F13D6"/>
    <w:rsid w:val="349F4C0E"/>
    <w:rsid w:val="34A00109"/>
    <w:rsid w:val="34A07D9E"/>
    <w:rsid w:val="34A1735C"/>
    <w:rsid w:val="34A240CD"/>
    <w:rsid w:val="34A37A98"/>
    <w:rsid w:val="34A56048"/>
    <w:rsid w:val="34A75871"/>
    <w:rsid w:val="34AB35B3"/>
    <w:rsid w:val="34AD443D"/>
    <w:rsid w:val="34AE0B4C"/>
    <w:rsid w:val="34AE4BE1"/>
    <w:rsid w:val="34AF205A"/>
    <w:rsid w:val="34B00BC9"/>
    <w:rsid w:val="34B25C62"/>
    <w:rsid w:val="34B41D3C"/>
    <w:rsid w:val="34B54432"/>
    <w:rsid w:val="34B61F58"/>
    <w:rsid w:val="34B65AB4"/>
    <w:rsid w:val="34B92655"/>
    <w:rsid w:val="34BB30CA"/>
    <w:rsid w:val="34BC594F"/>
    <w:rsid w:val="34BF2BBB"/>
    <w:rsid w:val="34C16DC2"/>
    <w:rsid w:val="34C401D1"/>
    <w:rsid w:val="34C5219B"/>
    <w:rsid w:val="34C603ED"/>
    <w:rsid w:val="34C71A6F"/>
    <w:rsid w:val="34C7232B"/>
    <w:rsid w:val="34C77CC1"/>
    <w:rsid w:val="34CB4B6C"/>
    <w:rsid w:val="34CB5049"/>
    <w:rsid w:val="34CB5A03"/>
    <w:rsid w:val="34CC3529"/>
    <w:rsid w:val="34CD495A"/>
    <w:rsid w:val="34CE1050"/>
    <w:rsid w:val="34D01D12"/>
    <w:rsid w:val="34D312C7"/>
    <w:rsid w:val="34D4418C"/>
    <w:rsid w:val="34DD11D4"/>
    <w:rsid w:val="34DD1293"/>
    <w:rsid w:val="34E02B31"/>
    <w:rsid w:val="34E141C1"/>
    <w:rsid w:val="34E46AC5"/>
    <w:rsid w:val="34E4767E"/>
    <w:rsid w:val="34E70363"/>
    <w:rsid w:val="34E75607"/>
    <w:rsid w:val="34EA4F07"/>
    <w:rsid w:val="34ED2883"/>
    <w:rsid w:val="34F1751A"/>
    <w:rsid w:val="34F41280"/>
    <w:rsid w:val="34F66698"/>
    <w:rsid w:val="34F8431E"/>
    <w:rsid w:val="34FA0097"/>
    <w:rsid w:val="34FA3BF3"/>
    <w:rsid w:val="34FB4E15"/>
    <w:rsid w:val="35026F4B"/>
    <w:rsid w:val="35055EE6"/>
    <w:rsid w:val="35074468"/>
    <w:rsid w:val="35076310"/>
    <w:rsid w:val="3509652C"/>
    <w:rsid w:val="35105238"/>
    <w:rsid w:val="3511718E"/>
    <w:rsid w:val="35150F4B"/>
    <w:rsid w:val="35152498"/>
    <w:rsid w:val="351647A5"/>
    <w:rsid w:val="35165311"/>
    <w:rsid w:val="351A4FF2"/>
    <w:rsid w:val="351B5F88"/>
    <w:rsid w:val="351C000D"/>
    <w:rsid w:val="351C625F"/>
    <w:rsid w:val="351D1FD7"/>
    <w:rsid w:val="351D6D61"/>
    <w:rsid w:val="35213875"/>
    <w:rsid w:val="35226149"/>
    <w:rsid w:val="35284C04"/>
    <w:rsid w:val="352944D8"/>
    <w:rsid w:val="352B330C"/>
    <w:rsid w:val="352B6A18"/>
    <w:rsid w:val="352E5F92"/>
    <w:rsid w:val="353217FC"/>
    <w:rsid w:val="35321DFC"/>
    <w:rsid w:val="353270E7"/>
    <w:rsid w:val="35332E64"/>
    <w:rsid w:val="353511F1"/>
    <w:rsid w:val="35366BF5"/>
    <w:rsid w:val="3537234B"/>
    <w:rsid w:val="353A01AB"/>
    <w:rsid w:val="353A4937"/>
    <w:rsid w:val="353D37E3"/>
    <w:rsid w:val="353F5AA9"/>
    <w:rsid w:val="35472BB0"/>
    <w:rsid w:val="354929F4"/>
    <w:rsid w:val="35492DCC"/>
    <w:rsid w:val="35496928"/>
    <w:rsid w:val="354C0066"/>
    <w:rsid w:val="354C3FF7"/>
    <w:rsid w:val="35531555"/>
    <w:rsid w:val="3557133E"/>
    <w:rsid w:val="35577297"/>
    <w:rsid w:val="35591A96"/>
    <w:rsid w:val="35591A9D"/>
    <w:rsid w:val="355A1B9B"/>
    <w:rsid w:val="355B23EB"/>
    <w:rsid w:val="355C3599"/>
    <w:rsid w:val="355C665B"/>
    <w:rsid w:val="355E0625"/>
    <w:rsid w:val="355F5D50"/>
    <w:rsid w:val="356131D5"/>
    <w:rsid w:val="35633E8E"/>
    <w:rsid w:val="3566572C"/>
    <w:rsid w:val="35696FCA"/>
    <w:rsid w:val="356A44E4"/>
    <w:rsid w:val="356E2833"/>
    <w:rsid w:val="356E638F"/>
    <w:rsid w:val="35707622"/>
    <w:rsid w:val="3574572C"/>
    <w:rsid w:val="3575771D"/>
    <w:rsid w:val="357C6E1E"/>
    <w:rsid w:val="357F2D68"/>
    <w:rsid w:val="35800FE2"/>
    <w:rsid w:val="35814314"/>
    <w:rsid w:val="35830721"/>
    <w:rsid w:val="35831E3A"/>
    <w:rsid w:val="35835695"/>
    <w:rsid w:val="35841D47"/>
    <w:rsid w:val="358504DA"/>
    <w:rsid w:val="35867B7C"/>
    <w:rsid w:val="358856A2"/>
    <w:rsid w:val="358A7183"/>
    <w:rsid w:val="358B06F9"/>
    <w:rsid w:val="358D2D1F"/>
    <w:rsid w:val="358D4674"/>
    <w:rsid w:val="358E07DF"/>
    <w:rsid w:val="358E1614"/>
    <w:rsid w:val="359027A9"/>
    <w:rsid w:val="35906305"/>
    <w:rsid w:val="359106D9"/>
    <w:rsid w:val="359202CF"/>
    <w:rsid w:val="35942E06"/>
    <w:rsid w:val="35957DBF"/>
    <w:rsid w:val="359758E5"/>
    <w:rsid w:val="35994D5D"/>
    <w:rsid w:val="359C114E"/>
    <w:rsid w:val="359D0A22"/>
    <w:rsid w:val="359D4169"/>
    <w:rsid w:val="35A149B6"/>
    <w:rsid w:val="35A16764"/>
    <w:rsid w:val="35A6162C"/>
    <w:rsid w:val="35A87AF3"/>
    <w:rsid w:val="35A95619"/>
    <w:rsid w:val="35AC27CE"/>
    <w:rsid w:val="35AD160C"/>
    <w:rsid w:val="35B04BF9"/>
    <w:rsid w:val="35B17751"/>
    <w:rsid w:val="35B43F98"/>
    <w:rsid w:val="35B75F88"/>
    <w:rsid w:val="35B93AAE"/>
    <w:rsid w:val="35BB6DAB"/>
    <w:rsid w:val="35BC17F0"/>
    <w:rsid w:val="35BC359E"/>
    <w:rsid w:val="35BD6EA0"/>
    <w:rsid w:val="35BE09FB"/>
    <w:rsid w:val="35BF6BEA"/>
    <w:rsid w:val="35C10BB4"/>
    <w:rsid w:val="35C120B4"/>
    <w:rsid w:val="35C63286"/>
    <w:rsid w:val="35CB1A33"/>
    <w:rsid w:val="35CB37E1"/>
    <w:rsid w:val="35CD3B0F"/>
    <w:rsid w:val="35CF32D1"/>
    <w:rsid w:val="35D02BA5"/>
    <w:rsid w:val="35D22DC1"/>
    <w:rsid w:val="35D54660"/>
    <w:rsid w:val="35DC59EE"/>
    <w:rsid w:val="35DE5975"/>
    <w:rsid w:val="35E025D7"/>
    <w:rsid w:val="35E0307F"/>
    <w:rsid w:val="35E0728C"/>
    <w:rsid w:val="35E1035F"/>
    <w:rsid w:val="35E25D15"/>
    <w:rsid w:val="35E30B2B"/>
    <w:rsid w:val="35E36D7D"/>
    <w:rsid w:val="35E376C2"/>
    <w:rsid w:val="35E6417A"/>
    <w:rsid w:val="35E6686D"/>
    <w:rsid w:val="35EB3B48"/>
    <w:rsid w:val="35EF3EA1"/>
    <w:rsid w:val="35EF56A7"/>
    <w:rsid w:val="35EF74CF"/>
    <w:rsid w:val="35F039A1"/>
    <w:rsid w:val="35F13610"/>
    <w:rsid w:val="35F26FC0"/>
    <w:rsid w:val="35F9034E"/>
    <w:rsid w:val="35F94282"/>
    <w:rsid w:val="35F965A0"/>
    <w:rsid w:val="35FA7C22"/>
    <w:rsid w:val="35FB2318"/>
    <w:rsid w:val="35FB478C"/>
    <w:rsid w:val="35FC14BD"/>
    <w:rsid w:val="35FE128C"/>
    <w:rsid w:val="360120A7"/>
    <w:rsid w:val="360311CD"/>
    <w:rsid w:val="360314AB"/>
    <w:rsid w:val="36054D5D"/>
    <w:rsid w:val="36097188"/>
    <w:rsid w:val="360A4309"/>
    <w:rsid w:val="360C59BA"/>
    <w:rsid w:val="360F7B72"/>
    <w:rsid w:val="361127F4"/>
    <w:rsid w:val="3612159B"/>
    <w:rsid w:val="36140CE4"/>
    <w:rsid w:val="36145146"/>
    <w:rsid w:val="36146F36"/>
    <w:rsid w:val="36154A5C"/>
    <w:rsid w:val="36162CAE"/>
    <w:rsid w:val="361707D4"/>
    <w:rsid w:val="361B02C4"/>
    <w:rsid w:val="361B3D26"/>
    <w:rsid w:val="361C403D"/>
    <w:rsid w:val="361E1B63"/>
    <w:rsid w:val="361E7DB5"/>
    <w:rsid w:val="361F517C"/>
    <w:rsid w:val="36211653"/>
    <w:rsid w:val="3623361D"/>
    <w:rsid w:val="362446D9"/>
    <w:rsid w:val="362556D6"/>
    <w:rsid w:val="362703E2"/>
    <w:rsid w:val="36286E2C"/>
    <w:rsid w:val="36296AA1"/>
    <w:rsid w:val="362F028D"/>
    <w:rsid w:val="362F3205"/>
    <w:rsid w:val="362F3BFA"/>
    <w:rsid w:val="362F5405"/>
    <w:rsid w:val="36301896"/>
    <w:rsid w:val="363475D8"/>
    <w:rsid w:val="3638233C"/>
    <w:rsid w:val="363B2715"/>
    <w:rsid w:val="363C648D"/>
    <w:rsid w:val="363D03DD"/>
    <w:rsid w:val="36401AD9"/>
    <w:rsid w:val="364041CF"/>
    <w:rsid w:val="36405F1E"/>
    <w:rsid w:val="36413AA3"/>
    <w:rsid w:val="36414C8A"/>
    <w:rsid w:val="36425281"/>
    <w:rsid w:val="364610BA"/>
    <w:rsid w:val="36462E68"/>
    <w:rsid w:val="3647730B"/>
    <w:rsid w:val="36486BE0"/>
    <w:rsid w:val="364A28C4"/>
    <w:rsid w:val="364A32F7"/>
    <w:rsid w:val="364A5AAB"/>
    <w:rsid w:val="364A5C43"/>
    <w:rsid w:val="364C0EFB"/>
    <w:rsid w:val="364C2273"/>
    <w:rsid w:val="364C4922"/>
    <w:rsid w:val="364E7BD9"/>
    <w:rsid w:val="364F4412"/>
    <w:rsid w:val="36526E0E"/>
    <w:rsid w:val="365279A9"/>
    <w:rsid w:val="36533F02"/>
    <w:rsid w:val="36536868"/>
    <w:rsid w:val="365442FF"/>
    <w:rsid w:val="36557FCC"/>
    <w:rsid w:val="365657A0"/>
    <w:rsid w:val="365732C7"/>
    <w:rsid w:val="365B2DB7"/>
    <w:rsid w:val="365C268B"/>
    <w:rsid w:val="365D2B5D"/>
    <w:rsid w:val="365D6B2F"/>
    <w:rsid w:val="36617CA1"/>
    <w:rsid w:val="36653C36"/>
    <w:rsid w:val="366652B8"/>
    <w:rsid w:val="366854D4"/>
    <w:rsid w:val="36687BFC"/>
    <w:rsid w:val="366A2FFA"/>
    <w:rsid w:val="366A4DA8"/>
    <w:rsid w:val="366B11D8"/>
    <w:rsid w:val="366B28CE"/>
    <w:rsid w:val="366F0610"/>
    <w:rsid w:val="367125DA"/>
    <w:rsid w:val="36716136"/>
    <w:rsid w:val="36721EAF"/>
    <w:rsid w:val="367407B2"/>
    <w:rsid w:val="36745C27"/>
    <w:rsid w:val="36766209"/>
    <w:rsid w:val="367818A9"/>
    <w:rsid w:val="36783969"/>
    <w:rsid w:val="36785717"/>
    <w:rsid w:val="36794FEB"/>
    <w:rsid w:val="368057C9"/>
    <w:rsid w:val="3681431A"/>
    <w:rsid w:val="3682021B"/>
    <w:rsid w:val="36853990"/>
    <w:rsid w:val="36873BAC"/>
    <w:rsid w:val="368B4FEB"/>
    <w:rsid w:val="368B6A33"/>
    <w:rsid w:val="368D472A"/>
    <w:rsid w:val="36913166"/>
    <w:rsid w:val="369320EE"/>
    <w:rsid w:val="36960BD4"/>
    <w:rsid w:val="369736C3"/>
    <w:rsid w:val="369748F9"/>
    <w:rsid w:val="369E2763"/>
    <w:rsid w:val="369E2EE4"/>
    <w:rsid w:val="369E4A52"/>
    <w:rsid w:val="36A71B58"/>
    <w:rsid w:val="36A75FFC"/>
    <w:rsid w:val="36AC3225"/>
    <w:rsid w:val="36AC39D3"/>
    <w:rsid w:val="36AC3F8E"/>
    <w:rsid w:val="36AC53C0"/>
    <w:rsid w:val="36AD2EE7"/>
    <w:rsid w:val="36B23B4B"/>
    <w:rsid w:val="36B335DA"/>
    <w:rsid w:val="36B64491"/>
    <w:rsid w:val="36B70FC8"/>
    <w:rsid w:val="36B77978"/>
    <w:rsid w:val="36B85B13"/>
    <w:rsid w:val="36BB5604"/>
    <w:rsid w:val="36BD75CE"/>
    <w:rsid w:val="36BE50F4"/>
    <w:rsid w:val="36C26992"/>
    <w:rsid w:val="36C51CEF"/>
    <w:rsid w:val="36C559EF"/>
    <w:rsid w:val="36C7044C"/>
    <w:rsid w:val="36CB2CF7"/>
    <w:rsid w:val="36CC15BF"/>
    <w:rsid w:val="36CC7811"/>
    <w:rsid w:val="36CD0E4E"/>
    <w:rsid w:val="36CE17DB"/>
    <w:rsid w:val="36CE7100"/>
    <w:rsid w:val="36CF10AF"/>
    <w:rsid w:val="36D13079"/>
    <w:rsid w:val="36D36DF1"/>
    <w:rsid w:val="36D641EB"/>
    <w:rsid w:val="36D77545"/>
    <w:rsid w:val="36D83D4A"/>
    <w:rsid w:val="36DA0180"/>
    <w:rsid w:val="36DA1BF9"/>
    <w:rsid w:val="36DB3EF8"/>
    <w:rsid w:val="36DD1A1E"/>
    <w:rsid w:val="36E43F85"/>
    <w:rsid w:val="36E508D2"/>
    <w:rsid w:val="36E5586C"/>
    <w:rsid w:val="36E603BA"/>
    <w:rsid w:val="36E7464B"/>
    <w:rsid w:val="36EE0A73"/>
    <w:rsid w:val="36EF52AD"/>
    <w:rsid w:val="36F11F50"/>
    <w:rsid w:val="36F12692"/>
    <w:rsid w:val="36F17277"/>
    <w:rsid w:val="36F26843"/>
    <w:rsid w:val="36F40B16"/>
    <w:rsid w:val="36F44322"/>
    <w:rsid w:val="36F56A14"/>
    <w:rsid w:val="36F570EA"/>
    <w:rsid w:val="36F80606"/>
    <w:rsid w:val="36F8344F"/>
    <w:rsid w:val="36F87C76"/>
    <w:rsid w:val="36F9612C"/>
    <w:rsid w:val="36FB1EA4"/>
    <w:rsid w:val="37013421"/>
    <w:rsid w:val="37014E77"/>
    <w:rsid w:val="37040E86"/>
    <w:rsid w:val="370753AB"/>
    <w:rsid w:val="370757A2"/>
    <w:rsid w:val="370944C7"/>
    <w:rsid w:val="370A20E7"/>
    <w:rsid w:val="370C0B67"/>
    <w:rsid w:val="37101AAB"/>
    <w:rsid w:val="37105893"/>
    <w:rsid w:val="371116C7"/>
    <w:rsid w:val="371371EE"/>
    <w:rsid w:val="3715740A"/>
    <w:rsid w:val="37160A8C"/>
    <w:rsid w:val="37180CA8"/>
    <w:rsid w:val="371A238D"/>
    <w:rsid w:val="371B49F9"/>
    <w:rsid w:val="371C30BD"/>
    <w:rsid w:val="37223783"/>
    <w:rsid w:val="372431A9"/>
    <w:rsid w:val="37261245"/>
    <w:rsid w:val="372B2789"/>
    <w:rsid w:val="372D3266"/>
    <w:rsid w:val="372F1B4E"/>
    <w:rsid w:val="373125F1"/>
    <w:rsid w:val="3733259F"/>
    <w:rsid w:val="37346911"/>
    <w:rsid w:val="37352DF6"/>
    <w:rsid w:val="37353608"/>
    <w:rsid w:val="37354103"/>
    <w:rsid w:val="37357164"/>
    <w:rsid w:val="37362EDC"/>
    <w:rsid w:val="373830F8"/>
    <w:rsid w:val="37390631"/>
    <w:rsid w:val="373A0C1E"/>
    <w:rsid w:val="373B6744"/>
    <w:rsid w:val="373C4996"/>
    <w:rsid w:val="373D070E"/>
    <w:rsid w:val="373D24BC"/>
    <w:rsid w:val="37411FAD"/>
    <w:rsid w:val="37437BE5"/>
    <w:rsid w:val="37441A9D"/>
    <w:rsid w:val="374455F9"/>
    <w:rsid w:val="37476E97"/>
    <w:rsid w:val="37495DD7"/>
    <w:rsid w:val="374E46CA"/>
    <w:rsid w:val="374F3B1F"/>
    <w:rsid w:val="37500442"/>
    <w:rsid w:val="37527664"/>
    <w:rsid w:val="37537F32"/>
    <w:rsid w:val="375532B6"/>
    <w:rsid w:val="37560A63"/>
    <w:rsid w:val="37575E0D"/>
    <w:rsid w:val="3759048B"/>
    <w:rsid w:val="375A306E"/>
    <w:rsid w:val="375A6BCB"/>
    <w:rsid w:val="375B636E"/>
    <w:rsid w:val="375F0685"/>
    <w:rsid w:val="375F3C64"/>
    <w:rsid w:val="376143FD"/>
    <w:rsid w:val="3767385F"/>
    <w:rsid w:val="3768578B"/>
    <w:rsid w:val="376C4B50"/>
    <w:rsid w:val="376C68FE"/>
    <w:rsid w:val="376D2DA2"/>
    <w:rsid w:val="376E2676"/>
    <w:rsid w:val="37704640"/>
    <w:rsid w:val="37733044"/>
    <w:rsid w:val="37753A3E"/>
    <w:rsid w:val="37753CAD"/>
    <w:rsid w:val="377A4DE3"/>
    <w:rsid w:val="377C2FE5"/>
    <w:rsid w:val="378123A9"/>
    <w:rsid w:val="378356DA"/>
    <w:rsid w:val="37841E99"/>
    <w:rsid w:val="37846BFD"/>
    <w:rsid w:val="378578B7"/>
    <w:rsid w:val="37863E63"/>
    <w:rsid w:val="37881557"/>
    <w:rsid w:val="378B7ED8"/>
    <w:rsid w:val="3790083E"/>
    <w:rsid w:val="3790548B"/>
    <w:rsid w:val="37922E3E"/>
    <w:rsid w:val="379320DC"/>
    <w:rsid w:val="37936580"/>
    <w:rsid w:val="37953B5B"/>
    <w:rsid w:val="37970013"/>
    <w:rsid w:val="37976071"/>
    <w:rsid w:val="379876F3"/>
    <w:rsid w:val="37991252"/>
    <w:rsid w:val="379A346B"/>
    <w:rsid w:val="379C3687"/>
    <w:rsid w:val="379C71E3"/>
    <w:rsid w:val="379E11AD"/>
    <w:rsid w:val="379F3C08"/>
    <w:rsid w:val="379F6CD3"/>
    <w:rsid w:val="37A01BA7"/>
    <w:rsid w:val="37A0353C"/>
    <w:rsid w:val="37A10C9D"/>
    <w:rsid w:val="37A12A4B"/>
    <w:rsid w:val="37A367C3"/>
    <w:rsid w:val="37A4253C"/>
    <w:rsid w:val="37A45D5C"/>
    <w:rsid w:val="37A62F5F"/>
    <w:rsid w:val="37A91900"/>
    <w:rsid w:val="37A946C2"/>
    <w:rsid w:val="37A97B52"/>
    <w:rsid w:val="37AA57D6"/>
    <w:rsid w:val="37AB5678"/>
    <w:rsid w:val="37AE7907"/>
    <w:rsid w:val="37B07132"/>
    <w:rsid w:val="37B172B8"/>
    <w:rsid w:val="37B20112"/>
    <w:rsid w:val="37B26A07"/>
    <w:rsid w:val="37B32BFD"/>
    <w:rsid w:val="37B502A5"/>
    <w:rsid w:val="37B53242"/>
    <w:rsid w:val="37B564F7"/>
    <w:rsid w:val="37B95FE7"/>
    <w:rsid w:val="37B96BE8"/>
    <w:rsid w:val="37BA43E6"/>
    <w:rsid w:val="37BD09EA"/>
    <w:rsid w:val="37BE184F"/>
    <w:rsid w:val="37BF2ED1"/>
    <w:rsid w:val="37C130EE"/>
    <w:rsid w:val="37C404E8"/>
    <w:rsid w:val="37C56D30"/>
    <w:rsid w:val="37C56D90"/>
    <w:rsid w:val="37CC7E74"/>
    <w:rsid w:val="37CF577D"/>
    <w:rsid w:val="37CF6EC9"/>
    <w:rsid w:val="37D07D4D"/>
    <w:rsid w:val="37D56E26"/>
    <w:rsid w:val="37D6275C"/>
    <w:rsid w:val="37D90437"/>
    <w:rsid w:val="37DA5F5D"/>
    <w:rsid w:val="37DE3C9F"/>
    <w:rsid w:val="37DF5322"/>
    <w:rsid w:val="37E1553E"/>
    <w:rsid w:val="37E51F96"/>
    <w:rsid w:val="37E868CC"/>
    <w:rsid w:val="37EA2644"/>
    <w:rsid w:val="37EB13DD"/>
    <w:rsid w:val="37EC401D"/>
    <w:rsid w:val="37EC6872"/>
    <w:rsid w:val="37ED3075"/>
    <w:rsid w:val="37ED3CAB"/>
    <w:rsid w:val="37EE37B7"/>
    <w:rsid w:val="37F04A9C"/>
    <w:rsid w:val="37F0752F"/>
    <w:rsid w:val="37F45271"/>
    <w:rsid w:val="37F60FE9"/>
    <w:rsid w:val="37FC4126"/>
    <w:rsid w:val="37FC5ED4"/>
    <w:rsid w:val="37FC68A5"/>
    <w:rsid w:val="37FE043A"/>
    <w:rsid w:val="37FE1C4C"/>
    <w:rsid w:val="37FE7E9E"/>
    <w:rsid w:val="37FF30BE"/>
    <w:rsid w:val="37FF59C4"/>
    <w:rsid w:val="37FF7772"/>
    <w:rsid w:val="380151F9"/>
    <w:rsid w:val="3805122C"/>
    <w:rsid w:val="38055687"/>
    <w:rsid w:val="38060B00"/>
    <w:rsid w:val="38067072"/>
    <w:rsid w:val="38084878"/>
    <w:rsid w:val="380C0A19"/>
    <w:rsid w:val="380F20AB"/>
    <w:rsid w:val="3810197F"/>
    <w:rsid w:val="38120761"/>
    <w:rsid w:val="381271F1"/>
    <w:rsid w:val="381274A5"/>
    <w:rsid w:val="38150FFB"/>
    <w:rsid w:val="38166C00"/>
    <w:rsid w:val="38166F6B"/>
    <w:rsid w:val="381A31BA"/>
    <w:rsid w:val="381A5280"/>
    <w:rsid w:val="381B79A9"/>
    <w:rsid w:val="381C0324"/>
    <w:rsid w:val="381F7E4D"/>
    <w:rsid w:val="3821593A"/>
    <w:rsid w:val="38241F3A"/>
    <w:rsid w:val="3826179D"/>
    <w:rsid w:val="382A0C93"/>
    <w:rsid w:val="382B1748"/>
    <w:rsid w:val="38325D99"/>
    <w:rsid w:val="38333A05"/>
    <w:rsid w:val="383445DB"/>
    <w:rsid w:val="38373C11"/>
    <w:rsid w:val="3837515E"/>
    <w:rsid w:val="3838582C"/>
    <w:rsid w:val="38385F4D"/>
    <w:rsid w:val="38390ED6"/>
    <w:rsid w:val="383C0516"/>
    <w:rsid w:val="383E473E"/>
    <w:rsid w:val="38402264"/>
    <w:rsid w:val="38431D54"/>
    <w:rsid w:val="384358B1"/>
    <w:rsid w:val="38455560"/>
    <w:rsid w:val="384635F3"/>
    <w:rsid w:val="38471845"/>
    <w:rsid w:val="384A4E91"/>
    <w:rsid w:val="384A6C3F"/>
    <w:rsid w:val="384C6E5B"/>
    <w:rsid w:val="384D4981"/>
    <w:rsid w:val="384F6360"/>
    <w:rsid w:val="3851621F"/>
    <w:rsid w:val="38517C12"/>
    <w:rsid w:val="38517E88"/>
    <w:rsid w:val="38542AB1"/>
    <w:rsid w:val="385C20EE"/>
    <w:rsid w:val="385C3F2E"/>
    <w:rsid w:val="385E2E31"/>
    <w:rsid w:val="385F0607"/>
    <w:rsid w:val="385F277E"/>
    <w:rsid w:val="38613F89"/>
    <w:rsid w:val="386341A5"/>
    <w:rsid w:val="386371CA"/>
    <w:rsid w:val="38651CCB"/>
    <w:rsid w:val="38653A79"/>
    <w:rsid w:val="386A5533"/>
    <w:rsid w:val="386C12AB"/>
    <w:rsid w:val="386C3059"/>
    <w:rsid w:val="386C70B8"/>
    <w:rsid w:val="386D5023"/>
    <w:rsid w:val="38753D94"/>
    <w:rsid w:val="38776533"/>
    <w:rsid w:val="38783665"/>
    <w:rsid w:val="38787C50"/>
    <w:rsid w:val="387B14EE"/>
    <w:rsid w:val="387C00BD"/>
    <w:rsid w:val="387D753C"/>
    <w:rsid w:val="388163D9"/>
    <w:rsid w:val="38832151"/>
    <w:rsid w:val="388760E5"/>
    <w:rsid w:val="38887767"/>
    <w:rsid w:val="388A34DF"/>
    <w:rsid w:val="38905890"/>
    <w:rsid w:val="38910D12"/>
    <w:rsid w:val="38934A8A"/>
    <w:rsid w:val="3894610C"/>
    <w:rsid w:val="389A11ED"/>
    <w:rsid w:val="389B56ED"/>
    <w:rsid w:val="389C6CCB"/>
    <w:rsid w:val="389E4DF7"/>
    <w:rsid w:val="389E6F8B"/>
    <w:rsid w:val="38A00F55"/>
    <w:rsid w:val="38A327F3"/>
    <w:rsid w:val="38A5089C"/>
    <w:rsid w:val="38A547BD"/>
    <w:rsid w:val="38A81BB8"/>
    <w:rsid w:val="38A8605B"/>
    <w:rsid w:val="38A87E0A"/>
    <w:rsid w:val="38AB0436"/>
    <w:rsid w:val="38AC16A8"/>
    <w:rsid w:val="38AE2860"/>
    <w:rsid w:val="38AF4531"/>
    <w:rsid w:val="38B268F0"/>
    <w:rsid w:val="38B43C13"/>
    <w:rsid w:val="38B603BB"/>
    <w:rsid w:val="38B77CE5"/>
    <w:rsid w:val="38B92017"/>
    <w:rsid w:val="38BB7B3D"/>
    <w:rsid w:val="38BD1B07"/>
    <w:rsid w:val="38BD52D9"/>
    <w:rsid w:val="38BD5663"/>
    <w:rsid w:val="38BE762D"/>
    <w:rsid w:val="38C369F1"/>
    <w:rsid w:val="38C5276A"/>
    <w:rsid w:val="38C533EF"/>
    <w:rsid w:val="38C70290"/>
    <w:rsid w:val="38C8225A"/>
    <w:rsid w:val="38C84008"/>
    <w:rsid w:val="38CD7870"/>
    <w:rsid w:val="38D1110E"/>
    <w:rsid w:val="38D153CA"/>
    <w:rsid w:val="38D66725"/>
    <w:rsid w:val="38DA2C28"/>
    <w:rsid w:val="38DD7AB3"/>
    <w:rsid w:val="38DE076D"/>
    <w:rsid w:val="38DE5E5B"/>
    <w:rsid w:val="38E057F5"/>
    <w:rsid w:val="38E208BF"/>
    <w:rsid w:val="38E5105E"/>
    <w:rsid w:val="38E70267"/>
    <w:rsid w:val="38E81ADE"/>
    <w:rsid w:val="38EB387F"/>
    <w:rsid w:val="38EC7CF6"/>
    <w:rsid w:val="38F02330"/>
    <w:rsid w:val="38F142D1"/>
    <w:rsid w:val="38F60B75"/>
    <w:rsid w:val="38F65019"/>
    <w:rsid w:val="38FB618B"/>
    <w:rsid w:val="38FD1371"/>
    <w:rsid w:val="38FE7A29"/>
    <w:rsid w:val="38FF3ECD"/>
    <w:rsid w:val="38FF3F16"/>
    <w:rsid w:val="390239BE"/>
    <w:rsid w:val="3902751A"/>
    <w:rsid w:val="390667A8"/>
    <w:rsid w:val="39096AFA"/>
    <w:rsid w:val="390D653D"/>
    <w:rsid w:val="390D6F7F"/>
    <w:rsid w:val="390E15BE"/>
    <w:rsid w:val="390E2362"/>
    <w:rsid w:val="390E5CB1"/>
    <w:rsid w:val="390E62E4"/>
    <w:rsid w:val="39184F8F"/>
    <w:rsid w:val="391C32AC"/>
    <w:rsid w:val="391E708D"/>
    <w:rsid w:val="39205BF2"/>
    <w:rsid w:val="39225E0E"/>
    <w:rsid w:val="39235EF3"/>
    <w:rsid w:val="39241B86"/>
    <w:rsid w:val="39241D31"/>
    <w:rsid w:val="39253208"/>
    <w:rsid w:val="392576AC"/>
    <w:rsid w:val="39276F80"/>
    <w:rsid w:val="3929719C"/>
    <w:rsid w:val="392A36AD"/>
    <w:rsid w:val="392C1632"/>
    <w:rsid w:val="392D09DC"/>
    <w:rsid w:val="392E6561"/>
    <w:rsid w:val="39317DFF"/>
    <w:rsid w:val="39322BF4"/>
    <w:rsid w:val="393637BD"/>
    <w:rsid w:val="3938118D"/>
    <w:rsid w:val="39382F3B"/>
    <w:rsid w:val="39395969"/>
    <w:rsid w:val="393E66CF"/>
    <w:rsid w:val="394109A3"/>
    <w:rsid w:val="39423DBA"/>
    <w:rsid w:val="39445009"/>
    <w:rsid w:val="394915ED"/>
    <w:rsid w:val="394B4892"/>
    <w:rsid w:val="394E09B1"/>
    <w:rsid w:val="394E0C8C"/>
    <w:rsid w:val="395064D7"/>
    <w:rsid w:val="39551C3C"/>
    <w:rsid w:val="3957402E"/>
    <w:rsid w:val="39576612"/>
    <w:rsid w:val="395835DE"/>
    <w:rsid w:val="3958489C"/>
    <w:rsid w:val="3958538C"/>
    <w:rsid w:val="395D6E46"/>
    <w:rsid w:val="395F496C"/>
    <w:rsid w:val="39613A37"/>
    <w:rsid w:val="39636612"/>
    <w:rsid w:val="396471C4"/>
    <w:rsid w:val="39656502"/>
    <w:rsid w:val="39673821"/>
    <w:rsid w:val="396957EB"/>
    <w:rsid w:val="396A50BF"/>
    <w:rsid w:val="396C28D9"/>
    <w:rsid w:val="396C3E2E"/>
    <w:rsid w:val="396C52DB"/>
    <w:rsid w:val="39763A64"/>
    <w:rsid w:val="397C6ACC"/>
    <w:rsid w:val="397C6E64"/>
    <w:rsid w:val="398048E2"/>
    <w:rsid w:val="39820C37"/>
    <w:rsid w:val="398268AC"/>
    <w:rsid w:val="3987208C"/>
    <w:rsid w:val="398C14D9"/>
    <w:rsid w:val="398E0DAD"/>
    <w:rsid w:val="398E2A24"/>
    <w:rsid w:val="398E6FFF"/>
    <w:rsid w:val="39905196"/>
    <w:rsid w:val="39916AF0"/>
    <w:rsid w:val="39921705"/>
    <w:rsid w:val="39924D42"/>
    <w:rsid w:val="3995038E"/>
    <w:rsid w:val="399565E0"/>
    <w:rsid w:val="3997007C"/>
    <w:rsid w:val="399B34CA"/>
    <w:rsid w:val="399C171C"/>
    <w:rsid w:val="399F2FBB"/>
    <w:rsid w:val="399F6725"/>
    <w:rsid w:val="399F78CA"/>
    <w:rsid w:val="39A03EED"/>
    <w:rsid w:val="39A0424E"/>
    <w:rsid w:val="39A22AAB"/>
    <w:rsid w:val="39A25958"/>
    <w:rsid w:val="39A44A75"/>
    <w:rsid w:val="39A71E6F"/>
    <w:rsid w:val="39AB32CF"/>
    <w:rsid w:val="39AD1B7B"/>
    <w:rsid w:val="39AD727D"/>
    <w:rsid w:val="39AE7B43"/>
    <w:rsid w:val="39B27192"/>
    <w:rsid w:val="39B83504"/>
    <w:rsid w:val="39B90520"/>
    <w:rsid w:val="39BC119D"/>
    <w:rsid w:val="39BD1693"/>
    <w:rsid w:val="39BD2467"/>
    <w:rsid w:val="39C03EA5"/>
    <w:rsid w:val="39C26CA9"/>
    <w:rsid w:val="39C331CD"/>
    <w:rsid w:val="39C57900"/>
    <w:rsid w:val="39C66799"/>
    <w:rsid w:val="39C72C62"/>
    <w:rsid w:val="39C742BF"/>
    <w:rsid w:val="39C96289"/>
    <w:rsid w:val="39CA4CB2"/>
    <w:rsid w:val="39CE1AF2"/>
    <w:rsid w:val="39CF6650"/>
    <w:rsid w:val="39D07618"/>
    <w:rsid w:val="39D30EB6"/>
    <w:rsid w:val="39D53024"/>
    <w:rsid w:val="39D6421D"/>
    <w:rsid w:val="39DA3FF3"/>
    <w:rsid w:val="39DA54EA"/>
    <w:rsid w:val="39DC5FBD"/>
    <w:rsid w:val="39DD3AE3"/>
    <w:rsid w:val="39DF5AAD"/>
    <w:rsid w:val="39E03A77"/>
    <w:rsid w:val="39E35A89"/>
    <w:rsid w:val="39E6508D"/>
    <w:rsid w:val="39E71E22"/>
    <w:rsid w:val="39E73698"/>
    <w:rsid w:val="39EB6200"/>
    <w:rsid w:val="39ED4C94"/>
    <w:rsid w:val="39F1794B"/>
    <w:rsid w:val="39F3557E"/>
    <w:rsid w:val="39F50E2C"/>
    <w:rsid w:val="39F63A08"/>
    <w:rsid w:val="39F93319"/>
    <w:rsid w:val="39FA28E7"/>
    <w:rsid w:val="39FA6443"/>
    <w:rsid w:val="39FE4185"/>
    <w:rsid w:val="39FF3A59"/>
    <w:rsid w:val="3A0379ED"/>
    <w:rsid w:val="3A0461E5"/>
    <w:rsid w:val="3A064DE8"/>
    <w:rsid w:val="3A0948D8"/>
    <w:rsid w:val="3A0A3174"/>
    <w:rsid w:val="3A0B0650"/>
    <w:rsid w:val="3A0C3554"/>
    <w:rsid w:val="3A105C66"/>
    <w:rsid w:val="3A1219DE"/>
    <w:rsid w:val="3A1239F2"/>
    <w:rsid w:val="3A127C30"/>
    <w:rsid w:val="3A1439A9"/>
    <w:rsid w:val="3A173499"/>
    <w:rsid w:val="3A184B1B"/>
    <w:rsid w:val="3A186650"/>
    <w:rsid w:val="3A190FBF"/>
    <w:rsid w:val="3A197EEE"/>
    <w:rsid w:val="3A1D4906"/>
    <w:rsid w:val="3A1E0383"/>
    <w:rsid w:val="3A1E15E9"/>
    <w:rsid w:val="3A255BB6"/>
    <w:rsid w:val="3A263172"/>
    <w:rsid w:val="3A2636DC"/>
    <w:rsid w:val="3A2A1573"/>
    <w:rsid w:val="3A313DDF"/>
    <w:rsid w:val="3A322081"/>
    <w:rsid w:val="3A3317EE"/>
    <w:rsid w:val="3A331955"/>
    <w:rsid w:val="3A3331CF"/>
    <w:rsid w:val="3A345DF9"/>
    <w:rsid w:val="3A3500E0"/>
    <w:rsid w:val="3A356844"/>
    <w:rsid w:val="3A385EE2"/>
    <w:rsid w:val="3A39340F"/>
    <w:rsid w:val="3A3E27D3"/>
    <w:rsid w:val="3A3E4582"/>
    <w:rsid w:val="3A3E6C77"/>
    <w:rsid w:val="3A3E7B24"/>
    <w:rsid w:val="3A406600"/>
    <w:rsid w:val="3A4122C4"/>
    <w:rsid w:val="3A417106"/>
    <w:rsid w:val="3A4233A8"/>
    <w:rsid w:val="3A443B62"/>
    <w:rsid w:val="3A445910"/>
    <w:rsid w:val="3A451DB4"/>
    <w:rsid w:val="3A4A16EF"/>
    <w:rsid w:val="3A4A73CA"/>
    <w:rsid w:val="3A4B4EF0"/>
    <w:rsid w:val="3A4F795A"/>
    <w:rsid w:val="3A543DA5"/>
    <w:rsid w:val="3A555125"/>
    <w:rsid w:val="3A585486"/>
    <w:rsid w:val="3A5938DA"/>
    <w:rsid w:val="3A5B5BCB"/>
    <w:rsid w:val="3A5E22ED"/>
    <w:rsid w:val="3A5E59CC"/>
    <w:rsid w:val="3A5F7E3C"/>
    <w:rsid w:val="3A62434D"/>
    <w:rsid w:val="3A6366DE"/>
    <w:rsid w:val="3A646CDA"/>
    <w:rsid w:val="3A6675A7"/>
    <w:rsid w:val="3A6A35C8"/>
    <w:rsid w:val="3A6C4ACA"/>
    <w:rsid w:val="3A726921"/>
    <w:rsid w:val="3A7461F5"/>
    <w:rsid w:val="3A772DAC"/>
    <w:rsid w:val="3A773F37"/>
    <w:rsid w:val="3A786573"/>
    <w:rsid w:val="3A791A5E"/>
    <w:rsid w:val="3A7A7584"/>
    <w:rsid w:val="3A804B9A"/>
    <w:rsid w:val="3A821282"/>
    <w:rsid w:val="3A821AE3"/>
    <w:rsid w:val="3A8221F6"/>
    <w:rsid w:val="3A836257"/>
    <w:rsid w:val="3A886145"/>
    <w:rsid w:val="3A8A4E35"/>
    <w:rsid w:val="3A8F0EC9"/>
    <w:rsid w:val="3A916DA7"/>
    <w:rsid w:val="3A940645"/>
    <w:rsid w:val="3A94137A"/>
    <w:rsid w:val="3A95616C"/>
    <w:rsid w:val="3A965379"/>
    <w:rsid w:val="3A991F2C"/>
    <w:rsid w:val="3A9B7C26"/>
    <w:rsid w:val="3A9C399E"/>
    <w:rsid w:val="3A9C6E8D"/>
    <w:rsid w:val="3A9E3272"/>
    <w:rsid w:val="3A9E7716"/>
    <w:rsid w:val="3AA06FEA"/>
    <w:rsid w:val="3AA27206"/>
    <w:rsid w:val="3AA72623"/>
    <w:rsid w:val="3AAC1E33"/>
    <w:rsid w:val="3AAC3BE1"/>
    <w:rsid w:val="3AAF1923"/>
    <w:rsid w:val="3AB17449"/>
    <w:rsid w:val="3AB27136"/>
    <w:rsid w:val="3AB32333"/>
    <w:rsid w:val="3AB537A0"/>
    <w:rsid w:val="3AB605BC"/>
    <w:rsid w:val="3ABB3AC8"/>
    <w:rsid w:val="3ABC194A"/>
    <w:rsid w:val="3ABC5104"/>
    <w:rsid w:val="3ABD5CA2"/>
    <w:rsid w:val="3AC16F61"/>
    <w:rsid w:val="3AC24AD6"/>
    <w:rsid w:val="3AC32CD9"/>
    <w:rsid w:val="3AC351DC"/>
    <w:rsid w:val="3AC75726"/>
    <w:rsid w:val="3ACB1297"/>
    <w:rsid w:val="3ACE7FFB"/>
    <w:rsid w:val="3ACF5B21"/>
    <w:rsid w:val="3AD06540"/>
    <w:rsid w:val="3AD2116E"/>
    <w:rsid w:val="3AD30C90"/>
    <w:rsid w:val="3AD3655F"/>
    <w:rsid w:val="3AD44EE6"/>
    <w:rsid w:val="3AD9074E"/>
    <w:rsid w:val="3ADB0945"/>
    <w:rsid w:val="3ADD527F"/>
    <w:rsid w:val="3ADE4324"/>
    <w:rsid w:val="3ADF0778"/>
    <w:rsid w:val="3ADF09B2"/>
    <w:rsid w:val="3ADF6165"/>
    <w:rsid w:val="3AE10910"/>
    <w:rsid w:val="3AE50EA1"/>
    <w:rsid w:val="3AEA00AE"/>
    <w:rsid w:val="3AEA4709"/>
    <w:rsid w:val="3AED143F"/>
    <w:rsid w:val="3AEF1D20"/>
    <w:rsid w:val="3AF70469"/>
    <w:rsid w:val="3AF71FC7"/>
    <w:rsid w:val="3AF92B9E"/>
    <w:rsid w:val="3AFA0DF0"/>
    <w:rsid w:val="3AFD268F"/>
    <w:rsid w:val="3B004D11"/>
    <w:rsid w:val="3B035FAC"/>
    <w:rsid w:val="3B047888"/>
    <w:rsid w:val="3B051543"/>
    <w:rsid w:val="3B0752BB"/>
    <w:rsid w:val="3B091E6F"/>
    <w:rsid w:val="3B0A4DAB"/>
    <w:rsid w:val="3B0B64CF"/>
    <w:rsid w:val="3B0B71E7"/>
    <w:rsid w:val="3B0C0B24"/>
    <w:rsid w:val="3B0F23C2"/>
    <w:rsid w:val="3B0F6577"/>
    <w:rsid w:val="3B134ED3"/>
    <w:rsid w:val="3B141786"/>
    <w:rsid w:val="3B146F31"/>
    <w:rsid w:val="3B152C4B"/>
    <w:rsid w:val="3B162028"/>
    <w:rsid w:val="3B1711F5"/>
    <w:rsid w:val="3B183024"/>
    <w:rsid w:val="3B1B48C3"/>
    <w:rsid w:val="3B1C4C6D"/>
    <w:rsid w:val="3B1D063B"/>
    <w:rsid w:val="3B1E43B3"/>
    <w:rsid w:val="3B201ED9"/>
    <w:rsid w:val="3B202864"/>
    <w:rsid w:val="3B2204AB"/>
    <w:rsid w:val="3B251BE5"/>
    <w:rsid w:val="3B2746C2"/>
    <w:rsid w:val="3B293484"/>
    <w:rsid w:val="3B2A2D58"/>
    <w:rsid w:val="3B2A56FC"/>
    <w:rsid w:val="3B2C37EB"/>
    <w:rsid w:val="3B2C5C74"/>
    <w:rsid w:val="3B2D4B78"/>
    <w:rsid w:val="3B2F670A"/>
    <w:rsid w:val="3B303FD2"/>
    <w:rsid w:val="3B3140E6"/>
    <w:rsid w:val="3B3223AB"/>
    <w:rsid w:val="3B3360B0"/>
    <w:rsid w:val="3B3456CE"/>
    <w:rsid w:val="3B3911ED"/>
    <w:rsid w:val="3B3F4B02"/>
    <w:rsid w:val="3B424545"/>
    <w:rsid w:val="3B424B80"/>
    <w:rsid w:val="3B443E1A"/>
    <w:rsid w:val="3B4501F9"/>
    <w:rsid w:val="3B450A85"/>
    <w:rsid w:val="3B461F3B"/>
    <w:rsid w:val="3B47390A"/>
    <w:rsid w:val="3B4972B1"/>
    <w:rsid w:val="3B4A0859"/>
    <w:rsid w:val="3B4A1BD1"/>
    <w:rsid w:val="3B4F27BE"/>
    <w:rsid w:val="3B5129DA"/>
    <w:rsid w:val="3B512DAC"/>
    <w:rsid w:val="3B514788"/>
    <w:rsid w:val="3B53405D"/>
    <w:rsid w:val="3B5775CB"/>
    <w:rsid w:val="3B581673"/>
    <w:rsid w:val="3B5B77A3"/>
    <w:rsid w:val="3B5F0C53"/>
    <w:rsid w:val="3B602C1D"/>
    <w:rsid w:val="3B620744"/>
    <w:rsid w:val="3B64270E"/>
    <w:rsid w:val="3B660234"/>
    <w:rsid w:val="3B684142"/>
    <w:rsid w:val="3B6B4E17"/>
    <w:rsid w:val="3B6E70E8"/>
    <w:rsid w:val="3B6F4C0F"/>
    <w:rsid w:val="3B6F766F"/>
    <w:rsid w:val="3B6F7C90"/>
    <w:rsid w:val="3B710987"/>
    <w:rsid w:val="3B716BD9"/>
    <w:rsid w:val="3B72650D"/>
    <w:rsid w:val="3B744E3E"/>
    <w:rsid w:val="3B7566C9"/>
    <w:rsid w:val="3B77792F"/>
    <w:rsid w:val="3B7B2685"/>
    <w:rsid w:val="3B7B548E"/>
    <w:rsid w:val="3B7F12F6"/>
    <w:rsid w:val="3B7F6F6A"/>
    <w:rsid w:val="3B820DE6"/>
    <w:rsid w:val="3B824942"/>
    <w:rsid w:val="3B840442"/>
    <w:rsid w:val="3B844FA5"/>
    <w:rsid w:val="3B862CF4"/>
    <w:rsid w:val="3B892174"/>
    <w:rsid w:val="3B8A37F6"/>
    <w:rsid w:val="3B8B7C9A"/>
    <w:rsid w:val="3B8E32E7"/>
    <w:rsid w:val="3B8F3A05"/>
    <w:rsid w:val="3B9308FD"/>
    <w:rsid w:val="3B93554F"/>
    <w:rsid w:val="3B974891"/>
    <w:rsid w:val="3B9823B7"/>
    <w:rsid w:val="3B9A1C8B"/>
    <w:rsid w:val="3BA0301B"/>
    <w:rsid w:val="3BA42B0A"/>
    <w:rsid w:val="3BA4351C"/>
    <w:rsid w:val="3BA57B4D"/>
    <w:rsid w:val="3BA64AD4"/>
    <w:rsid w:val="3BAA664E"/>
    <w:rsid w:val="3BAB20EB"/>
    <w:rsid w:val="3BAC5E63"/>
    <w:rsid w:val="3BB20694"/>
    <w:rsid w:val="3BB54D17"/>
    <w:rsid w:val="3BB6283D"/>
    <w:rsid w:val="3BB638D7"/>
    <w:rsid w:val="3BB9277E"/>
    <w:rsid w:val="3BB93335"/>
    <w:rsid w:val="3BBC60A6"/>
    <w:rsid w:val="3BC60CD2"/>
    <w:rsid w:val="3BC66F24"/>
    <w:rsid w:val="3BC767F9"/>
    <w:rsid w:val="3BCC2061"/>
    <w:rsid w:val="3BCC56A6"/>
    <w:rsid w:val="3BCD609E"/>
    <w:rsid w:val="3BCE7B87"/>
    <w:rsid w:val="3BD038FF"/>
    <w:rsid w:val="3BD056AD"/>
    <w:rsid w:val="3BD33ACA"/>
    <w:rsid w:val="3BD41C69"/>
    <w:rsid w:val="3BD50F16"/>
    <w:rsid w:val="3BD57ACD"/>
    <w:rsid w:val="3BD7123D"/>
    <w:rsid w:val="3BD776F8"/>
    <w:rsid w:val="3BD86C58"/>
    <w:rsid w:val="3BDC6748"/>
    <w:rsid w:val="3BE03E4B"/>
    <w:rsid w:val="3BE22DDC"/>
    <w:rsid w:val="3BE23632"/>
    <w:rsid w:val="3BE607AD"/>
    <w:rsid w:val="3BE949C1"/>
    <w:rsid w:val="3BEC057C"/>
    <w:rsid w:val="3BEC3415"/>
    <w:rsid w:val="3BEE0229"/>
    <w:rsid w:val="3BF055E2"/>
    <w:rsid w:val="3BF07939"/>
    <w:rsid w:val="3BF30FF2"/>
    <w:rsid w:val="3BF33A92"/>
    <w:rsid w:val="3BF437B8"/>
    <w:rsid w:val="3BF85B29"/>
    <w:rsid w:val="3BFB7A0F"/>
    <w:rsid w:val="3BFC2946"/>
    <w:rsid w:val="3BFC64A2"/>
    <w:rsid w:val="3BFE0815"/>
    <w:rsid w:val="3C017F5D"/>
    <w:rsid w:val="3C020626"/>
    <w:rsid w:val="3C033CD5"/>
    <w:rsid w:val="3C057A31"/>
    <w:rsid w:val="3C0637C5"/>
    <w:rsid w:val="3C067321"/>
    <w:rsid w:val="3C074A00"/>
    <w:rsid w:val="3C076891"/>
    <w:rsid w:val="3C08753D"/>
    <w:rsid w:val="3C0A3DFC"/>
    <w:rsid w:val="3C0B058F"/>
    <w:rsid w:val="3C0D6901"/>
    <w:rsid w:val="3C131E37"/>
    <w:rsid w:val="3C153A08"/>
    <w:rsid w:val="3C1C08F2"/>
    <w:rsid w:val="3C1E0B0E"/>
    <w:rsid w:val="3C1E13C9"/>
    <w:rsid w:val="3C2038B7"/>
    <w:rsid w:val="3C212D8D"/>
    <w:rsid w:val="3C221C81"/>
    <w:rsid w:val="3C227C10"/>
    <w:rsid w:val="3C241839"/>
    <w:rsid w:val="3C273D9F"/>
    <w:rsid w:val="3C307BCF"/>
    <w:rsid w:val="3C335C3C"/>
    <w:rsid w:val="3C3410C7"/>
    <w:rsid w:val="3C360C70"/>
    <w:rsid w:val="3C362434"/>
    <w:rsid w:val="3C3976F6"/>
    <w:rsid w:val="3C3D2907"/>
    <w:rsid w:val="3C4147FD"/>
    <w:rsid w:val="3C4328DD"/>
    <w:rsid w:val="3C485B8B"/>
    <w:rsid w:val="3C487939"/>
    <w:rsid w:val="3C4B1DF2"/>
    <w:rsid w:val="3C4C1ED4"/>
    <w:rsid w:val="3C4C4C7A"/>
    <w:rsid w:val="3C4D13F4"/>
    <w:rsid w:val="3C4D6CFE"/>
    <w:rsid w:val="3C5207B8"/>
    <w:rsid w:val="3C5502A8"/>
    <w:rsid w:val="3C562AB7"/>
    <w:rsid w:val="3C562EF0"/>
    <w:rsid w:val="3C5B560C"/>
    <w:rsid w:val="3C5F1DE9"/>
    <w:rsid w:val="3C6278E4"/>
    <w:rsid w:val="3C640E6A"/>
    <w:rsid w:val="3C6446F4"/>
    <w:rsid w:val="3C667DC0"/>
    <w:rsid w:val="3C674EB4"/>
    <w:rsid w:val="3C6C6155"/>
    <w:rsid w:val="3C6D083F"/>
    <w:rsid w:val="3C6D73A0"/>
    <w:rsid w:val="3C6F5460"/>
    <w:rsid w:val="3C7050E2"/>
    <w:rsid w:val="3C7126F2"/>
    <w:rsid w:val="3C740D90"/>
    <w:rsid w:val="3C746980"/>
    <w:rsid w:val="3C7478FC"/>
    <w:rsid w:val="3C763519"/>
    <w:rsid w:val="3C7E335B"/>
    <w:rsid w:val="3C804D9C"/>
    <w:rsid w:val="3C812E4B"/>
    <w:rsid w:val="3C834E15"/>
    <w:rsid w:val="3C835501"/>
    <w:rsid w:val="3C836188"/>
    <w:rsid w:val="3C85043D"/>
    <w:rsid w:val="3C85183C"/>
    <w:rsid w:val="3C853D67"/>
    <w:rsid w:val="3C860462"/>
    <w:rsid w:val="3C8623C3"/>
    <w:rsid w:val="3C8A0E0D"/>
    <w:rsid w:val="3C8B6976"/>
    <w:rsid w:val="3C8D359E"/>
    <w:rsid w:val="3C9506A5"/>
    <w:rsid w:val="3C97441D"/>
    <w:rsid w:val="3C9A5CBB"/>
    <w:rsid w:val="3C9B534F"/>
    <w:rsid w:val="3C9E3A49"/>
    <w:rsid w:val="3CA11B1D"/>
    <w:rsid w:val="3CA20EBE"/>
    <w:rsid w:val="3CA37533"/>
    <w:rsid w:val="3CA628B2"/>
    <w:rsid w:val="3CAA4150"/>
    <w:rsid w:val="3CB12751"/>
    <w:rsid w:val="3CB2745A"/>
    <w:rsid w:val="3CB30671"/>
    <w:rsid w:val="3CB40325"/>
    <w:rsid w:val="3CB66F99"/>
    <w:rsid w:val="3CB74ABF"/>
    <w:rsid w:val="3CB956B0"/>
    <w:rsid w:val="3CBD64AD"/>
    <w:rsid w:val="3CBE5E4E"/>
    <w:rsid w:val="3CC44440"/>
    <w:rsid w:val="3CC558D0"/>
    <w:rsid w:val="3CC55DE3"/>
    <w:rsid w:val="3CC561AB"/>
    <w:rsid w:val="3CC72F54"/>
    <w:rsid w:val="3CC96A8D"/>
    <w:rsid w:val="3CCC0C50"/>
    <w:rsid w:val="3CCD7E3F"/>
    <w:rsid w:val="3CD15679"/>
    <w:rsid w:val="3CD15B81"/>
    <w:rsid w:val="3CD43F35"/>
    <w:rsid w:val="3CD4741F"/>
    <w:rsid w:val="3CD66364"/>
    <w:rsid w:val="3CD72A6B"/>
    <w:rsid w:val="3CD825B8"/>
    <w:rsid w:val="3CD964B6"/>
    <w:rsid w:val="3CDF60CE"/>
    <w:rsid w:val="3CE27D8E"/>
    <w:rsid w:val="3CE31410"/>
    <w:rsid w:val="3CE53DCB"/>
    <w:rsid w:val="3CEA435A"/>
    <w:rsid w:val="3CEA4D9C"/>
    <w:rsid w:val="3CEA6507"/>
    <w:rsid w:val="3CEA651F"/>
    <w:rsid w:val="3CEA6C43"/>
    <w:rsid w:val="3CEB35AE"/>
    <w:rsid w:val="3CEC29BB"/>
    <w:rsid w:val="3CED04E1"/>
    <w:rsid w:val="3CF11D7F"/>
    <w:rsid w:val="3CF278A5"/>
    <w:rsid w:val="3CF47AC1"/>
    <w:rsid w:val="3CF61143"/>
    <w:rsid w:val="3CF655E7"/>
    <w:rsid w:val="3CF661BD"/>
    <w:rsid w:val="3CF67395"/>
    <w:rsid w:val="3CF85812"/>
    <w:rsid w:val="3CF96E86"/>
    <w:rsid w:val="3CFB53BD"/>
    <w:rsid w:val="3CFC4E99"/>
    <w:rsid w:val="3CFD2E65"/>
    <w:rsid w:val="3D031AB2"/>
    <w:rsid w:val="3D037D04"/>
    <w:rsid w:val="3D073351"/>
    <w:rsid w:val="3D080568"/>
    <w:rsid w:val="3D08531B"/>
    <w:rsid w:val="3D086D2A"/>
    <w:rsid w:val="3D09729A"/>
    <w:rsid w:val="3D0D46DF"/>
    <w:rsid w:val="3D0D4A4F"/>
    <w:rsid w:val="3D0E2985"/>
    <w:rsid w:val="3D0F04C0"/>
    <w:rsid w:val="3D0F76C8"/>
    <w:rsid w:val="3D1109A7"/>
    <w:rsid w:val="3D116B99"/>
    <w:rsid w:val="3D141F11"/>
    <w:rsid w:val="3D143CBF"/>
    <w:rsid w:val="3D1617E6"/>
    <w:rsid w:val="3D171DE2"/>
    <w:rsid w:val="3D192669"/>
    <w:rsid w:val="3D1B5254"/>
    <w:rsid w:val="3D1B6DFC"/>
    <w:rsid w:val="3D1D2B74"/>
    <w:rsid w:val="3D1F0939"/>
    <w:rsid w:val="3D2008B6"/>
    <w:rsid w:val="3D2028DF"/>
    <w:rsid w:val="3D204412"/>
    <w:rsid w:val="3D22018A"/>
    <w:rsid w:val="3D2263DC"/>
    <w:rsid w:val="3D245A43"/>
    <w:rsid w:val="3D26409F"/>
    <w:rsid w:val="3D281519"/>
    <w:rsid w:val="3D2902B8"/>
    <w:rsid w:val="3D294FD4"/>
    <w:rsid w:val="3D2F0AF9"/>
    <w:rsid w:val="3D3305EA"/>
    <w:rsid w:val="3D344362"/>
    <w:rsid w:val="3D347EBE"/>
    <w:rsid w:val="3D3543FF"/>
    <w:rsid w:val="3D3659E4"/>
    <w:rsid w:val="3D373021"/>
    <w:rsid w:val="3D385C00"/>
    <w:rsid w:val="3D3D3705"/>
    <w:rsid w:val="3D3F1E0E"/>
    <w:rsid w:val="3D3F6F8E"/>
    <w:rsid w:val="3D405813"/>
    <w:rsid w:val="3D4225DB"/>
    <w:rsid w:val="3D4313C4"/>
    <w:rsid w:val="3D432D04"/>
    <w:rsid w:val="3D432DCD"/>
    <w:rsid w:val="3D462F52"/>
    <w:rsid w:val="3D474095"/>
    <w:rsid w:val="3D4A5933"/>
    <w:rsid w:val="3D4D2D2E"/>
    <w:rsid w:val="3D4E31CA"/>
    <w:rsid w:val="3D510A70"/>
    <w:rsid w:val="3D535C62"/>
    <w:rsid w:val="3D540560"/>
    <w:rsid w:val="3D566086"/>
    <w:rsid w:val="3D583BAC"/>
    <w:rsid w:val="3D5B18EE"/>
    <w:rsid w:val="3D5B1D48"/>
    <w:rsid w:val="3D5B796E"/>
    <w:rsid w:val="3D622C7D"/>
    <w:rsid w:val="3D632551"/>
    <w:rsid w:val="3D6411B7"/>
    <w:rsid w:val="3D644DC7"/>
    <w:rsid w:val="3D660E4B"/>
    <w:rsid w:val="3D6764E5"/>
    <w:rsid w:val="3D6835D8"/>
    <w:rsid w:val="3D687B67"/>
    <w:rsid w:val="3D6A0A80"/>
    <w:rsid w:val="3D6A1E11"/>
    <w:rsid w:val="3D6A733F"/>
    <w:rsid w:val="3D6D1232"/>
    <w:rsid w:val="3D6D517E"/>
    <w:rsid w:val="3D7073B9"/>
    <w:rsid w:val="3D785FFC"/>
    <w:rsid w:val="3D7B789B"/>
    <w:rsid w:val="3D7E738B"/>
    <w:rsid w:val="3D804EB1"/>
    <w:rsid w:val="3D80667C"/>
    <w:rsid w:val="3D872B79"/>
    <w:rsid w:val="3D8A5D30"/>
    <w:rsid w:val="3D8A6036"/>
    <w:rsid w:val="3D8B3B2D"/>
    <w:rsid w:val="3D8B4247"/>
    <w:rsid w:val="3D8C44DD"/>
    <w:rsid w:val="3D8D719C"/>
    <w:rsid w:val="3D8F3346"/>
    <w:rsid w:val="3D8F3BF0"/>
    <w:rsid w:val="3D900E66"/>
    <w:rsid w:val="3D90447A"/>
    <w:rsid w:val="3D916EEA"/>
    <w:rsid w:val="3D9372DA"/>
    <w:rsid w:val="3D956BAE"/>
    <w:rsid w:val="3D9643DA"/>
    <w:rsid w:val="3D98044D"/>
    <w:rsid w:val="3D987913"/>
    <w:rsid w:val="3D9A0E8C"/>
    <w:rsid w:val="3D9B7F3D"/>
    <w:rsid w:val="3D9D390F"/>
    <w:rsid w:val="3D9E4D9F"/>
    <w:rsid w:val="3DA037A5"/>
    <w:rsid w:val="3DA07301"/>
    <w:rsid w:val="3DA60DBB"/>
    <w:rsid w:val="3DA87781"/>
    <w:rsid w:val="3DAB11BF"/>
    <w:rsid w:val="3DAD3404"/>
    <w:rsid w:val="3DAE1A1E"/>
    <w:rsid w:val="3DAF5796"/>
    <w:rsid w:val="3DB1150E"/>
    <w:rsid w:val="3DB30BB2"/>
    <w:rsid w:val="3DB334D8"/>
    <w:rsid w:val="3DB37034"/>
    <w:rsid w:val="3DB42DAD"/>
    <w:rsid w:val="3DB50455"/>
    <w:rsid w:val="3DB5782E"/>
    <w:rsid w:val="3DB64D77"/>
    <w:rsid w:val="3DB66B25"/>
    <w:rsid w:val="3DBC3847"/>
    <w:rsid w:val="3DC23E99"/>
    <w:rsid w:val="3DC41242"/>
    <w:rsid w:val="3DC456E6"/>
    <w:rsid w:val="3DC721B2"/>
    <w:rsid w:val="3DC72AE0"/>
    <w:rsid w:val="3DCE20C0"/>
    <w:rsid w:val="3DCF5357"/>
    <w:rsid w:val="3DD00D25"/>
    <w:rsid w:val="3DD1395F"/>
    <w:rsid w:val="3DD504FB"/>
    <w:rsid w:val="3DD56FF0"/>
    <w:rsid w:val="3DD84CED"/>
    <w:rsid w:val="3DDD6E61"/>
    <w:rsid w:val="3DDF5D2C"/>
    <w:rsid w:val="3DDF7E2A"/>
    <w:rsid w:val="3DE10046"/>
    <w:rsid w:val="3DE414A6"/>
    <w:rsid w:val="3DE6565C"/>
    <w:rsid w:val="3DE74F30"/>
    <w:rsid w:val="3DE812E0"/>
    <w:rsid w:val="3DE91F16"/>
    <w:rsid w:val="3DEA4782"/>
    <w:rsid w:val="3DEA67CE"/>
    <w:rsid w:val="3DEC32B6"/>
    <w:rsid w:val="3DED69EA"/>
    <w:rsid w:val="3DEE64E8"/>
    <w:rsid w:val="3DF31B27"/>
    <w:rsid w:val="3DF37D79"/>
    <w:rsid w:val="3DF5436D"/>
    <w:rsid w:val="3DF86485"/>
    <w:rsid w:val="3DFA4C63"/>
    <w:rsid w:val="3DFC4E7F"/>
    <w:rsid w:val="3DFC6C2D"/>
    <w:rsid w:val="3DFD29A6"/>
    <w:rsid w:val="3DFD6502"/>
    <w:rsid w:val="3DFE0BF8"/>
    <w:rsid w:val="3DFE1172"/>
    <w:rsid w:val="3DFF227A"/>
    <w:rsid w:val="3DFF671E"/>
    <w:rsid w:val="3E015FF2"/>
    <w:rsid w:val="3E067AAC"/>
    <w:rsid w:val="3E077380"/>
    <w:rsid w:val="3E0902AB"/>
    <w:rsid w:val="3E0C2BE9"/>
    <w:rsid w:val="3E12634A"/>
    <w:rsid w:val="3E1325B2"/>
    <w:rsid w:val="3E133F77"/>
    <w:rsid w:val="3E151A9D"/>
    <w:rsid w:val="3E1677F2"/>
    <w:rsid w:val="3E171CB9"/>
    <w:rsid w:val="3E173A67"/>
    <w:rsid w:val="3E175815"/>
    <w:rsid w:val="3E18158D"/>
    <w:rsid w:val="3E1B7C3C"/>
    <w:rsid w:val="3E1E34BB"/>
    <w:rsid w:val="3E1F3CF7"/>
    <w:rsid w:val="3E1F4D88"/>
    <w:rsid w:val="3E20454D"/>
    <w:rsid w:val="3E2305EE"/>
    <w:rsid w:val="3E23065E"/>
    <w:rsid w:val="3E261EFC"/>
    <w:rsid w:val="3E2C6DE7"/>
    <w:rsid w:val="3E300685"/>
    <w:rsid w:val="3E3068D7"/>
    <w:rsid w:val="3E3208A1"/>
    <w:rsid w:val="3E3414B5"/>
    <w:rsid w:val="3E35373D"/>
    <w:rsid w:val="3E360791"/>
    <w:rsid w:val="3E377C66"/>
    <w:rsid w:val="3E3A1504"/>
    <w:rsid w:val="3E3C150D"/>
    <w:rsid w:val="3E3F6B1A"/>
    <w:rsid w:val="3E3F7A5C"/>
    <w:rsid w:val="3E44455B"/>
    <w:rsid w:val="3E4745F6"/>
    <w:rsid w:val="3E483328"/>
    <w:rsid w:val="3E483849"/>
    <w:rsid w:val="3E4A543D"/>
    <w:rsid w:val="3E4B2C4F"/>
    <w:rsid w:val="3E4C6CB2"/>
    <w:rsid w:val="3E4D7489"/>
    <w:rsid w:val="3E4E0CA1"/>
    <w:rsid w:val="3E5016AD"/>
    <w:rsid w:val="3E526125"/>
    <w:rsid w:val="3E52684D"/>
    <w:rsid w:val="3E54217C"/>
    <w:rsid w:val="3E5421C2"/>
    <w:rsid w:val="3E5537F5"/>
    <w:rsid w:val="3E566026"/>
    <w:rsid w:val="3E5A63AB"/>
    <w:rsid w:val="3E5D47AF"/>
    <w:rsid w:val="3E6045F2"/>
    <w:rsid w:val="3E612F34"/>
    <w:rsid w:val="3E617BA5"/>
    <w:rsid w:val="3E622809"/>
    <w:rsid w:val="3E6246F2"/>
    <w:rsid w:val="3E645370"/>
    <w:rsid w:val="3E645E2F"/>
    <w:rsid w:val="3E6B5B61"/>
    <w:rsid w:val="3E6D7EAB"/>
    <w:rsid w:val="3E706C67"/>
    <w:rsid w:val="3E7323DB"/>
    <w:rsid w:val="3E75163D"/>
    <w:rsid w:val="3E754F24"/>
    <w:rsid w:val="3E787E6D"/>
    <w:rsid w:val="3E7B5510"/>
    <w:rsid w:val="3E7D1571"/>
    <w:rsid w:val="3E7D40AA"/>
    <w:rsid w:val="3E7E5894"/>
    <w:rsid w:val="3E844D20"/>
    <w:rsid w:val="3E860BED"/>
    <w:rsid w:val="3E88666E"/>
    <w:rsid w:val="3E8C33CA"/>
    <w:rsid w:val="3E8C766A"/>
    <w:rsid w:val="3E8D7925"/>
    <w:rsid w:val="3E922945"/>
    <w:rsid w:val="3E9230EE"/>
    <w:rsid w:val="3E95498C"/>
    <w:rsid w:val="3E990920"/>
    <w:rsid w:val="3E9A61A4"/>
    <w:rsid w:val="3E9A6446"/>
    <w:rsid w:val="3E9E1A93"/>
    <w:rsid w:val="3E9E5F37"/>
    <w:rsid w:val="3E9F580B"/>
    <w:rsid w:val="3EA108A1"/>
    <w:rsid w:val="3EA15746"/>
    <w:rsid w:val="3EA21DFC"/>
    <w:rsid w:val="3EA3354D"/>
    <w:rsid w:val="3EA352FB"/>
    <w:rsid w:val="3EA572C5"/>
    <w:rsid w:val="3EA64DEB"/>
    <w:rsid w:val="3EA8452D"/>
    <w:rsid w:val="3EA94103"/>
    <w:rsid w:val="3EAB0654"/>
    <w:rsid w:val="3EAB2402"/>
    <w:rsid w:val="3EAC37D6"/>
    <w:rsid w:val="3EAD1CD6"/>
    <w:rsid w:val="3EAD617A"/>
    <w:rsid w:val="3EB176AB"/>
    <w:rsid w:val="3EB47508"/>
    <w:rsid w:val="3EB63280"/>
    <w:rsid w:val="3EB76A3C"/>
    <w:rsid w:val="3EBA1EBB"/>
    <w:rsid w:val="3EBA43F3"/>
    <w:rsid w:val="3EBB58F7"/>
    <w:rsid w:val="3EBD5502"/>
    <w:rsid w:val="3EBE4C76"/>
    <w:rsid w:val="3EC139D3"/>
    <w:rsid w:val="3EC23895"/>
    <w:rsid w:val="3EC368D6"/>
    <w:rsid w:val="3EC456A8"/>
    <w:rsid w:val="3EC51F9A"/>
    <w:rsid w:val="3EC60FE9"/>
    <w:rsid w:val="3EC62D97"/>
    <w:rsid w:val="3EC7548D"/>
    <w:rsid w:val="3EC7661E"/>
    <w:rsid w:val="3EC83B16"/>
    <w:rsid w:val="3EC86B10"/>
    <w:rsid w:val="3ECB4852"/>
    <w:rsid w:val="3ED2798E"/>
    <w:rsid w:val="3ED3641C"/>
    <w:rsid w:val="3ED557D3"/>
    <w:rsid w:val="3ED656D0"/>
    <w:rsid w:val="3ED834C6"/>
    <w:rsid w:val="3ED92ACB"/>
    <w:rsid w:val="3EDB2CE7"/>
    <w:rsid w:val="3EDB73BB"/>
    <w:rsid w:val="3EDC080D"/>
    <w:rsid w:val="3EDD7D40"/>
    <w:rsid w:val="3EE15E23"/>
    <w:rsid w:val="3EE939CC"/>
    <w:rsid w:val="3EEA2B2A"/>
    <w:rsid w:val="3EED6576"/>
    <w:rsid w:val="3EEE5D89"/>
    <w:rsid w:val="3EF1250A"/>
    <w:rsid w:val="3EF20030"/>
    <w:rsid w:val="3EF26282"/>
    <w:rsid w:val="3EF318F9"/>
    <w:rsid w:val="3EF400BE"/>
    <w:rsid w:val="3EF45B57"/>
    <w:rsid w:val="3EF5367D"/>
    <w:rsid w:val="3EF711ED"/>
    <w:rsid w:val="3EF73899"/>
    <w:rsid w:val="3EF75647"/>
    <w:rsid w:val="3EF76618"/>
    <w:rsid w:val="3EF913BF"/>
    <w:rsid w:val="3EFB5050"/>
    <w:rsid w:val="3EFC2C5D"/>
    <w:rsid w:val="3F012022"/>
    <w:rsid w:val="3F035D9A"/>
    <w:rsid w:val="3F047A57"/>
    <w:rsid w:val="3F052174"/>
    <w:rsid w:val="3F054DCA"/>
    <w:rsid w:val="3F0605B1"/>
    <w:rsid w:val="3F060986"/>
    <w:rsid w:val="3F065125"/>
    <w:rsid w:val="3F067638"/>
    <w:rsid w:val="3F0A537A"/>
    <w:rsid w:val="3F0F473E"/>
    <w:rsid w:val="3F1025ED"/>
    <w:rsid w:val="3F11251B"/>
    <w:rsid w:val="3F11495A"/>
    <w:rsid w:val="3F122481"/>
    <w:rsid w:val="3F1636C3"/>
    <w:rsid w:val="3F1735F3"/>
    <w:rsid w:val="3F177A97"/>
    <w:rsid w:val="3F1D32FF"/>
    <w:rsid w:val="3F207230"/>
    <w:rsid w:val="3F277CDA"/>
    <w:rsid w:val="3F2A1D12"/>
    <w:rsid w:val="3F2A2EB3"/>
    <w:rsid w:val="3F2C52F0"/>
    <w:rsid w:val="3F2F0B5E"/>
    <w:rsid w:val="3F300841"/>
    <w:rsid w:val="3F301AC1"/>
    <w:rsid w:val="3F310B59"/>
    <w:rsid w:val="3F32042D"/>
    <w:rsid w:val="3F3356A6"/>
    <w:rsid w:val="3F357817"/>
    <w:rsid w:val="3F383728"/>
    <w:rsid w:val="3F397A0D"/>
    <w:rsid w:val="3F3B3785"/>
    <w:rsid w:val="3F3C12AC"/>
    <w:rsid w:val="3F3D7BE8"/>
    <w:rsid w:val="3F3E5024"/>
    <w:rsid w:val="3F3E6DD2"/>
    <w:rsid w:val="3F406FEE"/>
    <w:rsid w:val="3F407FFF"/>
    <w:rsid w:val="3F424B14"/>
    <w:rsid w:val="3F435710"/>
    <w:rsid w:val="3F45735D"/>
    <w:rsid w:val="3F47212A"/>
    <w:rsid w:val="3F485EA2"/>
    <w:rsid w:val="3F4C0AAE"/>
    <w:rsid w:val="3F4C14EF"/>
    <w:rsid w:val="3F4C5993"/>
    <w:rsid w:val="3F4F2A01"/>
    <w:rsid w:val="3F4F3C54"/>
    <w:rsid w:val="3F510444"/>
    <w:rsid w:val="3F530969"/>
    <w:rsid w:val="3F536256"/>
    <w:rsid w:val="3F536D21"/>
    <w:rsid w:val="3F540DE4"/>
    <w:rsid w:val="3F56236D"/>
    <w:rsid w:val="3F572AFA"/>
    <w:rsid w:val="3F573360"/>
    <w:rsid w:val="3F5805D4"/>
    <w:rsid w:val="3F5C54AA"/>
    <w:rsid w:val="3F5C7F8B"/>
    <w:rsid w:val="3F5D7BA0"/>
    <w:rsid w:val="3F5E1222"/>
    <w:rsid w:val="3F5E5951"/>
    <w:rsid w:val="3F620473"/>
    <w:rsid w:val="3F63109E"/>
    <w:rsid w:val="3F631903"/>
    <w:rsid w:val="3F636838"/>
    <w:rsid w:val="3F656A41"/>
    <w:rsid w:val="3F656A54"/>
    <w:rsid w:val="3F6A3061"/>
    <w:rsid w:val="3F6B36E1"/>
    <w:rsid w:val="3F6C12E5"/>
    <w:rsid w:val="3F6C1B91"/>
    <w:rsid w:val="3F6C7EC6"/>
    <w:rsid w:val="3F6E66C4"/>
    <w:rsid w:val="3F6F42E2"/>
    <w:rsid w:val="3F746C97"/>
    <w:rsid w:val="3F760C61"/>
    <w:rsid w:val="3F76496D"/>
    <w:rsid w:val="3F784FE7"/>
    <w:rsid w:val="3F7A2500"/>
    <w:rsid w:val="3F7C101A"/>
    <w:rsid w:val="3F7D3D9E"/>
    <w:rsid w:val="3F7D78AB"/>
    <w:rsid w:val="3F830C89"/>
    <w:rsid w:val="3F850EA5"/>
    <w:rsid w:val="3F874475"/>
    <w:rsid w:val="3F8847ED"/>
    <w:rsid w:val="3F88629F"/>
    <w:rsid w:val="3F8A2017"/>
    <w:rsid w:val="3F8C3CB4"/>
    <w:rsid w:val="3F8E7D59"/>
    <w:rsid w:val="3F8F22DE"/>
    <w:rsid w:val="3F9410E8"/>
    <w:rsid w:val="3F943E27"/>
    <w:rsid w:val="3F9A4950"/>
    <w:rsid w:val="3F9B1BAB"/>
    <w:rsid w:val="3F9C64A7"/>
    <w:rsid w:val="3F9D4347"/>
    <w:rsid w:val="3FA07A8C"/>
    <w:rsid w:val="3FA44371"/>
    <w:rsid w:val="3FA94B93"/>
    <w:rsid w:val="3FA96941"/>
    <w:rsid w:val="3FAC3980"/>
    <w:rsid w:val="3FAC5167"/>
    <w:rsid w:val="3FAD1920"/>
    <w:rsid w:val="3FB13A48"/>
    <w:rsid w:val="3FB157F6"/>
    <w:rsid w:val="3FB44E3F"/>
    <w:rsid w:val="3FB8069D"/>
    <w:rsid w:val="3FBB6674"/>
    <w:rsid w:val="3FBD063E"/>
    <w:rsid w:val="3FC03AD7"/>
    <w:rsid w:val="3FC364C0"/>
    <w:rsid w:val="3FC370FB"/>
    <w:rsid w:val="3FC76DC7"/>
    <w:rsid w:val="3FC96FE3"/>
    <w:rsid w:val="3FCA68B7"/>
    <w:rsid w:val="3FCB332E"/>
    <w:rsid w:val="3FCF098B"/>
    <w:rsid w:val="3FD140EA"/>
    <w:rsid w:val="3FD213B8"/>
    <w:rsid w:val="3FD31FCE"/>
    <w:rsid w:val="3FD47305"/>
    <w:rsid w:val="3FD634AE"/>
    <w:rsid w:val="3FD6525C"/>
    <w:rsid w:val="3FDA0DE9"/>
    <w:rsid w:val="3FDA11F0"/>
    <w:rsid w:val="3FDD65EB"/>
    <w:rsid w:val="3FDF2363"/>
    <w:rsid w:val="3FDF5D76"/>
    <w:rsid w:val="3FE01EB5"/>
    <w:rsid w:val="3FE0432D"/>
    <w:rsid w:val="3FE2041C"/>
    <w:rsid w:val="3FE47979"/>
    <w:rsid w:val="3FE61943"/>
    <w:rsid w:val="3FE756BB"/>
    <w:rsid w:val="3FED6A1C"/>
    <w:rsid w:val="3FEE25A6"/>
    <w:rsid w:val="3FEE6A4A"/>
    <w:rsid w:val="3FEE7F45"/>
    <w:rsid w:val="3FEF631E"/>
    <w:rsid w:val="3FF27145"/>
    <w:rsid w:val="3FF34060"/>
    <w:rsid w:val="3FF52C80"/>
    <w:rsid w:val="3FF73AF5"/>
    <w:rsid w:val="3FF76E4E"/>
    <w:rsid w:val="40004E92"/>
    <w:rsid w:val="40006B1A"/>
    <w:rsid w:val="400242A3"/>
    <w:rsid w:val="400370E7"/>
    <w:rsid w:val="40082D98"/>
    <w:rsid w:val="4008599A"/>
    <w:rsid w:val="40112738"/>
    <w:rsid w:val="40125CD4"/>
    <w:rsid w:val="4013200C"/>
    <w:rsid w:val="401364B0"/>
    <w:rsid w:val="40155C28"/>
    <w:rsid w:val="40171C89"/>
    <w:rsid w:val="40181D19"/>
    <w:rsid w:val="401961DF"/>
    <w:rsid w:val="40197C18"/>
    <w:rsid w:val="401D2E8B"/>
    <w:rsid w:val="402043E9"/>
    <w:rsid w:val="402661E4"/>
    <w:rsid w:val="402814CD"/>
    <w:rsid w:val="402978A4"/>
    <w:rsid w:val="402A6B57"/>
    <w:rsid w:val="402B55A8"/>
    <w:rsid w:val="402B7E4E"/>
    <w:rsid w:val="40300E10"/>
    <w:rsid w:val="40322DDA"/>
    <w:rsid w:val="403501D5"/>
    <w:rsid w:val="40353870"/>
    <w:rsid w:val="403571CF"/>
    <w:rsid w:val="4037219F"/>
    <w:rsid w:val="403974A3"/>
    <w:rsid w:val="403A0A33"/>
    <w:rsid w:val="403A1C8F"/>
    <w:rsid w:val="403A2D23"/>
    <w:rsid w:val="403B5A1C"/>
    <w:rsid w:val="403B75ED"/>
    <w:rsid w:val="403D352D"/>
    <w:rsid w:val="4041301D"/>
    <w:rsid w:val="40414DCB"/>
    <w:rsid w:val="40424C48"/>
    <w:rsid w:val="404623E2"/>
    <w:rsid w:val="404624AC"/>
    <w:rsid w:val="404A7DA7"/>
    <w:rsid w:val="404D2D25"/>
    <w:rsid w:val="404E1D52"/>
    <w:rsid w:val="40500053"/>
    <w:rsid w:val="40510A2D"/>
    <w:rsid w:val="40523956"/>
    <w:rsid w:val="40550071"/>
    <w:rsid w:val="40586E6A"/>
    <w:rsid w:val="405A5E8D"/>
    <w:rsid w:val="405C7E57"/>
    <w:rsid w:val="40624D42"/>
    <w:rsid w:val="40644F5E"/>
    <w:rsid w:val="40646634"/>
    <w:rsid w:val="40646D0C"/>
    <w:rsid w:val="4065593F"/>
    <w:rsid w:val="40672047"/>
    <w:rsid w:val="40694322"/>
    <w:rsid w:val="406E7B8B"/>
    <w:rsid w:val="40703903"/>
    <w:rsid w:val="40704882"/>
    <w:rsid w:val="4070508A"/>
    <w:rsid w:val="40711152"/>
    <w:rsid w:val="407165B1"/>
    <w:rsid w:val="40786313"/>
    <w:rsid w:val="40793ED7"/>
    <w:rsid w:val="407A02DD"/>
    <w:rsid w:val="407C22A8"/>
    <w:rsid w:val="407F58F4"/>
    <w:rsid w:val="407F661D"/>
    <w:rsid w:val="40805350"/>
    <w:rsid w:val="4081341A"/>
    <w:rsid w:val="40866494"/>
    <w:rsid w:val="408B383F"/>
    <w:rsid w:val="408D1166"/>
    <w:rsid w:val="408D1250"/>
    <w:rsid w:val="408D71EA"/>
    <w:rsid w:val="408F2015"/>
    <w:rsid w:val="409018AF"/>
    <w:rsid w:val="40907423"/>
    <w:rsid w:val="4093153B"/>
    <w:rsid w:val="40944C6D"/>
    <w:rsid w:val="4094680D"/>
    <w:rsid w:val="40962135"/>
    <w:rsid w:val="40994C08"/>
    <w:rsid w:val="409C30B7"/>
    <w:rsid w:val="409C64A6"/>
    <w:rsid w:val="40A11D0E"/>
    <w:rsid w:val="40A13996"/>
    <w:rsid w:val="40A32F1B"/>
    <w:rsid w:val="40A42EFB"/>
    <w:rsid w:val="40A62E81"/>
    <w:rsid w:val="40AA6712"/>
    <w:rsid w:val="40AB6EF6"/>
    <w:rsid w:val="40AB71FA"/>
    <w:rsid w:val="40AD23D7"/>
    <w:rsid w:val="40AE4610"/>
    <w:rsid w:val="40B05AAD"/>
    <w:rsid w:val="40B21825"/>
    <w:rsid w:val="40B27A77"/>
    <w:rsid w:val="40B34801"/>
    <w:rsid w:val="40B437EF"/>
    <w:rsid w:val="40B43A1D"/>
    <w:rsid w:val="40B76E3C"/>
    <w:rsid w:val="40B803DC"/>
    <w:rsid w:val="40BA4B7E"/>
    <w:rsid w:val="40BA692C"/>
    <w:rsid w:val="40BC4452"/>
    <w:rsid w:val="40BF3E5A"/>
    <w:rsid w:val="40C00D36"/>
    <w:rsid w:val="40C06C58"/>
    <w:rsid w:val="40C31C84"/>
    <w:rsid w:val="40C36896"/>
    <w:rsid w:val="40C559FD"/>
    <w:rsid w:val="40CD15DB"/>
    <w:rsid w:val="40D20119"/>
    <w:rsid w:val="40D41520"/>
    <w:rsid w:val="40D43E92"/>
    <w:rsid w:val="40D56CCF"/>
    <w:rsid w:val="40D655D0"/>
    <w:rsid w:val="40D7128C"/>
    <w:rsid w:val="40DB5220"/>
    <w:rsid w:val="40DF6392"/>
    <w:rsid w:val="40E04715"/>
    <w:rsid w:val="40E13EB9"/>
    <w:rsid w:val="40E26A4E"/>
    <w:rsid w:val="40E37C31"/>
    <w:rsid w:val="40E439A9"/>
    <w:rsid w:val="40E55B37"/>
    <w:rsid w:val="40E81B8F"/>
    <w:rsid w:val="40EA7211"/>
    <w:rsid w:val="40EB11DB"/>
    <w:rsid w:val="40EB2F89"/>
    <w:rsid w:val="40ED6D01"/>
    <w:rsid w:val="40F005A0"/>
    <w:rsid w:val="40F27140"/>
    <w:rsid w:val="40F30B62"/>
    <w:rsid w:val="40F33173"/>
    <w:rsid w:val="40F57964"/>
    <w:rsid w:val="40F67A2B"/>
    <w:rsid w:val="40F778EA"/>
    <w:rsid w:val="40F9092A"/>
    <w:rsid w:val="40FA3B22"/>
    <w:rsid w:val="40FC5196"/>
    <w:rsid w:val="41006EDD"/>
    <w:rsid w:val="41016309"/>
    <w:rsid w:val="41023096"/>
    <w:rsid w:val="41032081"/>
    <w:rsid w:val="4103759A"/>
    <w:rsid w:val="4105404B"/>
    <w:rsid w:val="41076015"/>
    <w:rsid w:val="41083B3B"/>
    <w:rsid w:val="410B7187"/>
    <w:rsid w:val="410C362B"/>
    <w:rsid w:val="410C6F3F"/>
    <w:rsid w:val="4110479E"/>
    <w:rsid w:val="411057B1"/>
    <w:rsid w:val="411066BF"/>
    <w:rsid w:val="41110C42"/>
    <w:rsid w:val="41114BBA"/>
    <w:rsid w:val="41135AFC"/>
    <w:rsid w:val="411502A2"/>
    <w:rsid w:val="41160006"/>
    <w:rsid w:val="41171FD0"/>
    <w:rsid w:val="411B386E"/>
    <w:rsid w:val="411B561D"/>
    <w:rsid w:val="411C00C9"/>
    <w:rsid w:val="411E09D0"/>
    <w:rsid w:val="411F7C23"/>
    <w:rsid w:val="41230975"/>
    <w:rsid w:val="41232FB4"/>
    <w:rsid w:val="41257D97"/>
    <w:rsid w:val="41297BBD"/>
    <w:rsid w:val="412A5860"/>
    <w:rsid w:val="412B15D8"/>
    <w:rsid w:val="412C26AC"/>
    <w:rsid w:val="412C4C16"/>
    <w:rsid w:val="412C5A7C"/>
    <w:rsid w:val="412D224A"/>
    <w:rsid w:val="412D7ADE"/>
    <w:rsid w:val="4130577A"/>
    <w:rsid w:val="41322966"/>
    <w:rsid w:val="41325883"/>
    <w:rsid w:val="413F175D"/>
    <w:rsid w:val="41412BA9"/>
    <w:rsid w:val="41475C22"/>
    <w:rsid w:val="414803DC"/>
    <w:rsid w:val="414A4154"/>
    <w:rsid w:val="414C1C7A"/>
    <w:rsid w:val="414C7ECC"/>
    <w:rsid w:val="414D34A5"/>
    <w:rsid w:val="414F52C6"/>
    <w:rsid w:val="41504B07"/>
    <w:rsid w:val="415154E1"/>
    <w:rsid w:val="41566655"/>
    <w:rsid w:val="4158226E"/>
    <w:rsid w:val="41586871"/>
    <w:rsid w:val="41597074"/>
    <w:rsid w:val="415B6D79"/>
    <w:rsid w:val="415C79E3"/>
    <w:rsid w:val="415D5C35"/>
    <w:rsid w:val="415E375B"/>
    <w:rsid w:val="415E7F28"/>
    <w:rsid w:val="4162149D"/>
    <w:rsid w:val="416257F2"/>
    <w:rsid w:val="41636602"/>
    <w:rsid w:val="41645D17"/>
    <w:rsid w:val="416A2100"/>
    <w:rsid w:val="416C142E"/>
    <w:rsid w:val="416E7E42"/>
    <w:rsid w:val="417411D1"/>
    <w:rsid w:val="417B4073"/>
    <w:rsid w:val="417C1B30"/>
    <w:rsid w:val="417C744C"/>
    <w:rsid w:val="417D0085"/>
    <w:rsid w:val="417D7BAD"/>
    <w:rsid w:val="41807B75"/>
    <w:rsid w:val="418238EE"/>
    <w:rsid w:val="4182569C"/>
    <w:rsid w:val="41831414"/>
    <w:rsid w:val="41850CE8"/>
    <w:rsid w:val="4185518C"/>
    <w:rsid w:val="41856063"/>
    <w:rsid w:val="41883195"/>
    <w:rsid w:val="41897D2C"/>
    <w:rsid w:val="418C5983"/>
    <w:rsid w:val="418D5DEE"/>
    <w:rsid w:val="4192760B"/>
    <w:rsid w:val="419329F4"/>
    <w:rsid w:val="41950B2F"/>
    <w:rsid w:val="41961147"/>
    <w:rsid w:val="41970CA5"/>
    <w:rsid w:val="4198167F"/>
    <w:rsid w:val="41A5138A"/>
    <w:rsid w:val="41A66744"/>
    <w:rsid w:val="41A82C28"/>
    <w:rsid w:val="41A90E7A"/>
    <w:rsid w:val="41AA10C0"/>
    <w:rsid w:val="41AA4BF2"/>
    <w:rsid w:val="41B24CC0"/>
    <w:rsid w:val="41B25AE9"/>
    <w:rsid w:val="41B31CF9"/>
    <w:rsid w:val="41B461F8"/>
    <w:rsid w:val="41B63597"/>
    <w:rsid w:val="41BC4158"/>
    <w:rsid w:val="41BE41FA"/>
    <w:rsid w:val="41C30F7B"/>
    <w:rsid w:val="41C31810"/>
    <w:rsid w:val="41C37833"/>
    <w:rsid w:val="41C50855"/>
    <w:rsid w:val="41C62AF0"/>
    <w:rsid w:val="41CE6B33"/>
    <w:rsid w:val="41CF23CD"/>
    <w:rsid w:val="41CF41E8"/>
    <w:rsid w:val="41D25295"/>
    <w:rsid w:val="41D34149"/>
    <w:rsid w:val="41D63C39"/>
    <w:rsid w:val="41D8350E"/>
    <w:rsid w:val="41DB2FFE"/>
    <w:rsid w:val="41DF489C"/>
    <w:rsid w:val="41E02C7F"/>
    <w:rsid w:val="41E840B1"/>
    <w:rsid w:val="41E952A1"/>
    <w:rsid w:val="41E974C9"/>
    <w:rsid w:val="41EA64FA"/>
    <w:rsid w:val="41EB39C1"/>
    <w:rsid w:val="41EB71EB"/>
    <w:rsid w:val="41EC0D67"/>
    <w:rsid w:val="41EF0011"/>
    <w:rsid w:val="41F04753"/>
    <w:rsid w:val="41F422E9"/>
    <w:rsid w:val="41F45E6E"/>
    <w:rsid w:val="41F63994"/>
    <w:rsid w:val="41F67E38"/>
    <w:rsid w:val="41FC34FA"/>
    <w:rsid w:val="41FE0C4F"/>
    <w:rsid w:val="41FE5DE6"/>
    <w:rsid w:val="41FE6ED6"/>
    <w:rsid w:val="42005FAB"/>
    <w:rsid w:val="42024A2E"/>
    <w:rsid w:val="42025AB3"/>
    <w:rsid w:val="420460B1"/>
    <w:rsid w:val="42075BA1"/>
    <w:rsid w:val="42091919"/>
    <w:rsid w:val="420936C7"/>
    <w:rsid w:val="420A5259"/>
    <w:rsid w:val="420A6C99"/>
    <w:rsid w:val="421502BE"/>
    <w:rsid w:val="42185F27"/>
    <w:rsid w:val="421870EA"/>
    <w:rsid w:val="421B5801"/>
    <w:rsid w:val="421D3C7F"/>
    <w:rsid w:val="421F2EEA"/>
    <w:rsid w:val="42220C2D"/>
    <w:rsid w:val="42223157"/>
    <w:rsid w:val="42224789"/>
    <w:rsid w:val="422449A5"/>
    <w:rsid w:val="42284B91"/>
    <w:rsid w:val="422873D2"/>
    <w:rsid w:val="42295922"/>
    <w:rsid w:val="422B6073"/>
    <w:rsid w:val="422C5607"/>
    <w:rsid w:val="422E6831"/>
    <w:rsid w:val="422E77D5"/>
    <w:rsid w:val="423050F8"/>
    <w:rsid w:val="4230600B"/>
    <w:rsid w:val="42334885"/>
    <w:rsid w:val="42366486"/>
    <w:rsid w:val="42390DAE"/>
    <w:rsid w:val="423931A7"/>
    <w:rsid w:val="423A4A2B"/>
    <w:rsid w:val="424741EF"/>
    <w:rsid w:val="424A062A"/>
    <w:rsid w:val="424D3EFC"/>
    <w:rsid w:val="424E2AAD"/>
    <w:rsid w:val="424E64F5"/>
    <w:rsid w:val="424F3F3D"/>
    <w:rsid w:val="4250579A"/>
    <w:rsid w:val="4258464E"/>
    <w:rsid w:val="42611755"/>
    <w:rsid w:val="426254CD"/>
    <w:rsid w:val="42660B19"/>
    <w:rsid w:val="42660F50"/>
    <w:rsid w:val="42664FBD"/>
    <w:rsid w:val="42680DF6"/>
    <w:rsid w:val="4269060A"/>
    <w:rsid w:val="426B2AE3"/>
    <w:rsid w:val="426B4382"/>
    <w:rsid w:val="426C3C56"/>
    <w:rsid w:val="426D306A"/>
    <w:rsid w:val="426E25A8"/>
    <w:rsid w:val="426E3E72"/>
    <w:rsid w:val="42723962"/>
    <w:rsid w:val="427A2817"/>
    <w:rsid w:val="427C7EBF"/>
    <w:rsid w:val="427D1648"/>
    <w:rsid w:val="427D40B5"/>
    <w:rsid w:val="4282199D"/>
    <w:rsid w:val="428222C6"/>
    <w:rsid w:val="4284574D"/>
    <w:rsid w:val="42862F6A"/>
    <w:rsid w:val="42870A90"/>
    <w:rsid w:val="42894808"/>
    <w:rsid w:val="428A301F"/>
    <w:rsid w:val="428B267D"/>
    <w:rsid w:val="428B4A24"/>
    <w:rsid w:val="428C7928"/>
    <w:rsid w:val="428E62C2"/>
    <w:rsid w:val="42903DE8"/>
    <w:rsid w:val="42905B96"/>
    <w:rsid w:val="4292403B"/>
    <w:rsid w:val="42925DB2"/>
    <w:rsid w:val="429378F4"/>
    <w:rsid w:val="42957DB2"/>
    <w:rsid w:val="42980EEF"/>
    <w:rsid w:val="429A331F"/>
    <w:rsid w:val="429C0DE9"/>
    <w:rsid w:val="429F227D"/>
    <w:rsid w:val="42A038DB"/>
    <w:rsid w:val="42A44C6E"/>
    <w:rsid w:val="42A67168"/>
    <w:rsid w:val="42A95270"/>
    <w:rsid w:val="42A97719"/>
    <w:rsid w:val="42AC0347"/>
    <w:rsid w:val="42AD10D6"/>
    <w:rsid w:val="42AD499A"/>
    <w:rsid w:val="42B07E42"/>
    <w:rsid w:val="42B07FE6"/>
    <w:rsid w:val="42B34BC3"/>
    <w:rsid w:val="42B41C5B"/>
    <w:rsid w:val="42B4482C"/>
    <w:rsid w:val="42B46AFE"/>
    <w:rsid w:val="42B81A6C"/>
    <w:rsid w:val="42B86E9B"/>
    <w:rsid w:val="42BB3A0F"/>
    <w:rsid w:val="42BC4BDD"/>
    <w:rsid w:val="42BD407C"/>
    <w:rsid w:val="42BE177B"/>
    <w:rsid w:val="42BF022A"/>
    <w:rsid w:val="42BF5744"/>
    <w:rsid w:val="42C17B07"/>
    <w:rsid w:val="42C27D1A"/>
    <w:rsid w:val="42C35F6C"/>
    <w:rsid w:val="42C42F64"/>
    <w:rsid w:val="42C43A19"/>
    <w:rsid w:val="42C43A92"/>
    <w:rsid w:val="42C46C43"/>
    <w:rsid w:val="42C57F36"/>
    <w:rsid w:val="42CB1623"/>
    <w:rsid w:val="42CB6BCE"/>
    <w:rsid w:val="42CE4911"/>
    <w:rsid w:val="42CE702D"/>
    <w:rsid w:val="42D25C92"/>
    <w:rsid w:val="42D31F27"/>
    <w:rsid w:val="42D501AC"/>
    <w:rsid w:val="42D52FC9"/>
    <w:rsid w:val="42D53EF1"/>
    <w:rsid w:val="42D5417C"/>
    <w:rsid w:val="42D80855"/>
    <w:rsid w:val="42D812EB"/>
    <w:rsid w:val="42D9578F"/>
    <w:rsid w:val="42DA1507"/>
    <w:rsid w:val="42DA32B5"/>
    <w:rsid w:val="42DA6325"/>
    <w:rsid w:val="42DC527F"/>
    <w:rsid w:val="42DE2DA6"/>
    <w:rsid w:val="42DE3FFD"/>
    <w:rsid w:val="42DF6B1E"/>
    <w:rsid w:val="42E12896"/>
    <w:rsid w:val="42E14644"/>
    <w:rsid w:val="42E365F1"/>
    <w:rsid w:val="42E367A3"/>
    <w:rsid w:val="42E371E5"/>
    <w:rsid w:val="42E94BAC"/>
    <w:rsid w:val="42EA174A"/>
    <w:rsid w:val="42EA799C"/>
    <w:rsid w:val="42EC2B41"/>
    <w:rsid w:val="42ED1DEC"/>
    <w:rsid w:val="42F0679A"/>
    <w:rsid w:val="42F15E61"/>
    <w:rsid w:val="42F225C9"/>
    <w:rsid w:val="42F500C1"/>
    <w:rsid w:val="42F56341"/>
    <w:rsid w:val="42F824E3"/>
    <w:rsid w:val="42F8373B"/>
    <w:rsid w:val="42F85CC4"/>
    <w:rsid w:val="42FA5706"/>
    <w:rsid w:val="42FD19F4"/>
    <w:rsid w:val="43003087"/>
    <w:rsid w:val="430035A8"/>
    <w:rsid w:val="43010842"/>
    <w:rsid w:val="43043AB4"/>
    <w:rsid w:val="43055919"/>
    <w:rsid w:val="430640AA"/>
    <w:rsid w:val="43075E62"/>
    <w:rsid w:val="43081BD1"/>
    <w:rsid w:val="430A7932"/>
    <w:rsid w:val="431467C7"/>
    <w:rsid w:val="431762B8"/>
    <w:rsid w:val="431A1F4F"/>
    <w:rsid w:val="431E13F4"/>
    <w:rsid w:val="431E31A2"/>
    <w:rsid w:val="431E631B"/>
    <w:rsid w:val="4320516C"/>
    <w:rsid w:val="4320784B"/>
    <w:rsid w:val="432879E8"/>
    <w:rsid w:val="43291B47"/>
    <w:rsid w:val="432A5FEB"/>
    <w:rsid w:val="432F476F"/>
    <w:rsid w:val="43302ED5"/>
    <w:rsid w:val="433528AE"/>
    <w:rsid w:val="43361F5E"/>
    <w:rsid w:val="43374264"/>
    <w:rsid w:val="433A2FC3"/>
    <w:rsid w:val="433B01F8"/>
    <w:rsid w:val="433B13F5"/>
    <w:rsid w:val="433D442A"/>
    <w:rsid w:val="433E6C6C"/>
    <w:rsid w:val="433F136A"/>
    <w:rsid w:val="43432C09"/>
    <w:rsid w:val="43452E25"/>
    <w:rsid w:val="43456981"/>
    <w:rsid w:val="43476B9D"/>
    <w:rsid w:val="43486471"/>
    <w:rsid w:val="43497C7B"/>
    <w:rsid w:val="434A18CC"/>
    <w:rsid w:val="434B2807"/>
    <w:rsid w:val="434C281A"/>
    <w:rsid w:val="434F15AD"/>
    <w:rsid w:val="43513AB0"/>
    <w:rsid w:val="43544E16"/>
    <w:rsid w:val="4355293C"/>
    <w:rsid w:val="43572B58"/>
    <w:rsid w:val="43574906"/>
    <w:rsid w:val="43582366"/>
    <w:rsid w:val="435947FA"/>
    <w:rsid w:val="435D18AC"/>
    <w:rsid w:val="435E77ED"/>
    <w:rsid w:val="436037BB"/>
    <w:rsid w:val="436039BA"/>
    <w:rsid w:val="43607C5E"/>
    <w:rsid w:val="4362773F"/>
    <w:rsid w:val="4363461F"/>
    <w:rsid w:val="43646835"/>
    <w:rsid w:val="43653F07"/>
    <w:rsid w:val="43657023"/>
    <w:rsid w:val="43663830"/>
    <w:rsid w:val="436A4639"/>
    <w:rsid w:val="43713C1A"/>
    <w:rsid w:val="43741014"/>
    <w:rsid w:val="4374370A"/>
    <w:rsid w:val="43755781"/>
    <w:rsid w:val="43772C80"/>
    <w:rsid w:val="4379487C"/>
    <w:rsid w:val="437C436D"/>
    <w:rsid w:val="437E00E5"/>
    <w:rsid w:val="43817758"/>
    <w:rsid w:val="4383394D"/>
    <w:rsid w:val="438432C8"/>
    <w:rsid w:val="438576C5"/>
    <w:rsid w:val="4388593B"/>
    <w:rsid w:val="438A31BB"/>
    <w:rsid w:val="438B0671"/>
    <w:rsid w:val="438F47B6"/>
    <w:rsid w:val="439148A0"/>
    <w:rsid w:val="43917E18"/>
    <w:rsid w:val="43931DE2"/>
    <w:rsid w:val="43943464"/>
    <w:rsid w:val="439651AF"/>
    <w:rsid w:val="43990293"/>
    <w:rsid w:val="439C4C05"/>
    <w:rsid w:val="43A028FC"/>
    <w:rsid w:val="43A13601"/>
    <w:rsid w:val="43A22025"/>
    <w:rsid w:val="43A333CE"/>
    <w:rsid w:val="43A455CC"/>
    <w:rsid w:val="43A51B15"/>
    <w:rsid w:val="43A63197"/>
    <w:rsid w:val="43A80067"/>
    <w:rsid w:val="43A833B4"/>
    <w:rsid w:val="43A83B1A"/>
    <w:rsid w:val="43A86BFE"/>
    <w:rsid w:val="43A95524"/>
    <w:rsid w:val="43AB5677"/>
    <w:rsid w:val="43AE09CA"/>
    <w:rsid w:val="43AF4CF2"/>
    <w:rsid w:val="43AF64F0"/>
    <w:rsid w:val="43B130F6"/>
    <w:rsid w:val="43B65AD0"/>
    <w:rsid w:val="43B6787E"/>
    <w:rsid w:val="43B83A14"/>
    <w:rsid w:val="43B9111D"/>
    <w:rsid w:val="43BF2BD7"/>
    <w:rsid w:val="43C401ED"/>
    <w:rsid w:val="43C81360"/>
    <w:rsid w:val="43C9668D"/>
    <w:rsid w:val="43CB4A1B"/>
    <w:rsid w:val="43CC3E24"/>
    <w:rsid w:val="43CD1F93"/>
    <w:rsid w:val="43D1290A"/>
    <w:rsid w:val="43D15354"/>
    <w:rsid w:val="43D321DE"/>
    <w:rsid w:val="43D41199"/>
    <w:rsid w:val="43D45F57"/>
    <w:rsid w:val="43D67301"/>
    <w:rsid w:val="43D97563"/>
    <w:rsid w:val="43DB72E5"/>
    <w:rsid w:val="43DC2337"/>
    <w:rsid w:val="43DF4A60"/>
    <w:rsid w:val="43DF5027"/>
    <w:rsid w:val="43E02B4D"/>
    <w:rsid w:val="43E202FE"/>
    <w:rsid w:val="43E268C5"/>
    <w:rsid w:val="43E31267"/>
    <w:rsid w:val="43E3619A"/>
    <w:rsid w:val="43E63405"/>
    <w:rsid w:val="43E75B75"/>
    <w:rsid w:val="43E75C8A"/>
    <w:rsid w:val="43EE526A"/>
    <w:rsid w:val="43F16B09"/>
    <w:rsid w:val="43F403A7"/>
    <w:rsid w:val="43F565F9"/>
    <w:rsid w:val="43F87E97"/>
    <w:rsid w:val="43F959BD"/>
    <w:rsid w:val="43FE2FD4"/>
    <w:rsid w:val="43FF1225"/>
    <w:rsid w:val="44000601"/>
    <w:rsid w:val="440305EA"/>
    <w:rsid w:val="440A3726"/>
    <w:rsid w:val="440B7B57"/>
    <w:rsid w:val="440C3942"/>
    <w:rsid w:val="440E3217"/>
    <w:rsid w:val="44112D07"/>
    <w:rsid w:val="4416031D"/>
    <w:rsid w:val="441647C1"/>
    <w:rsid w:val="441B1DD7"/>
    <w:rsid w:val="441C3E7A"/>
    <w:rsid w:val="441D16AC"/>
    <w:rsid w:val="441D1B80"/>
    <w:rsid w:val="441E4F74"/>
    <w:rsid w:val="441F0A36"/>
    <w:rsid w:val="442701F2"/>
    <w:rsid w:val="442962A2"/>
    <w:rsid w:val="442D44CA"/>
    <w:rsid w:val="442E45D0"/>
    <w:rsid w:val="4430589B"/>
    <w:rsid w:val="443133A9"/>
    <w:rsid w:val="443430A7"/>
    <w:rsid w:val="44352E99"/>
    <w:rsid w:val="44354C47"/>
    <w:rsid w:val="4436276D"/>
    <w:rsid w:val="44366C11"/>
    <w:rsid w:val="443D5826"/>
    <w:rsid w:val="443F6F60"/>
    <w:rsid w:val="44407B5B"/>
    <w:rsid w:val="44423842"/>
    <w:rsid w:val="4444198E"/>
    <w:rsid w:val="444924A1"/>
    <w:rsid w:val="444E3F5B"/>
    <w:rsid w:val="444F55DD"/>
    <w:rsid w:val="445157F9"/>
    <w:rsid w:val="445A46AE"/>
    <w:rsid w:val="445A645C"/>
    <w:rsid w:val="445F49F9"/>
    <w:rsid w:val="4464567D"/>
    <w:rsid w:val="446631CB"/>
    <w:rsid w:val="44670B79"/>
    <w:rsid w:val="4467501D"/>
    <w:rsid w:val="44676DCB"/>
    <w:rsid w:val="446A2FDC"/>
    <w:rsid w:val="446B6541"/>
    <w:rsid w:val="44703ED1"/>
    <w:rsid w:val="447339C1"/>
    <w:rsid w:val="44760DBC"/>
    <w:rsid w:val="44765D8A"/>
    <w:rsid w:val="4476700E"/>
    <w:rsid w:val="44774E4D"/>
    <w:rsid w:val="44775260"/>
    <w:rsid w:val="44781ACB"/>
    <w:rsid w:val="44790ED4"/>
    <w:rsid w:val="4479123F"/>
    <w:rsid w:val="4479446D"/>
    <w:rsid w:val="447A5C7F"/>
    <w:rsid w:val="447F6F3D"/>
    <w:rsid w:val="44817E8C"/>
    <w:rsid w:val="44823C05"/>
    <w:rsid w:val="448525BF"/>
    <w:rsid w:val="448654A3"/>
    <w:rsid w:val="44867251"/>
    <w:rsid w:val="44894F93"/>
    <w:rsid w:val="448B0D0B"/>
    <w:rsid w:val="448B2AB9"/>
    <w:rsid w:val="448C37A5"/>
    <w:rsid w:val="448C4EE6"/>
    <w:rsid w:val="448D4A83"/>
    <w:rsid w:val="44906321"/>
    <w:rsid w:val="4493196E"/>
    <w:rsid w:val="449337D4"/>
    <w:rsid w:val="44962589"/>
    <w:rsid w:val="449B17A7"/>
    <w:rsid w:val="449C0CEB"/>
    <w:rsid w:val="449D0A3E"/>
    <w:rsid w:val="44A122DD"/>
    <w:rsid w:val="44A61AED"/>
    <w:rsid w:val="44A75419"/>
    <w:rsid w:val="44AB4F09"/>
    <w:rsid w:val="44AD5DBA"/>
    <w:rsid w:val="44AE5C4D"/>
    <w:rsid w:val="44B00B5A"/>
    <w:rsid w:val="44B02520"/>
    <w:rsid w:val="44B27A8C"/>
    <w:rsid w:val="44B50DCE"/>
    <w:rsid w:val="44B57B36"/>
    <w:rsid w:val="44B651C2"/>
    <w:rsid w:val="44B7437B"/>
    <w:rsid w:val="44B8774F"/>
    <w:rsid w:val="44BF2CE3"/>
    <w:rsid w:val="44C113F8"/>
    <w:rsid w:val="44C2458B"/>
    <w:rsid w:val="44C335AB"/>
    <w:rsid w:val="44C669B9"/>
    <w:rsid w:val="44C93CFF"/>
    <w:rsid w:val="44CC6C2E"/>
    <w:rsid w:val="44CE6739"/>
    <w:rsid w:val="44CE6E4A"/>
    <w:rsid w:val="44D02BC2"/>
    <w:rsid w:val="44D37FBC"/>
    <w:rsid w:val="44D4283C"/>
    <w:rsid w:val="44D501D8"/>
    <w:rsid w:val="44D712D6"/>
    <w:rsid w:val="44D77AAC"/>
    <w:rsid w:val="44DA134B"/>
    <w:rsid w:val="44DA44B3"/>
    <w:rsid w:val="44DF1312"/>
    <w:rsid w:val="44DF780E"/>
    <w:rsid w:val="44E126D9"/>
    <w:rsid w:val="44E24C43"/>
    <w:rsid w:val="44E421C9"/>
    <w:rsid w:val="44E4666D"/>
    <w:rsid w:val="44E67CEF"/>
    <w:rsid w:val="44E977E0"/>
    <w:rsid w:val="44EB3558"/>
    <w:rsid w:val="44F248E6"/>
    <w:rsid w:val="44F3237D"/>
    <w:rsid w:val="44F51BC3"/>
    <w:rsid w:val="44F56185"/>
    <w:rsid w:val="44F763A1"/>
    <w:rsid w:val="44FA7C3F"/>
    <w:rsid w:val="44FC7513"/>
    <w:rsid w:val="45010552"/>
    <w:rsid w:val="4501362C"/>
    <w:rsid w:val="450137F0"/>
    <w:rsid w:val="45015F59"/>
    <w:rsid w:val="45024453"/>
    <w:rsid w:val="45050ABD"/>
    <w:rsid w:val="45070604"/>
    <w:rsid w:val="450A2C76"/>
    <w:rsid w:val="45102FBE"/>
    <w:rsid w:val="451929FA"/>
    <w:rsid w:val="451F76A5"/>
    <w:rsid w:val="4520206A"/>
    <w:rsid w:val="45212053"/>
    <w:rsid w:val="452151CC"/>
    <w:rsid w:val="45216F7A"/>
    <w:rsid w:val="45244CBC"/>
    <w:rsid w:val="45251AFF"/>
    <w:rsid w:val="45260A34"/>
    <w:rsid w:val="4526244E"/>
    <w:rsid w:val="452804AD"/>
    <w:rsid w:val="452847AC"/>
    <w:rsid w:val="45294080"/>
    <w:rsid w:val="452B429C"/>
    <w:rsid w:val="452E1696"/>
    <w:rsid w:val="452F508E"/>
    <w:rsid w:val="453273D9"/>
    <w:rsid w:val="45336CAD"/>
    <w:rsid w:val="45346A17"/>
    <w:rsid w:val="453761C6"/>
    <w:rsid w:val="45390767"/>
    <w:rsid w:val="453B1ED0"/>
    <w:rsid w:val="453B44DF"/>
    <w:rsid w:val="453C2005"/>
    <w:rsid w:val="453D1DD7"/>
    <w:rsid w:val="453E2CF2"/>
    <w:rsid w:val="453F23E9"/>
    <w:rsid w:val="45401AF6"/>
    <w:rsid w:val="45442C68"/>
    <w:rsid w:val="4544396D"/>
    <w:rsid w:val="454565CD"/>
    <w:rsid w:val="45464C32"/>
    <w:rsid w:val="454669E0"/>
    <w:rsid w:val="454A014E"/>
    <w:rsid w:val="454C2F95"/>
    <w:rsid w:val="454D4212"/>
    <w:rsid w:val="455410FD"/>
    <w:rsid w:val="45546F43"/>
    <w:rsid w:val="45561F04"/>
    <w:rsid w:val="455709FC"/>
    <w:rsid w:val="45570BED"/>
    <w:rsid w:val="45593CB2"/>
    <w:rsid w:val="45596713"/>
    <w:rsid w:val="455A248C"/>
    <w:rsid w:val="455C26A8"/>
    <w:rsid w:val="455E01CE"/>
    <w:rsid w:val="45614ECB"/>
    <w:rsid w:val="456442B5"/>
    <w:rsid w:val="456626FA"/>
    <w:rsid w:val="4569527D"/>
    <w:rsid w:val="457004A6"/>
    <w:rsid w:val="457273C9"/>
    <w:rsid w:val="45733670"/>
    <w:rsid w:val="45746864"/>
    <w:rsid w:val="457572C5"/>
    <w:rsid w:val="45763769"/>
    <w:rsid w:val="457810EA"/>
    <w:rsid w:val="457933AD"/>
    <w:rsid w:val="45795585"/>
    <w:rsid w:val="457A48DC"/>
    <w:rsid w:val="457A79BB"/>
    <w:rsid w:val="457C0654"/>
    <w:rsid w:val="45806396"/>
    <w:rsid w:val="458319E2"/>
    <w:rsid w:val="458614D2"/>
    <w:rsid w:val="458A2D71"/>
    <w:rsid w:val="458A4B1F"/>
    <w:rsid w:val="458B0897"/>
    <w:rsid w:val="458E1747"/>
    <w:rsid w:val="45905269"/>
    <w:rsid w:val="45991206"/>
    <w:rsid w:val="459B7055"/>
    <w:rsid w:val="459D1975"/>
    <w:rsid w:val="45A04342"/>
    <w:rsid w:val="45A43535"/>
    <w:rsid w:val="45A73923"/>
    <w:rsid w:val="45A858ED"/>
    <w:rsid w:val="45AB2CE7"/>
    <w:rsid w:val="45AC0E99"/>
    <w:rsid w:val="45AE23B4"/>
    <w:rsid w:val="45AF27D7"/>
    <w:rsid w:val="45AF4585"/>
    <w:rsid w:val="45B20519"/>
    <w:rsid w:val="45B47338"/>
    <w:rsid w:val="45B47DEE"/>
    <w:rsid w:val="45B63F06"/>
    <w:rsid w:val="45B64921"/>
    <w:rsid w:val="45B677B6"/>
    <w:rsid w:val="45B84BF7"/>
    <w:rsid w:val="45B93656"/>
    <w:rsid w:val="45BA29C7"/>
    <w:rsid w:val="45BA2B7D"/>
    <w:rsid w:val="45BA7597"/>
    <w:rsid w:val="45BF7DEB"/>
    <w:rsid w:val="45C41184"/>
    <w:rsid w:val="45C50B81"/>
    <w:rsid w:val="45C951A4"/>
    <w:rsid w:val="45CA13BF"/>
    <w:rsid w:val="45CC15DB"/>
    <w:rsid w:val="45CE1EE4"/>
    <w:rsid w:val="45CE5353"/>
    <w:rsid w:val="45D519C9"/>
    <w:rsid w:val="45D87F80"/>
    <w:rsid w:val="45D93CF8"/>
    <w:rsid w:val="45D95AA6"/>
    <w:rsid w:val="45DA5969"/>
    <w:rsid w:val="45DB181E"/>
    <w:rsid w:val="45DB537A"/>
    <w:rsid w:val="45DC0F4F"/>
    <w:rsid w:val="45DD0D79"/>
    <w:rsid w:val="45DE6C67"/>
    <w:rsid w:val="45E1317C"/>
    <w:rsid w:val="45E16709"/>
    <w:rsid w:val="45E216A1"/>
    <w:rsid w:val="45E220CA"/>
    <w:rsid w:val="45E71F71"/>
    <w:rsid w:val="45E76415"/>
    <w:rsid w:val="45E95E81"/>
    <w:rsid w:val="45ED0F61"/>
    <w:rsid w:val="45EE6C98"/>
    <w:rsid w:val="45F428E0"/>
    <w:rsid w:val="45F77DF4"/>
    <w:rsid w:val="45F91F5D"/>
    <w:rsid w:val="45FB3C6E"/>
    <w:rsid w:val="45FB5A1D"/>
    <w:rsid w:val="45FC3543"/>
    <w:rsid w:val="460073E8"/>
    <w:rsid w:val="46020B59"/>
    <w:rsid w:val="46026DAB"/>
    <w:rsid w:val="46032B23"/>
    <w:rsid w:val="460A4C76"/>
    <w:rsid w:val="460B2D85"/>
    <w:rsid w:val="460E7377"/>
    <w:rsid w:val="460E742D"/>
    <w:rsid w:val="460E7711"/>
    <w:rsid w:val="46105319"/>
    <w:rsid w:val="46116FEE"/>
    <w:rsid w:val="46130FB8"/>
    <w:rsid w:val="46132D66"/>
    <w:rsid w:val="46136BA9"/>
    <w:rsid w:val="46137508"/>
    <w:rsid w:val="46152F37"/>
    <w:rsid w:val="461647BD"/>
    <w:rsid w:val="4616725F"/>
    <w:rsid w:val="4617213E"/>
    <w:rsid w:val="461949BE"/>
    <w:rsid w:val="461B1C1B"/>
    <w:rsid w:val="461D1E37"/>
    <w:rsid w:val="46232DF6"/>
    <w:rsid w:val="46256F3D"/>
    <w:rsid w:val="46266A8D"/>
    <w:rsid w:val="462705C0"/>
    <w:rsid w:val="46285AD8"/>
    <w:rsid w:val="46286EB4"/>
    <w:rsid w:val="462907DC"/>
    <w:rsid w:val="462A00B0"/>
    <w:rsid w:val="462C02CC"/>
    <w:rsid w:val="462E7BA0"/>
    <w:rsid w:val="462F39CF"/>
    <w:rsid w:val="462F612A"/>
    <w:rsid w:val="4631143E"/>
    <w:rsid w:val="46317690"/>
    <w:rsid w:val="463A7241"/>
    <w:rsid w:val="463B050F"/>
    <w:rsid w:val="463B406B"/>
    <w:rsid w:val="463B4651"/>
    <w:rsid w:val="463C7897"/>
    <w:rsid w:val="463D3836"/>
    <w:rsid w:val="463D7DE3"/>
    <w:rsid w:val="46407634"/>
    <w:rsid w:val="46417839"/>
    <w:rsid w:val="46445615"/>
    <w:rsid w:val="4645313C"/>
    <w:rsid w:val="4646138E"/>
    <w:rsid w:val="46462EC9"/>
    <w:rsid w:val="46492B98"/>
    <w:rsid w:val="46492C2C"/>
    <w:rsid w:val="464A5BD1"/>
    <w:rsid w:val="464C32B2"/>
    <w:rsid w:val="464C5FF0"/>
    <w:rsid w:val="464E1FF0"/>
    <w:rsid w:val="464E76BE"/>
    <w:rsid w:val="46523D01"/>
    <w:rsid w:val="46527495"/>
    <w:rsid w:val="465308D4"/>
    <w:rsid w:val="4654527A"/>
    <w:rsid w:val="46592743"/>
    <w:rsid w:val="465A2DAC"/>
    <w:rsid w:val="465A4947"/>
    <w:rsid w:val="465B64BB"/>
    <w:rsid w:val="465F4D62"/>
    <w:rsid w:val="46671304"/>
    <w:rsid w:val="466A4950"/>
    <w:rsid w:val="466B2BA2"/>
    <w:rsid w:val="466B3A19"/>
    <w:rsid w:val="466E2692"/>
    <w:rsid w:val="466F1F67"/>
    <w:rsid w:val="467024D3"/>
    <w:rsid w:val="46703405"/>
    <w:rsid w:val="467557CF"/>
    <w:rsid w:val="46764A92"/>
    <w:rsid w:val="46773C82"/>
    <w:rsid w:val="467852BF"/>
    <w:rsid w:val="46786006"/>
    <w:rsid w:val="467B090B"/>
    <w:rsid w:val="467C78E8"/>
    <w:rsid w:val="467E7660"/>
    <w:rsid w:val="467F21AA"/>
    <w:rsid w:val="46805690"/>
    <w:rsid w:val="468375A5"/>
    <w:rsid w:val="46841EB6"/>
    <w:rsid w:val="46843C64"/>
    <w:rsid w:val="46874827"/>
    <w:rsid w:val="468C48C7"/>
    <w:rsid w:val="468D27AB"/>
    <w:rsid w:val="468D6EA3"/>
    <w:rsid w:val="468E063F"/>
    <w:rsid w:val="4690085B"/>
    <w:rsid w:val="46902609"/>
    <w:rsid w:val="469043B7"/>
    <w:rsid w:val="4691012F"/>
    <w:rsid w:val="46933EA7"/>
    <w:rsid w:val="469519CD"/>
    <w:rsid w:val="469C2EC0"/>
    <w:rsid w:val="469C7200"/>
    <w:rsid w:val="469D2F78"/>
    <w:rsid w:val="46A161E6"/>
    <w:rsid w:val="46AD37B8"/>
    <w:rsid w:val="46B1432D"/>
    <w:rsid w:val="46B300A5"/>
    <w:rsid w:val="46B5206F"/>
    <w:rsid w:val="46B877E7"/>
    <w:rsid w:val="46BC1650"/>
    <w:rsid w:val="46BD0F24"/>
    <w:rsid w:val="46BD2CD2"/>
    <w:rsid w:val="46BD7176"/>
    <w:rsid w:val="46BE0235"/>
    <w:rsid w:val="46BE67F0"/>
    <w:rsid w:val="46BF6A4A"/>
    <w:rsid w:val="46C16C66"/>
    <w:rsid w:val="46C2478C"/>
    <w:rsid w:val="46C40504"/>
    <w:rsid w:val="46C82208"/>
    <w:rsid w:val="46C91677"/>
    <w:rsid w:val="46CC1183"/>
    <w:rsid w:val="46CE1A32"/>
    <w:rsid w:val="46CE7D00"/>
    <w:rsid w:val="46D02A05"/>
    <w:rsid w:val="46D37CF5"/>
    <w:rsid w:val="46D7236F"/>
    <w:rsid w:val="46D83FB0"/>
    <w:rsid w:val="46D85D5E"/>
    <w:rsid w:val="46DA3884"/>
    <w:rsid w:val="46DC584E"/>
    <w:rsid w:val="46DE0AE4"/>
    <w:rsid w:val="46E2098A"/>
    <w:rsid w:val="46E22750"/>
    <w:rsid w:val="46E2664A"/>
    <w:rsid w:val="46E452F3"/>
    <w:rsid w:val="46E81D65"/>
    <w:rsid w:val="46E841F3"/>
    <w:rsid w:val="46E932D2"/>
    <w:rsid w:val="46E93AC7"/>
    <w:rsid w:val="46E97F6B"/>
    <w:rsid w:val="46EB494F"/>
    <w:rsid w:val="46ED7A5B"/>
    <w:rsid w:val="46EF4D27"/>
    <w:rsid w:val="46F22D09"/>
    <w:rsid w:val="46F24582"/>
    <w:rsid w:val="46F30DEA"/>
    <w:rsid w:val="46F32B98"/>
    <w:rsid w:val="46F451E2"/>
    <w:rsid w:val="46F74436"/>
    <w:rsid w:val="46F801AE"/>
    <w:rsid w:val="46F96400"/>
    <w:rsid w:val="46FA5CD4"/>
    <w:rsid w:val="46FC1A4C"/>
    <w:rsid w:val="46FD600A"/>
    <w:rsid w:val="46FF153C"/>
    <w:rsid w:val="46FF778E"/>
    <w:rsid w:val="47015186"/>
    <w:rsid w:val="47092B65"/>
    <w:rsid w:val="470A252D"/>
    <w:rsid w:val="470B5D74"/>
    <w:rsid w:val="470D6E20"/>
    <w:rsid w:val="471072A6"/>
    <w:rsid w:val="47121270"/>
    <w:rsid w:val="47134FE8"/>
    <w:rsid w:val="471641E4"/>
    <w:rsid w:val="471753C9"/>
    <w:rsid w:val="47176886"/>
    <w:rsid w:val="471A1ED2"/>
    <w:rsid w:val="471A45C8"/>
    <w:rsid w:val="471D19C3"/>
    <w:rsid w:val="471E2059"/>
    <w:rsid w:val="471E684B"/>
    <w:rsid w:val="47213261"/>
    <w:rsid w:val="4723347D"/>
    <w:rsid w:val="472461ED"/>
    <w:rsid w:val="47264D1B"/>
    <w:rsid w:val="47266AC9"/>
    <w:rsid w:val="47290367"/>
    <w:rsid w:val="472F7CCC"/>
    <w:rsid w:val="47305FB8"/>
    <w:rsid w:val="47307948"/>
    <w:rsid w:val="473236C0"/>
    <w:rsid w:val="47330B3B"/>
    <w:rsid w:val="47332F94"/>
    <w:rsid w:val="47341D77"/>
    <w:rsid w:val="47347438"/>
    <w:rsid w:val="473E02B7"/>
    <w:rsid w:val="473E2065"/>
    <w:rsid w:val="473F3D38"/>
    <w:rsid w:val="47475931"/>
    <w:rsid w:val="47486843"/>
    <w:rsid w:val="474927B8"/>
    <w:rsid w:val="47503B46"/>
    <w:rsid w:val="475278BE"/>
    <w:rsid w:val="4756114F"/>
    <w:rsid w:val="475B4793"/>
    <w:rsid w:val="475C698F"/>
    <w:rsid w:val="475D6979"/>
    <w:rsid w:val="475F71FF"/>
    <w:rsid w:val="47624668"/>
    <w:rsid w:val="47665118"/>
    <w:rsid w:val="47672533"/>
    <w:rsid w:val="47694C08"/>
    <w:rsid w:val="4769642D"/>
    <w:rsid w:val="476B4468"/>
    <w:rsid w:val="476B4E24"/>
    <w:rsid w:val="476C21BB"/>
    <w:rsid w:val="476D294A"/>
    <w:rsid w:val="476D64A6"/>
    <w:rsid w:val="476E50DC"/>
    <w:rsid w:val="4770221E"/>
    <w:rsid w:val="47723ABC"/>
    <w:rsid w:val="47742739"/>
    <w:rsid w:val="47743CD8"/>
    <w:rsid w:val="4776324D"/>
    <w:rsid w:val="4779309D"/>
    <w:rsid w:val="4779674E"/>
    <w:rsid w:val="477A5376"/>
    <w:rsid w:val="477A6033"/>
    <w:rsid w:val="477C3E4E"/>
    <w:rsid w:val="477D03EA"/>
    <w:rsid w:val="477F442B"/>
    <w:rsid w:val="477F7B80"/>
    <w:rsid w:val="47803797"/>
    <w:rsid w:val="478163F5"/>
    <w:rsid w:val="4783216D"/>
    <w:rsid w:val="47835CCA"/>
    <w:rsid w:val="478832E0"/>
    <w:rsid w:val="47887727"/>
    <w:rsid w:val="47892B70"/>
    <w:rsid w:val="478A5196"/>
    <w:rsid w:val="478B6249"/>
    <w:rsid w:val="4794174A"/>
    <w:rsid w:val="47941A91"/>
    <w:rsid w:val="47941C85"/>
    <w:rsid w:val="47953C4F"/>
    <w:rsid w:val="47963F38"/>
    <w:rsid w:val="47971775"/>
    <w:rsid w:val="479B74B7"/>
    <w:rsid w:val="479C3360"/>
    <w:rsid w:val="479F2559"/>
    <w:rsid w:val="47A04ACD"/>
    <w:rsid w:val="47A04BEE"/>
    <w:rsid w:val="47A520E4"/>
    <w:rsid w:val="47A82317"/>
    <w:rsid w:val="47A9156B"/>
    <w:rsid w:val="47AA1150"/>
    <w:rsid w:val="47AC3472"/>
    <w:rsid w:val="47B36031"/>
    <w:rsid w:val="47B553B2"/>
    <w:rsid w:val="47B642F1"/>
    <w:rsid w:val="47B66B59"/>
    <w:rsid w:val="47B71784"/>
    <w:rsid w:val="47B74AF5"/>
    <w:rsid w:val="47B916EB"/>
    <w:rsid w:val="47BB1907"/>
    <w:rsid w:val="47C016D8"/>
    <w:rsid w:val="47C167F2"/>
    <w:rsid w:val="47C21AC5"/>
    <w:rsid w:val="47C23968"/>
    <w:rsid w:val="47C63E08"/>
    <w:rsid w:val="47C81166"/>
    <w:rsid w:val="47C85A4D"/>
    <w:rsid w:val="47C96D16"/>
    <w:rsid w:val="47CC58C3"/>
    <w:rsid w:val="47CD0723"/>
    <w:rsid w:val="47D318F9"/>
    <w:rsid w:val="47D3227D"/>
    <w:rsid w:val="47D41743"/>
    <w:rsid w:val="47D567FA"/>
    <w:rsid w:val="47D5795E"/>
    <w:rsid w:val="47D61E83"/>
    <w:rsid w:val="47D84427"/>
    <w:rsid w:val="47DA242F"/>
    <w:rsid w:val="47DB5B06"/>
    <w:rsid w:val="47DE1152"/>
    <w:rsid w:val="47DE55F6"/>
    <w:rsid w:val="47DF2355"/>
    <w:rsid w:val="47E04ECA"/>
    <w:rsid w:val="47E524E0"/>
    <w:rsid w:val="47E726FC"/>
    <w:rsid w:val="47E81FD1"/>
    <w:rsid w:val="47EA3F9B"/>
    <w:rsid w:val="47EA7AF7"/>
    <w:rsid w:val="47EB2161"/>
    <w:rsid w:val="47ED3A8B"/>
    <w:rsid w:val="47F00E85"/>
    <w:rsid w:val="47F0753C"/>
    <w:rsid w:val="47F40975"/>
    <w:rsid w:val="47F863F4"/>
    <w:rsid w:val="47F866B8"/>
    <w:rsid w:val="47F92430"/>
    <w:rsid w:val="47FC4099"/>
    <w:rsid w:val="47FC67FF"/>
    <w:rsid w:val="47FC782A"/>
    <w:rsid w:val="4800012E"/>
    <w:rsid w:val="480037BE"/>
    <w:rsid w:val="48007F78"/>
    <w:rsid w:val="48013092"/>
    <w:rsid w:val="4803505C"/>
    <w:rsid w:val="48084421"/>
    <w:rsid w:val="480A0D2C"/>
    <w:rsid w:val="480A63EB"/>
    <w:rsid w:val="480F301E"/>
    <w:rsid w:val="480F755D"/>
    <w:rsid w:val="48103C45"/>
    <w:rsid w:val="481608EC"/>
    <w:rsid w:val="48164D90"/>
    <w:rsid w:val="481903DC"/>
    <w:rsid w:val="481B05F8"/>
    <w:rsid w:val="481C4831"/>
    <w:rsid w:val="481D3B60"/>
    <w:rsid w:val="481E59F2"/>
    <w:rsid w:val="482079BC"/>
    <w:rsid w:val="48256D81"/>
    <w:rsid w:val="48266353"/>
    <w:rsid w:val="482C010F"/>
    <w:rsid w:val="483008B8"/>
    <w:rsid w:val="48324CC4"/>
    <w:rsid w:val="48335942"/>
    <w:rsid w:val="483416BA"/>
    <w:rsid w:val="483442C5"/>
    <w:rsid w:val="48386616"/>
    <w:rsid w:val="483D40CA"/>
    <w:rsid w:val="4844121F"/>
    <w:rsid w:val="48486B1C"/>
    <w:rsid w:val="484A4643"/>
    <w:rsid w:val="484C4BC1"/>
    <w:rsid w:val="484C5BC3"/>
    <w:rsid w:val="484D0086"/>
    <w:rsid w:val="48517877"/>
    <w:rsid w:val="4855757D"/>
    <w:rsid w:val="4856518C"/>
    <w:rsid w:val="48580F04"/>
    <w:rsid w:val="485853A8"/>
    <w:rsid w:val="48586611"/>
    <w:rsid w:val="48587156"/>
    <w:rsid w:val="48591FEE"/>
    <w:rsid w:val="48594C7C"/>
    <w:rsid w:val="485A284D"/>
    <w:rsid w:val="485B6C46"/>
    <w:rsid w:val="485D651B"/>
    <w:rsid w:val="485F1241"/>
    <w:rsid w:val="485F3B13"/>
    <w:rsid w:val="4860425D"/>
    <w:rsid w:val="48627FD5"/>
    <w:rsid w:val="48691363"/>
    <w:rsid w:val="487330B4"/>
    <w:rsid w:val="48742152"/>
    <w:rsid w:val="48775721"/>
    <w:rsid w:val="48785837"/>
    <w:rsid w:val="487C1D64"/>
    <w:rsid w:val="487D4E0F"/>
    <w:rsid w:val="487F0B87"/>
    <w:rsid w:val="488103EE"/>
    <w:rsid w:val="48825F81"/>
    <w:rsid w:val="4884619D"/>
    <w:rsid w:val="48873598"/>
    <w:rsid w:val="488A68CF"/>
    <w:rsid w:val="488B1609"/>
    <w:rsid w:val="488D3509"/>
    <w:rsid w:val="488D3EF2"/>
    <w:rsid w:val="488E4926"/>
    <w:rsid w:val="48981928"/>
    <w:rsid w:val="489A0F95"/>
    <w:rsid w:val="489B7043"/>
    <w:rsid w:val="489E1F71"/>
    <w:rsid w:val="48A12067"/>
    <w:rsid w:val="48A24875"/>
    <w:rsid w:val="48A51C70"/>
    <w:rsid w:val="48A67D4C"/>
    <w:rsid w:val="48A91760"/>
    <w:rsid w:val="48AA54D8"/>
    <w:rsid w:val="48AC2FFE"/>
    <w:rsid w:val="48B06F92"/>
    <w:rsid w:val="48B11B76"/>
    <w:rsid w:val="48B23078"/>
    <w:rsid w:val="48B3009B"/>
    <w:rsid w:val="48B3438D"/>
    <w:rsid w:val="48B63E7D"/>
    <w:rsid w:val="48B85E47"/>
    <w:rsid w:val="48B91C6C"/>
    <w:rsid w:val="48BA3564"/>
    <w:rsid w:val="48BC66EE"/>
    <w:rsid w:val="48C22923"/>
    <w:rsid w:val="48C42A3E"/>
    <w:rsid w:val="48C621F7"/>
    <w:rsid w:val="48C93BB0"/>
    <w:rsid w:val="48CE21FB"/>
    <w:rsid w:val="48D10CB7"/>
    <w:rsid w:val="48D63A46"/>
    <w:rsid w:val="48D706D2"/>
    <w:rsid w:val="48D74AD7"/>
    <w:rsid w:val="48D7660F"/>
    <w:rsid w:val="48D92C3A"/>
    <w:rsid w:val="48DA7B6B"/>
    <w:rsid w:val="48DF402C"/>
    <w:rsid w:val="48E1714C"/>
    <w:rsid w:val="48E409EA"/>
    <w:rsid w:val="48E704DA"/>
    <w:rsid w:val="48E763A6"/>
    <w:rsid w:val="48EE3617"/>
    <w:rsid w:val="48F50E49"/>
    <w:rsid w:val="48F7696F"/>
    <w:rsid w:val="48F946EF"/>
    <w:rsid w:val="48FB5D34"/>
    <w:rsid w:val="48FD2A6B"/>
    <w:rsid w:val="48FF75D2"/>
    <w:rsid w:val="4900334A"/>
    <w:rsid w:val="49012E87"/>
    <w:rsid w:val="49031982"/>
    <w:rsid w:val="49044BE8"/>
    <w:rsid w:val="49075355"/>
    <w:rsid w:val="490E1F0B"/>
    <w:rsid w:val="490E2474"/>
    <w:rsid w:val="490E3CB9"/>
    <w:rsid w:val="490E7EE8"/>
    <w:rsid w:val="4910713B"/>
    <w:rsid w:val="49153299"/>
    <w:rsid w:val="49156DF5"/>
    <w:rsid w:val="49184B37"/>
    <w:rsid w:val="491A08B0"/>
    <w:rsid w:val="491A265E"/>
    <w:rsid w:val="491A440C"/>
    <w:rsid w:val="491D766A"/>
    <w:rsid w:val="491E5D5C"/>
    <w:rsid w:val="491E6EFC"/>
    <w:rsid w:val="492139EC"/>
    <w:rsid w:val="492359B6"/>
    <w:rsid w:val="49261FB8"/>
    <w:rsid w:val="49277B8A"/>
    <w:rsid w:val="49290AF3"/>
    <w:rsid w:val="49291190"/>
    <w:rsid w:val="49296D45"/>
    <w:rsid w:val="492A32CC"/>
    <w:rsid w:val="492B486B"/>
    <w:rsid w:val="492F2C66"/>
    <w:rsid w:val="4930399A"/>
    <w:rsid w:val="49331971"/>
    <w:rsid w:val="49333439"/>
    <w:rsid w:val="493556E9"/>
    <w:rsid w:val="49355CFA"/>
    <w:rsid w:val="49373210"/>
    <w:rsid w:val="49382AE4"/>
    <w:rsid w:val="493A2D00"/>
    <w:rsid w:val="493C4382"/>
    <w:rsid w:val="493C6A78"/>
    <w:rsid w:val="493F3E72"/>
    <w:rsid w:val="4940710D"/>
    <w:rsid w:val="49416BFC"/>
    <w:rsid w:val="49423962"/>
    <w:rsid w:val="494314BA"/>
    <w:rsid w:val="49460A18"/>
    <w:rsid w:val="49463453"/>
    <w:rsid w:val="49492299"/>
    <w:rsid w:val="494D2A33"/>
    <w:rsid w:val="494D6479"/>
    <w:rsid w:val="494E592A"/>
    <w:rsid w:val="494E5DA2"/>
    <w:rsid w:val="49507A41"/>
    <w:rsid w:val="49507E2D"/>
    <w:rsid w:val="495136CC"/>
    <w:rsid w:val="4951377A"/>
    <w:rsid w:val="495219D9"/>
    <w:rsid w:val="49521DF7"/>
    <w:rsid w:val="49534C26"/>
    <w:rsid w:val="49535B70"/>
    <w:rsid w:val="49541369"/>
    <w:rsid w:val="49544FF7"/>
    <w:rsid w:val="49566E9D"/>
    <w:rsid w:val="495945D7"/>
    <w:rsid w:val="495B760C"/>
    <w:rsid w:val="495C4A24"/>
    <w:rsid w:val="495C67D2"/>
    <w:rsid w:val="495C7CDB"/>
    <w:rsid w:val="495E1DF2"/>
    <w:rsid w:val="495E3193"/>
    <w:rsid w:val="495E69EE"/>
    <w:rsid w:val="495F2766"/>
    <w:rsid w:val="49601FEE"/>
    <w:rsid w:val="4961028C"/>
    <w:rsid w:val="49635647"/>
    <w:rsid w:val="49663AF5"/>
    <w:rsid w:val="496833C9"/>
    <w:rsid w:val="49690EEF"/>
    <w:rsid w:val="496D4E83"/>
    <w:rsid w:val="496E4757"/>
    <w:rsid w:val="496F29A9"/>
    <w:rsid w:val="497019FB"/>
    <w:rsid w:val="49721E8F"/>
    <w:rsid w:val="49725FF6"/>
    <w:rsid w:val="49726437"/>
    <w:rsid w:val="49753559"/>
    <w:rsid w:val="497956EF"/>
    <w:rsid w:val="497A2EA8"/>
    <w:rsid w:val="497A3114"/>
    <w:rsid w:val="497A45DE"/>
    <w:rsid w:val="497A75A0"/>
    <w:rsid w:val="497E2BEC"/>
    <w:rsid w:val="498521CD"/>
    <w:rsid w:val="49865F45"/>
    <w:rsid w:val="49882363"/>
    <w:rsid w:val="498A69B1"/>
    <w:rsid w:val="498B2DA7"/>
    <w:rsid w:val="498B46AA"/>
    <w:rsid w:val="498F43E0"/>
    <w:rsid w:val="49920446"/>
    <w:rsid w:val="49956662"/>
    <w:rsid w:val="49970EBB"/>
    <w:rsid w:val="499747EB"/>
    <w:rsid w:val="499802C4"/>
    <w:rsid w:val="499842A0"/>
    <w:rsid w:val="49990B67"/>
    <w:rsid w:val="49995C33"/>
    <w:rsid w:val="499A379E"/>
    <w:rsid w:val="499A72FA"/>
    <w:rsid w:val="499E6DEB"/>
    <w:rsid w:val="49A227DA"/>
    <w:rsid w:val="49A34401"/>
    <w:rsid w:val="49A53BB9"/>
    <w:rsid w:val="49AB1508"/>
    <w:rsid w:val="49AC4476"/>
    <w:rsid w:val="49B04347"/>
    <w:rsid w:val="49B20AE8"/>
    <w:rsid w:val="49B303BC"/>
    <w:rsid w:val="49B77EAC"/>
    <w:rsid w:val="49BC54C3"/>
    <w:rsid w:val="49BE748D"/>
    <w:rsid w:val="49BF15F0"/>
    <w:rsid w:val="49BF49E5"/>
    <w:rsid w:val="49C00938"/>
    <w:rsid w:val="49C01457"/>
    <w:rsid w:val="49C12AD9"/>
    <w:rsid w:val="49C33B58"/>
    <w:rsid w:val="49C36851"/>
    <w:rsid w:val="49C54AE4"/>
    <w:rsid w:val="49CB1BAA"/>
    <w:rsid w:val="49CD5922"/>
    <w:rsid w:val="49CF169A"/>
    <w:rsid w:val="49D24CE6"/>
    <w:rsid w:val="49D4280C"/>
    <w:rsid w:val="49D547D7"/>
    <w:rsid w:val="49DC7913"/>
    <w:rsid w:val="49E03FD4"/>
    <w:rsid w:val="49E07403"/>
    <w:rsid w:val="49E113CD"/>
    <w:rsid w:val="49E45C56"/>
    <w:rsid w:val="49E60786"/>
    <w:rsid w:val="49E8450A"/>
    <w:rsid w:val="49E862B8"/>
    <w:rsid w:val="49EA64D4"/>
    <w:rsid w:val="49EC224C"/>
    <w:rsid w:val="49ED2A82"/>
    <w:rsid w:val="49ED7823"/>
    <w:rsid w:val="49F033BE"/>
    <w:rsid w:val="49F11F46"/>
    <w:rsid w:val="49F23B89"/>
    <w:rsid w:val="49F25388"/>
    <w:rsid w:val="49F3157F"/>
    <w:rsid w:val="49F66C27"/>
    <w:rsid w:val="49FB2932"/>
    <w:rsid w:val="49FB55D3"/>
    <w:rsid w:val="49FC7FB5"/>
    <w:rsid w:val="4A00063B"/>
    <w:rsid w:val="4A013E74"/>
    <w:rsid w:val="4A01737A"/>
    <w:rsid w:val="4A022BDA"/>
    <w:rsid w:val="4A0362EE"/>
    <w:rsid w:val="4A05519F"/>
    <w:rsid w:val="4A083524"/>
    <w:rsid w:val="4A0C644A"/>
    <w:rsid w:val="4A0F1A73"/>
    <w:rsid w:val="4A143551"/>
    <w:rsid w:val="4A162E25"/>
    <w:rsid w:val="4A190B67"/>
    <w:rsid w:val="4A1C2405"/>
    <w:rsid w:val="4A1E617D"/>
    <w:rsid w:val="4A201031"/>
    <w:rsid w:val="4A225719"/>
    <w:rsid w:val="4A2329A2"/>
    <w:rsid w:val="4A2512BA"/>
    <w:rsid w:val="4A2A4B22"/>
    <w:rsid w:val="4A2D3660"/>
    <w:rsid w:val="4A2E5C28"/>
    <w:rsid w:val="4A3115EB"/>
    <w:rsid w:val="4A314103"/>
    <w:rsid w:val="4A317C5F"/>
    <w:rsid w:val="4A321742"/>
    <w:rsid w:val="4A34774F"/>
    <w:rsid w:val="4A35757C"/>
    <w:rsid w:val="4A3619A1"/>
    <w:rsid w:val="4A396FCA"/>
    <w:rsid w:val="4A3B0ADD"/>
    <w:rsid w:val="4A407EA2"/>
    <w:rsid w:val="4A413C1A"/>
    <w:rsid w:val="4A447AB1"/>
    <w:rsid w:val="4A45370A"/>
    <w:rsid w:val="4A471230"/>
    <w:rsid w:val="4A487BEE"/>
    <w:rsid w:val="4A497872"/>
    <w:rsid w:val="4A4C6847"/>
    <w:rsid w:val="4A4E6A63"/>
    <w:rsid w:val="4A537D07"/>
    <w:rsid w:val="4A54394D"/>
    <w:rsid w:val="4A560724"/>
    <w:rsid w:val="4A58168F"/>
    <w:rsid w:val="4A59088C"/>
    <w:rsid w:val="4A5C478F"/>
    <w:rsid w:val="4A5E2A1E"/>
    <w:rsid w:val="4A5F4669"/>
    <w:rsid w:val="4A613290"/>
    <w:rsid w:val="4A625D30"/>
    <w:rsid w:val="4A69564B"/>
    <w:rsid w:val="4A6A13C3"/>
    <w:rsid w:val="4A7045EA"/>
    <w:rsid w:val="4A743F6F"/>
    <w:rsid w:val="4A761B16"/>
    <w:rsid w:val="4A7A7358"/>
    <w:rsid w:val="4A7B537E"/>
    <w:rsid w:val="4A8050E2"/>
    <w:rsid w:val="4A821143"/>
    <w:rsid w:val="4A8A46EE"/>
    <w:rsid w:val="4A8A55C1"/>
    <w:rsid w:val="4A8D15A5"/>
    <w:rsid w:val="4A8D175A"/>
    <w:rsid w:val="4A8E6E5F"/>
    <w:rsid w:val="4A8F4B67"/>
    <w:rsid w:val="4A8F7DB6"/>
    <w:rsid w:val="4A912D4B"/>
    <w:rsid w:val="4A91694F"/>
    <w:rsid w:val="4A924C57"/>
    <w:rsid w:val="4A9401EE"/>
    <w:rsid w:val="4A954692"/>
    <w:rsid w:val="4A983369"/>
    <w:rsid w:val="4A993A56"/>
    <w:rsid w:val="4A9D3546"/>
    <w:rsid w:val="4AA30431"/>
    <w:rsid w:val="4AA77F21"/>
    <w:rsid w:val="4AA85A47"/>
    <w:rsid w:val="4AA93C99"/>
    <w:rsid w:val="4AAB50DC"/>
    <w:rsid w:val="4AAC19DB"/>
    <w:rsid w:val="4AAC3789"/>
    <w:rsid w:val="4AAC5537"/>
    <w:rsid w:val="4AAF7233"/>
    <w:rsid w:val="4AB10DA0"/>
    <w:rsid w:val="4AB12B4E"/>
    <w:rsid w:val="4AB253A0"/>
    <w:rsid w:val="4AB27EE8"/>
    <w:rsid w:val="4AB34B18"/>
    <w:rsid w:val="4AB97C54"/>
    <w:rsid w:val="4ABA35F0"/>
    <w:rsid w:val="4ABB1C1E"/>
    <w:rsid w:val="4ABB577A"/>
    <w:rsid w:val="4ABE526B"/>
    <w:rsid w:val="4AC1078E"/>
    <w:rsid w:val="4AC210F2"/>
    <w:rsid w:val="4AC2736B"/>
    <w:rsid w:val="4AC62A9D"/>
    <w:rsid w:val="4AC67473"/>
    <w:rsid w:val="4ACB0F6B"/>
    <w:rsid w:val="4ACC7988"/>
    <w:rsid w:val="4AD1223A"/>
    <w:rsid w:val="4AD625B4"/>
    <w:rsid w:val="4AD64D94"/>
    <w:rsid w:val="4AD70227"/>
    <w:rsid w:val="4AD74508"/>
    <w:rsid w:val="4AD9215E"/>
    <w:rsid w:val="4AD9253B"/>
    <w:rsid w:val="4AD93E52"/>
    <w:rsid w:val="4ADB3142"/>
    <w:rsid w:val="4ADD1B95"/>
    <w:rsid w:val="4ADD2B3C"/>
    <w:rsid w:val="4AE733B3"/>
    <w:rsid w:val="4AEC1DD8"/>
    <w:rsid w:val="4AED43FC"/>
    <w:rsid w:val="4AEE78FE"/>
    <w:rsid w:val="4AF006A4"/>
    <w:rsid w:val="4AF22833"/>
    <w:rsid w:val="4AF34F14"/>
    <w:rsid w:val="4AF55130"/>
    <w:rsid w:val="4AF56EDE"/>
    <w:rsid w:val="4AF60347"/>
    <w:rsid w:val="4AF77C45"/>
    <w:rsid w:val="4AF869CF"/>
    <w:rsid w:val="4AF90D7C"/>
    <w:rsid w:val="4AFA44F5"/>
    <w:rsid w:val="4AFB201B"/>
    <w:rsid w:val="4B0233A9"/>
    <w:rsid w:val="4B023E54"/>
    <w:rsid w:val="4B0613F2"/>
    <w:rsid w:val="4B09298A"/>
    <w:rsid w:val="4B0B6702"/>
    <w:rsid w:val="4B0B6E18"/>
    <w:rsid w:val="4B0C5FAB"/>
    <w:rsid w:val="4B0D06CC"/>
    <w:rsid w:val="4B0D0B7C"/>
    <w:rsid w:val="4B101F6A"/>
    <w:rsid w:val="4B10740A"/>
    <w:rsid w:val="4B133808"/>
    <w:rsid w:val="4B186FF8"/>
    <w:rsid w:val="4B1B26BD"/>
    <w:rsid w:val="4B1B446B"/>
    <w:rsid w:val="4B1C090F"/>
    <w:rsid w:val="4B1E3F5A"/>
    <w:rsid w:val="4B1F5D09"/>
    <w:rsid w:val="4B215F25"/>
    <w:rsid w:val="4B2257F9"/>
    <w:rsid w:val="4B243085"/>
    <w:rsid w:val="4B245A16"/>
    <w:rsid w:val="4B2D6177"/>
    <w:rsid w:val="4B2E0642"/>
    <w:rsid w:val="4B2E35D5"/>
    <w:rsid w:val="4B2E419E"/>
    <w:rsid w:val="4B2F1345"/>
    <w:rsid w:val="4B2F13AD"/>
    <w:rsid w:val="4B2F76F0"/>
    <w:rsid w:val="4B30329B"/>
    <w:rsid w:val="4B3043BA"/>
    <w:rsid w:val="4B3551B7"/>
    <w:rsid w:val="4B35552D"/>
    <w:rsid w:val="4B3A18E6"/>
    <w:rsid w:val="4B3A2B43"/>
    <w:rsid w:val="4B3B68BB"/>
    <w:rsid w:val="4B3C2D5F"/>
    <w:rsid w:val="4B3C4AFB"/>
    <w:rsid w:val="4B3D1E86"/>
    <w:rsid w:val="4B3D2633"/>
    <w:rsid w:val="4B3D6C4C"/>
    <w:rsid w:val="4B3E00D6"/>
    <w:rsid w:val="4B3F0159"/>
    <w:rsid w:val="4B412124"/>
    <w:rsid w:val="4B413ED2"/>
    <w:rsid w:val="4B441C14"/>
    <w:rsid w:val="4B4472B9"/>
    <w:rsid w:val="4B475260"/>
    <w:rsid w:val="4B481704"/>
    <w:rsid w:val="4B493006"/>
    <w:rsid w:val="4B4A3DEB"/>
    <w:rsid w:val="4B4B41DB"/>
    <w:rsid w:val="4B4D6D1A"/>
    <w:rsid w:val="4B4E6C81"/>
    <w:rsid w:val="4B4F4276"/>
    <w:rsid w:val="4B5300A9"/>
    <w:rsid w:val="4B533C05"/>
    <w:rsid w:val="4B582A18"/>
    <w:rsid w:val="4B5A1437"/>
    <w:rsid w:val="4B5A603D"/>
    <w:rsid w:val="4B5C0D0B"/>
    <w:rsid w:val="4B5D2CD5"/>
    <w:rsid w:val="4B614574"/>
    <w:rsid w:val="4B6169FA"/>
    <w:rsid w:val="4B621AC6"/>
    <w:rsid w:val="4B6375E8"/>
    <w:rsid w:val="4B64529E"/>
    <w:rsid w:val="4B647BC0"/>
    <w:rsid w:val="4B652C46"/>
    <w:rsid w:val="4B693428"/>
    <w:rsid w:val="4B6B0F4E"/>
    <w:rsid w:val="4B6D116B"/>
    <w:rsid w:val="4B702A09"/>
    <w:rsid w:val="4B7216FC"/>
    <w:rsid w:val="4B7A5635"/>
    <w:rsid w:val="4B7D0C82"/>
    <w:rsid w:val="4B7F0E9E"/>
    <w:rsid w:val="4B7F304D"/>
    <w:rsid w:val="4B813CEC"/>
    <w:rsid w:val="4B814C16"/>
    <w:rsid w:val="4B822D81"/>
    <w:rsid w:val="4B8244EA"/>
    <w:rsid w:val="4B824C4E"/>
    <w:rsid w:val="4B83098E"/>
    <w:rsid w:val="4B83664D"/>
    <w:rsid w:val="4B874CC2"/>
    <w:rsid w:val="4B887D52"/>
    <w:rsid w:val="4B8A1D1C"/>
    <w:rsid w:val="4B8D4B24"/>
    <w:rsid w:val="4B904E59"/>
    <w:rsid w:val="4B920F18"/>
    <w:rsid w:val="4B9304A5"/>
    <w:rsid w:val="4B95618B"/>
    <w:rsid w:val="4B971D44"/>
    <w:rsid w:val="4B983D0E"/>
    <w:rsid w:val="4B985ABC"/>
    <w:rsid w:val="4B9A69ED"/>
    <w:rsid w:val="4B9C37C9"/>
    <w:rsid w:val="4B9C55AC"/>
    <w:rsid w:val="4B9D0115"/>
    <w:rsid w:val="4B9D30D2"/>
    <w:rsid w:val="4BA252A4"/>
    <w:rsid w:val="4BA41495"/>
    <w:rsid w:val="4BA44B78"/>
    <w:rsid w:val="4BA70821"/>
    <w:rsid w:val="4BA76C3D"/>
    <w:rsid w:val="4BAB3A41"/>
    <w:rsid w:val="4BAB57EF"/>
    <w:rsid w:val="4BAF63DD"/>
    <w:rsid w:val="4BAF7619"/>
    <w:rsid w:val="4BB02E05"/>
    <w:rsid w:val="4BB17AC5"/>
    <w:rsid w:val="4BB22D98"/>
    <w:rsid w:val="4BB5041C"/>
    <w:rsid w:val="4BB52B12"/>
    <w:rsid w:val="4BB7388D"/>
    <w:rsid w:val="4BB77370"/>
    <w:rsid w:val="4BB95A51"/>
    <w:rsid w:val="4BBA1FA2"/>
    <w:rsid w:val="4BBE132D"/>
    <w:rsid w:val="4BBE2414"/>
    <w:rsid w:val="4BBE77EA"/>
    <w:rsid w:val="4BC0497F"/>
    <w:rsid w:val="4BC32B39"/>
    <w:rsid w:val="4BC44B03"/>
    <w:rsid w:val="4BCB5E91"/>
    <w:rsid w:val="4BCB7C3F"/>
    <w:rsid w:val="4BCC468A"/>
    <w:rsid w:val="4BCD1C09"/>
    <w:rsid w:val="4BD05255"/>
    <w:rsid w:val="4BD21518"/>
    <w:rsid w:val="4BD42F98"/>
    <w:rsid w:val="4BDA60D4"/>
    <w:rsid w:val="4BDB0DD1"/>
    <w:rsid w:val="4BDC62CB"/>
    <w:rsid w:val="4BDF193C"/>
    <w:rsid w:val="4BDF2B9F"/>
    <w:rsid w:val="4BDF36EB"/>
    <w:rsid w:val="4BE00100"/>
    <w:rsid w:val="4BE27F8A"/>
    <w:rsid w:val="4BE560C3"/>
    <w:rsid w:val="4BE60F1D"/>
    <w:rsid w:val="4BE62709"/>
    <w:rsid w:val="4BE63637"/>
    <w:rsid w:val="4BE63A3B"/>
    <w:rsid w:val="4BE64A79"/>
    <w:rsid w:val="4BE65A97"/>
    <w:rsid w:val="4BE66CDB"/>
    <w:rsid w:val="4BE81CC3"/>
    <w:rsid w:val="4BE85AF6"/>
    <w:rsid w:val="4BE931F3"/>
    <w:rsid w:val="4BEB02E1"/>
    <w:rsid w:val="4BEB6533"/>
    <w:rsid w:val="4BEC7CE7"/>
    <w:rsid w:val="4BF03B4A"/>
    <w:rsid w:val="4BF058F8"/>
    <w:rsid w:val="4BF165EF"/>
    <w:rsid w:val="4BF2341E"/>
    <w:rsid w:val="4BF52F0E"/>
    <w:rsid w:val="4BF709CD"/>
    <w:rsid w:val="4BFB49C8"/>
    <w:rsid w:val="4C02679C"/>
    <w:rsid w:val="4C027AA9"/>
    <w:rsid w:val="4C03562B"/>
    <w:rsid w:val="4C0373D9"/>
    <w:rsid w:val="4C0563A2"/>
    <w:rsid w:val="4C0A4C0B"/>
    <w:rsid w:val="4C0D2006"/>
    <w:rsid w:val="4C107D48"/>
    <w:rsid w:val="4C15535E"/>
    <w:rsid w:val="4C172E84"/>
    <w:rsid w:val="4C177328"/>
    <w:rsid w:val="4C181CE0"/>
    <w:rsid w:val="4C1A4723"/>
    <w:rsid w:val="4C1E2465"/>
    <w:rsid w:val="4C20442F"/>
    <w:rsid w:val="4C2061DD"/>
    <w:rsid w:val="4C231829"/>
    <w:rsid w:val="4C251A45"/>
    <w:rsid w:val="4C2613CF"/>
    <w:rsid w:val="4C2630C7"/>
    <w:rsid w:val="4C2757BD"/>
    <w:rsid w:val="4C2767A6"/>
    <w:rsid w:val="4C2A0E0A"/>
    <w:rsid w:val="4C2A269C"/>
    <w:rsid w:val="4C2A2BB8"/>
    <w:rsid w:val="4C2C4B82"/>
    <w:rsid w:val="4C2D08FA"/>
    <w:rsid w:val="4C2D26A8"/>
    <w:rsid w:val="4C303F46"/>
    <w:rsid w:val="4C306BF9"/>
    <w:rsid w:val="4C327CBE"/>
    <w:rsid w:val="4C343A36"/>
    <w:rsid w:val="4C3A4602"/>
    <w:rsid w:val="4C3D2024"/>
    <w:rsid w:val="4C3D3AB4"/>
    <w:rsid w:val="4C4023DB"/>
    <w:rsid w:val="4C421F3D"/>
    <w:rsid w:val="4C42314A"/>
    <w:rsid w:val="4C434EB0"/>
    <w:rsid w:val="4C4423AE"/>
    <w:rsid w:val="4C4719BC"/>
    <w:rsid w:val="4C481290"/>
    <w:rsid w:val="4C492C74"/>
    <w:rsid w:val="4C4B0ACB"/>
    <w:rsid w:val="4C4C6FD2"/>
    <w:rsid w:val="4C516396"/>
    <w:rsid w:val="4C567E51"/>
    <w:rsid w:val="4C583BC9"/>
    <w:rsid w:val="4C5B45B9"/>
    <w:rsid w:val="4C5B7215"/>
    <w:rsid w:val="4C5F70AB"/>
    <w:rsid w:val="4C6007E8"/>
    <w:rsid w:val="4C617073"/>
    <w:rsid w:val="4C650094"/>
    <w:rsid w:val="4C661230"/>
    <w:rsid w:val="4C6A7458"/>
    <w:rsid w:val="4C6C1422"/>
    <w:rsid w:val="4C6C31D0"/>
    <w:rsid w:val="4C6D0CF6"/>
    <w:rsid w:val="4C6F4332"/>
    <w:rsid w:val="4C716A38"/>
    <w:rsid w:val="4C746529"/>
    <w:rsid w:val="4C7A5744"/>
    <w:rsid w:val="4C7B0297"/>
    <w:rsid w:val="4C7B1665"/>
    <w:rsid w:val="4C7B3413"/>
    <w:rsid w:val="4C7B78B7"/>
    <w:rsid w:val="4C7C718B"/>
    <w:rsid w:val="4C7D362F"/>
    <w:rsid w:val="4C7F69A7"/>
    <w:rsid w:val="4C800A2A"/>
    <w:rsid w:val="4C804ECE"/>
    <w:rsid w:val="4C820C46"/>
    <w:rsid w:val="4C860BD0"/>
    <w:rsid w:val="4C87000A"/>
    <w:rsid w:val="4C871DB8"/>
    <w:rsid w:val="4C891FD4"/>
    <w:rsid w:val="4C896AE6"/>
    <w:rsid w:val="4C8A7AFA"/>
    <w:rsid w:val="4C8C3872"/>
    <w:rsid w:val="4C905C77"/>
    <w:rsid w:val="4C9149E5"/>
    <w:rsid w:val="4C9269AF"/>
    <w:rsid w:val="4C96024D"/>
    <w:rsid w:val="4C963F23"/>
    <w:rsid w:val="4C96649F"/>
    <w:rsid w:val="4C975D73"/>
    <w:rsid w:val="4C99450B"/>
    <w:rsid w:val="4C995F8F"/>
    <w:rsid w:val="4C9C114F"/>
    <w:rsid w:val="4C9D5A7F"/>
    <w:rsid w:val="4C9F6804"/>
    <w:rsid w:val="4C9F6B5D"/>
    <w:rsid w:val="4CA17BB8"/>
    <w:rsid w:val="4CA7245A"/>
    <w:rsid w:val="4CAC43D2"/>
    <w:rsid w:val="4CAC79EE"/>
    <w:rsid w:val="4CAC7A71"/>
    <w:rsid w:val="4CAF73E5"/>
    <w:rsid w:val="4CB75A57"/>
    <w:rsid w:val="4CBA60ED"/>
    <w:rsid w:val="4CBC3B05"/>
    <w:rsid w:val="4CBF59F6"/>
    <w:rsid w:val="4CC06147"/>
    <w:rsid w:val="4CC254E6"/>
    <w:rsid w:val="4CC31472"/>
    <w:rsid w:val="4CC50B32"/>
    <w:rsid w:val="4CC748AA"/>
    <w:rsid w:val="4CC76658"/>
    <w:rsid w:val="4CC7713D"/>
    <w:rsid w:val="4CCA7EF7"/>
    <w:rsid w:val="4CCE2AED"/>
    <w:rsid w:val="4CCE3E8B"/>
    <w:rsid w:val="4CD07C03"/>
    <w:rsid w:val="4CD11285"/>
    <w:rsid w:val="4CD34FFD"/>
    <w:rsid w:val="4CD700C2"/>
    <w:rsid w:val="4CD945DE"/>
    <w:rsid w:val="4CDE39A2"/>
    <w:rsid w:val="4CE11EC8"/>
    <w:rsid w:val="4CE216E4"/>
    <w:rsid w:val="4CE377D9"/>
    <w:rsid w:val="4CE52F83"/>
    <w:rsid w:val="4CE54D31"/>
    <w:rsid w:val="4CE65AB6"/>
    <w:rsid w:val="4CE74B8E"/>
    <w:rsid w:val="4CE76CFB"/>
    <w:rsid w:val="4CE865CF"/>
    <w:rsid w:val="4CEB6BD1"/>
    <w:rsid w:val="4CEC4D57"/>
    <w:rsid w:val="4CED5DF1"/>
    <w:rsid w:val="4CEF3CC5"/>
    <w:rsid w:val="4CF1643E"/>
    <w:rsid w:val="4CF3744D"/>
    <w:rsid w:val="4CF60CEC"/>
    <w:rsid w:val="4CFB1928"/>
    <w:rsid w:val="4CFB4554"/>
    <w:rsid w:val="4CFB6302"/>
    <w:rsid w:val="4CFF2296"/>
    <w:rsid w:val="4CFF4E6A"/>
    <w:rsid w:val="4D003F07"/>
    <w:rsid w:val="4D007DBC"/>
    <w:rsid w:val="4D021D86"/>
    <w:rsid w:val="4D0238C5"/>
    <w:rsid w:val="4D027691"/>
    <w:rsid w:val="4D05121C"/>
    <w:rsid w:val="4D090A1F"/>
    <w:rsid w:val="4D094EC3"/>
    <w:rsid w:val="4D0C49B3"/>
    <w:rsid w:val="4D0D7491"/>
    <w:rsid w:val="4D1005E8"/>
    <w:rsid w:val="4D1062EB"/>
    <w:rsid w:val="4D12706E"/>
    <w:rsid w:val="4D143F9C"/>
    <w:rsid w:val="4D151ABA"/>
    <w:rsid w:val="4D1766AE"/>
    <w:rsid w:val="4D19039B"/>
    <w:rsid w:val="4D1B0603"/>
    <w:rsid w:val="4D1B4BF6"/>
    <w:rsid w:val="4D1B5613"/>
    <w:rsid w:val="4D1D271C"/>
    <w:rsid w:val="4D1F0243"/>
    <w:rsid w:val="4D1F46E6"/>
    <w:rsid w:val="4D221AE1"/>
    <w:rsid w:val="4D237E1F"/>
    <w:rsid w:val="4D241CFD"/>
    <w:rsid w:val="4D245859"/>
    <w:rsid w:val="4D245BE6"/>
    <w:rsid w:val="4D247EFA"/>
    <w:rsid w:val="4D26268E"/>
    <w:rsid w:val="4D275349"/>
    <w:rsid w:val="4D2A5D27"/>
    <w:rsid w:val="4D2A6BE7"/>
    <w:rsid w:val="4D3006A2"/>
    <w:rsid w:val="4D312395"/>
    <w:rsid w:val="4D34177A"/>
    <w:rsid w:val="4D3637DE"/>
    <w:rsid w:val="4D36480A"/>
    <w:rsid w:val="4D365D2E"/>
    <w:rsid w:val="4D365E63"/>
    <w:rsid w:val="4D3A1520"/>
    <w:rsid w:val="4D3A4F19"/>
    <w:rsid w:val="4D3D691B"/>
    <w:rsid w:val="4D3D7463"/>
    <w:rsid w:val="4D3F08E5"/>
    <w:rsid w:val="4D423F31"/>
    <w:rsid w:val="4D455A02"/>
    <w:rsid w:val="4D470322"/>
    <w:rsid w:val="4D471406"/>
    <w:rsid w:val="4D4718BB"/>
    <w:rsid w:val="4D471A63"/>
    <w:rsid w:val="4D477799"/>
    <w:rsid w:val="4D4F630B"/>
    <w:rsid w:val="4D510618"/>
    <w:rsid w:val="4D52686A"/>
    <w:rsid w:val="4D5344AC"/>
    <w:rsid w:val="4D5554F7"/>
    <w:rsid w:val="4D56075A"/>
    <w:rsid w:val="4D5679DC"/>
    <w:rsid w:val="4D5716EC"/>
    <w:rsid w:val="4D573E80"/>
    <w:rsid w:val="4D5B4FA1"/>
    <w:rsid w:val="4D5E2AFB"/>
    <w:rsid w:val="4D5F2D35"/>
    <w:rsid w:val="4D5F4AE3"/>
    <w:rsid w:val="4D5F65F2"/>
    <w:rsid w:val="4D626381"/>
    <w:rsid w:val="4D675EC9"/>
    <w:rsid w:val="4D677E3B"/>
    <w:rsid w:val="4D69796E"/>
    <w:rsid w:val="4D6E4D26"/>
    <w:rsid w:val="4D704F42"/>
    <w:rsid w:val="4D710BC6"/>
    <w:rsid w:val="4D73233C"/>
    <w:rsid w:val="4D750818"/>
    <w:rsid w:val="4D78547F"/>
    <w:rsid w:val="4D7A78E7"/>
    <w:rsid w:val="4D7B7443"/>
    <w:rsid w:val="4D7C38E7"/>
    <w:rsid w:val="4D7D140D"/>
    <w:rsid w:val="4D7E11DF"/>
    <w:rsid w:val="4D804EFD"/>
    <w:rsid w:val="4D812E59"/>
    <w:rsid w:val="4D830F94"/>
    <w:rsid w:val="4D8550E3"/>
    <w:rsid w:val="4D857A64"/>
    <w:rsid w:val="4D897DB2"/>
    <w:rsid w:val="4D8A334A"/>
    <w:rsid w:val="4D901140"/>
    <w:rsid w:val="4D9562D3"/>
    <w:rsid w:val="4D9859C4"/>
    <w:rsid w:val="4D994499"/>
    <w:rsid w:val="4D9B7A63"/>
    <w:rsid w:val="4D9C448A"/>
    <w:rsid w:val="4D9C7AE5"/>
    <w:rsid w:val="4D9F3131"/>
    <w:rsid w:val="4DA016E1"/>
    <w:rsid w:val="4DA16EA9"/>
    <w:rsid w:val="4DA41AD1"/>
    <w:rsid w:val="4DA55286"/>
    <w:rsid w:val="4DA76875"/>
    <w:rsid w:val="4DAC5D2A"/>
    <w:rsid w:val="4DAE3725"/>
    <w:rsid w:val="4DAE7818"/>
    <w:rsid w:val="4DB12E65"/>
    <w:rsid w:val="4DB27309"/>
    <w:rsid w:val="4DBA40C7"/>
    <w:rsid w:val="4DBA61BD"/>
    <w:rsid w:val="4DBA7040"/>
    <w:rsid w:val="4DBB562E"/>
    <w:rsid w:val="4DBD7A5B"/>
    <w:rsid w:val="4DBE3EFF"/>
    <w:rsid w:val="4DBF7E59"/>
    <w:rsid w:val="4DC20265"/>
    <w:rsid w:val="4DC23A78"/>
    <w:rsid w:val="4DC626DE"/>
    <w:rsid w:val="4DC808DA"/>
    <w:rsid w:val="4DCA28A4"/>
    <w:rsid w:val="4DCB3F26"/>
    <w:rsid w:val="4DD03F87"/>
    <w:rsid w:val="4DD202D7"/>
    <w:rsid w:val="4DD23507"/>
    <w:rsid w:val="4DD3512F"/>
    <w:rsid w:val="4DD60B2F"/>
    <w:rsid w:val="4DD74FC1"/>
    <w:rsid w:val="4DD80E25"/>
    <w:rsid w:val="4DDA688A"/>
    <w:rsid w:val="4DDD3C5A"/>
    <w:rsid w:val="4DDF2965"/>
    <w:rsid w:val="4DDF79D2"/>
    <w:rsid w:val="4DE17BEE"/>
    <w:rsid w:val="4DE82D2A"/>
    <w:rsid w:val="4DE84AD8"/>
    <w:rsid w:val="4DE913C7"/>
    <w:rsid w:val="4DEA6B6C"/>
    <w:rsid w:val="4DEB2042"/>
    <w:rsid w:val="4DEB281B"/>
    <w:rsid w:val="4DEB45C9"/>
    <w:rsid w:val="4DEC42D7"/>
    <w:rsid w:val="4DED6593"/>
    <w:rsid w:val="4DED771E"/>
    <w:rsid w:val="4DEE1C52"/>
    <w:rsid w:val="4DF06083"/>
    <w:rsid w:val="4DF416CF"/>
    <w:rsid w:val="4DF56549"/>
    <w:rsid w:val="4DFC0584"/>
    <w:rsid w:val="4DFE3F3A"/>
    <w:rsid w:val="4E013DEC"/>
    <w:rsid w:val="4E030CB4"/>
    <w:rsid w:val="4E03572F"/>
    <w:rsid w:val="4E037B64"/>
    <w:rsid w:val="4E067654"/>
    <w:rsid w:val="4E094A4F"/>
    <w:rsid w:val="4E0A0EF3"/>
    <w:rsid w:val="4E0B07C7"/>
    <w:rsid w:val="4E0C5E77"/>
    <w:rsid w:val="4E0F02B7"/>
    <w:rsid w:val="4E10402F"/>
    <w:rsid w:val="4E127DA7"/>
    <w:rsid w:val="4E143B1F"/>
    <w:rsid w:val="4E15789C"/>
    <w:rsid w:val="4E17716C"/>
    <w:rsid w:val="4E1B32C4"/>
    <w:rsid w:val="4E1C0C26"/>
    <w:rsid w:val="4E1C2F82"/>
    <w:rsid w:val="4E2135B6"/>
    <w:rsid w:val="4E220B95"/>
    <w:rsid w:val="4E231FB4"/>
    <w:rsid w:val="4E255D2C"/>
    <w:rsid w:val="4E296E9F"/>
    <w:rsid w:val="4E2C2E7D"/>
    <w:rsid w:val="4E2D4BE1"/>
    <w:rsid w:val="4E2E44B5"/>
    <w:rsid w:val="4E2E6640"/>
    <w:rsid w:val="4E306045"/>
    <w:rsid w:val="4E35675F"/>
    <w:rsid w:val="4E357C88"/>
    <w:rsid w:val="4E3645E8"/>
    <w:rsid w:val="4E395334"/>
    <w:rsid w:val="4E3A2543"/>
    <w:rsid w:val="4E3F019A"/>
    <w:rsid w:val="4E404914"/>
    <w:rsid w:val="4E406311"/>
    <w:rsid w:val="4E412773"/>
    <w:rsid w:val="4E434405"/>
    <w:rsid w:val="4E4361B3"/>
    <w:rsid w:val="4E455264"/>
    <w:rsid w:val="4E467A51"/>
    <w:rsid w:val="4E4B5462"/>
    <w:rsid w:val="4E4D2928"/>
    <w:rsid w:val="4E4D2C94"/>
    <w:rsid w:val="4E50267E"/>
    <w:rsid w:val="4E55685A"/>
    <w:rsid w:val="4E57373D"/>
    <w:rsid w:val="4E5C1022"/>
    <w:rsid w:val="4E5F4ACC"/>
    <w:rsid w:val="4E61488B"/>
    <w:rsid w:val="4E636855"/>
    <w:rsid w:val="4E641CFF"/>
    <w:rsid w:val="4E6434AC"/>
    <w:rsid w:val="4E661EA1"/>
    <w:rsid w:val="4E662580"/>
    <w:rsid w:val="4E683E6B"/>
    <w:rsid w:val="4E6A373F"/>
    <w:rsid w:val="4E6A772D"/>
    <w:rsid w:val="4E6A7BE3"/>
    <w:rsid w:val="4E6D1482"/>
    <w:rsid w:val="4E6F51FA"/>
    <w:rsid w:val="4E710F72"/>
    <w:rsid w:val="4E723568"/>
    <w:rsid w:val="4E742810"/>
    <w:rsid w:val="4E766588"/>
    <w:rsid w:val="4E773DE0"/>
    <w:rsid w:val="4E790B8C"/>
    <w:rsid w:val="4E791BD4"/>
    <w:rsid w:val="4E797E26"/>
    <w:rsid w:val="4E7B594C"/>
    <w:rsid w:val="4E7E71EB"/>
    <w:rsid w:val="4E7E7848"/>
    <w:rsid w:val="4E7F170B"/>
    <w:rsid w:val="4E807407"/>
    <w:rsid w:val="4E824F2D"/>
    <w:rsid w:val="4E846B2C"/>
    <w:rsid w:val="4E850579"/>
    <w:rsid w:val="4E86609F"/>
    <w:rsid w:val="4E881E17"/>
    <w:rsid w:val="4E8A5B90"/>
    <w:rsid w:val="4E8B73C1"/>
    <w:rsid w:val="4E8C7410"/>
    <w:rsid w:val="4E8F13F8"/>
    <w:rsid w:val="4E8F5F10"/>
    <w:rsid w:val="4E901197"/>
    <w:rsid w:val="4E942743"/>
    <w:rsid w:val="4E9470A5"/>
    <w:rsid w:val="4E955105"/>
    <w:rsid w:val="4E9B1B4B"/>
    <w:rsid w:val="4E9E163B"/>
    <w:rsid w:val="4E9E5ADF"/>
    <w:rsid w:val="4EA01857"/>
    <w:rsid w:val="4EA3285D"/>
    <w:rsid w:val="4EA45610"/>
    <w:rsid w:val="4EA4662C"/>
    <w:rsid w:val="4EA50589"/>
    <w:rsid w:val="4EA529C9"/>
    <w:rsid w:val="4EA639D7"/>
    <w:rsid w:val="4EA647B1"/>
    <w:rsid w:val="4EAC01FC"/>
    <w:rsid w:val="4EAC06BA"/>
    <w:rsid w:val="4EAD5D22"/>
    <w:rsid w:val="4EAF794C"/>
    <w:rsid w:val="4EB014EB"/>
    <w:rsid w:val="4EB32BB1"/>
    <w:rsid w:val="4EB32F1C"/>
    <w:rsid w:val="4EB42C0C"/>
    <w:rsid w:val="4EB66985"/>
    <w:rsid w:val="4EB946C7"/>
    <w:rsid w:val="4EB94F55"/>
    <w:rsid w:val="4EBB3F9B"/>
    <w:rsid w:val="4EBF1D53"/>
    <w:rsid w:val="4EC05A55"/>
    <w:rsid w:val="4EC2357B"/>
    <w:rsid w:val="4EC27A93"/>
    <w:rsid w:val="4EC27DE6"/>
    <w:rsid w:val="4EC310A1"/>
    <w:rsid w:val="4EC5306C"/>
    <w:rsid w:val="4EC740B1"/>
    <w:rsid w:val="4EC752C2"/>
    <w:rsid w:val="4EC76DE4"/>
    <w:rsid w:val="4EC866B8"/>
    <w:rsid w:val="4EC92B5C"/>
    <w:rsid w:val="4EC9520F"/>
    <w:rsid w:val="4ECA68D4"/>
    <w:rsid w:val="4ECC43FA"/>
    <w:rsid w:val="4ED46303"/>
    <w:rsid w:val="4EDD4561"/>
    <w:rsid w:val="4EDD6607"/>
    <w:rsid w:val="4EE16C0F"/>
    <w:rsid w:val="4EE31744"/>
    <w:rsid w:val="4EE52CAE"/>
    <w:rsid w:val="4EEA2AD2"/>
    <w:rsid w:val="4EED1B56"/>
    <w:rsid w:val="4EED4970"/>
    <w:rsid w:val="4EF83DE9"/>
    <w:rsid w:val="4EF92D15"/>
    <w:rsid w:val="4EFB2A70"/>
    <w:rsid w:val="4EFD2805"/>
    <w:rsid w:val="4EFD57A9"/>
    <w:rsid w:val="4EFE20DA"/>
    <w:rsid w:val="4F007C96"/>
    <w:rsid w:val="4F013C3A"/>
    <w:rsid w:val="4F022943"/>
    <w:rsid w:val="4F031FEF"/>
    <w:rsid w:val="4F041BE5"/>
    <w:rsid w:val="4F043B94"/>
    <w:rsid w:val="4F053391"/>
    <w:rsid w:val="4F05790C"/>
    <w:rsid w:val="4F063D1A"/>
    <w:rsid w:val="4F082F58"/>
    <w:rsid w:val="4F083BE4"/>
    <w:rsid w:val="4F09173B"/>
    <w:rsid w:val="4F0C238C"/>
    <w:rsid w:val="4F0D4691"/>
    <w:rsid w:val="4F0D6614"/>
    <w:rsid w:val="4F1162B1"/>
    <w:rsid w:val="4F121D4F"/>
    <w:rsid w:val="4F161B19"/>
    <w:rsid w:val="4F1813ED"/>
    <w:rsid w:val="4F18319B"/>
    <w:rsid w:val="4F1D43F5"/>
    <w:rsid w:val="4F2170AB"/>
    <w:rsid w:val="4F22226C"/>
    <w:rsid w:val="4F2333BD"/>
    <w:rsid w:val="4F275AD4"/>
    <w:rsid w:val="4F29184C"/>
    <w:rsid w:val="4F2A7373"/>
    <w:rsid w:val="4F2C4E99"/>
    <w:rsid w:val="4F3124AF"/>
    <w:rsid w:val="4F31425D"/>
    <w:rsid w:val="4F336227"/>
    <w:rsid w:val="4F3501F1"/>
    <w:rsid w:val="4F3A4713"/>
    <w:rsid w:val="4F3B50FE"/>
    <w:rsid w:val="4F3D0E54"/>
    <w:rsid w:val="4F3D2D2E"/>
    <w:rsid w:val="4F3D4166"/>
    <w:rsid w:val="4F4028E5"/>
    <w:rsid w:val="4F416B96"/>
    <w:rsid w:val="4F42646A"/>
    <w:rsid w:val="4F4421E2"/>
    <w:rsid w:val="4F455F5A"/>
    <w:rsid w:val="4F4A3571"/>
    <w:rsid w:val="4F4D30A0"/>
    <w:rsid w:val="4F4E7ABA"/>
    <w:rsid w:val="4F506DD9"/>
    <w:rsid w:val="4F532425"/>
    <w:rsid w:val="4F587A3C"/>
    <w:rsid w:val="4F5B752C"/>
    <w:rsid w:val="4F5E5054"/>
    <w:rsid w:val="4F5F701C"/>
    <w:rsid w:val="4F610FE6"/>
    <w:rsid w:val="4F6208BA"/>
    <w:rsid w:val="4F623422"/>
    <w:rsid w:val="4F625F52"/>
    <w:rsid w:val="4F6603AB"/>
    <w:rsid w:val="4F683249"/>
    <w:rsid w:val="4F6A4411"/>
    <w:rsid w:val="4F6C6998"/>
    <w:rsid w:val="4F6D70D8"/>
    <w:rsid w:val="4F6E3703"/>
    <w:rsid w:val="4F6E725F"/>
    <w:rsid w:val="4F702FD7"/>
    <w:rsid w:val="4F717CEE"/>
    <w:rsid w:val="4F75709D"/>
    <w:rsid w:val="4F764693"/>
    <w:rsid w:val="4F7D444D"/>
    <w:rsid w:val="4F824629"/>
    <w:rsid w:val="4F8551E9"/>
    <w:rsid w:val="4F862CB7"/>
    <w:rsid w:val="4F8847C5"/>
    <w:rsid w:val="4F8B5EA5"/>
    <w:rsid w:val="4F8B6063"/>
    <w:rsid w:val="4F912F4E"/>
    <w:rsid w:val="4F936CC6"/>
    <w:rsid w:val="4F952A3E"/>
    <w:rsid w:val="4F972FEC"/>
    <w:rsid w:val="4F9A44F8"/>
    <w:rsid w:val="4F9A62A6"/>
    <w:rsid w:val="4F9E669E"/>
    <w:rsid w:val="4FA03191"/>
    <w:rsid w:val="4FA95577"/>
    <w:rsid w:val="4FA95E2D"/>
    <w:rsid w:val="4FA964E9"/>
    <w:rsid w:val="4FAA3F1B"/>
    <w:rsid w:val="4FAA548A"/>
    <w:rsid w:val="4FAB400F"/>
    <w:rsid w:val="4FAE0921"/>
    <w:rsid w:val="4FAE2DF6"/>
    <w:rsid w:val="4FAF4E21"/>
    <w:rsid w:val="4FB055F9"/>
    <w:rsid w:val="4FB14976"/>
    <w:rsid w:val="4FB1539E"/>
    <w:rsid w:val="4FB8497E"/>
    <w:rsid w:val="4FBA3848"/>
    <w:rsid w:val="4FBA4253"/>
    <w:rsid w:val="4FBA6948"/>
    <w:rsid w:val="4FBC7794"/>
    <w:rsid w:val="4FBE4E29"/>
    <w:rsid w:val="4FBF11AA"/>
    <w:rsid w:val="4FC06758"/>
    <w:rsid w:val="4FC1669B"/>
    <w:rsid w:val="4FC41575"/>
    <w:rsid w:val="4FC430FC"/>
    <w:rsid w:val="4FC45105"/>
    <w:rsid w:val="4FC67EEA"/>
    <w:rsid w:val="4FC77B7E"/>
    <w:rsid w:val="4FC926E8"/>
    <w:rsid w:val="4FCA75A5"/>
    <w:rsid w:val="4FCB231E"/>
    <w:rsid w:val="4FCB46B2"/>
    <w:rsid w:val="4FCC3F86"/>
    <w:rsid w:val="4FCC4179"/>
    <w:rsid w:val="4FCC48AC"/>
    <w:rsid w:val="4FCE24D6"/>
    <w:rsid w:val="4FD317B8"/>
    <w:rsid w:val="4FD33C35"/>
    <w:rsid w:val="4FD605F9"/>
    <w:rsid w:val="4FD73056"/>
    <w:rsid w:val="4FD74E04"/>
    <w:rsid w:val="4FD756FD"/>
    <w:rsid w:val="4FD80A83"/>
    <w:rsid w:val="4FDC68BF"/>
    <w:rsid w:val="4FE37C4D"/>
    <w:rsid w:val="4FE460CE"/>
    <w:rsid w:val="4FEA1C5D"/>
    <w:rsid w:val="4FEA2998"/>
    <w:rsid w:val="4FEE65F2"/>
    <w:rsid w:val="4FEE6919"/>
    <w:rsid w:val="4FF0236A"/>
    <w:rsid w:val="4FF21C3E"/>
    <w:rsid w:val="4FF5172F"/>
    <w:rsid w:val="4FF534DD"/>
    <w:rsid w:val="4FF544EF"/>
    <w:rsid w:val="4FF963FF"/>
    <w:rsid w:val="4FFC2ABD"/>
    <w:rsid w:val="4FFE4A87"/>
    <w:rsid w:val="50023292"/>
    <w:rsid w:val="5006393C"/>
    <w:rsid w:val="50067498"/>
    <w:rsid w:val="50077D25"/>
    <w:rsid w:val="50083210"/>
    <w:rsid w:val="500931EC"/>
    <w:rsid w:val="500B3BFA"/>
    <w:rsid w:val="500B4BE0"/>
    <w:rsid w:val="500D4CCA"/>
    <w:rsid w:val="50106AF7"/>
    <w:rsid w:val="50111EE2"/>
    <w:rsid w:val="50120083"/>
    <w:rsid w:val="50137E07"/>
    <w:rsid w:val="50153B7F"/>
    <w:rsid w:val="5019541D"/>
    <w:rsid w:val="501F435C"/>
    <w:rsid w:val="50212FC0"/>
    <w:rsid w:val="50236BAB"/>
    <w:rsid w:val="50250266"/>
    <w:rsid w:val="502671EF"/>
    <w:rsid w:val="502B33A2"/>
    <w:rsid w:val="502D711A"/>
    <w:rsid w:val="502F5536"/>
    <w:rsid w:val="502F6BAC"/>
    <w:rsid w:val="50324731"/>
    <w:rsid w:val="503264DF"/>
    <w:rsid w:val="50342257"/>
    <w:rsid w:val="50357E38"/>
    <w:rsid w:val="50371D47"/>
    <w:rsid w:val="503A2A34"/>
    <w:rsid w:val="503A35E5"/>
    <w:rsid w:val="503C55AF"/>
    <w:rsid w:val="503E2640"/>
    <w:rsid w:val="50414974"/>
    <w:rsid w:val="504176F9"/>
    <w:rsid w:val="50463D38"/>
    <w:rsid w:val="50483F54"/>
    <w:rsid w:val="504953C2"/>
    <w:rsid w:val="504B2892"/>
    <w:rsid w:val="504C33D6"/>
    <w:rsid w:val="504D3F74"/>
    <w:rsid w:val="504D4AB5"/>
    <w:rsid w:val="505226DD"/>
    <w:rsid w:val="50546455"/>
    <w:rsid w:val="505605DA"/>
    <w:rsid w:val="50595BFA"/>
    <w:rsid w:val="505C17AE"/>
    <w:rsid w:val="505E0749"/>
    <w:rsid w:val="505E3468"/>
    <w:rsid w:val="50601944"/>
    <w:rsid w:val="50610AE4"/>
    <w:rsid w:val="50617C0F"/>
    <w:rsid w:val="506348EA"/>
    <w:rsid w:val="506440E9"/>
    <w:rsid w:val="5066262C"/>
    <w:rsid w:val="50682B37"/>
    <w:rsid w:val="506A211C"/>
    <w:rsid w:val="506A31A2"/>
    <w:rsid w:val="506B4F58"/>
    <w:rsid w:val="506B7C43"/>
    <w:rsid w:val="506D39BB"/>
    <w:rsid w:val="506D7517"/>
    <w:rsid w:val="5070232D"/>
    <w:rsid w:val="507048A2"/>
    <w:rsid w:val="50715259"/>
    <w:rsid w:val="50744D49"/>
    <w:rsid w:val="50753961"/>
    <w:rsid w:val="507629FF"/>
    <w:rsid w:val="507B28FD"/>
    <w:rsid w:val="507C775A"/>
    <w:rsid w:val="507E1724"/>
    <w:rsid w:val="5082003A"/>
    <w:rsid w:val="50833C49"/>
    <w:rsid w:val="508724A5"/>
    <w:rsid w:val="50874A7C"/>
    <w:rsid w:val="50890D42"/>
    <w:rsid w:val="50897CB4"/>
    <w:rsid w:val="508B3E41"/>
    <w:rsid w:val="508D7BB9"/>
    <w:rsid w:val="508F56DF"/>
    <w:rsid w:val="509176A9"/>
    <w:rsid w:val="509251CF"/>
    <w:rsid w:val="50926F7D"/>
    <w:rsid w:val="50934DF9"/>
    <w:rsid w:val="50936F77"/>
    <w:rsid w:val="5093764E"/>
    <w:rsid w:val="509A3584"/>
    <w:rsid w:val="509A5B6A"/>
    <w:rsid w:val="509B4D1B"/>
    <w:rsid w:val="50A06F16"/>
    <w:rsid w:val="50A21D54"/>
    <w:rsid w:val="50A75EE2"/>
    <w:rsid w:val="50AA2519"/>
    <w:rsid w:val="50AA42C7"/>
    <w:rsid w:val="50AC2CFF"/>
    <w:rsid w:val="50AC44E3"/>
    <w:rsid w:val="50AD1691"/>
    <w:rsid w:val="50AD3DB7"/>
    <w:rsid w:val="50AF14D1"/>
    <w:rsid w:val="50AF7B2F"/>
    <w:rsid w:val="50B12FCF"/>
    <w:rsid w:val="50B25872"/>
    <w:rsid w:val="50B30953"/>
    <w:rsid w:val="50B909AE"/>
    <w:rsid w:val="50BA6ACC"/>
    <w:rsid w:val="50BC3FFA"/>
    <w:rsid w:val="50BE7D72"/>
    <w:rsid w:val="50BF4565"/>
    <w:rsid w:val="50BF6038"/>
    <w:rsid w:val="50C35389"/>
    <w:rsid w:val="50C51101"/>
    <w:rsid w:val="50C57353"/>
    <w:rsid w:val="50C6521F"/>
    <w:rsid w:val="50C85FB7"/>
    <w:rsid w:val="50CD2020"/>
    <w:rsid w:val="50D13C0F"/>
    <w:rsid w:val="50D15CF8"/>
    <w:rsid w:val="50D2178B"/>
    <w:rsid w:val="50D3475E"/>
    <w:rsid w:val="50D354E4"/>
    <w:rsid w:val="50D653B2"/>
    <w:rsid w:val="50D7144B"/>
    <w:rsid w:val="50D92DFE"/>
    <w:rsid w:val="50DD28EE"/>
    <w:rsid w:val="50DE6667"/>
    <w:rsid w:val="50E53B70"/>
    <w:rsid w:val="50E75024"/>
    <w:rsid w:val="50E7551B"/>
    <w:rsid w:val="50E81293"/>
    <w:rsid w:val="50E960C0"/>
    <w:rsid w:val="50E963C7"/>
    <w:rsid w:val="50E96826"/>
    <w:rsid w:val="50EA500B"/>
    <w:rsid w:val="50EE1EB6"/>
    <w:rsid w:val="50EF43D0"/>
    <w:rsid w:val="50EF4608"/>
    <w:rsid w:val="50F1639A"/>
    <w:rsid w:val="50F6575E"/>
    <w:rsid w:val="50F73284"/>
    <w:rsid w:val="50F7456B"/>
    <w:rsid w:val="50F80BA4"/>
    <w:rsid w:val="50F815B1"/>
    <w:rsid w:val="50F96FFC"/>
    <w:rsid w:val="50FC4267"/>
    <w:rsid w:val="50FD59A5"/>
    <w:rsid w:val="50FD7827"/>
    <w:rsid w:val="510220E2"/>
    <w:rsid w:val="51041A36"/>
    <w:rsid w:val="5107750D"/>
    <w:rsid w:val="510F05CE"/>
    <w:rsid w:val="511646DB"/>
    <w:rsid w:val="51166F3E"/>
    <w:rsid w:val="511856D5"/>
    <w:rsid w:val="511E6A63"/>
    <w:rsid w:val="511F2F07"/>
    <w:rsid w:val="511F7454"/>
    <w:rsid w:val="51217A74"/>
    <w:rsid w:val="51220301"/>
    <w:rsid w:val="51254295"/>
    <w:rsid w:val="51277EC3"/>
    <w:rsid w:val="51295B34"/>
    <w:rsid w:val="512A36A1"/>
    <w:rsid w:val="512C5624"/>
    <w:rsid w:val="512D47EE"/>
    <w:rsid w:val="512F49CB"/>
    <w:rsid w:val="51330760"/>
    <w:rsid w:val="51336538"/>
    <w:rsid w:val="51377BA2"/>
    <w:rsid w:val="5139002B"/>
    <w:rsid w:val="513970D2"/>
    <w:rsid w:val="514022A0"/>
    <w:rsid w:val="5141138A"/>
    <w:rsid w:val="51422751"/>
    <w:rsid w:val="51450494"/>
    <w:rsid w:val="514A67A0"/>
    <w:rsid w:val="514E0864"/>
    <w:rsid w:val="514F0813"/>
    <w:rsid w:val="5150612E"/>
    <w:rsid w:val="51514940"/>
    <w:rsid w:val="5153670D"/>
    <w:rsid w:val="515626A1"/>
    <w:rsid w:val="515661FD"/>
    <w:rsid w:val="51597A9B"/>
    <w:rsid w:val="515A286A"/>
    <w:rsid w:val="515C7753"/>
    <w:rsid w:val="515E4EF1"/>
    <w:rsid w:val="515F1555"/>
    <w:rsid w:val="516046B2"/>
    <w:rsid w:val="516218E6"/>
    <w:rsid w:val="51624BA2"/>
    <w:rsid w:val="5163236B"/>
    <w:rsid w:val="5164091A"/>
    <w:rsid w:val="51646634"/>
    <w:rsid w:val="51651CBF"/>
    <w:rsid w:val="516558A0"/>
    <w:rsid w:val="5166335F"/>
    <w:rsid w:val="516721B8"/>
    <w:rsid w:val="51693144"/>
    <w:rsid w:val="51695F30"/>
    <w:rsid w:val="516F72BF"/>
    <w:rsid w:val="517174DB"/>
    <w:rsid w:val="51744A4A"/>
    <w:rsid w:val="51750D79"/>
    <w:rsid w:val="51764AF1"/>
    <w:rsid w:val="51766434"/>
    <w:rsid w:val="5176689F"/>
    <w:rsid w:val="51775C10"/>
    <w:rsid w:val="517A638F"/>
    <w:rsid w:val="517B2107"/>
    <w:rsid w:val="518267FF"/>
    <w:rsid w:val="51891C98"/>
    <w:rsid w:val="518A7140"/>
    <w:rsid w:val="518B776F"/>
    <w:rsid w:val="518E1E3B"/>
    <w:rsid w:val="51905BB3"/>
    <w:rsid w:val="519458D6"/>
    <w:rsid w:val="51976F41"/>
    <w:rsid w:val="519805C3"/>
    <w:rsid w:val="51986815"/>
    <w:rsid w:val="519A0650"/>
    <w:rsid w:val="519A433C"/>
    <w:rsid w:val="519B4246"/>
    <w:rsid w:val="51A056CA"/>
    <w:rsid w:val="51A15F1D"/>
    <w:rsid w:val="51A17751"/>
    <w:rsid w:val="51A46F68"/>
    <w:rsid w:val="51A54D2C"/>
    <w:rsid w:val="51A67184"/>
    <w:rsid w:val="51A84F4B"/>
    <w:rsid w:val="51A90A23"/>
    <w:rsid w:val="51AB479B"/>
    <w:rsid w:val="51AB6549"/>
    <w:rsid w:val="51B16B31"/>
    <w:rsid w:val="51B278FC"/>
    <w:rsid w:val="51B34D95"/>
    <w:rsid w:val="51B51175"/>
    <w:rsid w:val="51B57864"/>
    <w:rsid w:val="51B64EEE"/>
    <w:rsid w:val="51BA020E"/>
    <w:rsid w:val="51BB2485"/>
    <w:rsid w:val="51BB2504"/>
    <w:rsid w:val="51C21AE4"/>
    <w:rsid w:val="51C36F2F"/>
    <w:rsid w:val="51C4585C"/>
    <w:rsid w:val="51C55131"/>
    <w:rsid w:val="51C61046"/>
    <w:rsid w:val="51C63383"/>
    <w:rsid w:val="51C6348B"/>
    <w:rsid w:val="51C745B5"/>
    <w:rsid w:val="51C97499"/>
    <w:rsid w:val="51CA3B38"/>
    <w:rsid w:val="51CB2B69"/>
    <w:rsid w:val="51CC1C4E"/>
    <w:rsid w:val="51CE0489"/>
    <w:rsid w:val="51D11D27"/>
    <w:rsid w:val="51D81308"/>
    <w:rsid w:val="51DA5080"/>
    <w:rsid w:val="51DD247A"/>
    <w:rsid w:val="51DE005C"/>
    <w:rsid w:val="51DF5EE2"/>
    <w:rsid w:val="51E101BC"/>
    <w:rsid w:val="51E269DA"/>
    <w:rsid w:val="51E33C89"/>
    <w:rsid w:val="51E47CAD"/>
    <w:rsid w:val="51E63A25"/>
    <w:rsid w:val="51E90E1F"/>
    <w:rsid w:val="51E97071"/>
    <w:rsid w:val="51EB49DF"/>
    <w:rsid w:val="51EE13B5"/>
    <w:rsid w:val="51EE685C"/>
    <w:rsid w:val="51EF0175"/>
    <w:rsid w:val="51F0365A"/>
    <w:rsid w:val="51F07EE3"/>
    <w:rsid w:val="51F53C68"/>
    <w:rsid w:val="51F86F07"/>
    <w:rsid w:val="51FA6115"/>
    <w:rsid w:val="51FC6DA4"/>
    <w:rsid w:val="5202483E"/>
    <w:rsid w:val="52043A97"/>
    <w:rsid w:val="520605DB"/>
    <w:rsid w:val="52070FB5"/>
    <w:rsid w:val="52080142"/>
    <w:rsid w:val="52081BED"/>
    <w:rsid w:val="52084F42"/>
    <w:rsid w:val="520914C1"/>
    <w:rsid w:val="5209326F"/>
    <w:rsid w:val="52097713"/>
    <w:rsid w:val="520A30CD"/>
    <w:rsid w:val="520A3281"/>
    <w:rsid w:val="520B3C6B"/>
    <w:rsid w:val="520B4EC9"/>
    <w:rsid w:val="520D0FB1"/>
    <w:rsid w:val="520D7203"/>
    <w:rsid w:val="520E0886"/>
    <w:rsid w:val="520E4D2A"/>
    <w:rsid w:val="520E6AD8"/>
    <w:rsid w:val="520F4BCB"/>
    <w:rsid w:val="52152393"/>
    <w:rsid w:val="52153D1C"/>
    <w:rsid w:val="521A1920"/>
    <w:rsid w:val="521D389B"/>
    <w:rsid w:val="521D6D1B"/>
    <w:rsid w:val="522074D7"/>
    <w:rsid w:val="52266244"/>
    <w:rsid w:val="522A0746"/>
    <w:rsid w:val="522B3DE7"/>
    <w:rsid w:val="52302EF2"/>
    <w:rsid w:val="52320A18"/>
    <w:rsid w:val="52334E65"/>
    <w:rsid w:val="52344790"/>
    <w:rsid w:val="52352B08"/>
    <w:rsid w:val="52356EF6"/>
    <w:rsid w:val="52363773"/>
    <w:rsid w:val="5237602E"/>
    <w:rsid w:val="523A167B"/>
    <w:rsid w:val="523E39AD"/>
    <w:rsid w:val="523E73BD"/>
    <w:rsid w:val="523F4EE3"/>
    <w:rsid w:val="52421F89"/>
    <w:rsid w:val="52440199"/>
    <w:rsid w:val="52450697"/>
    <w:rsid w:val="52462715"/>
    <w:rsid w:val="524A3FB4"/>
    <w:rsid w:val="524B0E0B"/>
    <w:rsid w:val="524E3378"/>
    <w:rsid w:val="52500E9E"/>
    <w:rsid w:val="52505342"/>
    <w:rsid w:val="52522E68"/>
    <w:rsid w:val="52537CBD"/>
    <w:rsid w:val="52546BE0"/>
    <w:rsid w:val="52552958"/>
    <w:rsid w:val="52552ABF"/>
    <w:rsid w:val="52560263"/>
    <w:rsid w:val="52566507"/>
    <w:rsid w:val="52576C0F"/>
    <w:rsid w:val="525F10E1"/>
    <w:rsid w:val="526037D7"/>
    <w:rsid w:val="52632790"/>
    <w:rsid w:val="52656074"/>
    <w:rsid w:val="5268268C"/>
    <w:rsid w:val="52691F60"/>
    <w:rsid w:val="526B16ED"/>
    <w:rsid w:val="526B217C"/>
    <w:rsid w:val="526B41D6"/>
    <w:rsid w:val="526E052A"/>
    <w:rsid w:val="526E48F5"/>
    <w:rsid w:val="526F57C8"/>
    <w:rsid w:val="527032EE"/>
    <w:rsid w:val="52754DA9"/>
    <w:rsid w:val="527A5F1B"/>
    <w:rsid w:val="527B23BF"/>
    <w:rsid w:val="527D0F1A"/>
    <w:rsid w:val="527E1EAF"/>
    <w:rsid w:val="52825A68"/>
    <w:rsid w:val="52831274"/>
    <w:rsid w:val="52837599"/>
    <w:rsid w:val="5284500C"/>
    <w:rsid w:val="52880638"/>
    <w:rsid w:val="528D20F2"/>
    <w:rsid w:val="528D3D0D"/>
    <w:rsid w:val="528E4A1C"/>
    <w:rsid w:val="528F117E"/>
    <w:rsid w:val="52923265"/>
    <w:rsid w:val="52927709"/>
    <w:rsid w:val="52972F71"/>
    <w:rsid w:val="52974D1F"/>
    <w:rsid w:val="529945F3"/>
    <w:rsid w:val="529D5381"/>
    <w:rsid w:val="529E1C09"/>
    <w:rsid w:val="529E42FF"/>
    <w:rsid w:val="52A22E8C"/>
    <w:rsid w:val="52A25B08"/>
    <w:rsid w:val="52A33A2B"/>
    <w:rsid w:val="52A35472"/>
    <w:rsid w:val="52A511EA"/>
    <w:rsid w:val="52AB07CA"/>
    <w:rsid w:val="52AB4326"/>
    <w:rsid w:val="52AD009F"/>
    <w:rsid w:val="52AE4BDC"/>
    <w:rsid w:val="52B0193D"/>
    <w:rsid w:val="52B23907"/>
    <w:rsid w:val="52B50A93"/>
    <w:rsid w:val="52B551A5"/>
    <w:rsid w:val="52B63CA5"/>
    <w:rsid w:val="52B64958"/>
    <w:rsid w:val="52B93E22"/>
    <w:rsid w:val="52B96A43"/>
    <w:rsid w:val="52BB0456"/>
    <w:rsid w:val="52BB2142"/>
    <w:rsid w:val="52BD3913"/>
    <w:rsid w:val="52C443BD"/>
    <w:rsid w:val="52C553E8"/>
    <w:rsid w:val="52C67E3B"/>
    <w:rsid w:val="52CA29FF"/>
    <w:rsid w:val="52CB6777"/>
    <w:rsid w:val="52CC0A7E"/>
    <w:rsid w:val="52CF44B9"/>
    <w:rsid w:val="52D26933"/>
    <w:rsid w:val="52D55126"/>
    <w:rsid w:val="52D753D2"/>
    <w:rsid w:val="52D95337"/>
    <w:rsid w:val="52D964A2"/>
    <w:rsid w:val="52DA26AF"/>
    <w:rsid w:val="52DA429F"/>
    <w:rsid w:val="52DB7467"/>
    <w:rsid w:val="52DE2094"/>
    <w:rsid w:val="52DE46FC"/>
    <w:rsid w:val="52DF7958"/>
    <w:rsid w:val="52E15F9A"/>
    <w:rsid w:val="52E2440D"/>
    <w:rsid w:val="52E43B5E"/>
    <w:rsid w:val="52E622F6"/>
    <w:rsid w:val="52E773DC"/>
    <w:rsid w:val="52E80330"/>
    <w:rsid w:val="52E8557B"/>
    <w:rsid w:val="52EC506B"/>
    <w:rsid w:val="52ED2B91"/>
    <w:rsid w:val="52ED493F"/>
    <w:rsid w:val="52EF3383"/>
    <w:rsid w:val="52EF6909"/>
    <w:rsid w:val="52F45CCD"/>
    <w:rsid w:val="52F65EE9"/>
    <w:rsid w:val="52F7756C"/>
    <w:rsid w:val="52F8213F"/>
    <w:rsid w:val="52FB52AE"/>
    <w:rsid w:val="52FD0DA0"/>
    <w:rsid w:val="530323B4"/>
    <w:rsid w:val="5303454C"/>
    <w:rsid w:val="53057EDB"/>
    <w:rsid w:val="53071EA5"/>
    <w:rsid w:val="53081779"/>
    <w:rsid w:val="53095C1D"/>
    <w:rsid w:val="530A0261"/>
    <w:rsid w:val="530D4FE1"/>
    <w:rsid w:val="530F0D59"/>
    <w:rsid w:val="53120C43"/>
    <w:rsid w:val="531225F7"/>
    <w:rsid w:val="53181F32"/>
    <w:rsid w:val="531A3B87"/>
    <w:rsid w:val="531A4661"/>
    <w:rsid w:val="531B2DE4"/>
    <w:rsid w:val="531C453C"/>
    <w:rsid w:val="532145F9"/>
    <w:rsid w:val="53277E51"/>
    <w:rsid w:val="532A371A"/>
    <w:rsid w:val="532E3CE9"/>
    <w:rsid w:val="532E5683"/>
    <w:rsid w:val="532F2F36"/>
    <w:rsid w:val="532F31A9"/>
    <w:rsid w:val="53302860"/>
    <w:rsid w:val="53304C5D"/>
    <w:rsid w:val="53305E18"/>
    <w:rsid w:val="533274DE"/>
    <w:rsid w:val="53352FF5"/>
    <w:rsid w:val="53381997"/>
    <w:rsid w:val="53397B84"/>
    <w:rsid w:val="533C62EE"/>
    <w:rsid w:val="533D5A7E"/>
    <w:rsid w:val="53407165"/>
    <w:rsid w:val="53416CC6"/>
    <w:rsid w:val="53426A39"/>
    <w:rsid w:val="534530AA"/>
    <w:rsid w:val="53453C69"/>
    <w:rsid w:val="53476745"/>
    <w:rsid w:val="534C0852"/>
    <w:rsid w:val="534F73A8"/>
    <w:rsid w:val="535111C6"/>
    <w:rsid w:val="53511372"/>
    <w:rsid w:val="53514ECE"/>
    <w:rsid w:val="53536E98"/>
    <w:rsid w:val="53591FD4"/>
    <w:rsid w:val="535B3F9E"/>
    <w:rsid w:val="535D3873"/>
    <w:rsid w:val="53607807"/>
    <w:rsid w:val="53652272"/>
    <w:rsid w:val="53660DB0"/>
    <w:rsid w:val="536760AB"/>
    <w:rsid w:val="536C7F5A"/>
    <w:rsid w:val="536D5820"/>
    <w:rsid w:val="536F17F8"/>
    <w:rsid w:val="53715570"/>
    <w:rsid w:val="53721D2E"/>
    <w:rsid w:val="5377344B"/>
    <w:rsid w:val="53784B50"/>
    <w:rsid w:val="537B63EF"/>
    <w:rsid w:val="53800393"/>
    <w:rsid w:val="53806831"/>
    <w:rsid w:val="53827989"/>
    <w:rsid w:val="53876CC3"/>
    <w:rsid w:val="538A2B86"/>
    <w:rsid w:val="538E6122"/>
    <w:rsid w:val="538E7BF7"/>
    <w:rsid w:val="5394300C"/>
    <w:rsid w:val="5396225C"/>
    <w:rsid w:val="5398280E"/>
    <w:rsid w:val="5399441D"/>
    <w:rsid w:val="53997AAA"/>
    <w:rsid w:val="539A4AC7"/>
    <w:rsid w:val="539A6875"/>
    <w:rsid w:val="539B1DA8"/>
    <w:rsid w:val="539B25ED"/>
    <w:rsid w:val="539D1121"/>
    <w:rsid w:val="53A25729"/>
    <w:rsid w:val="53A30B5C"/>
    <w:rsid w:val="53A414A2"/>
    <w:rsid w:val="53A45945"/>
    <w:rsid w:val="53A63401"/>
    <w:rsid w:val="53A72D40"/>
    <w:rsid w:val="53A92F5C"/>
    <w:rsid w:val="53AA2830"/>
    <w:rsid w:val="53AB262E"/>
    <w:rsid w:val="53AC0356"/>
    <w:rsid w:val="53AE5DFB"/>
    <w:rsid w:val="53B042EA"/>
    <w:rsid w:val="53B271C1"/>
    <w:rsid w:val="53B35B89"/>
    <w:rsid w:val="53B4257B"/>
    <w:rsid w:val="53B45BDE"/>
    <w:rsid w:val="53B60FE2"/>
    <w:rsid w:val="53B96779"/>
    <w:rsid w:val="53BB2A71"/>
    <w:rsid w:val="53BC2C8F"/>
    <w:rsid w:val="53BE2C48"/>
    <w:rsid w:val="53C41B44"/>
    <w:rsid w:val="53C51C5A"/>
    <w:rsid w:val="53C733E2"/>
    <w:rsid w:val="53C75190"/>
    <w:rsid w:val="53C9479B"/>
    <w:rsid w:val="53CD508E"/>
    <w:rsid w:val="53CF12BA"/>
    <w:rsid w:val="53CF1799"/>
    <w:rsid w:val="53CF6214"/>
    <w:rsid w:val="53D02297"/>
    <w:rsid w:val="53D33B35"/>
    <w:rsid w:val="53D37FD9"/>
    <w:rsid w:val="53D855EF"/>
    <w:rsid w:val="53DA3115"/>
    <w:rsid w:val="53DB0C3B"/>
    <w:rsid w:val="53DD0E57"/>
    <w:rsid w:val="53E06252"/>
    <w:rsid w:val="53E126F6"/>
    <w:rsid w:val="53E21FCA"/>
    <w:rsid w:val="53E253C8"/>
    <w:rsid w:val="53E43F94"/>
    <w:rsid w:val="53E67D0C"/>
    <w:rsid w:val="53E915AA"/>
    <w:rsid w:val="53E932F1"/>
    <w:rsid w:val="53E93358"/>
    <w:rsid w:val="53E977FC"/>
    <w:rsid w:val="53EB5322"/>
    <w:rsid w:val="53EB5FE8"/>
    <w:rsid w:val="53EE096F"/>
    <w:rsid w:val="53EE7333"/>
    <w:rsid w:val="53EF7110"/>
    <w:rsid w:val="53F008AC"/>
    <w:rsid w:val="53F01C7A"/>
    <w:rsid w:val="53F1045F"/>
    <w:rsid w:val="53F51CFD"/>
    <w:rsid w:val="53F561A1"/>
    <w:rsid w:val="53F57F4F"/>
    <w:rsid w:val="53F77F45"/>
    <w:rsid w:val="53FC752F"/>
    <w:rsid w:val="53FD32A8"/>
    <w:rsid w:val="53FD6E04"/>
    <w:rsid w:val="53FE2C5D"/>
    <w:rsid w:val="540006A2"/>
    <w:rsid w:val="54002199"/>
    <w:rsid w:val="54063F0A"/>
    <w:rsid w:val="54085FA2"/>
    <w:rsid w:val="54086FED"/>
    <w:rsid w:val="54091C4C"/>
    <w:rsid w:val="541008E5"/>
    <w:rsid w:val="54103B62"/>
    <w:rsid w:val="54106B37"/>
    <w:rsid w:val="54120B01"/>
    <w:rsid w:val="541250CE"/>
    <w:rsid w:val="54134879"/>
    <w:rsid w:val="54157B84"/>
    <w:rsid w:val="54183C3E"/>
    <w:rsid w:val="541859EC"/>
    <w:rsid w:val="54185AF9"/>
    <w:rsid w:val="541A66F2"/>
    <w:rsid w:val="541D61FA"/>
    <w:rsid w:val="541E278A"/>
    <w:rsid w:val="541E2DD9"/>
    <w:rsid w:val="541F37B3"/>
    <w:rsid w:val="5426761E"/>
    <w:rsid w:val="542809AE"/>
    <w:rsid w:val="54294671"/>
    <w:rsid w:val="54336CC9"/>
    <w:rsid w:val="54341756"/>
    <w:rsid w:val="54344EED"/>
    <w:rsid w:val="54352A41"/>
    <w:rsid w:val="54372D88"/>
    <w:rsid w:val="54375959"/>
    <w:rsid w:val="543A3BB4"/>
    <w:rsid w:val="543D2A82"/>
    <w:rsid w:val="543F2D91"/>
    <w:rsid w:val="54460374"/>
    <w:rsid w:val="54462559"/>
    <w:rsid w:val="54470F13"/>
    <w:rsid w:val="544762D1"/>
    <w:rsid w:val="54487F8F"/>
    <w:rsid w:val="5449248C"/>
    <w:rsid w:val="54493DF7"/>
    <w:rsid w:val="544B7B6F"/>
    <w:rsid w:val="544E2750"/>
    <w:rsid w:val="544E4545"/>
    <w:rsid w:val="544E58B1"/>
    <w:rsid w:val="544F249F"/>
    <w:rsid w:val="5451312B"/>
    <w:rsid w:val="545532C4"/>
    <w:rsid w:val="54556C40"/>
    <w:rsid w:val="545804DE"/>
    <w:rsid w:val="545A049F"/>
    <w:rsid w:val="545A24A8"/>
    <w:rsid w:val="545A3E3E"/>
    <w:rsid w:val="545F7ABE"/>
    <w:rsid w:val="545F7EEA"/>
    <w:rsid w:val="54622097"/>
    <w:rsid w:val="54660E4D"/>
    <w:rsid w:val="546934A0"/>
    <w:rsid w:val="546B1FBF"/>
    <w:rsid w:val="546C6876"/>
    <w:rsid w:val="546E05F9"/>
    <w:rsid w:val="54703A7A"/>
    <w:rsid w:val="54704BE5"/>
    <w:rsid w:val="54712A08"/>
    <w:rsid w:val="547146BE"/>
    <w:rsid w:val="54751090"/>
    <w:rsid w:val="54752A66"/>
    <w:rsid w:val="547630C2"/>
    <w:rsid w:val="5479292E"/>
    <w:rsid w:val="547A48F8"/>
    <w:rsid w:val="547E1787"/>
    <w:rsid w:val="548117E3"/>
    <w:rsid w:val="54831C4B"/>
    <w:rsid w:val="548412D3"/>
    <w:rsid w:val="54866F2F"/>
    <w:rsid w:val="54892630"/>
    <w:rsid w:val="548968E9"/>
    <w:rsid w:val="548A170C"/>
    <w:rsid w:val="548B08B3"/>
    <w:rsid w:val="548D1D4F"/>
    <w:rsid w:val="548E3F00"/>
    <w:rsid w:val="54921C42"/>
    <w:rsid w:val="549239F0"/>
    <w:rsid w:val="549332C4"/>
    <w:rsid w:val="54977258"/>
    <w:rsid w:val="54984024"/>
    <w:rsid w:val="54996B2C"/>
    <w:rsid w:val="54997E8E"/>
    <w:rsid w:val="549B0144"/>
    <w:rsid w:val="549C03CB"/>
    <w:rsid w:val="549C0AA6"/>
    <w:rsid w:val="549C1469"/>
    <w:rsid w:val="549C486F"/>
    <w:rsid w:val="549E4143"/>
    <w:rsid w:val="54A12E7B"/>
    <w:rsid w:val="54A159E1"/>
    <w:rsid w:val="54A551A5"/>
    <w:rsid w:val="54A656CD"/>
    <w:rsid w:val="54A84427"/>
    <w:rsid w:val="54A86D6F"/>
    <w:rsid w:val="54AF0CCC"/>
    <w:rsid w:val="54AF41C7"/>
    <w:rsid w:val="54AF6350"/>
    <w:rsid w:val="54AF757F"/>
    <w:rsid w:val="54B0073B"/>
    <w:rsid w:val="54B5148C"/>
    <w:rsid w:val="54BC281B"/>
    <w:rsid w:val="54BC6CBF"/>
    <w:rsid w:val="54C0055D"/>
    <w:rsid w:val="54C0791A"/>
    <w:rsid w:val="54C3004D"/>
    <w:rsid w:val="54C6402E"/>
    <w:rsid w:val="54C66B7F"/>
    <w:rsid w:val="54C67B93"/>
    <w:rsid w:val="54C730CC"/>
    <w:rsid w:val="54CF254E"/>
    <w:rsid w:val="54CF69F2"/>
    <w:rsid w:val="54D854DC"/>
    <w:rsid w:val="54D97871"/>
    <w:rsid w:val="54DA0EF3"/>
    <w:rsid w:val="54DA4289"/>
    <w:rsid w:val="54DA5843"/>
    <w:rsid w:val="54DC4C6B"/>
    <w:rsid w:val="54DE4E87"/>
    <w:rsid w:val="54E016AD"/>
    <w:rsid w:val="54E029AD"/>
    <w:rsid w:val="54E0645C"/>
    <w:rsid w:val="54E104D3"/>
    <w:rsid w:val="54E306C2"/>
    <w:rsid w:val="54E35B3F"/>
    <w:rsid w:val="54E51D72"/>
    <w:rsid w:val="54E5679E"/>
    <w:rsid w:val="54E65AEA"/>
    <w:rsid w:val="54E87AB4"/>
    <w:rsid w:val="54EB1352"/>
    <w:rsid w:val="54EF499E"/>
    <w:rsid w:val="54F14BBA"/>
    <w:rsid w:val="54F16968"/>
    <w:rsid w:val="54F169EE"/>
    <w:rsid w:val="54F2623D"/>
    <w:rsid w:val="54F32342"/>
    <w:rsid w:val="54F326AE"/>
    <w:rsid w:val="54F55D2D"/>
    <w:rsid w:val="54F63F7F"/>
    <w:rsid w:val="54F94081"/>
    <w:rsid w:val="54FF66A9"/>
    <w:rsid w:val="550058CC"/>
    <w:rsid w:val="5503317B"/>
    <w:rsid w:val="55045B77"/>
    <w:rsid w:val="55094E12"/>
    <w:rsid w:val="55095721"/>
    <w:rsid w:val="550B10E8"/>
    <w:rsid w:val="550B72FE"/>
    <w:rsid w:val="550D3076"/>
    <w:rsid w:val="550F5041"/>
    <w:rsid w:val="5511000D"/>
    <w:rsid w:val="55110D55"/>
    <w:rsid w:val="55115430"/>
    <w:rsid w:val="5516017D"/>
    <w:rsid w:val="55161546"/>
    <w:rsid w:val="55161AA1"/>
    <w:rsid w:val="551709E9"/>
    <w:rsid w:val="551752CF"/>
    <w:rsid w:val="551E15B9"/>
    <w:rsid w:val="5520389F"/>
    <w:rsid w:val="5520724E"/>
    <w:rsid w:val="5523289A"/>
    <w:rsid w:val="55236D3E"/>
    <w:rsid w:val="55292301"/>
    <w:rsid w:val="552A00CC"/>
    <w:rsid w:val="552A1E7A"/>
    <w:rsid w:val="552D196B"/>
    <w:rsid w:val="552D3FD0"/>
    <w:rsid w:val="5531510A"/>
    <w:rsid w:val="55366A71"/>
    <w:rsid w:val="553700F3"/>
    <w:rsid w:val="55385EB9"/>
    <w:rsid w:val="5539030F"/>
    <w:rsid w:val="5539097C"/>
    <w:rsid w:val="553B3294"/>
    <w:rsid w:val="553E1482"/>
    <w:rsid w:val="553F6A58"/>
    <w:rsid w:val="55405FF2"/>
    <w:rsid w:val="55470B40"/>
    <w:rsid w:val="55480552"/>
    <w:rsid w:val="554967A4"/>
    <w:rsid w:val="554A6079"/>
    <w:rsid w:val="554D5B69"/>
    <w:rsid w:val="55510743"/>
    <w:rsid w:val="5551093D"/>
    <w:rsid w:val="5553527F"/>
    <w:rsid w:val="55540C16"/>
    <w:rsid w:val="555420CC"/>
    <w:rsid w:val="55581E8F"/>
    <w:rsid w:val="5559450E"/>
    <w:rsid w:val="555C5C8D"/>
    <w:rsid w:val="555E1B24"/>
    <w:rsid w:val="5560764A"/>
    <w:rsid w:val="55627866"/>
    <w:rsid w:val="55647E9C"/>
    <w:rsid w:val="556E620B"/>
    <w:rsid w:val="556F5ADF"/>
    <w:rsid w:val="55713605"/>
    <w:rsid w:val="55733821"/>
    <w:rsid w:val="557430F6"/>
    <w:rsid w:val="55744578"/>
    <w:rsid w:val="55745982"/>
    <w:rsid w:val="557467B6"/>
    <w:rsid w:val="55754C1A"/>
    <w:rsid w:val="55775466"/>
    <w:rsid w:val="55780E38"/>
    <w:rsid w:val="557B0928"/>
    <w:rsid w:val="557B1EFF"/>
    <w:rsid w:val="557E5D22"/>
    <w:rsid w:val="558275C0"/>
    <w:rsid w:val="558301B6"/>
    <w:rsid w:val="55853555"/>
    <w:rsid w:val="558570B1"/>
    <w:rsid w:val="55863ACB"/>
    <w:rsid w:val="55865164"/>
    <w:rsid w:val="5589244C"/>
    <w:rsid w:val="558D636D"/>
    <w:rsid w:val="558E065B"/>
    <w:rsid w:val="55904B7D"/>
    <w:rsid w:val="559246F5"/>
    <w:rsid w:val="55937A20"/>
    <w:rsid w:val="559519EA"/>
    <w:rsid w:val="55963A3E"/>
    <w:rsid w:val="5598479F"/>
    <w:rsid w:val="55990DAE"/>
    <w:rsid w:val="55992B5C"/>
    <w:rsid w:val="559A7000"/>
    <w:rsid w:val="559B68D4"/>
    <w:rsid w:val="559E7CF8"/>
    <w:rsid w:val="55A06377"/>
    <w:rsid w:val="55A20145"/>
    <w:rsid w:val="55A25A4F"/>
    <w:rsid w:val="55A339F0"/>
    <w:rsid w:val="55A66ACD"/>
    <w:rsid w:val="55A75279"/>
    <w:rsid w:val="55AC4A31"/>
    <w:rsid w:val="55B54C32"/>
    <w:rsid w:val="55B87486"/>
    <w:rsid w:val="55BA38E1"/>
    <w:rsid w:val="55BA69F6"/>
    <w:rsid w:val="55BB7B39"/>
    <w:rsid w:val="55BE25C3"/>
    <w:rsid w:val="55C05A57"/>
    <w:rsid w:val="55C0633B"/>
    <w:rsid w:val="55C07729"/>
    <w:rsid w:val="55C20305"/>
    <w:rsid w:val="55C2758A"/>
    <w:rsid w:val="55C51BA3"/>
    <w:rsid w:val="55C53951"/>
    <w:rsid w:val="55C67DF5"/>
    <w:rsid w:val="55C7591B"/>
    <w:rsid w:val="55C8012D"/>
    <w:rsid w:val="55C8213D"/>
    <w:rsid w:val="55C83670"/>
    <w:rsid w:val="55C8591B"/>
    <w:rsid w:val="55C91693"/>
    <w:rsid w:val="55CC0471"/>
    <w:rsid w:val="55D23DAF"/>
    <w:rsid w:val="55D24CB3"/>
    <w:rsid w:val="55D43B94"/>
    <w:rsid w:val="55D818D6"/>
    <w:rsid w:val="55D87B28"/>
    <w:rsid w:val="55D90721"/>
    <w:rsid w:val="55DC7513"/>
    <w:rsid w:val="55DD164D"/>
    <w:rsid w:val="55DD63E8"/>
    <w:rsid w:val="55E22755"/>
    <w:rsid w:val="55E24503"/>
    <w:rsid w:val="55E53FF3"/>
    <w:rsid w:val="55E555E3"/>
    <w:rsid w:val="55E77D6B"/>
    <w:rsid w:val="55E97640"/>
    <w:rsid w:val="55EC02DB"/>
    <w:rsid w:val="55EC5382"/>
    <w:rsid w:val="55EE2A2D"/>
    <w:rsid w:val="55EF087C"/>
    <w:rsid w:val="55F34962"/>
    <w:rsid w:val="55F634AE"/>
    <w:rsid w:val="55F668FC"/>
    <w:rsid w:val="55F67FAE"/>
    <w:rsid w:val="55F83D27"/>
    <w:rsid w:val="55F903B0"/>
    <w:rsid w:val="55FA184D"/>
    <w:rsid w:val="55FB1823"/>
    <w:rsid w:val="55FD30EB"/>
    <w:rsid w:val="56023D58"/>
    <w:rsid w:val="56024BA5"/>
    <w:rsid w:val="56051FA0"/>
    <w:rsid w:val="56064695"/>
    <w:rsid w:val="5607085A"/>
    <w:rsid w:val="56075D18"/>
    <w:rsid w:val="56077881"/>
    <w:rsid w:val="560B1CAC"/>
    <w:rsid w:val="560B3A5A"/>
    <w:rsid w:val="560E354A"/>
    <w:rsid w:val="56101070"/>
    <w:rsid w:val="56102BAA"/>
    <w:rsid w:val="56130B60"/>
    <w:rsid w:val="561346BC"/>
    <w:rsid w:val="56186177"/>
    <w:rsid w:val="561B17C3"/>
    <w:rsid w:val="561B7A15"/>
    <w:rsid w:val="561C375E"/>
    <w:rsid w:val="561C5C67"/>
    <w:rsid w:val="561E2F37"/>
    <w:rsid w:val="561F12B3"/>
    <w:rsid w:val="561F5757"/>
    <w:rsid w:val="56206DD9"/>
    <w:rsid w:val="56224AD3"/>
    <w:rsid w:val="56233B72"/>
    <w:rsid w:val="5627460C"/>
    <w:rsid w:val="562846B0"/>
    <w:rsid w:val="56290384"/>
    <w:rsid w:val="562941C0"/>
    <w:rsid w:val="562D0BED"/>
    <w:rsid w:val="562D2514"/>
    <w:rsid w:val="562E599A"/>
    <w:rsid w:val="56327239"/>
    <w:rsid w:val="563357D9"/>
    <w:rsid w:val="563611BE"/>
    <w:rsid w:val="563805C7"/>
    <w:rsid w:val="563B3C13"/>
    <w:rsid w:val="563C1E65"/>
    <w:rsid w:val="563F39B0"/>
    <w:rsid w:val="563F4088"/>
    <w:rsid w:val="5640122A"/>
    <w:rsid w:val="564231F4"/>
    <w:rsid w:val="564451BE"/>
    <w:rsid w:val="56457822"/>
    <w:rsid w:val="56462CE4"/>
    <w:rsid w:val="564650F9"/>
    <w:rsid w:val="56481752"/>
    <w:rsid w:val="564927D4"/>
    <w:rsid w:val="56493FD3"/>
    <w:rsid w:val="564B654C"/>
    <w:rsid w:val="564E1824"/>
    <w:rsid w:val="56521689"/>
    <w:rsid w:val="56521B76"/>
    <w:rsid w:val="56521D3A"/>
    <w:rsid w:val="56531D64"/>
    <w:rsid w:val="565332B6"/>
    <w:rsid w:val="56554CD5"/>
    <w:rsid w:val="56591031"/>
    <w:rsid w:val="565A22EB"/>
    <w:rsid w:val="565A6FAE"/>
    <w:rsid w:val="565D3B8A"/>
    <w:rsid w:val="565E627F"/>
    <w:rsid w:val="566118CC"/>
    <w:rsid w:val="566273F2"/>
    <w:rsid w:val="56642AFA"/>
    <w:rsid w:val="56642FA1"/>
    <w:rsid w:val="56650CBC"/>
    <w:rsid w:val="566806CF"/>
    <w:rsid w:val="56680EAC"/>
    <w:rsid w:val="566B62A7"/>
    <w:rsid w:val="566C201F"/>
    <w:rsid w:val="566E5D97"/>
    <w:rsid w:val="567333AD"/>
    <w:rsid w:val="56737851"/>
    <w:rsid w:val="56742249"/>
    <w:rsid w:val="56776A4B"/>
    <w:rsid w:val="567809C3"/>
    <w:rsid w:val="567943AF"/>
    <w:rsid w:val="567A0E6E"/>
    <w:rsid w:val="567C4906"/>
    <w:rsid w:val="567D012C"/>
    <w:rsid w:val="567D13ED"/>
    <w:rsid w:val="56811F6E"/>
    <w:rsid w:val="5681281A"/>
    <w:rsid w:val="568455BA"/>
    <w:rsid w:val="568506AE"/>
    <w:rsid w:val="56861332"/>
    <w:rsid w:val="568B343B"/>
    <w:rsid w:val="568C1E02"/>
    <w:rsid w:val="569021B1"/>
    <w:rsid w:val="56925F29"/>
    <w:rsid w:val="56927CD7"/>
    <w:rsid w:val="569752EE"/>
    <w:rsid w:val="56995541"/>
    <w:rsid w:val="569A3030"/>
    <w:rsid w:val="569A4DDE"/>
    <w:rsid w:val="569B7F7B"/>
    <w:rsid w:val="569C2F3C"/>
    <w:rsid w:val="569D2D11"/>
    <w:rsid w:val="569F0646"/>
    <w:rsid w:val="569F3052"/>
    <w:rsid w:val="569F41A2"/>
    <w:rsid w:val="56A30136"/>
    <w:rsid w:val="56A45658"/>
    <w:rsid w:val="56A63783"/>
    <w:rsid w:val="56A72060"/>
    <w:rsid w:val="56A8314F"/>
    <w:rsid w:val="56A838BD"/>
    <w:rsid w:val="56A877FD"/>
    <w:rsid w:val="56AB2B47"/>
    <w:rsid w:val="56AC7E60"/>
    <w:rsid w:val="56AD086E"/>
    <w:rsid w:val="56AD3A8C"/>
    <w:rsid w:val="56AD4B11"/>
    <w:rsid w:val="56AD5A2F"/>
    <w:rsid w:val="56AD68BF"/>
    <w:rsid w:val="56B063AF"/>
    <w:rsid w:val="56B20379"/>
    <w:rsid w:val="56BE0ACC"/>
    <w:rsid w:val="56C1680E"/>
    <w:rsid w:val="56C22086"/>
    <w:rsid w:val="56C34335"/>
    <w:rsid w:val="56C41E5B"/>
    <w:rsid w:val="56C500AD"/>
    <w:rsid w:val="56C61065"/>
    <w:rsid w:val="56C76E35"/>
    <w:rsid w:val="56C87F65"/>
    <w:rsid w:val="56CB2EF7"/>
    <w:rsid w:val="56CB31E9"/>
    <w:rsid w:val="56CB5089"/>
    <w:rsid w:val="56CD51B3"/>
    <w:rsid w:val="56CD6F61"/>
    <w:rsid w:val="56CF2CD9"/>
    <w:rsid w:val="56D268A2"/>
    <w:rsid w:val="56D27EF7"/>
    <w:rsid w:val="56D4209E"/>
    <w:rsid w:val="56D55E16"/>
    <w:rsid w:val="56D71B8E"/>
    <w:rsid w:val="56D7455D"/>
    <w:rsid w:val="56D77DE0"/>
    <w:rsid w:val="56DA179D"/>
    <w:rsid w:val="56DB2C2D"/>
    <w:rsid w:val="56DC71A4"/>
    <w:rsid w:val="56DD43DA"/>
    <w:rsid w:val="56DE2F1C"/>
    <w:rsid w:val="56E12C15"/>
    <w:rsid w:val="56E16569"/>
    <w:rsid w:val="56E322E1"/>
    <w:rsid w:val="56E37F83"/>
    <w:rsid w:val="56E46059"/>
    <w:rsid w:val="56E542AB"/>
    <w:rsid w:val="56EB13FA"/>
    <w:rsid w:val="56EC75E2"/>
    <w:rsid w:val="56ED7603"/>
    <w:rsid w:val="56EE7C13"/>
    <w:rsid w:val="56F128E6"/>
    <w:rsid w:val="56F3629C"/>
    <w:rsid w:val="56F42740"/>
    <w:rsid w:val="56F6276E"/>
    <w:rsid w:val="56F664B8"/>
    <w:rsid w:val="56F75D8C"/>
    <w:rsid w:val="56F80CD6"/>
    <w:rsid w:val="56FA472D"/>
    <w:rsid w:val="56FB07CD"/>
    <w:rsid w:val="56FB50C2"/>
    <w:rsid w:val="56FB5DFE"/>
    <w:rsid w:val="56FD6E02"/>
    <w:rsid w:val="56FE39D9"/>
    <w:rsid w:val="56FE711B"/>
    <w:rsid w:val="56FF3A35"/>
    <w:rsid w:val="5701202D"/>
    <w:rsid w:val="57014E5D"/>
    <w:rsid w:val="570154A3"/>
    <w:rsid w:val="570400ED"/>
    <w:rsid w:val="57043B1D"/>
    <w:rsid w:val="570566FB"/>
    <w:rsid w:val="570606C5"/>
    <w:rsid w:val="570D735E"/>
    <w:rsid w:val="570E7044"/>
    <w:rsid w:val="571050A0"/>
    <w:rsid w:val="571132F2"/>
    <w:rsid w:val="57120E18"/>
    <w:rsid w:val="5714192E"/>
    <w:rsid w:val="57147495"/>
    <w:rsid w:val="571526B6"/>
    <w:rsid w:val="57173836"/>
    <w:rsid w:val="57193E63"/>
    <w:rsid w:val="571B5F1F"/>
    <w:rsid w:val="571E2DED"/>
    <w:rsid w:val="572218A8"/>
    <w:rsid w:val="57236B81"/>
    <w:rsid w:val="572528F9"/>
    <w:rsid w:val="57256D9D"/>
    <w:rsid w:val="5726041F"/>
    <w:rsid w:val="572957BF"/>
    <w:rsid w:val="572A46D5"/>
    <w:rsid w:val="572A7F10"/>
    <w:rsid w:val="572B1858"/>
    <w:rsid w:val="572B3C88"/>
    <w:rsid w:val="572B7BB5"/>
    <w:rsid w:val="5730129E"/>
    <w:rsid w:val="57310B0A"/>
    <w:rsid w:val="57323268"/>
    <w:rsid w:val="5733734A"/>
    <w:rsid w:val="57340DA7"/>
    <w:rsid w:val="57346FE0"/>
    <w:rsid w:val="57390153"/>
    <w:rsid w:val="57393E1A"/>
    <w:rsid w:val="573A5F50"/>
    <w:rsid w:val="573C5E95"/>
    <w:rsid w:val="573E53AB"/>
    <w:rsid w:val="57444917"/>
    <w:rsid w:val="57452F9B"/>
    <w:rsid w:val="5746243C"/>
    <w:rsid w:val="57470E76"/>
    <w:rsid w:val="5747168F"/>
    <w:rsid w:val="5748483A"/>
    <w:rsid w:val="574C257C"/>
    <w:rsid w:val="574D2E74"/>
    <w:rsid w:val="574E2F99"/>
    <w:rsid w:val="574E7BBC"/>
    <w:rsid w:val="574F43DF"/>
    <w:rsid w:val="5753390A"/>
    <w:rsid w:val="57560D05"/>
    <w:rsid w:val="57563CB6"/>
    <w:rsid w:val="57566F57"/>
    <w:rsid w:val="57577C8E"/>
    <w:rsid w:val="575925A3"/>
    <w:rsid w:val="575A3DD1"/>
    <w:rsid w:val="575C2093"/>
    <w:rsid w:val="576158FB"/>
    <w:rsid w:val="576378C6"/>
    <w:rsid w:val="576511D6"/>
    <w:rsid w:val="576553EC"/>
    <w:rsid w:val="57664CC0"/>
    <w:rsid w:val="57671164"/>
    <w:rsid w:val="57680A38"/>
    <w:rsid w:val="576A2A02"/>
    <w:rsid w:val="576C0528"/>
    <w:rsid w:val="576D24F2"/>
    <w:rsid w:val="576D604E"/>
    <w:rsid w:val="57737EC4"/>
    <w:rsid w:val="57782A41"/>
    <w:rsid w:val="577C5E47"/>
    <w:rsid w:val="577E0D19"/>
    <w:rsid w:val="578318F4"/>
    <w:rsid w:val="578515EA"/>
    <w:rsid w:val="578564B7"/>
    <w:rsid w:val="5785783C"/>
    <w:rsid w:val="57882E88"/>
    <w:rsid w:val="57890D34"/>
    <w:rsid w:val="5789127A"/>
    <w:rsid w:val="5789229C"/>
    <w:rsid w:val="578A7AC7"/>
    <w:rsid w:val="578F06BB"/>
    <w:rsid w:val="578F3BF3"/>
    <w:rsid w:val="5790539F"/>
    <w:rsid w:val="57961745"/>
    <w:rsid w:val="579637F7"/>
    <w:rsid w:val="579850CE"/>
    <w:rsid w:val="57996E43"/>
    <w:rsid w:val="579A7F17"/>
    <w:rsid w:val="579B3248"/>
    <w:rsid w:val="579D0773"/>
    <w:rsid w:val="57A0638E"/>
    <w:rsid w:val="57A10134"/>
    <w:rsid w:val="57A316AD"/>
    <w:rsid w:val="57A31A70"/>
    <w:rsid w:val="57A51BA7"/>
    <w:rsid w:val="57A620E7"/>
    <w:rsid w:val="57A962B6"/>
    <w:rsid w:val="57B10631"/>
    <w:rsid w:val="57B343A9"/>
    <w:rsid w:val="57B86B2C"/>
    <w:rsid w:val="57B95737"/>
    <w:rsid w:val="57B95E1A"/>
    <w:rsid w:val="57BA777E"/>
    <w:rsid w:val="57BB14B0"/>
    <w:rsid w:val="57BB500C"/>
    <w:rsid w:val="57BC2B32"/>
    <w:rsid w:val="57C06AC6"/>
    <w:rsid w:val="57C64920"/>
    <w:rsid w:val="57CB596F"/>
    <w:rsid w:val="57CD0D66"/>
    <w:rsid w:val="57CE6FB5"/>
    <w:rsid w:val="57CF18FE"/>
    <w:rsid w:val="57D4431F"/>
    <w:rsid w:val="57D8193B"/>
    <w:rsid w:val="57D83E10"/>
    <w:rsid w:val="57D936E4"/>
    <w:rsid w:val="57DA06B3"/>
    <w:rsid w:val="57DA1D5C"/>
    <w:rsid w:val="57DA7B88"/>
    <w:rsid w:val="57DD4F82"/>
    <w:rsid w:val="57DE6F4C"/>
    <w:rsid w:val="57E00F16"/>
    <w:rsid w:val="57E2672F"/>
    <w:rsid w:val="57E26A3C"/>
    <w:rsid w:val="57E52089"/>
    <w:rsid w:val="57E72415"/>
    <w:rsid w:val="57EE03A4"/>
    <w:rsid w:val="57EF1CFD"/>
    <w:rsid w:val="57EF2607"/>
    <w:rsid w:val="57F347A6"/>
    <w:rsid w:val="57F47FBA"/>
    <w:rsid w:val="57FB5D50"/>
    <w:rsid w:val="57FD5624"/>
    <w:rsid w:val="57FE545D"/>
    <w:rsid w:val="57FF2E3A"/>
    <w:rsid w:val="580A4059"/>
    <w:rsid w:val="580B0541"/>
    <w:rsid w:val="580D0A25"/>
    <w:rsid w:val="58117322"/>
    <w:rsid w:val="58125D20"/>
    <w:rsid w:val="5814115E"/>
    <w:rsid w:val="5814296E"/>
    <w:rsid w:val="58183F58"/>
    <w:rsid w:val="58184E46"/>
    <w:rsid w:val="581C5541"/>
    <w:rsid w:val="581D1822"/>
    <w:rsid w:val="58210019"/>
    <w:rsid w:val="582330AF"/>
    <w:rsid w:val="58244AFB"/>
    <w:rsid w:val="582726A1"/>
    <w:rsid w:val="5827444F"/>
    <w:rsid w:val="582A0D9F"/>
    <w:rsid w:val="582D5179"/>
    <w:rsid w:val="582F1556"/>
    <w:rsid w:val="58321A9A"/>
    <w:rsid w:val="58334AA7"/>
    <w:rsid w:val="58346B6C"/>
    <w:rsid w:val="58354DBE"/>
    <w:rsid w:val="58357612"/>
    <w:rsid w:val="58360B36"/>
    <w:rsid w:val="58366D88"/>
    <w:rsid w:val="583848AE"/>
    <w:rsid w:val="5838665C"/>
    <w:rsid w:val="583A6E31"/>
    <w:rsid w:val="583D0117"/>
    <w:rsid w:val="583F0C61"/>
    <w:rsid w:val="583F5C3D"/>
    <w:rsid w:val="583F79EB"/>
    <w:rsid w:val="58405511"/>
    <w:rsid w:val="584635B5"/>
    <w:rsid w:val="584722A5"/>
    <w:rsid w:val="58474AF1"/>
    <w:rsid w:val="5847689F"/>
    <w:rsid w:val="584A41F8"/>
    <w:rsid w:val="584C2108"/>
    <w:rsid w:val="585039A6"/>
    <w:rsid w:val="58534010"/>
    <w:rsid w:val="5853799A"/>
    <w:rsid w:val="585428CB"/>
    <w:rsid w:val="58543FB2"/>
    <w:rsid w:val="5855006D"/>
    <w:rsid w:val="58580A6A"/>
    <w:rsid w:val="58580AAD"/>
    <w:rsid w:val="58586CFE"/>
    <w:rsid w:val="585A0990"/>
    <w:rsid w:val="585B059D"/>
    <w:rsid w:val="585B64A7"/>
    <w:rsid w:val="585D03A2"/>
    <w:rsid w:val="585E7A44"/>
    <w:rsid w:val="585F008D"/>
    <w:rsid w:val="585F3CF0"/>
    <w:rsid w:val="58625309"/>
    <w:rsid w:val="58647451"/>
    <w:rsid w:val="58676F42"/>
    <w:rsid w:val="586B3150"/>
    <w:rsid w:val="586B6D99"/>
    <w:rsid w:val="58726012"/>
    <w:rsid w:val="58737694"/>
    <w:rsid w:val="58773629"/>
    <w:rsid w:val="5878114F"/>
    <w:rsid w:val="587A1BE1"/>
    <w:rsid w:val="587A6C75"/>
    <w:rsid w:val="587B6289"/>
    <w:rsid w:val="58801B99"/>
    <w:rsid w:val="58801DB1"/>
    <w:rsid w:val="58810003"/>
    <w:rsid w:val="58811A31"/>
    <w:rsid w:val="5881585C"/>
    <w:rsid w:val="588261A9"/>
    <w:rsid w:val="58847A39"/>
    <w:rsid w:val="58847AF3"/>
    <w:rsid w:val="588734A9"/>
    <w:rsid w:val="58892E17"/>
    <w:rsid w:val="5889335C"/>
    <w:rsid w:val="5889510A"/>
    <w:rsid w:val="588C69A8"/>
    <w:rsid w:val="589046EA"/>
    <w:rsid w:val="58937D37"/>
    <w:rsid w:val="5895714E"/>
    <w:rsid w:val="58960F95"/>
    <w:rsid w:val="5898534D"/>
    <w:rsid w:val="589A26A6"/>
    <w:rsid w:val="589C4E3D"/>
    <w:rsid w:val="589E02CE"/>
    <w:rsid w:val="58A22DCC"/>
    <w:rsid w:val="58A41C96"/>
    <w:rsid w:val="58A60278"/>
    <w:rsid w:val="58A91308"/>
    <w:rsid w:val="58AB1524"/>
    <w:rsid w:val="58AB4D66"/>
    <w:rsid w:val="58AB5080"/>
    <w:rsid w:val="58AB6E2E"/>
    <w:rsid w:val="58AB7726"/>
    <w:rsid w:val="58B008E9"/>
    <w:rsid w:val="58B101BD"/>
    <w:rsid w:val="58B24A12"/>
    <w:rsid w:val="58B33F35"/>
    <w:rsid w:val="58B55EFF"/>
    <w:rsid w:val="58B96B20"/>
    <w:rsid w:val="58BA1767"/>
    <w:rsid w:val="58BE32CB"/>
    <w:rsid w:val="58BE612B"/>
    <w:rsid w:val="58BF6D7E"/>
    <w:rsid w:val="58C03626"/>
    <w:rsid w:val="58C16652"/>
    <w:rsid w:val="58C2575C"/>
    <w:rsid w:val="58C3061C"/>
    <w:rsid w:val="58C47EF0"/>
    <w:rsid w:val="58C83E84"/>
    <w:rsid w:val="58C9142C"/>
    <w:rsid w:val="58CB273F"/>
    <w:rsid w:val="58CF0BEC"/>
    <w:rsid w:val="58CF3C94"/>
    <w:rsid w:val="58D02D39"/>
    <w:rsid w:val="58D759EE"/>
    <w:rsid w:val="58D839C3"/>
    <w:rsid w:val="58D9032C"/>
    <w:rsid w:val="58DA7713"/>
    <w:rsid w:val="58DC50C4"/>
    <w:rsid w:val="58DE2E5D"/>
    <w:rsid w:val="58DE7204"/>
    <w:rsid w:val="58DF20B1"/>
    <w:rsid w:val="58E05F61"/>
    <w:rsid w:val="58E07AA6"/>
    <w:rsid w:val="58E10AA2"/>
    <w:rsid w:val="58E95886"/>
    <w:rsid w:val="58EA22FF"/>
    <w:rsid w:val="58ED4A43"/>
    <w:rsid w:val="58F307D5"/>
    <w:rsid w:val="58F32A5F"/>
    <w:rsid w:val="58F702C5"/>
    <w:rsid w:val="58F73CD6"/>
    <w:rsid w:val="58F846B0"/>
    <w:rsid w:val="58F85DEC"/>
    <w:rsid w:val="58F9403E"/>
    <w:rsid w:val="58FD3600"/>
    <w:rsid w:val="58FE5D13"/>
    <w:rsid w:val="5901420E"/>
    <w:rsid w:val="5902026F"/>
    <w:rsid w:val="59032E40"/>
    <w:rsid w:val="5903310E"/>
    <w:rsid w:val="59036C6A"/>
    <w:rsid w:val="59091DA7"/>
    <w:rsid w:val="590B1FC3"/>
    <w:rsid w:val="590D5D3B"/>
    <w:rsid w:val="590E5039"/>
    <w:rsid w:val="590E61FE"/>
    <w:rsid w:val="590F3861"/>
    <w:rsid w:val="59103135"/>
    <w:rsid w:val="59126EAD"/>
    <w:rsid w:val="59140E77"/>
    <w:rsid w:val="59142C25"/>
    <w:rsid w:val="59154B0C"/>
    <w:rsid w:val="5915767A"/>
    <w:rsid w:val="59161413"/>
    <w:rsid w:val="59181005"/>
    <w:rsid w:val="591C1ADA"/>
    <w:rsid w:val="591D7EBC"/>
    <w:rsid w:val="591E39C6"/>
    <w:rsid w:val="59242179"/>
    <w:rsid w:val="59254E33"/>
    <w:rsid w:val="59260BAB"/>
    <w:rsid w:val="59262959"/>
    <w:rsid w:val="592A76D2"/>
    <w:rsid w:val="592D1F39"/>
    <w:rsid w:val="592F3F03"/>
    <w:rsid w:val="592F728C"/>
    <w:rsid w:val="59301A29"/>
    <w:rsid w:val="5930241C"/>
    <w:rsid w:val="59305585"/>
    <w:rsid w:val="59335CE7"/>
    <w:rsid w:val="5934151A"/>
    <w:rsid w:val="593C6736"/>
    <w:rsid w:val="593D63D2"/>
    <w:rsid w:val="593F3A1A"/>
    <w:rsid w:val="59465FF6"/>
    <w:rsid w:val="59505A7A"/>
    <w:rsid w:val="5954056B"/>
    <w:rsid w:val="5954396A"/>
    <w:rsid w:val="5955323E"/>
    <w:rsid w:val="59590F80"/>
    <w:rsid w:val="595B4CF8"/>
    <w:rsid w:val="595D66E3"/>
    <w:rsid w:val="595D7738"/>
    <w:rsid w:val="5960230F"/>
    <w:rsid w:val="59605E6B"/>
    <w:rsid w:val="59636391"/>
    <w:rsid w:val="596523DD"/>
    <w:rsid w:val="596657C0"/>
    <w:rsid w:val="59682F71"/>
    <w:rsid w:val="596B480F"/>
    <w:rsid w:val="596D2D7B"/>
    <w:rsid w:val="596E01AA"/>
    <w:rsid w:val="597109B8"/>
    <w:rsid w:val="59725B9E"/>
    <w:rsid w:val="59747100"/>
    <w:rsid w:val="59776205"/>
    <w:rsid w:val="59777658"/>
    <w:rsid w:val="597B2CA5"/>
    <w:rsid w:val="597D172E"/>
    <w:rsid w:val="597D1B1D"/>
    <w:rsid w:val="597E4543"/>
    <w:rsid w:val="597F1642"/>
    <w:rsid w:val="598006AC"/>
    <w:rsid w:val="5982615F"/>
    <w:rsid w:val="59827FC3"/>
    <w:rsid w:val="598633F7"/>
    <w:rsid w:val="598A113A"/>
    <w:rsid w:val="598B2BAF"/>
    <w:rsid w:val="598B6E77"/>
    <w:rsid w:val="598C17B9"/>
    <w:rsid w:val="598D4786"/>
    <w:rsid w:val="598E28EC"/>
    <w:rsid w:val="598F6750"/>
    <w:rsid w:val="59914E4A"/>
    <w:rsid w:val="59941FB8"/>
    <w:rsid w:val="59957BC2"/>
    <w:rsid w:val="59981AA8"/>
    <w:rsid w:val="599B15D3"/>
    <w:rsid w:val="599C0E6D"/>
    <w:rsid w:val="599D592C"/>
    <w:rsid w:val="599E62BD"/>
    <w:rsid w:val="59A07F5E"/>
    <w:rsid w:val="59A30983"/>
    <w:rsid w:val="59A41FA0"/>
    <w:rsid w:val="59A91690"/>
    <w:rsid w:val="59AA292D"/>
    <w:rsid w:val="59AC3B2A"/>
    <w:rsid w:val="59AD6BD6"/>
    <w:rsid w:val="59AE005B"/>
    <w:rsid w:val="59AE5B50"/>
    <w:rsid w:val="59AF294E"/>
    <w:rsid w:val="59B259A0"/>
    <w:rsid w:val="59B94A33"/>
    <w:rsid w:val="59BC7E98"/>
    <w:rsid w:val="59BE0DE3"/>
    <w:rsid w:val="59CA3C2C"/>
    <w:rsid w:val="59CD7278"/>
    <w:rsid w:val="59D338F3"/>
    <w:rsid w:val="59D67C33"/>
    <w:rsid w:val="59D81EA5"/>
    <w:rsid w:val="59DE245C"/>
    <w:rsid w:val="59E051FD"/>
    <w:rsid w:val="59E3084A"/>
    <w:rsid w:val="59E36435"/>
    <w:rsid w:val="59E36A9C"/>
    <w:rsid w:val="59E41F31"/>
    <w:rsid w:val="59E7033A"/>
    <w:rsid w:val="59EC3BA2"/>
    <w:rsid w:val="59ED183A"/>
    <w:rsid w:val="59ED4A69"/>
    <w:rsid w:val="59EE111B"/>
    <w:rsid w:val="59EE20AF"/>
    <w:rsid w:val="59F5704C"/>
    <w:rsid w:val="59F64A21"/>
    <w:rsid w:val="59F82547"/>
    <w:rsid w:val="59FA5898"/>
    <w:rsid w:val="59FB3DE5"/>
    <w:rsid w:val="59FD3A44"/>
    <w:rsid w:val="59FE5684"/>
    <w:rsid w:val="5A013C4A"/>
    <w:rsid w:val="5A01773D"/>
    <w:rsid w:val="5A025174"/>
    <w:rsid w:val="5A026F22"/>
    <w:rsid w:val="5A04713E"/>
    <w:rsid w:val="5A0A04CC"/>
    <w:rsid w:val="5A0D2948"/>
    <w:rsid w:val="5A1031F5"/>
    <w:rsid w:val="5A1153B7"/>
    <w:rsid w:val="5A117165"/>
    <w:rsid w:val="5A1418BA"/>
    <w:rsid w:val="5A146C55"/>
    <w:rsid w:val="5A166CB1"/>
    <w:rsid w:val="5A166E71"/>
    <w:rsid w:val="5A1803F6"/>
    <w:rsid w:val="5A1924BD"/>
    <w:rsid w:val="5A1C5C54"/>
    <w:rsid w:val="5A1E5DD4"/>
    <w:rsid w:val="5A1F7AD4"/>
    <w:rsid w:val="5A203D5A"/>
    <w:rsid w:val="5A2045E6"/>
    <w:rsid w:val="5A225816"/>
    <w:rsid w:val="5A2570B4"/>
    <w:rsid w:val="5A28614B"/>
    <w:rsid w:val="5A2A28F9"/>
    <w:rsid w:val="5A2E41BB"/>
    <w:rsid w:val="5A2E5F69"/>
    <w:rsid w:val="5A2E7D17"/>
    <w:rsid w:val="5A2F44D7"/>
    <w:rsid w:val="5A2F6537"/>
    <w:rsid w:val="5A3115B5"/>
    <w:rsid w:val="5A311BEE"/>
    <w:rsid w:val="5A315A59"/>
    <w:rsid w:val="5A3317D1"/>
    <w:rsid w:val="5A366BCB"/>
    <w:rsid w:val="5A3B2434"/>
    <w:rsid w:val="5A3D7F5A"/>
    <w:rsid w:val="5A405C9C"/>
    <w:rsid w:val="5A4532B2"/>
    <w:rsid w:val="5A463D28"/>
    <w:rsid w:val="5A4841E7"/>
    <w:rsid w:val="5A4968FF"/>
    <w:rsid w:val="5A4B074E"/>
    <w:rsid w:val="5A4E2167"/>
    <w:rsid w:val="5A4E286A"/>
    <w:rsid w:val="5A510625"/>
    <w:rsid w:val="5A5237BA"/>
    <w:rsid w:val="5A5315E5"/>
    <w:rsid w:val="5A53777D"/>
    <w:rsid w:val="5A5534F6"/>
    <w:rsid w:val="5A557999"/>
    <w:rsid w:val="5A584D94"/>
    <w:rsid w:val="5A5A24C1"/>
    <w:rsid w:val="5A5C0F89"/>
    <w:rsid w:val="5A67147B"/>
    <w:rsid w:val="5A6776CD"/>
    <w:rsid w:val="5A687760"/>
    <w:rsid w:val="5A69702F"/>
    <w:rsid w:val="5A6B0F6B"/>
    <w:rsid w:val="5A6C5E82"/>
    <w:rsid w:val="5A6D1F79"/>
    <w:rsid w:val="5A6E45B7"/>
    <w:rsid w:val="5A7140A7"/>
    <w:rsid w:val="5A751DEA"/>
    <w:rsid w:val="5A752545"/>
    <w:rsid w:val="5A767910"/>
    <w:rsid w:val="5A77291D"/>
    <w:rsid w:val="5A77465E"/>
    <w:rsid w:val="5A77505C"/>
    <w:rsid w:val="5A783688"/>
    <w:rsid w:val="5A785436"/>
    <w:rsid w:val="5A7C4F26"/>
    <w:rsid w:val="5A7D00E8"/>
    <w:rsid w:val="5A7D47FA"/>
    <w:rsid w:val="5A8262B5"/>
    <w:rsid w:val="5A827EB9"/>
    <w:rsid w:val="5A843DDB"/>
    <w:rsid w:val="5A845CF1"/>
    <w:rsid w:val="5A865DA5"/>
    <w:rsid w:val="5A8738CB"/>
    <w:rsid w:val="5A892909"/>
    <w:rsid w:val="5A894172"/>
    <w:rsid w:val="5A896C18"/>
    <w:rsid w:val="5A8B5893"/>
    <w:rsid w:val="5A8D6C47"/>
    <w:rsid w:val="5A8F01C0"/>
    <w:rsid w:val="5A9009D2"/>
    <w:rsid w:val="5A9102A6"/>
    <w:rsid w:val="5A9164F8"/>
    <w:rsid w:val="5A92474A"/>
    <w:rsid w:val="5A955FE8"/>
    <w:rsid w:val="5A971D60"/>
    <w:rsid w:val="5AA1034D"/>
    <w:rsid w:val="5AA86C98"/>
    <w:rsid w:val="5AAB4CAC"/>
    <w:rsid w:val="5AB0697E"/>
    <w:rsid w:val="5AB23258"/>
    <w:rsid w:val="5AB26B9A"/>
    <w:rsid w:val="5AB3646E"/>
    <w:rsid w:val="5AB4797E"/>
    <w:rsid w:val="5AB5009D"/>
    <w:rsid w:val="5AB617B6"/>
    <w:rsid w:val="5AB67D0C"/>
    <w:rsid w:val="5AB741B0"/>
    <w:rsid w:val="5AB75F5E"/>
    <w:rsid w:val="5ABA77FD"/>
    <w:rsid w:val="5ABB738C"/>
    <w:rsid w:val="5ABC17C7"/>
    <w:rsid w:val="5ABC3575"/>
    <w:rsid w:val="5ABE1041"/>
    <w:rsid w:val="5AC05281"/>
    <w:rsid w:val="5AC40467"/>
    <w:rsid w:val="5AC522EB"/>
    <w:rsid w:val="5AC60EDF"/>
    <w:rsid w:val="5AC82D90"/>
    <w:rsid w:val="5AC93EE4"/>
    <w:rsid w:val="5AC95C92"/>
    <w:rsid w:val="5ACC0E24"/>
    <w:rsid w:val="5ACC5D4E"/>
    <w:rsid w:val="5ACD0E0A"/>
    <w:rsid w:val="5ACD14E0"/>
    <w:rsid w:val="5ACD5538"/>
    <w:rsid w:val="5ACD5782"/>
    <w:rsid w:val="5ACD77B4"/>
    <w:rsid w:val="5ACE0733"/>
    <w:rsid w:val="5ACE5215"/>
    <w:rsid w:val="5AD14B46"/>
    <w:rsid w:val="5AD36B10"/>
    <w:rsid w:val="5AD84127"/>
    <w:rsid w:val="5ADC6D8D"/>
    <w:rsid w:val="5AE14D89"/>
    <w:rsid w:val="5AE17245"/>
    <w:rsid w:val="5AE262E5"/>
    <w:rsid w:val="5AE85AFD"/>
    <w:rsid w:val="5AEB20AC"/>
    <w:rsid w:val="5AEE501D"/>
    <w:rsid w:val="5AEE56F8"/>
    <w:rsid w:val="5AEF3164"/>
    <w:rsid w:val="5AF1370A"/>
    <w:rsid w:val="5AF26F96"/>
    <w:rsid w:val="5AF30F60"/>
    <w:rsid w:val="5AF745AD"/>
    <w:rsid w:val="5AF92150"/>
    <w:rsid w:val="5AF947C9"/>
    <w:rsid w:val="5AFA763F"/>
    <w:rsid w:val="5AFB691A"/>
    <w:rsid w:val="5AFB7C61"/>
    <w:rsid w:val="5AFC1BC3"/>
    <w:rsid w:val="5AFC6067"/>
    <w:rsid w:val="5B014648"/>
    <w:rsid w:val="5B01542B"/>
    <w:rsid w:val="5B022F52"/>
    <w:rsid w:val="5B023CC0"/>
    <w:rsid w:val="5B030C57"/>
    <w:rsid w:val="5B04529A"/>
    <w:rsid w:val="5B047BDA"/>
    <w:rsid w:val="5B055C63"/>
    <w:rsid w:val="5B060C94"/>
    <w:rsid w:val="5B082265"/>
    <w:rsid w:val="5B0867BA"/>
    <w:rsid w:val="5B13515F"/>
    <w:rsid w:val="5B1807F4"/>
    <w:rsid w:val="5B1A029B"/>
    <w:rsid w:val="5B1A1EBC"/>
    <w:rsid w:val="5B1A64ED"/>
    <w:rsid w:val="5B1C2201"/>
    <w:rsid w:val="5B1C4013"/>
    <w:rsid w:val="5B1D1D39"/>
    <w:rsid w:val="5B1D4E5A"/>
    <w:rsid w:val="5B1E5FDD"/>
    <w:rsid w:val="5B1F1D55"/>
    <w:rsid w:val="5B215ACE"/>
    <w:rsid w:val="5B242EC8"/>
    <w:rsid w:val="5B2A4418"/>
    <w:rsid w:val="5B2E3D47"/>
    <w:rsid w:val="5B2E56C1"/>
    <w:rsid w:val="5B303F63"/>
    <w:rsid w:val="5B306DE6"/>
    <w:rsid w:val="5B37709F"/>
    <w:rsid w:val="5B3824ED"/>
    <w:rsid w:val="5B3A26EB"/>
    <w:rsid w:val="5B3A5BAD"/>
    <w:rsid w:val="5B3B0183"/>
    <w:rsid w:val="5B3C46B5"/>
    <w:rsid w:val="5B3E083D"/>
    <w:rsid w:val="5B3E6680"/>
    <w:rsid w:val="5B3F7D02"/>
    <w:rsid w:val="5B4075E1"/>
    <w:rsid w:val="5B412C47"/>
    <w:rsid w:val="5B413F46"/>
    <w:rsid w:val="5B4147D2"/>
    <w:rsid w:val="5B4205A3"/>
    <w:rsid w:val="5B423ECD"/>
    <w:rsid w:val="5B435A44"/>
    <w:rsid w:val="5B44356A"/>
    <w:rsid w:val="5B484E08"/>
    <w:rsid w:val="5B491729"/>
    <w:rsid w:val="5B4930DF"/>
    <w:rsid w:val="5B4B48F9"/>
    <w:rsid w:val="5B4D68C3"/>
    <w:rsid w:val="5B4E6197"/>
    <w:rsid w:val="5B5152A0"/>
    <w:rsid w:val="5B516A52"/>
    <w:rsid w:val="5B5212A7"/>
    <w:rsid w:val="5B57504B"/>
    <w:rsid w:val="5B586A77"/>
    <w:rsid w:val="5B5871AB"/>
    <w:rsid w:val="5B593CFA"/>
    <w:rsid w:val="5B597015"/>
    <w:rsid w:val="5B597D57"/>
    <w:rsid w:val="5B5C1879"/>
    <w:rsid w:val="5B5F03A4"/>
    <w:rsid w:val="5B602F18"/>
    <w:rsid w:val="5B61411C"/>
    <w:rsid w:val="5B637E94"/>
    <w:rsid w:val="5B661732"/>
    <w:rsid w:val="5B667984"/>
    <w:rsid w:val="5B684F50"/>
    <w:rsid w:val="5B6854AA"/>
    <w:rsid w:val="5B687259"/>
    <w:rsid w:val="5B690A8E"/>
    <w:rsid w:val="5B691E89"/>
    <w:rsid w:val="5B694D7F"/>
    <w:rsid w:val="5B6B41D3"/>
    <w:rsid w:val="5B6C2D6A"/>
    <w:rsid w:val="5B6D4B96"/>
    <w:rsid w:val="5B6E240F"/>
    <w:rsid w:val="5B6E42E3"/>
    <w:rsid w:val="5B767BC7"/>
    <w:rsid w:val="5B791466"/>
    <w:rsid w:val="5B793214"/>
    <w:rsid w:val="5B7B0F64"/>
    <w:rsid w:val="5B7B141B"/>
    <w:rsid w:val="5B7E4CCE"/>
    <w:rsid w:val="5B804F69"/>
    <w:rsid w:val="5B810D3C"/>
    <w:rsid w:val="5B8816A9"/>
    <w:rsid w:val="5B8B43BF"/>
    <w:rsid w:val="5B8D6CBF"/>
    <w:rsid w:val="5B8E5344"/>
    <w:rsid w:val="5B8F6EDB"/>
    <w:rsid w:val="5B9067AF"/>
    <w:rsid w:val="5B931C9E"/>
    <w:rsid w:val="5B9444F1"/>
    <w:rsid w:val="5B955B74"/>
    <w:rsid w:val="5B9974E1"/>
    <w:rsid w:val="5B9A056E"/>
    <w:rsid w:val="5B9D08B5"/>
    <w:rsid w:val="5B9E0ECC"/>
    <w:rsid w:val="5BA142A2"/>
    <w:rsid w:val="5BA504AD"/>
    <w:rsid w:val="5BA64F7B"/>
    <w:rsid w:val="5BA74384"/>
    <w:rsid w:val="5BA750D2"/>
    <w:rsid w:val="5BA940CB"/>
    <w:rsid w:val="5BAA5AC3"/>
    <w:rsid w:val="5BAE0253"/>
    <w:rsid w:val="5BAF30D9"/>
    <w:rsid w:val="5BAF63AA"/>
    <w:rsid w:val="5BB16E51"/>
    <w:rsid w:val="5BB26726"/>
    <w:rsid w:val="5BB71F8E"/>
    <w:rsid w:val="5BB85C75"/>
    <w:rsid w:val="5BB97AB4"/>
    <w:rsid w:val="5BBB115B"/>
    <w:rsid w:val="5BBB2800"/>
    <w:rsid w:val="5BBB382C"/>
    <w:rsid w:val="5BBB7CD0"/>
    <w:rsid w:val="5BC528FD"/>
    <w:rsid w:val="5BC56459"/>
    <w:rsid w:val="5BC57120"/>
    <w:rsid w:val="5BC87CF7"/>
    <w:rsid w:val="5BC97C19"/>
    <w:rsid w:val="5BCF552A"/>
    <w:rsid w:val="5BD22E98"/>
    <w:rsid w:val="5BD23E86"/>
    <w:rsid w:val="5BD31E2B"/>
    <w:rsid w:val="5BD364E5"/>
    <w:rsid w:val="5BD424E2"/>
    <w:rsid w:val="5BD44411"/>
    <w:rsid w:val="5BD60438"/>
    <w:rsid w:val="5BD60666"/>
    <w:rsid w:val="5BD668B8"/>
    <w:rsid w:val="5BD90156"/>
    <w:rsid w:val="5BDB3ECE"/>
    <w:rsid w:val="5BDB7A2A"/>
    <w:rsid w:val="5BDE350F"/>
    <w:rsid w:val="5BDE576D"/>
    <w:rsid w:val="5BE2700B"/>
    <w:rsid w:val="5BE301DB"/>
    <w:rsid w:val="5BEA1281"/>
    <w:rsid w:val="5BEC1C38"/>
    <w:rsid w:val="5BF15D4D"/>
    <w:rsid w:val="5BF16A5B"/>
    <w:rsid w:val="5BF22FC6"/>
    <w:rsid w:val="5BF60422"/>
    <w:rsid w:val="5BF925A6"/>
    <w:rsid w:val="5BFC5BF3"/>
    <w:rsid w:val="5BFD0F0E"/>
    <w:rsid w:val="5BFE196B"/>
    <w:rsid w:val="5BFE2A26"/>
    <w:rsid w:val="5C023476"/>
    <w:rsid w:val="5C092082"/>
    <w:rsid w:val="5C0974B1"/>
    <w:rsid w:val="5C0C5C12"/>
    <w:rsid w:val="5C0E36AA"/>
    <w:rsid w:val="5C0F3B78"/>
    <w:rsid w:val="5C125416"/>
    <w:rsid w:val="5C185B16"/>
    <w:rsid w:val="5C1B730A"/>
    <w:rsid w:val="5C1E3DBB"/>
    <w:rsid w:val="5C1F4C32"/>
    <w:rsid w:val="5C2018E1"/>
    <w:rsid w:val="5C21481C"/>
    <w:rsid w:val="5C245875"/>
    <w:rsid w:val="5C2614F0"/>
    <w:rsid w:val="5C276D2F"/>
    <w:rsid w:val="5C284A34"/>
    <w:rsid w:val="5C2869E8"/>
    <w:rsid w:val="5C2B7F8E"/>
    <w:rsid w:val="5C311D40"/>
    <w:rsid w:val="5C327B4C"/>
    <w:rsid w:val="5C337866"/>
    <w:rsid w:val="5C341831"/>
    <w:rsid w:val="5C3B2BBF"/>
    <w:rsid w:val="5C3B496D"/>
    <w:rsid w:val="5C3F445D"/>
    <w:rsid w:val="5C417244"/>
    <w:rsid w:val="5C433822"/>
    <w:rsid w:val="5C447CC6"/>
    <w:rsid w:val="5C4E07B5"/>
    <w:rsid w:val="5C5278E9"/>
    <w:rsid w:val="5C5366AA"/>
    <w:rsid w:val="5C560383"/>
    <w:rsid w:val="5C563555"/>
    <w:rsid w:val="5C5B01E8"/>
    <w:rsid w:val="5C5E1850"/>
    <w:rsid w:val="5C5E240A"/>
    <w:rsid w:val="5C607E15"/>
    <w:rsid w:val="5C62639E"/>
    <w:rsid w:val="5C630774"/>
    <w:rsid w:val="5C645C72"/>
    <w:rsid w:val="5C653798"/>
    <w:rsid w:val="5C657C3C"/>
    <w:rsid w:val="5C6629BC"/>
    <w:rsid w:val="5C6739B4"/>
    <w:rsid w:val="5C675762"/>
    <w:rsid w:val="5C6C4B26"/>
    <w:rsid w:val="5C6E3056"/>
    <w:rsid w:val="5C7034CA"/>
    <w:rsid w:val="5C743411"/>
    <w:rsid w:val="5C744E0D"/>
    <w:rsid w:val="5C75408E"/>
    <w:rsid w:val="5C7659A5"/>
    <w:rsid w:val="5C7D0BFF"/>
    <w:rsid w:val="5C7D6D34"/>
    <w:rsid w:val="5C807415"/>
    <w:rsid w:val="5C8207EE"/>
    <w:rsid w:val="5C846314"/>
    <w:rsid w:val="5C855BE8"/>
    <w:rsid w:val="5C8D47B8"/>
    <w:rsid w:val="5C8E2CEF"/>
    <w:rsid w:val="5C9070EB"/>
    <w:rsid w:val="5C98622C"/>
    <w:rsid w:val="5CA02A22"/>
    <w:rsid w:val="5CA22C3E"/>
    <w:rsid w:val="5CA70254"/>
    <w:rsid w:val="5CA72002"/>
    <w:rsid w:val="5CA73892"/>
    <w:rsid w:val="5CA95D7B"/>
    <w:rsid w:val="5CA974C7"/>
    <w:rsid w:val="5CAB38A1"/>
    <w:rsid w:val="5CAC586B"/>
    <w:rsid w:val="5CAE513F"/>
    <w:rsid w:val="5CB06BA1"/>
    <w:rsid w:val="5CB07109"/>
    <w:rsid w:val="5CB337F7"/>
    <w:rsid w:val="5CB36BF9"/>
    <w:rsid w:val="5CB42E62"/>
    <w:rsid w:val="5CB673FE"/>
    <w:rsid w:val="5CBA1D36"/>
    <w:rsid w:val="5CBF599F"/>
    <w:rsid w:val="5CC052F0"/>
    <w:rsid w:val="5CC22998"/>
    <w:rsid w:val="5CC46711"/>
    <w:rsid w:val="5CC93D27"/>
    <w:rsid w:val="5CCB5CF1"/>
    <w:rsid w:val="5CCE3A33"/>
    <w:rsid w:val="5CD050B5"/>
    <w:rsid w:val="5CD34BA6"/>
    <w:rsid w:val="5CD4348E"/>
    <w:rsid w:val="5CD56B70"/>
    <w:rsid w:val="5CD86660"/>
    <w:rsid w:val="5CDB3A5A"/>
    <w:rsid w:val="5CDC7EFE"/>
    <w:rsid w:val="5CDE2BD0"/>
    <w:rsid w:val="5CDF79EE"/>
    <w:rsid w:val="5CE2128D"/>
    <w:rsid w:val="5CE440A2"/>
    <w:rsid w:val="5CE62200"/>
    <w:rsid w:val="5CE768A3"/>
    <w:rsid w:val="5CE772FA"/>
    <w:rsid w:val="5CE86C24"/>
    <w:rsid w:val="5CE9261B"/>
    <w:rsid w:val="5CEA3EA6"/>
    <w:rsid w:val="5CEC51D4"/>
    <w:rsid w:val="5CED3134"/>
    <w:rsid w:val="5CF01388"/>
    <w:rsid w:val="5CF23B04"/>
    <w:rsid w:val="5CF27722"/>
    <w:rsid w:val="5CF3349A"/>
    <w:rsid w:val="5CF50FC0"/>
    <w:rsid w:val="5CF54B1C"/>
    <w:rsid w:val="5CF84B6C"/>
    <w:rsid w:val="5CFA65D6"/>
    <w:rsid w:val="5CFC234E"/>
    <w:rsid w:val="5CFD6159"/>
    <w:rsid w:val="5CFF338A"/>
    <w:rsid w:val="5D0134C1"/>
    <w:rsid w:val="5D017965"/>
    <w:rsid w:val="5D035CDC"/>
    <w:rsid w:val="5D041203"/>
    <w:rsid w:val="5D061CAE"/>
    <w:rsid w:val="5D065CE3"/>
    <w:rsid w:val="5D072AA1"/>
    <w:rsid w:val="5D08312A"/>
    <w:rsid w:val="5D0B433F"/>
    <w:rsid w:val="5D13037F"/>
    <w:rsid w:val="5D1312ED"/>
    <w:rsid w:val="5D172CE4"/>
    <w:rsid w:val="5D177188"/>
    <w:rsid w:val="5D186A5C"/>
    <w:rsid w:val="5D192F00"/>
    <w:rsid w:val="5D1A0A26"/>
    <w:rsid w:val="5D1C479E"/>
    <w:rsid w:val="5D1F603D"/>
    <w:rsid w:val="5D1F7DEB"/>
    <w:rsid w:val="5D202983"/>
    <w:rsid w:val="5D202CAC"/>
    <w:rsid w:val="5D213B63"/>
    <w:rsid w:val="5D253E9C"/>
    <w:rsid w:val="5D284E48"/>
    <w:rsid w:val="5D290205"/>
    <w:rsid w:val="5D2C0AEE"/>
    <w:rsid w:val="5D2C42B6"/>
    <w:rsid w:val="5D2D69AC"/>
    <w:rsid w:val="5D3113DC"/>
    <w:rsid w:val="5D320352"/>
    <w:rsid w:val="5D331AE8"/>
    <w:rsid w:val="5D3513BC"/>
    <w:rsid w:val="5D3D1041"/>
    <w:rsid w:val="5D3E779D"/>
    <w:rsid w:val="5D431622"/>
    <w:rsid w:val="5D4356CB"/>
    <w:rsid w:val="5D485594"/>
    <w:rsid w:val="5D494FC7"/>
    <w:rsid w:val="5D4D7E34"/>
    <w:rsid w:val="5D4E62B5"/>
    <w:rsid w:val="5D522DD6"/>
    <w:rsid w:val="5D551D45"/>
    <w:rsid w:val="5D5617A0"/>
    <w:rsid w:val="5D563A15"/>
    <w:rsid w:val="5D5712E6"/>
    <w:rsid w:val="5D5757D7"/>
    <w:rsid w:val="5D5977A1"/>
    <w:rsid w:val="5D5A0E23"/>
    <w:rsid w:val="5D5C4B9B"/>
    <w:rsid w:val="5D5E0913"/>
    <w:rsid w:val="5D5E6B65"/>
    <w:rsid w:val="5D5F6439"/>
    <w:rsid w:val="5D616655"/>
    <w:rsid w:val="5D623CAF"/>
    <w:rsid w:val="5D675AB9"/>
    <w:rsid w:val="5D692007"/>
    <w:rsid w:val="5D6A3E66"/>
    <w:rsid w:val="5D6B1282"/>
    <w:rsid w:val="5D6F296A"/>
    <w:rsid w:val="5D7133A6"/>
    <w:rsid w:val="5D720862"/>
    <w:rsid w:val="5D72616D"/>
    <w:rsid w:val="5D735C1D"/>
    <w:rsid w:val="5D74362C"/>
    <w:rsid w:val="5D74513D"/>
    <w:rsid w:val="5D746389"/>
    <w:rsid w:val="5D755C5D"/>
    <w:rsid w:val="5D7734CC"/>
    <w:rsid w:val="5D7A3273"/>
    <w:rsid w:val="5D7A3AAC"/>
    <w:rsid w:val="5D7A7717"/>
    <w:rsid w:val="5D7B2566"/>
    <w:rsid w:val="5D7C523D"/>
    <w:rsid w:val="5D7F0889"/>
    <w:rsid w:val="5D823EED"/>
    <w:rsid w:val="5D83037A"/>
    <w:rsid w:val="5D855229"/>
    <w:rsid w:val="5D8616AC"/>
    <w:rsid w:val="5D861D83"/>
    <w:rsid w:val="5D8660BC"/>
    <w:rsid w:val="5D870D53"/>
    <w:rsid w:val="5D871341"/>
    <w:rsid w:val="5D89702F"/>
    <w:rsid w:val="5D8E77DC"/>
    <w:rsid w:val="5D904324"/>
    <w:rsid w:val="5D922ECD"/>
    <w:rsid w:val="5D941D44"/>
    <w:rsid w:val="5D9A0A6A"/>
    <w:rsid w:val="5D9C3D7E"/>
    <w:rsid w:val="5D9C58DF"/>
    <w:rsid w:val="5D9C761E"/>
    <w:rsid w:val="5D9D0B28"/>
    <w:rsid w:val="5D9E6F62"/>
    <w:rsid w:val="5DA87DE0"/>
    <w:rsid w:val="5DAA1DAA"/>
    <w:rsid w:val="5DAF73C1"/>
    <w:rsid w:val="5DB22A0D"/>
    <w:rsid w:val="5DB26B6E"/>
    <w:rsid w:val="5DB524FD"/>
    <w:rsid w:val="5DB72129"/>
    <w:rsid w:val="5DB76275"/>
    <w:rsid w:val="5DB81DEE"/>
    <w:rsid w:val="5DB82D9D"/>
    <w:rsid w:val="5DB9023F"/>
    <w:rsid w:val="5DBC7D30"/>
    <w:rsid w:val="5DBF512A"/>
    <w:rsid w:val="5DBF6C6B"/>
    <w:rsid w:val="5DC015CE"/>
    <w:rsid w:val="5DC10EA2"/>
    <w:rsid w:val="5DC310BE"/>
    <w:rsid w:val="5DC529DC"/>
    <w:rsid w:val="5DC60D26"/>
    <w:rsid w:val="5DCA2BDE"/>
    <w:rsid w:val="5DCB3ACF"/>
    <w:rsid w:val="5DD010E5"/>
    <w:rsid w:val="5DD230AF"/>
    <w:rsid w:val="5DD3594C"/>
    <w:rsid w:val="5DD35CC7"/>
    <w:rsid w:val="5DD376C4"/>
    <w:rsid w:val="5DD43E37"/>
    <w:rsid w:val="5DD60DF1"/>
    <w:rsid w:val="5DDA5439"/>
    <w:rsid w:val="5DDC3F2E"/>
    <w:rsid w:val="5DDE6C37"/>
    <w:rsid w:val="5DE17503"/>
    <w:rsid w:val="5DE352BC"/>
    <w:rsid w:val="5DE51034"/>
    <w:rsid w:val="5DE54B90"/>
    <w:rsid w:val="5DE639DC"/>
    <w:rsid w:val="5DE828D3"/>
    <w:rsid w:val="5DEF61CF"/>
    <w:rsid w:val="5DF1009E"/>
    <w:rsid w:val="5DF748C4"/>
    <w:rsid w:val="5DF9445A"/>
    <w:rsid w:val="5DF9688E"/>
    <w:rsid w:val="5DFB0858"/>
    <w:rsid w:val="5DFB3FA8"/>
    <w:rsid w:val="5DFD637E"/>
    <w:rsid w:val="5DFE5C52"/>
    <w:rsid w:val="5DFF7AD9"/>
    <w:rsid w:val="5E0771FD"/>
    <w:rsid w:val="5E09755D"/>
    <w:rsid w:val="5E0A2849"/>
    <w:rsid w:val="5E0A2FDE"/>
    <w:rsid w:val="5E0A3BD6"/>
    <w:rsid w:val="5E0A45F7"/>
    <w:rsid w:val="5E0B036F"/>
    <w:rsid w:val="5E0B52B6"/>
    <w:rsid w:val="5E0F1C0D"/>
    <w:rsid w:val="5E1360BA"/>
    <w:rsid w:val="5E14431B"/>
    <w:rsid w:val="5E160385"/>
    <w:rsid w:val="5E1804D5"/>
    <w:rsid w:val="5E1831B8"/>
    <w:rsid w:val="5E192A8C"/>
    <w:rsid w:val="5E1E00A2"/>
    <w:rsid w:val="5E1F7CC2"/>
    <w:rsid w:val="5E217DDE"/>
    <w:rsid w:val="5E225274"/>
    <w:rsid w:val="5E26301D"/>
    <w:rsid w:val="5E2858B5"/>
    <w:rsid w:val="5E2A0C80"/>
    <w:rsid w:val="5E2A2EEB"/>
    <w:rsid w:val="5E2A4C99"/>
    <w:rsid w:val="5E2A6A47"/>
    <w:rsid w:val="5E2D0CDD"/>
    <w:rsid w:val="5E2F64E9"/>
    <w:rsid w:val="5E316974"/>
    <w:rsid w:val="5E321B48"/>
    <w:rsid w:val="5E341674"/>
    <w:rsid w:val="5E361890"/>
    <w:rsid w:val="5E3B271F"/>
    <w:rsid w:val="5E3B6EA6"/>
    <w:rsid w:val="5E3E1278"/>
    <w:rsid w:val="5E3E6996"/>
    <w:rsid w:val="5E3F7232"/>
    <w:rsid w:val="5E413652"/>
    <w:rsid w:val="5E4141C2"/>
    <w:rsid w:val="5E432B06"/>
    <w:rsid w:val="5E483371"/>
    <w:rsid w:val="5E4D1842"/>
    <w:rsid w:val="5E4E6BDA"/>
    <w:rsid w:val="5E5003CB"/>
    <w:rsid w:val="5E547F68"/>
    <w:rsid w:val="5E571F54"/>
    <w:rsid w:val="5E5822CE"/>
    <w:rsid w:val="5E582369"/>
    <w:rsid w:val="5E59732C"/>
    <w:rsid w:val="5E5E4943"/>
    <w:rsid w:val="5E602469"/>
    <w:rsid w:val="5E605FC4"/>
    <w:rsid w:val="5E655CD1"/>
    <w:rsid w:val="5E67599D"/>
    <w:rsid w:val="5E6B7484"/>
    <w:rsid w:val="5E6C3504"/>
    <w:rsid w:val="5E6D4B86"/>
    <w:rsid w:val="5E6E0CDF"/>
    <w:rsid w:val="5E7032F8"/>
    <w:rsid w:val="5E7058AA"/>
    <w:rsid w:val="5E714AFD"/>
    <w:rsid w:val="5E757AFE"/>
    <w:rsid w:val="5E761BC2"/>
    <w:rsid w:val="5E761C8C"/>
    <w:rsid w:val="5E795060"/>
    <w:rsid w:val="5E7B40A5"/>
    <w:rsid w:val="5E7D126D"/>
    <w:rsid w:val="5E7D301B"/>
    <w:rsid w:val="5E7E05A8"/>
    <w:rsid w:val="5E802B0B"/>
    <w:rsid w:val="5E8048B9"/>
    <w:rsid w:val="5E84014A"/>
    <w:rsid w:val="5E8425FB"/>
    <w:rsid w:val="5E856373"/>
    <w:rsid w:val="5E873E9A"/>
    <w:rsid w:val="5E8819C0"/>
    <w:rsid w:val="5E8A398A"/>
    <w:rsid w:val="5E8C15ED"/>
    <w:rsid w:val="5E8C3B32"/>
    <w:rsid w:val="5E8E1AB7"/>
    <w:rsid w:val="5E93283E"/>
    <w:rsid w:val="5E932F66"/>
    <w:rsid w:val="5E960581"/>
    <w:rsid w:val="5E9B7D42"/>
    <w:rsid w:val="5E9D35ED"/>
    <w:rsid w:val="5E9F4D52"/>
    <w:rsid w:val="5EA2350B"/>
    <w:rsid w:val="5EA507C4"/>
    <w:rsid w:val="5EA97EF5"/>
    <w:rsid w:val="5EAA1884"/>
    <w:rsid w:val="5EAC1B52"/>
    <w:rsid w:val="5EAC615A"/>
    <w:rsid w:val="5EAE068B"/>
    <w:rsid w:val="5EB10F16"/>
    <w:rsid w:val="5EB23621"/>
    <w:rsid w:val="5EB47FCC"/>
    <w:rsid w:val="5EB506B9"/>
    <w:rsid w:val="5EB6477F"/>
    <w:rsid w:val="5EB848BE"/>
    <w:rsid w:val="5EB90EE3"/>
    <w:rsid w:val="5EBD5B0D"/>
    <w:rsid w:val="5EC158C5"/>
    <w:rsid w:val="5EC40689"/>
    <w:rsid w:val="5EC40C4A"/>
    <w:rsid w:val="5EC65064"/>
    <w:rsid w:val="5EC944B2"/>
    <w:rsid w:val="5ECA3D86"/>
    <w:rsid w:val="5ECC3A1D"/>
    <w:rsid w:val="5ED0661A"/>
    <w:rsid w:val="5ED16375"/>
    <w:rsid w:val="5ED2780B"/>
    <w:rsid w:val="5ED35331"/>
    <w:rsid w:val="5ED57FD7"/>
    <w:rsid w:val="5ED66BCF"/>
    <w:rsid w:val="5ED86624"/>
    <w:rsid w:val="5EDB1920"/>
    <w:rsid w:val="5EDB41E5"/>
    <w:rsid w:val="5EDC2437"/>
    <w:rsid w:val="5EDC75E8"/>
    <w:rsid w:val="5EDD243B"/>
    <w:rsid w:val="5EDD61AF"/>
    <w:rsid w:val="5EE10C91"/>
    <w:rsid w:val="5EE15B4F"/>
    <w:rsid w:val="5EE96902"/>
    <w:rsid w:val="5EEE49D1"/>
    <w:rsid w:val="5EF07C91"/>
    <w:rsid w:val="5EF231C3"/>
    <w:rsid w:val="5EF52A85"/>
    <w:rsid w:val="5EFA0B0F"/>
    <w:rsid w:val="5EFA5D76"/>
    <w:rsid w:val="5EFD0CD6"/>
    <w:rsid w:val="5EFD23AE"/>
    <w:rsid w:val="5EFD5F0A"/>
    <w:rsid w:val="5F0110F8"/>
    <w:rsid w:val="5F02557F"/>
    <w:rsid w:val="5F04373C"/>
    <w:rsid w:val="5F0454EA"/>
    <w:rsid w:val="5F047298"/>
    <w:rsid w:val="5F05644B"/>
    <w:rsid w:val="5F065141"/>
    <w:rsid w:val="5F08322C"/>
    <w:rsid w:val="5F095452"/>
    <w:rsid w:val="5F0B4ACB"/>
    <w:rsid w:val="5F1020E1"/>
    <w:rsid w:val="5F135D0C"/>
    <w:rsid w:val="5F18074E"/>
    <w:rsid w:val="5F1A2F60"/>
    <w:rsid w:val="5F1A6ABC"/>
    <w:rsid w:val="5F1F2324"/>
    <w:rsid w:val="5F1F48E7"/>
    <w:rsid w:val="5F201488"/>
    <w:rsid w:val="5F214CB8"/>
    <w:rsid w:val="5F21609C"/>
    <w:rsid w:val="5F2300E6"/>
    <w:rsid w:val="5F28567D"/>
    <w:rsid w:val="5F296C9E"/>
    <w:rsid w:val="5F2D7001"/>
    <w:rsid w:val="5F334322"/>
    <w:rsid w:val="5F343EC1"/>
    <w:rsid w:val="5F353888"/>
    <w:rsid w:val="5F3833E6"/>
    <w:rsid w:val="5F3A0F0C"/>
    <w:rsid w:val="5F3B723E"/>
    <w:rsid w:val="5F3C1128"/>
    <w:rsid w:val="5F3D1A0A"/>
    <w:rsid w:val="5F3E6C4E"/>
    <w:rsid w:val="5F4B3119"/>
    <w:rsid w:val="5F4B4EC7"/>
    <w:rsid w:val="5F4C4B1F"/>
    <w:rsid w:val="5F4C7B32"/>
    <w:rsid w:val="5F5020F6"/>
    <w:rsid w:val="5F5244A8"/>
    <w:rsid w:val="5F526256"/>
    <w:rsid w:val="5F555D46"/>
    <w:rsid w:val="5F5571F6"/>
    <w:rsid w:val="5F557763"/>
    <w:rsid w:val="5F56201D"/>
    <w:rsid w:val="5F583E8D"/>
    <w:rsid w:val="5F591720"/>
    <w:rsid w:val="5F597F10"/>
    <w:rsid w:val="5F5A217E"/>
    <w:rsid w:val="5F64242D"/>
    <w:rsid w:val="5F6441DB"/>
    <w:rsid w:val="5F7268F8"/>
    <w:rsid w:val="5F7331FF"/>
    <w:rsid w:val="5F7563E8"/>
    <w:rsid w:val="5F7A1788"/>
    <w:rsid w:val="5F7C219E"/>
    <w:rsid w:val="5F7C4A43"/>
    <w:rsid w:val="5F7D704B"/>
    <w:rsid w:val="5F7E5B70"/>
    <w:rsid w:val="5F7F5A64"/>
    <w:rsid w:val="5F8108E9"/>
    <w:rsid w:val="5F8111C9"/>
    <w:rsid w:val="5F814D8D"/>
    <w:rsid w:val="5F816B3B"/>
    <w:rsid w:val="5F8328B3"/>
    <w:rsid w:val="5F833103"/>
    <w:rsid w:val="5F844F44"/>
    <w:rsid w:val="5F85487D"/>
    <w:rsid w:val="5F89155C"/>
    <w:rsid w:val="5F8D3732"/>
    <w:rsid w:val="5F8D54E0"/>
    <w:rsid w:val="5F8F3675"/>
    <w:rsid w:val="5F903412"/>
    <w:rsid w:val="5F904FD0"/>
    <w:rsid w:val="5F942D12"/>
    <w:rsid w:val="5F943190"/>
    <w:rsid w:val="5F944AC0"/>
    <w:rsid w:val="5F9471FD"/>
    <w:rsid w:val="5F97010C"/>
    <w:rsid w:val="5F9800AB"/>
    <w:rsid w:val="5F9A5E4E"/>
    <w:rsid w:val="5F9B7003"/>
    <w:rsid w:val="5F9C09D9"/>
    <w:rsid w:val="5FA326B0"/>
    <w:rsid w:val="5FA333BD"/>
    <w:rsid w:val="5FA56CCD"/>
    <w:rsid w:val="5FA62A45"/>
    <w:rsid w:val="5FA840C8"/>
    <w:rsid w:val="5FAB1E0A"/>
    <w:rsid w:val="5FAB3BB8"/>
    <w:rsid w:val="5FAE5456"/>
    <w:rsid w:val="5FB011CE"/>
    <w:rsid w:val="5FB23198"/>
    <w:rsid w:val="5FB521ED"/>
    <w:rsid w:val="5FB57F0E"/>
    <w:rsid w:val="5FB66D94"/>
    <w:rsid w:val="5FB76A00"/>
    <w:rsid w:val="5FB83DF0"/>
    <w:rsid w:val="5FB94CDF"/>
    <w:rsid w:val="5FBF2C92"/>
    <w:rsid w:val="5FC353A5"/>
    <w:rsid w:val="5FC44C79"/>
    <w:rsid w:val="5FC60992"/>
    <w:rsid w:val="5FCE0D1D"/>
    <w:rsid w:val="5FCF5AF8"/>
    <w:rsid w:val="5FD01870"/>
    <w:rsid w:val="5FD41360"/>
    <w:rsid w:val="5FD44EBD"/>
    <w:rsid w:val="5FD72BFF"/>
    <w:rsid w:val="5FD749AD"/>
    <w:rsid w:val="5FD96977"/>
    <w:rsid w:val="5FDB068E"/>
    <w:rsid w:val="5FDC0215"/>
    <w:rsid w:val="5FDC0C27"/>
    <w:rsid w:val="5FDE21DF"/>
    <w:rsid w:val="5FDE4B10"/>
    <w:rsid w:val="5FDF2BEF"/>
    <w:rsid w:val="5FDF6C64"/>
    <w:rsid w:val="5FE01A64"/>
    <w:rsid w:val="5FE64BF0"/>
    <w:rsid w:val="5FE80968"/>
    <w:rsid w:val="5FE84E0C"/>
    <w:rsid w:val="5FED1A34"/>
    <w:rsid w:val="5FF40209"/>
    <w:rsid w:val="5FF41879"/>
    <w:rsid w:val="5FF437B1"/>
    <w:rsid w:val="5FF53085"/>
    <w:rsid w:val="5FF76DFD"/>
    <w:rsid w:val="5FF94438"/>
    <w:rsid w:val="5FF94530"/>
    <w:rsid w:val="5FFC08B7"/>
    <w:rsid w:val="5FFC170C"/>
    <w:rsid w:val="5FFC2665"/>
    <w:rsid w:val="5FFE7904"/>
    <w:rsid w:val="60002155"/>
    <w:rsid w:val="60003F04"/>
    <w:rsid w:val="600339F4"/>
    <w:rsid w:val="60060DD3"/>
    <w:rsid w:val="60065292"/>
    <w:rsid w:val="600E2D40"/>
    <w:rsid w:val="600F4147"/>
    <w:rsid w:val="601150E9"/>
    <w:rsid w:val="60117F4E"/>
    <w:rsid w:val="60121E89"/>
    <w:rsid w:val="60145C01"/>
    <w:rsid w:val="60151E34"/>
    <w:rsid w:val="601750B6"/>
    <w:rsid w:val="60177F83"/>
    <w:rsid w:val="60180E87"/>
    <w:rsid w:val="601D1E21"/>
    <w:rsid w:val="60200102"/>
    <w:rsid w:val="60206354"/>
    <w:rsid w:val="60234096"/>
    <w:rsid w:val="60235970"/>
    <w:rsid w:val="60235E44"/>
    <w:rsid w:val="60236405"/>
    <w:rsid w:val="60251BBC"/>
    <w:rsid w:val="6025396A"/>
    <w:rsid w:val="602731FC"/>
    <w:rsid w:val="602816AC"/>
    <w:rsid w:val="602937D8"/>
    <w:rsid w:val="602D5F8C"/>
    <w:rsid w:val="602F2A3B"/>
    <w:rsid w:val="6032008A"/>
    <w:rsid w:val="603308DE"/>
    <w:rsid w:val="60336139"/>
    <w:rsid w:val="60363DC9"/>
    <w:rsid w:val="6037544B"/>
    <w:rsid w:val="603B318E"/>
    <w:rsid w:val="603B4F3C"/>
    <w:rsid w:val="60406345"/>
    <w:rsid w:val="60446F62"/>
    <w:rsid w:val="6045514E"/>
    <w:rsid w:val="60471B32"/>
    <w:rsid w:val="604D2EC1"/>
    <w:rsid w:val="604E5940"/>
    <w:rsid w:val="60501DC9"/>
    <w:rsid w:val="605026B2"/>
    <w:rsid w:val="605113E4"/>
    <w:rsid w:val="605204D7"/>
    <w:rsid w:val="60536729"/>
    <w:rsid w:val="60561D75"/>
    <w:rsid w:val="605816A8"/>
    <w:rsid w:val="605B5708"/>
    <w:rsid w:val="605D105C"/>
    <w:rsid w:val="605E6E7C"/>
    <w:rsid w:val="605F7185"/>
    <w:rsid w:val="60600E46"/>
    <w:rsid w:val="60602BF4"/>
    <w:rsid w:val="60611C9B"/>
    <w:rsid w:val="60616C02"/>
    <w:rsid w:val="60624BBE"/>
    <w:rsid w:val="606326E4"/>
    <w:rsid w:val="60636240"/>
    <w:rsid w:val="60642E51"/>
    <w:rsid w:val="60654045"/>
    <w:rsid w:val="6065645C"/>
    <w:rsid w:val="606954EE"/>
    <w:rsid w:val="606A3A73"/>
    <w:rsid w:val="606D0021"/>
    <w:rsid w:val="606D13C6"/>
    <w:rsid w:val="606F72DB"/>
    <w:rsid w:val="607432D7"/>
    <w:rsid w:val="607448F1"/>
    <w:rsid w:val="607602AB"/>
    <w:rsid w:val="60771CEC"/>
    <w:rsid w:val="60795A64"/>
    <w:rsid w:val="607A3CB8"/>
    <w:rsid w:val="607B5C80"/>
    <w:rsid w:val="607F4E12"/>
    <w:rsid w:val="60803E67"/>
    <w:rsid w:val="60806DF2"/>
    <w:rsid w:val="60810426"/>
    <w:rsid w:val="60892356"/>
    <w:rsid w:val="60894626"/>
    <w:rsid w:val="608A3BE5"/>
    <w:rsid w:val="608B4D11"/>
    <w:rsid w:val="608B6453"/>
    <w:rsid w:val="608C489F"/>
    <w:rsid w:val="60911000"/>
    <w:rsid w:val="60912421"/>
    <w:rsid w:val="60956CE9"/>
    <w:rsid w:val="60956D42"/>
    <w:rsid w:val="609B2F18"/>
    <w:rsid w:val="609D4E6C"/>
    <w:rsid w:val="609D5BF6"/>
    <w:rsid w:val="609E54CA"/>
    <w:rsid w:val="609E6B88"/>
    <w:rsid w:val="60A2320D"/>
    <w:rsid w:val="60A27315"/>
    <w:rsid w:val="60A30D33"/>
    <w:rsid w:val="60A452E0"/>
    <w:rsid w:val="60A96349"/>
    <w:rsid w:val="60AA20C1"/>
    <w:rsid w:val="60AB291E"/>
    <w:rsid w:val="60AC7BE7"/>
    <w:rsid w:val="60B45AE4"/>
    <w:rsid w:val="60B53011"/>
    <w:rsid w:val="60B62419"/>
    <w:rsid w:val="60B8658C"/>
    <w:rsid w:val="60B866B7"/>
    <w:rsid w:val="60BD1AAB"/>
    <w:rsid w:val="60BD1DF5"/>
    <w:rsid w:val="60BE4861"/>
    <w:rsid w:val="60C04DE3"/>
    <w:rsid w:val="60C0639C"/>
    <w:rsid w:val="60C159DF"/>
    <w:rsid w:val="60C16521"/>
    <w:rsid w:val="60C170FF"/>
    <w:rsid w:val="60C43183"/>
    <w:rsid w:val="60C767CF"/>
    <w:rsid w:val="60C82547"/>
    <w:rsid w:val="60C9483B"/>
    <w:rsid w:val="60CA0440"/>
    <w:rsid w:val="60CC2038"/>
    <w:rsid w:val="60CD6968"/>
    <w:rsid w:val="60D65B50"/>
    <w:rsid w:val="60D94755"/>
    <w:rsid w:val="60DD52AD"/>
    <w:rsid w:val="60DE19DE"/>
    <w:rsid w:val="60DE4400"/>
    <w:rsid w:val="60E20F9A"/>
    <w:rsid w:val="60E23609"/>
    <w:rsid w:val="60E411CE"/>
    <w:rsid w:val="60E45E06"/>
    <w:rsid w:val="60E530F9"/>
    <w:rsid w:val="60EC6236"/>
    <w:rsid w:val="60EE0200"/>
    <w:rsid w:val="60EE5C44"/>
    <w:rsid w:val="60F13DD3"/>
    <w:rsid w:val="60F44AF8"/>
    <w:rsid w:val="60F814B3"/>
    <w:rsid w:val="60F875EA"/>
    <w:rsid w:val="60F917DD"/>
    <w:rsid w:val="60FB2EF8"/>
    <w:rsid w:val="60FD5235"/>
    <w:rsid w:val="60FD7762"/>
    <w:rsid w:val="60FF065F"/>
    <w:rsid w:val="60FF41BB"/>
    <w:rsid w:val="61025A59"/>
    <w:rsid w:val="61037C0C"/>
    <w:rsid w:val="61047A23"/>
    <w:rsid w:val="610572F8"/>
    <w:rsid w:val="610A4651"/>
    <w:rsid w:val="610C5DAB"/>
    <w:rsid w:val="610C68D8"/>
    <w:rsid w:val="61154144"/>
    <w:rsid w:val="61171AE3"/>
    <w:rsid w:val="61174364"/>
    <w:rsid w:val="6117731B"/>
    <w:rsid w:val="61181721"/>
    <w:rsid w:val="611A7247"/>
    <w:rsid w:val="611D0AE5"/>
    <w:rsid w:val="611F485D"/>
    <w:rsid w:val="61220294"/>
    <w:rsid w:val="612C0D28"/>
    <w:rsid w:val="612D0EDA"/>
    <w:rsid w:val="612D314A"/>
    <w:rsid w:val="61330309"/>
    <w:rsid w:val="6134408D"/>
    <w:rsid w:val="61371BA7"/>
    <w:rsid w:val="61375986"/>
    <w:rsid w:val="61380ADF"/>
    <w:rsid w:val="613A3445"/>
    <w:rsid w:val="613B0074"/>
    <w:rsid w:val="613D4CE3"/>
    <w:rsid w:val="61406582"/>
    <w:rsid w:val="614147D4"/>
    <w:rsid w:val="61433767"/>
    <w:rsid w:val="614340F9"/>
    <w:rsid w:val="61436FDD"/>
    <w:rsid w:val="614442C4"/>
    <w:rsid w:val="61477910"/>
    <w:rsid w:val="61493350"/>
    <w:rsid w:val="61497B2C"/>
    <w:rsid w:val="614B7EBD"/>
    <w:rsid w:val="61505325"/>
    <w:rsid w:val="61555058"/>
    <w:rsid w:val="6159055E"/>
    <w:rsid w:val="615A1D6E"/>
    <w:rsid w:val="615D0C29"/>
    <w:rsid w:val="615D7134"/>
    <w:rsid w:val="615F2EAC"/>
    <w:rsid w:val="616122D2"/>
    <w:rsid w:val="616133A0"/>
    <w:rsid w:val="6162299C"/>
    <w:rsid w:val="61642270"/>
    <w:rsid w:val="6164671D"/>
    <w:rsid w:val="6166423A"/>
    <w:rsid w:val="61695AD8"/>
    <w:rsid w:val="616E6854"/>
    <w:rsid w:val="61711518"/>
    <w:rsid w:val="6171498D"/>
    <w:rsid w:val="61736957"/>
    <w:rsid w:val="61761FA3"/>
    <w:rsid w:val="6177076C"/>
    <w:rsid w:val="617821BF"/>
    <w:rsid w:val="61791B40"/>
    <w:rsid w:val="617C3A5E"/>
    <w:rsid w:val="617D3332"/>
    <w:rsid w:val="617E7959"/>
    <w:rsid w:val="617F354E"/>
    <w:rsid w:val="617F52FC"/>
    <w:rsid w:val="6183210C"/>
    <w:rsid w:val="61832CDC"/>
    <w:rsid w:val="61834DEC"/>
    <w:rsid w:val="618446C0"/>
    <w:rsid w:val="618D7CDE"/>
    <w:rsid w:val="618E3791"/>
    <w:rsid w:val="61913A40"/>
    <w:rsid w:val="6191468E"/>
    <w:rsid w:val="619310C7"/>
    <w:rsid w:val="619535D9"/>
    <w:rsid w:val="619568CD"/>
    <w:rsid w:val="61972646"/>
    <w:rsid w:val="619743F4"/>
    <w:rsid w:val="6199624C"/>
    <w:rsid w:val="619A0388"/>
    <w:rsid w:val="619A2136"/>
    <w:rsid w:val="619C1A0A"/>
    <w:rsid w:val="619D0D68"/>
    <w:rsid w:val="619D39D4"/>
    <w:rsid w:val="619E1C26"/>
    <w:rsid w:val="619F774C"/>
    <w:rsid w:val="61A3598A"/>
    <w:rsid w:val="61A471A2"/>
    <w:rsid w:val="61A60ADB"/>
    <w:rsid w:val="61A67EEA"/>
    <w:rsid w:val="61A72A73"/>
    <w:rsid w:val="61AB4343"/>
    <w:rsid w:val="61AC2E6E"/>
    <w:rsid w:val="61AD3C17"/>
    <w:rsid w:val="61B03707"/>
    <w:rsid w:val="61B20A9E"/>
    <w:rsid w:val="61B2122D"/>
    <w:rsid w:val="61B41225"/>
    <w:rsid w:val="61B52ACC"/>
    <w:rsid w:val="61B551C2"/>
    <w:rsid w:val="61B56F70"/>
    <w:rsid w:val="61B76844"/>
    <w:rsid w:val="61BC3E5A"/>
    <w:rsid w:val="61BD7BD2"/>
    <w:rsid w:val="61C13B66"/>
    <w:rsid w:val="61C176C2"/>
    <w:rsid w:val="61C402E7"/>
    <w:rsid w:val="61C72D76"/>
    <w:rsid w:val="61C827FF"/>
    <w:rsid w:val="61C947C9"/>
    <w:rsid w:val="61CB588D"/>
    <w:rsid w:val="61CB5A43"/>
    <w:rsid w:val="61CB6793"/>
    <w:rsid w:val="61CD30DA"/>
    <w:rsid w:val="61CE31A0"/>
    <w:rsid w:val="61CE421D"/>
    <w:rsid w:val="61D218D0"/>
    <w:rsid w:val="61D373F6"/>
    <w:rsid w:val="61D45648"/>
    <w:rsid w:val="61D73DD4"/>
    <w:rsid w:val="61D76EE6"/>
    <w:rsid w:val="61DB4C28"/>
    <w:rsid w:val="61DC274E"/>
    <w:rsid w:val="61DD43D6"/>
    <w:rsid w:val="61DD4483"/>
    <w:rsid w:val="61DE0274"/>
    <w:rsid w:val="61DE64C6"/>
    <w:rsid w:val="61E15FB7"/>
    <w:rsid w:val="61E34380"/>
    <w:rsid w:val="61E41603"/>
    <w:rsid w:val="61E643A1"/>
    <w:rsid w:val="61E67129"/>
    <w:rsid w:val="61E824DC"/>
    <w:rsid w:val="61EA1BC0"/>
    <w:rsid w:val="61ED495B"/>
    <w:rsid w:val="61EE47A6"/>
    <w:rsid w:val="61EE4CC3"/>
    <w:rsid w:val="61EE5466"/>
    <w:rsid w:val="61F45CEA"/>
    <w:rsid w:val="61F45F9B"/>
    <w:rsid w:val="61F5736C"/>
    <w:rsid w:val="61F71336"/>
    <w:rsid w:val="61F757CD"/>
    <w:rsid w:val="61FA4982"/>
    <w:rsid w:val="61FB0E26"/>
    <w:rsid w:val="6200643D"/>
    <w:rsid w:val="620121B5"/>
    <w:rsid w:val="620449AF"/>
    <w:rsid w:val="62051CA5"/>
    <w:rsid w:val="620D6DAC"/>
    <w:rsid w:val="620E38C8"/>
    <w:rsid w:val="620F495A"/>
    <w:rsid w:val="620F61C4"/>
    <w:rsid w:val="62105DBC"/>
    <w:rsid w:val="62127F1E"/>
    <w:rsid w:val="62141EE8"/>
    <w:rsid w:val="62165C60"/>
    <w:rsid w:val="621941A5"/>
    <w:rsid w:val="621974FF"/>
    <w:rsid w:val="621B540F"/>
    <w:rsid w:val="621C0D9D"/>
    <w:rsid w:val="6220263B"/>
    <w:rsid w:val="6223037D"/>
    <w:rsid w:val="62255EA3"/>
    <w:rsid w:val="62261C1B"/>
    <w:rsid w:val="62290F0E"/>
    <w:rsid w:val="62297137"/>
    <w:rsid w:val="622F041C"/>
    <w:rsid w:val="623054B0"/>
    <w:rsid w:val="62331FC5"/>
    <w:rsid w:val="6234324C"/>
    <w:rsid w:val="62361E5F"/>
    <w:rsid w:val="623A366B"/>
    <w:rsid w:val="623C31ED"/>
    <w:rsid w:val="623E1C97"/>
    <w:rsid w:val="623F0B7F"/>
    <w:rsid w:val="623F6FC1"/>
    <w:rsid w:val="6242111B"/>
    <w:rsid w:val="62481B92"/>
    <w:rsid w:val="62483940"/>
    <w:rsid w:val="6249652F"/>
    <w:rsid w:val="624B3430"/>
    <w:rsid w:val="624C78D4"/>
    <w:rsid w:val="624D53FA"/>
    <w:rsid w:val="624E318C"/>
    <w:rsid w:val="625045BF"/>
    <w:rsid w:val="62527017"/>
    <w:rsid w:val="625451FA"/>
    <w:rsid w:val="62546789"/>
    <w:rsid w:val="62586279"/>
    <w:rsid w:val="62593D9F"/>
    <w:rsid w:val="625A5924"/>
    <w:rsid w:val="625C563D"/>
    <w:rsid w:val="625D388F"/>
    <w:rsid w:val="6260197E"/>
    <w:rsid w:val="62650996"/>
    <w:rsid w:val="62653BA2"/>
    <w:rsid w:val="626544F2"/>
    <w:rsid w:val="626A0681"/>
    <w:rsid w:val="62712E97"/>
    <w:rsid w:val="62715045"/>
    <w:rsid w:val="62740BD9"/>
    <w:rsid w:val="627604AD"/>
    <w:rsid w:val="62782477"/>
    <w:rsid w:val="6279074F"/>
    <w:rsid w:val="627D5CDF"/>
    <w:rsid w:val="627E3805"/>
    <w:rsid w:val="62820D2A"/>
    <w:rsid w:val="628A03FC"/>
    <w:rsid w:val="628E1C9B"/>
    <w:rsid w:val="628F77C1"/>
    <w:rsid w:val="62905318"/>
    <w:rsid w:val="62917095"/>
    <w:rsid w:val="629350DA"/>
    <w:rsid w:val="629616EA"/>
    <w:rsid w:val="62980CCF"/>
    <w:rsid w:val="629B704A"/>
    <w:rsid w:val="629D1EDE"/>
    <w:rsid w:val="62A019CE"/>
    <w:rsid w:val="62A16CB7"/>
    <w:rsid w:val="62A3326C"/>
    <w:rsid w:val="62A3501A"/>
    <w:rsid w:val="62A7118A"/>
    <w:rsid w:val="62AA720C"/>
    <w:rsid w:val="62AC3ECF"/>
    <w:rsid w:val="62AF3A49"/>
    <w:rsid w:val="62B0343B"/>
    <w:rsid w:val="62B80AC5"/>
    <w:rsid w:val="62B9215C"/>
    <w:rsid w:val="62BB3634"/>
    <w:rsid w:val="62BC40DA"/>
    <w:rsid w:val="62BC497E"/>
    <w:rsid w:val="62BE3C02"/>
    <w:rsid w:val="62C03E1E"/>
    <w:rsid w:val="62C0797A"/>
    <w:rsid w:val="62C5706B"/>
    <w:rsid w:val="62C70472"/>
    <w:rsid w:val="62C70D09"/>
    <w:rsid w:val="62C7181E"/>
    <w:rsid w:val="62CC7B9D"/>
    <w:rsid w:val="62CF7BBD"/>
    <w:rsid w:val="62D179A7"/>
    <w:rsid w:val="62D653F0"/>
    <w:rsid w:val="62DA4EE0"/>
    <w:rsid w:val="62DE42A4"/>
    <w:rsid w:val="62DE55C3"/>
    <w:rsid w:val="62E21FE6"/>
    <w:rsid w:val="62E22399"/>
    <w:rsid w:val="62E25A94"/>
    <w:rsid w:val="62E278F0"/>
    <w:rsid w:val="62E5361E"/>
    <w:rsid w:val="62E573E1"/>
    <w:rsid w:val="62E77B02"/>
    <w:rsid w:val="62E96ED1"/>
    <w:rsid w:val="62EA3095"/>
    <w:rsid w:val="62EA49F7"/>
    <w:rsid w:val="62ED5559"/>
    <w:rsid w:val="62EE0C9F"/>
    <w:rsid w:val="62EE2993"/>
    <w:rsid w:val="62EE428B"/>
    <w:rsid w:val="62F17359"/>
    <w:rsid w:val="62FC3469"/>
    <w:rsid w:val="62FD6A7D"/>
    <w:rsid w:val="62FF5931"/>
    <w:rsid w:val="6302762D"/>
    <w:rsid w:val="6309270E"/>
    <w:rsid w:val="63092A34"/>
    <w:rsid w:val="630930CF"/>
    <w:rsid w:val="630A5099"/>
    <w:rsid w:val="630A6E47"/>
    <w:rsid w:val="630B6758"/>
    <w:rsid w:val="630C2BBF"/>
    <w:rsid w:val="630E3FB4"/>
    <w:rsid w:val="630F445E"/>
    <w:rsid w:val="63100901"/>
    <w:rsid w:val="631076C9"/>
    <w:rsid w:val="63141283"/>
    <w:rsid w:val="63155479"/>
    <w:rsid w:val="631772BD"/>
    <w:rsid w:val="631C12EA"/>
    <w:rsid w:val="631C41A4"/>
    <w:rsid w:val="63212B0F"/>
    <w:rsid w:val="632A368E"/>
    <w:rsid w:val="632C3261"/>
    <w:rsid w:val="632E2B36"/>
    <w:rsid w:val="632F7D91"/>
    <w:rsid w:val="63304B00"/>
    <w:rsid w:val="63320019"/>
    <w:rsid w:val="6333639E"/>
    <w:rsid w:val="63365E8E"/>
    <w:rsid w:val="63365FCF"/>
    <w:rsid w:val="633A11F7"/>
    <w:rsid w:val="633F4D43"/>
    <w:rsid w:val="63414F5F"/>
    <w:rsid w:val="634467FD"/>
    <w:rsid w:val="634632A4"/>
    <w:rsid w:val="6346457F"/>
    <w:rsid w:val="6347265C"/>
    <w:rsid w:val="63495A8C"/>
    <w:rsid w:val="634D66C7"/>
    <w:rsid w:val="634E2E75"/>
    <w:rsid w:val="634E31D8"/>
    <w:rsid w:val="63533494"/>
    <w:rsid w:val="63534C92"/>
    <w:rsid w:val="63544A34"/>
    <w:rsid w:val="63585E05"/>
    <w:rsid w:val="635A1B7D"/>
    <w:rsid w:val="635B22A4"/>
    <w:rsid w:val="635C51E4"/>
    <w:rsid w:val="63602910"/>
    <w:rsid w:val="63615A0A"/>
    <w:rsid w:val="63626C83"/>
    <w:rsid w:val="636809DF"/>
    <w:rsid w:val="63690012"/>
    <w:rsid w:val="636903B1"/>
    <w:rsid w:val="63694D48"/>
    <w:rsid w:val="636C365E"/>
    <w:rsid w:val="636C5ADF"/>
    <w:rsid w:val="636E387A"/>
    <w:rsid w:val="636F11B2"/>
    <w:rsid w:val="637013A0"/>
    <w:rsid w:val="63702430"/>
    <w:rsid w:val="637473B8"/>
    <w:rsid w:val="63753FEA"/>
    <w:rsid w:val="63775EFE"/>
    <w:rsid w:val="63780435"/>
    <w:rsid w:val="637A3FCD"/>
    <w:rsid w:val="637A5D7B"/>
    <w:rsid w:val="637D3ABD"/>
    <w:rsid w:val="637D586B"/>
    <w:rsid w:val="6381535B"/>
    <w:rsid w:val="63822E81"/>
    <w:rsid w:val="63827325"/>
    <w:rsid w:val="63852ED6"/>
    <w:rsid w:val="6388493C"/>
    <w:rsid w:val="638906B4"/>
    <w:rsid w:val="638C27D1"/>
    <w:rsid w:val="638E5DB2"/>
    <w:rsid w:val="638E62D2"/>
    <w:rsid w:val="6390559E"/>
    <w:rsid w:val="63911317"/>
    <w:rsid w:val="639214D8"/>
    <w:rsid w:val="63927568"/>
    <w:rsid w:val="639332E1"/>
    <w:rsid w:val="63936688"/>
    <w:rsid w:val="63954DA1"/>
    <w:rsid w:val="6397692D"/>
    <w:rsid w:val="63984453"/>
    <w:rsid w:val="639C2195"/>
    <w:rsid w:val="639D4A7A"/>
    <w:rsid w:val="639E415F"/>
    <w:rsid w:val="63A13A48"/>
    <w:rsid w:val="63A21509"/>
    <w:rsid w:val="63AA3B18"/>
    <w:rsid w:val="63AB4111"/>
    <w:rsid w:val="63AB4186"/>
    <w:rsid w:val="63AC7EFE"/>
    <w:rsid w:val="63B02ABD"/>
    <w:rsid w:val="63B21CDF"/>
    <w:rsid w:val="63B4003A"/>
    <w:rsid w:val="63B55005"/>
    <w:rsid w:val="63BA5D30"/>
    <w:rsid w:val="63BA6ABF"/>
    <w:rsid w:val="63BA77AE"/>
    <w:rsid w:val="63BE035D"/>
    <w:rsid w:val="63C139AA"/>
    <w:rsid w:val="63C41342"/>
    <w:rsid w:val="63C60E3E"/>
    <w:rsid w:val="63C60FC0"/>
    <w:rsid w:val="63C74D38"/>
    <w:rsid w:val="63D062E3"/>
    <w:rsid w:val="63D25BB7"/>
    <w:rsid w:val="63D50DDF"/>
    <w:rsid w:val="63D556A7"/>
    <w:rsid w:val="63D74AAF"/>
    <w:rsid w:val="63D8564E"/>
    <w:rsid w:val="63DA2CBD"/>
    <w:rsid w:val="63DC6A02"/>
    <w:rsid w:val="63DF02D4"/>
    <w:rsid w:val="63DF2257"/>
    <w:rsid w:val="63E15DFA"/>
    <w:rsid w:val="63E34F0E"/>
    <w:rsid w:val="63EC3A6A"/>
    <w:rsid w:val="63ED479F"/>
    <w:rsid w:val="63EE0517"/>
    <w:rsid w:val="63F02193"/>
    <w:rsid w:val="63F02ABE"/>
    <w:rsid w:val="63F051A3"/>
    <w:rsid w:val="63F36A7C"/>
    <w:rsid w:val="63F518A5"/>
    <w:rsid w:val="63F55D49"/>
    <w:rsid w:val="63F81E6E"/>
    <w:rsid w:val="63F83144"/>
    <w:rsid w:val="63FC4DFC"/>
    <w:rsid w:val="63FD075A"/>
    <w:rsid w:val="6401024A"/>
    <w:rsid w:val="640146EE"/>
    <w:rsid w:val="640210A3"/>
    <w:rsid w:val="64033FC2"/>
    <w:rsid w:val="64046E46"/>
    <w:rsid w:val="640815D9"/>
    <w:rsid w:val="64095351"/>
    <w:rsid w:val="64096CF9"/>
    <w:rsid w:val="640B2E77"/>
    <w:rsid w:val="640F3AB9"/>
    <w:rsid w:val="640F3F59"/>
    <w:rsid w:val="640F6E0B"/>
    <w:rsid w:val="641066DF"/>
    <w:rsid w:val="6412273A"/>
    <w:rsid w:val="64183E80"/>
    <w:rsid w:val="64191A38"/>
    <w:rsid w:val="641A615C"/>
    <w:rsid w:val="641A755E"/>
    <w:rsid w:val="641B57B0"/>
    <w:rsid w:val="64202DC6"/>
    <w:rsid w:val="6428782A"/>
    <w:rsid w:val="6429154F"/>
    <w:rsid w:val="64292DE8"/>
    <w:rsid w:val="642A1A86"/>
    <w:rsid w:val="642C0F11"/>
    <w:rsid w:val="642E6B65"/>
    <w:rsid w:val="642F4DB7"/>
    <w:rsid w:val="64322AF9"/>
    <w:rsid w:val="64351776"/>
    <w:rsid w:val="64363029"/>
    <w:rsid w:val="643C5726"/>
    <w:rsid w:val="643E324C"/>
    <w:rsid w:val="64432611"/>
    <w:rsid w:val="64446389"/>
    <w:rsid w:val="64460353"/>
    <w:rsid w:val="64495085"/>
    <w:rsid w:val="644D1F8D"/>
    <w:rsid w:val="644E0D6F"/>
    <w:rsid w:val="644F48E3"/>
    <w:rsid w:val="645111D2"/>
    <w:rsid w:val="64523490"/>
    <w:rsid w:val="64524A37"/>
    <w:rsid w:val="64551E51"/>
    <w:rsid w:val="6457430E"/>
    <w:rsid w:val="64591E34"/>
    <w:rsid w:val="645962D8"/>
    <w:rsid w:val="645A5BAC"/>
    <w:rsid w:val="645C7B76"/>
    <w:rsid w:val="646031C3"/>
    <w:rsid w:val="64616F3B"/>
    <w:rsid w:val="64632CB3"/>
    <w:rsid w:val="64654FB0"/>
    <w:rsid w:val="646A2293"/>
    <w:rsid w:val="646D1D84"/>
    <w:rsid w:val="646D58E0"/>
    <w:rsid w:val="646E5E05"/>
    <w:rsid w:val="64720294"/>
    <w:rsid w:val="647749B0"/>
    <w:rsid w:val="6477675E"/>
    <w:rsid w:val="64790728"/>
    <w:rsid w:val="647C0409"/>
    <w:rsid w:val="647C3B54"/>
    <w:rsid w:val="64813139"/>
    <w:rsid w:val="6482125C"/>
    <w:rsid w:val="64825537"/>
    <w:rsid w:val="64832C8B"/>
    <w:rsid w:val="64871C0A"/>
    <w:rsid w:val="648F6320"/>
    <w:rsid w:val="6493693E"/>
    <w:rsid w:val="64964E36"/>
    <w:rsid w:val="64970BAF"/>
    <w:rsid w:val="64990483"/>
    <w:rsid w:val="649B41FB"/>
    <w:rsid w:val="649C27DD"/>
    <w:rsid w:val="649D61FE"/>
    <w:rsid w:val="64A01811"/>
    <w:rsid w:val="64A31301"/>
    <w:rsid w:val="64A31C8D"/>
    <w:rsid w:val="64A32029"/>
    <w:rsid w:val="64A3715A"/>
    <w:rsid w:val="64A84B6A"/>
    <w:rsid w:val="64A97238"/>
    <w:rsid w:val="64AA08E2"/>
    <w:rsid w:val="64AF5EF8"/>
    <w:rsid w:val="64B05712"/>
    <w:rsid w:val="64B2540B"/>
    <w:rsid w:val="64B27796"/>
    <w:rsid w:val="64B653F3"/>
    <w:rsid w:val="64B92960"/>
    <w:rsid w:val="64BB664B"/>
    <w:rsid w:val="64BE25DF"/>
    <w:rsid w:val="64BE438D"/>
    <w:rsid w:val="64BE7B84"/>
    <w:rsid w:val="64C03C61"/>
    <w:rsid w:val="64C31B05"/>
    <w:rsid w:val="64C378AE"/>
    <w:rsid w:val="64C4255D"/>
    <w:rsid w:val="64C5571C"/>
    <w:rsid w:val="64CA4AE0"/>
    <w:rsid w:val="64CC2606"/>
    <w:rsid w:val="64CD45D0"/>
    <w:rsid w:val="64CD50E0"/>
    <w:rsid w:val="64CD5D9E"/>
    <w:rsid w:val="64D140C0"/>
    <w:rsid w:val="64D1469A"/>
    <w:rsid w:val="64D4770D"/>
    <w:rsid w:val="64D52934"/>
    <w:rsid w:val="64D8544F"/>
    <w:rsid w:val="64DB76E4"/>
    <w:rsid w:val="64DE67DD"/>
    <w:rsid w:val="64DF4A2F"/>
    <w:rsid w:val="64E2007C"/>
    <w:rsid w:val="64E35D62"/>
    <w:rsid w:val="64E434FC"/>
    <w:rsid w:val="64E44AA8"/>
    <w:rsid w:val="64E57B6C"/>
    <w:rsid w:val="64E738E4"/>
    <w:rsid w:val="64ED3015"/>
    <w:rsid w:val="64F26C97"/>
    <w:rsid w:val="64F34037"/>
    <w:rsid w:val="64F4459D"/>
    <w:rsid w:val="64F658D5"/>
    <w:rsid w:val="64F93617"/>
    <w:rsid w:val="64FC10D6"/>
    <w:rsid w:val="64FC76AB"/>
    <w:rsid w:val="64FE021F"/>
    <w:rsid w:val="64FE478A"/>
    <w:rsid w:val="650357EC"/>
    <w:rsid w:val="650417B4"/>
    <w:rsid w:val="65044496"/>
    <w:rsid w:val="65053D6A"/>
    <w:rsid w:val="6507446B"/>
    <w:rsid w:val="65075D34"/>
    <w:rsid w:val="650D2C1F"/>
    <w:rsid w:val="6511270F"/>
    <w:rsid w:val="65130235"/>
    <w:rsid w:val="651421FF"/>
    <w:rsid w:val="65143FAD"/>
    <w:rsid w:val="65147874"/>
    <w:rsid w:val="65150451"/>
    <w:rsid w:val="65177F59"/>
    <w:rsid w:val="65181CEF"/>
    <w:rsid w:val="651A5A67"/>
    <w:rsid w:val="651F73F4"/>
    <w:rsid w:val="65202952"/>
    <w:rsid w:val="65245F47"/>
    <w:rsid w:val="65255EA7"/>
    <w:rsid w:val="652A557F"/>
    <w:rsid w:val="652D35F5"/>
    <w:rsid w:val="652E1513"/>
    <w:rsid w:val="65322DFD"/>
    <w:rsid w:val="65332685"/>
    <w:rsid w:val="65340C45"/>
    <w:rsid w:val="65362175"/>
    <w:rsid w:val="65366619"/>
    <w:rsid w:val="653831BB"/>
    <w:rsid w:val="65383A70"/>
    <w:rsid w:val="65387C9C"/>
    <w:rsid w:val="653B3C30"/>
    <w:rsid w:val="65402FF4"/>
    <w:rsid w:val="65405401"/>
    <w:rsid w:val="65426D6C"/>
    <w:rsid w:val="65471DFE"/>
    <w:rsid w:val="654752D4"/>
    <w:rsid w:val="65493C57"/>
    <w:rsid w:val="654B3E73"/>
    <w:rsid w:val="654C3747"/>
    <w:rsid w:val="65506641"/>
    <w:rsid w:val="65532D27"/>
    <w:rsid w:val="65554CF2"/>
    <w:rsid w:val="656071F2"/>
    <w:rsid w:val="6561620F"/>
    <w:rsid w:val="65657E34"/>
    <w:rsid w:val="65670581"/>
    <w:rsid w:val="656767D3"/>
    <w:rsid w:val="656D37B1"/>
    <w:rsid w:val="656D3CD1"/>
    <w:rsid w:val="65735178"/>
    <w:rsid w:val="657809E0"/>
    <w:rsid w:val="657B64AF"/>
    <w:rsid w:val="65801061"/>
    <w:rsid w:val="65804A89"/>
    <w:rsid w:val="65804E88"/>
    <w:rsid w:val="65817895"/>
    <w:rsid w:val="65827169"/>
    <w:rsid w:val="658437DD"/>
    <w:rsid w:val="65847385"/>
    <w:rsid w:val="6585765C"/>
    <w:rsid w:val="65876E75"/>
    <w:rsid w:val="65883653"/>
    <w:rsid w:val="658B0713"/>
    <w:rsid w:val="658B6C11"/>
    <w:rsid w:val="658C4D76"/>
    <w:rsid w:val="658C7FE7"/>
    <w:rsid w:val="658E54A9"/>
    <w:rsid w:val="65912CA3"/>
    <w:rsid w:val="6593581A"/>
    <w:rsid w:val="659375C8"/>
    <w:rsid w:val="659550EE"/>
    <w:rsid w:val="65962C14"/>
    <w:rsid w:val="65995374"/>
    <w:rsid w:val="659A6BA8"/>
    <w:rsid w:val="659B022A"/>
    <w:rsid w:val="659B09D6"/>
    <w:rsid w:val="659D498D"/>
    <w:rsid w:val="65A11CE5"/>
    <w:rsid w:val="65A2780B"/>
    <w:rsid w:val="65A3525E"/>
    <w:rsid w:val="65A934F5"/>
    <w:rsid w:val="65AA58F2"/>
    <w:rsid w:val="65AA74AB"/>
    <w:rsid w:val="65AB2B63"/>
    <w:rsid w:val="65AB4911"/>
    <w:rsid w:val="65AD68DC"/>
    <w:rsid w:val="65AE61B0"/>
    <w:rsid w:val="65B0017A"/>
    <w:rsid w:val="65B116C2"/>
    <w:rsid w:val="65B37C6A"/>
    <w:rsid w:val="65B55790"/>
    <w:rsid w:val="65B668C9"/>
    <w:rsid w:val="65B97F7E"/>
    <w:rsid w:val="65BA6903"/>
    <w:rsid w:val="65BC0A0D"/>
    <w:rsid w:val="65BF6897"/>
    <w:rsid w:val="65C15EE3"/>
    <w:rsid w:val="65C22647"/>
    <w:rsid w:val="65C2575B"/>
    <w:rsid w:val="65C274FA"/>
    <w:rsid w:val="65C321BE"/>
    <w:rsid w:val="65C326DF"/>
    <w:rsid w:val="65C60144"/>
    <w:rsid w:val="65C634F9"/>
    <w:rsid w:val="65C7173B"/>
    <w:rsid w:val="65C87949"/>
    <w:rsid w:val="65CC178E"/>
    <w:rsid w:val="65CC4D56"/>
    <w:rsid w:val="65CE23AE"/>
    <w:rsid w:val="65D106AB"/>
    <w:rsid w:val="65D5772F"/>
    <w:rsid w:val="65D8322D"/>
    <w:rsid w:val="65DA73CC"/>
    <w:rsid w:val="65DB7F6A"/>
    <w:rsid w:val="65DC2D1D"/>
    <w:rsid w:val="65DC32A2"/>
    <w:rsid w:val="65DD571B"/>
    <w:rsid w:val="65DE4CE7"/>
    <w:rsid w:val="65DF2605"/>
    <w:rsid w:val="65DF280D"/>
    <w:rsid w:val="65E052B4"/>
    <w:rsid w:val="65E73D86"/>
    <w:rsid w:val="65E87914"/>
    <w:rsid w:val="65E903C3"/>
    <w:rsid w:val="65F1756D"/>
    <w:rsid w:val="65F178DB"/>
    <w:rsid w:val="65F36183"/>
    <w:rsid w:val="65F362B8"/>
    <w:rsid w:val="65F36AC0"/>
    <w:rsid w:val="65F8567D"/>
    <w:rsid w:val="65F938CF"/>
    <w:rsid w:val="65FA7647"/>
    <w:rsid w:val="65FF0A17"/>
    <w:rsid w:val="66036521"/>
    <w:rsid w:val="6609547A"/>
    <w:rsid w:val="660C147E"/>
    <w:rsid w:val="660D2ED6"/>
    <w:rsid w:val="660E5C6A"/>
    <w:rsid w:val="660E7B93"/>
    <w:rsid w:val="660F30F2"/>
    <w:rsid w:val="661253FF"/>
    <w:rsid w:val="6612673F"/>
    <w:rsid w:val="661A38C3"/>
    <w:rsid w:val="66230554"/>
    <w:rsid w:val="662326FA"/>
    <w:rsid w:val="66236B04"/>
    <w:rsid w:val="66240220"/>
    <w:rsid w:val="66244E55"/>
    <w:rsid w:val="662841B4"/>
    <w:rsid w:val="662B5A52"/>
    <w:rsid w:val="662D0434"/>
    <w:rsid w:val="662D17CA"/>
    <w:rsid w:val="66312D3F"/>
    <w:rsid w:val="66320795"/>
    <w:rsid w:val="66320B8F"/>
    <w:rsid w:val="66325478"/>
    <w:rsid w:val="66344907"/>
    <w:rsid w:val="663568D1"/>
    <w:rsid w:val="66375145"/>
    <w:rsid w:val="66377F53"/>
    <w:rsid w:val="6639016F"/>
    <w:rsid w:val="66391F1D"/>
    <w:rsid w:val="663A5C95"/>
    <w:rsid w:val="663A7A43"/>
    <w:rsid w:val="663B45DC"/>
    <w:rsid w:val="663D0055"/>
    <w:rsid w:val="663E784C"/>
    <w:rsid w:val="66415276"/>
    <w:rsid w:val="66417024"/>
    <w:rsid w:val="664408C2"/>
    <w:rsid w:val="66456B14"/>
    <w:rsid w:val="6646463A"/>
    <w:rsid w:val="664663E8"/>
    <w:rsid w:val="664E34EF"/>
    <w:rsid w:val="665054B9"/>
    <w:rsid w:val="66513963"/>
    <w:rsid w:val="66544FA9"/>
    <w:rsid w:val="665605C3"/>
    <w:rsid w:val="66560D21"/>
    <w:rsid w:val="665777F9"/>
    <w:rsid w:val="665A1E94"/>
    <w:rsid w:val="665C32B6"/>
    <w:rsid w:val="665C3E5E"/>
    <w:rsid w:val="665C5C0C"/>
    <w:rsid w:val="665C7AFA"/>
    <w:rsid w:val="665E3732"/>
    <w:rsid w:val="66613222"/>
    <w:rsid w:val="66653458"/>
    <w:rsid w:val="6667612B"/>
    <w:rsid w:val="66682803"/>
    <w:rsid w:val="666920D7"/>
    <w:rsid w:val="666B22F3"/>
    <w:rsid w:val="666B40A1"/>
    <w:rsid w:val="666D7885"/>
    <w:rsid w:val="666F593F"/>
    <w:rsid w:val="6671059C"/>
    <w:rsid w:val="66723681"/>
    <w:rsid w:val="66725FA1"/>
    <w:rsid w:val="6672630C"/>
    <w:rsid w:val="66743D71"/>
    <w:rsid w:val="6677281C"/>
    <w:rsid w:val="66777EBD"/>
    <w:rsid w:val="667C62AE"/>
    <w:rsid w:val="66815672"/>
    <w:rsid w:val="66837056"/>
    <w:rsid w:val="668949AD"/>
    <w:rsid w:val="66901C8E"/>
    <w:rsid w:val="669058B5"/>
    <w:rsid w:val="669139B8"/>
    <w:rsid w:val="669406BC"/>
    <w:rsid w:val="669453A6"/>
    <w:rsid w:val="6695111E"/>
    <w:rsid w:val="66990C0E"/>
    <w:rsid w:val="66996E60"/>
    <w:rsid w:val="669C06FE"/>
    <w:rsid w:val="669C24AC"/>
    <w:rsid w:val="669C63F7"/>
    <w:rsid w:val="66A6332B"/>
    <w:rsid w:val="66A944F3"/>
    <w:rsid w:val="66AB5241"/>
    <w:rsid w:val="66AD6467"/>
    <w:rsid w:val="66B3296E"/>
    <w:rsid w:val="66B8278B"/>
    <w:rsid w:val="66B912B0"/>
    <w:rsid w:val="66B9509F"/>
    <w:rsid w:val="66BB1AFB"/>
    <w:rsid w:val="66BC66AA"/>
    <w:rsid w:val="66BC7DEC"/>
    <w:rsid w:val="66BD65F1"/>
    <w:rsid w:val="66C30D22"/>
    <w:rsid w:val="66C6272E"/>
    <w:rsid w:val="66C739CD"/>
    <w:rsid w:val="66CD08B8"/>
    <w:rsid w:val="66CD1C65"/>
    <w:rsid w:val="66D152AC"/>
    <w:rsid w:val="66D439F4"/>
    <w:rsid w:val="66D460EA"/>
    <w:rsid w:val="66D4623C"/>
    <w:rsid w:val="66D87988"/>
    <w:rsid w:val="66D93700"/>
    <w:rsid w:val="66D94A3B"/>
    <w:rsid w:val="66D954AE"/>
    <w:rsid w:val="66DD6C0F"/>
    <w:rsid w:val="66DE0D17"/>
    <w:rsid w:val="66E1692D"/>
    <w:rsid w:val="66E225B5"/>
    <w:rsid w:val="66E22D1D"/>
    <w:rsid w:val="66E413F8"/>
    <w:rsid w:val="66E42BA0"/>
    <w:rsid w:val="66E55C01"/>
    <w:rsid w:val="66E60BBC"/>
    <w:rsid w:val="66E63727"/>
    <w:rsid w:val="66E67CD6"/>
    <w:rsid w:val="66E7017B"/>
    <w:rsid w:val="66E9560E"/>
    <w:rsid w:val="66EB623D"/>
    <w:rsid w:val="66ED4AB6"/>
    <w:rsid w:val="66EF60A2"/>
    <w:rsid w:val="66F25230"/>
    <w:rsid w:val="66F27A29"/>
    <w:rsid w:val="66F4354F"/>
    <w:rsid w:val="66F607A6"/>
    <w:rsid w:val="66F61BBC"/>
    <w:rsid w:val="66F62029"/>
    <w:rsid w:val="66F75934"/>
    <w:rsid w:val="66FA17BB"/>
    <w:rsid w:val="66FC3A5E"/>
    <w:rsid w:val="67000C8D"/>
    <w:rsid w:val="67010561"/>
    <w:rsid w:val="670544F5"/>
    <w:rsid w:val="67065B78"/>
    <w:rsid w:val="670A38BA"/>
    <w:rsid w:val="670C5884"/>
    <w:rsid w:val="670D0929"/>
    <w:rsid w:val="670D6F06"/>
    <w:rsid w:val="670F0ED0"/>
    <w:rsid w:val="67111C49"/>
    <w:rsid w:val="671834A3"/>
    <w:rsid w:val="67184229"/>
    <w:rsid w:val="67215010"/>
    <w:rsid w:val="67226E55"/>
    <w:rsid w:val="6723579F"/>
    <w:rsid w:val="672520C8"/>
    <w:rsid w:val="672556BE"/>
    <w:rsid w:val="67256946"/>
    <w:rsid w:val="672A030B"/>
    <w:rsid w:val="672A7AB8"/>
    <w:rsid w:val="672B5BBD"/>
    <w:rsid w:val="672F1572"/>
    <w:rsid w:val="67325B5A"/>
    <w:rsid w:val="6732696D"/>
    <w:rsid w:val="67334BBF"/>
    <w:rsid w:val="67340937"/>
    <w:rsid w:val="673443B6"/>
    <w:rsid w:val="6736719C"/>
    <w:rsid w:val="67386535"/>
    <w:rsid w:val="673B7F17"/>
    <w:rsid w:val="673D77EB"/>
    <w:rsid w:val="673F17B5"/>
    <w:rsid w:val="674072DB"/>
    <w:rsid w:val="674219FE"/>
    <w:rsid w:val="67424E02"/>
    <w:rsid w:val="67430B7A"/>
    <w:rsid w:val="6744501E"/>
    <w:rsid w:val="674548F2"/>
    <w:rsid w:val="67462E0E"/>
    <w:rsid w:val="674C11B0"/>
    <w:rsid w:val="674D3A5C"/>
    <w:rsid w:val="675472E2"/>
    <w:rsid w:val="67573507"/>
    <w:rsid w:val="675A65EF"/>
    <w:rsid w:val="675B346C"/>
    <w:rsid w:val="675B5EC3"/>
    <w:rsid w:val="675D1C3B"/>
    <w:rsid w:val="67630DA8"/>
    <w:rsid w:val="67645B78"/>
    <w:rsid w:val="6764746E"/>
    <w:rsid w:val="67674868"/>
    <w:rsid w:val="676958DE"/>
    <w:rsid w:val="676A6106"/>
    <w:rsid w:val="676C6322"/>
    <w:rsid w:val="67714745"/>
    <w:rsid w:val="677156E7"/>
    <w:rsid w:val="67753429"/>
    <w:rsid w:val="67765439"/>
    <w:rsid w:val="67784CC7"/>
    <w:rsid w:val="67786A75"/>
    <w:rsid w:val="677B0314"/>
    <w:rsid w:val="677E3F53"/>
    <w:rsid w:val="677F6056"/>
    <w:rsid w:val="6780592A"/>
    <w:rsid w:val="67814A7A"/>
    <w:rsid w:val="678418BE"/>
    <w:rsid w:val="678621C2"/>
    <w:rsid w:val="67871CA1"/>
    <w:rsid w:val="67893694"/>
    <w:rsid w:val="678953E1"/>
    <w:rsid w:val="678A0557"/>
    <w:rsid w:val="678B3C71"/>
    <w:rsid w:val="678E44EB"/>
    <w:rsid w:val="67915D89"/>
    <w:rsid w:val="679338AF"/>
    <w:rsid w:val="679413D5"/>
    <w:rsid w:val="67945FBE"/>
    <w:rsid w:val="67957C38"/>
    <w:rsid w:val="67973BA1"/>
    <w:rsid w:val="679A2E90"/>
    <w:rsid w:val="679B3BCB"/>
    <w:rsid w:val="679D472E"/>
    <w:rsid w:val="67A07D7A"/>
    <w:rsid w:val="67A15FA8"/>
    <w:rsid w:val="67A400BF"/>
    <w:rsid w:val="67A96C2F"/>
    <w:rsid w:val="67AA29A7"/>
    <w:rsid w:val="67AB6E4B"/>
    <w:rsid w:val="67AE2497"/>
    <w:rsid w:val="67B11A97"/>
    <w:rsid w:val="67B37AAD"/>
    <w:rsid w:val="67B524BA"/>
    <w:rsid w:val="67B53825"/>
    <w:rsid w:val="67B6134C"/>
    <w:rsid w:val="67B657F0"/>
    <w:rsid w:val="67B7628A"/>
    <w:rsid w:val="67B762B3"/>
    <w:rsid w:val="67B850C4"/>
    <w:rsid w:val="67BA377B"/>
    <w:rsid w:val="67BC116D"/>
    <w:rsid w:val="67BD3BEA"/>
    <w:rsid w:val="67BE3119"/>
    <w:rsid w:val="67BE694B"/>
    <w:rsid w:val="67C02386"/>
    <w:rsid w:val="67C4423B"/>
    <w:rsid w:val="67C779FD"/>
    <w:rsid w:val="67C9107F"/>
    <w:rsid w:val="67C95523"/>
    <w:rsid w:val="67CA1DA4"/>
    <w:rsid w:val="67CA6CBD"/>
    <w:rsid w:val="67CB0281"/>
    <w:rsid w:val="67CB3049"/>
    <w:rsid w:val="67CB4CEF"/>
    <w:rsid w:val="67CC0B6F"/>
    <w:rsid w:val="67D0240D"/>
    <w:rsid w:val="67D059A1"/>
    <w:rsid w:val="67D068B1"/>
    <w:rsid w:val="67DB7004"/>
    <w:rsid w:val="67DF6AF4"/>
    <w:rsid w:val="67E10B91"/>
    <w:rsid w:val="67E23EE9"/>
    <w:rsid w:val="67E660D5"/>
    <w:rsid w:val="67E85C0A"/>
    <w:rsid w:val="67EB5499"/>
    <w:rsid w:val="67EB7247"/>
    <w:rsid w:val="67EC1F75"/>
    <w:rsid w:val="67EE0AE5"/>
    <w:rsid w:val="67F210D4"/>
    <w:rsid w:val="67F2790E"/>
    <w:rsid w:val="67F307F2"/>
    <w:rsid w:val="67F44D9B"/>
    <w:rsid w:val="67F5796C"/>
    <w:rsid w:val="67F81964"/>
    <w:rsid w:val="67FA2E91"/>
    <w:rsid w:val="67FA56DC"/>
    <w:rsid w:val="67FC37A4"/>
    <w:rsid w:val="67FF7197"/>
    <w:rsid w:val="68013D92"/>
    <w:rsid w:val="68036093"/>
    <w:rsid w:val="68064081"/>
    <w:rsid w:val="6809591F"/>
    <w:rsid w:val="680E1188"/>
    <w:rsid w:val="68103152"/>
    <w:rsid w:val="681349F0"/>
    <w:rsid w:val="6814459D"/>
    <w:rsid w:val="6817003C"/>
    <w:rsid w:val="681A0AEB"/>
    <w:rsid w:val="681A18DB"/>
    <w:rsid w:val="681C1AF7"/>
    <w:rsid w:val="681E44B2"/>
    <w:rsid w:val="681E586F"/>
    <w:rsid w:val="6821409F"/>
    <w:rsid w:val="68230520"/>
    <w:rsid w:val="68232E85"/>
    <w:rsid w:val="68295FC1"/>
    <w:rsid w:val="68297D70"/>
    <w:rsid w:val="683230C8"/>
    <w:rsid w:val="68330BEE"/>
    <w:rsid w:val="6833299C"/>
    <w:rsid w:val="68336E40"/>
    <w:rsid w:val="68357070"/>
    <w:rsid w:val="683C3F47"/>
    <w:rsid w:val="683C7AA3"/>
    <w:rsid w:val="68442DFB"/>
    <w:rsid w:val="68490412"/>
    <w:rsid w:val="684921C0"/>
    <w:rsid w:val="684B418A"/>
    <w:rsid w:val="684D6A1F"/>
    <w:rsid w:val="684D7F02"/>
    <w:rsid w:val="6852376A"/>
    <w:rsid w:val="68525518"/>
    <w:rsid w:val="68531116"/>
    <w:rsid w:val="68572B2F"/>
    <w:rsid w:val="68594AF9"/>
    <w:rsid w:val="685A66F9"/>
    <w:rsid w:val="685C6397"/>
    <w:rsid w:val="685C7682"/>
    <w:rsid w:val="685E0B70"/>
    <w:rsid w:val="685E4C04"/>
    <w:rsid w:val="686314D3"/>
    <w:rsid w:val="68633281"/>
    <w:rsid w:val="68664B20"/>
    <w:rsid w:val="686D4100"/>
    <w:rsid w:val="68701E42"/>
    <w:rsid w:val="68706417"/>
    <w:rsid w:val="68715612"/>
    <w:rsid w:val="68726AB0"/>
    <w:rsid w:val="6872790B"/>
    <w:rsid w:val="68793744"/>
    <w:rsid w:val="687A4A6F"/>
    <w:rsid w:val="687F5BE1"/>
    <w:rsid w:val="68802085"/>
    <w:rsid w:val="6883105F"/>
    <w:rsid w:val="68831846"/>
    <w:rsid w:val="688558EE"/>
    <w:rsid w:val="6885769C"/>
    <w:rsid w:val="68890DEB"/>
    <w:rsid w:val="68896A60"/>
    <w:rsid w:val="688A2F04"/>
    <w:rsid w:val="688A4CB2"/>
    <w:rsid w:val="688F7FCB"/>
    <w:rsid w:val="68920649"/>
    <w:rsid w:val="68953657"/>
    <w:rsid w:val="68955405"/>
    <w:rsid w:val="68975621"/>
    <w:rsid w:val="689C4889"/>
    <w:rsid w:val="689E075E"/>
    <w:rsid w:val="689F2589"/>
    <w:rsid w:val="689F4117"/>
    <w:rsid w:val="68A044D6"/>
    <w:rsid w:val="68A35D74"/>
    <w:rsid w:val="68A467A0"/>
    <w:rsid w:val="68AB72FE"/>
    <w:rsid w:val="68AD63C2"/>
    <w:rsid w:val="68AD6BF3"/>
    <w:rsid w:val="68AE4433"/>
    <w:rsid w:val="68B03FED"/>
    <w:rsid w:val="68B05B70"/>
    <w:rsid w:val="68B41D2F"/>
    <w:rsid w:val="68B43ADD"/>
    <w:rsid w:val="68B7181F"/>
    <w:rsid w:val="68B7717C"/>
    <w:rsid w:val="68BB30BE"/>
    <w:rsid w:val="68C006D4"/>
    <w:rsid w:val="68C14587"/>
    <w:rsid w:val="68C44649"/>
    <w:rsid w:val="68C74C17"/>
    <w:rsid w:val="68C7684C"/>
    <w:rsid w:val="68C94977"/>
    <w:rsid w:val="68C96F36"/>
    <w:rsid w:val="68CA50AF"/>
    <w:rsid w:val="68CA6196"/>
    <w:rsid w:val="68CC52CB"/>
    <w:rsid w:val="68CF4DBB"/>
    <w:rsid w:val="68D128E1"/>
    <w:rsid w:val="68D2550C"/>
    <w:rsid w:val="68D45F2D"/>
    <w:rsid w:val="68D47B9C"/>
    <w:rsid w:val="68D67EF7"/>
    <w:rsid w:val="68D756E5"/>
    <w:rsid w:val="68D8310B"/>
    <w:rsid w:val="68DB3760"/>
    <w:rsid w:val="68DC4DE2"/>
    <w:rsid w:val="68E032CE"/>
    <w:rsid w:val="68E03F69"/>
    <w:rsid w:val="68E259E1"/>
    <w:rsid w:val="68E36049"/>
    <w:rsid w:val="68E4727A"/>
    <w:rsid w:val="68E5013A"/>
    <w:rsid w:val="68E50904"/>
    <w:rsid w:val="68E57E69"/>
    <w:rsid w:val="68E600D1"/>
    <w:rsid w:val="68E65C61"/>
    <w:rsid w:val="68E72104"/>
    <w:rsid w:val="68E7504A"/>
    <w:rsid w:val="68EA3793"/>
    <w:rsid w:val="68EA39A3"/>
    <w:rsid w:val="68EA74FF"/>
    <w:rsid w:val="68ED5241"/>
    <w:rsid w:val="68F0088D"/>
    <w:rsid w:val="68F33D24"/>
    <w:rsid w:val="68F465CF"/>
    <w:rsid w:val="68F55EA4"/>
    <w:rsid w:val="68F6059A"/>
    <w:rsid w:val="68F62348"/>
    <w:rsid w:val="68F978A5"/>
    <w:rsid w:val="68FC366B"/>
    <w:rsid w:val="68FE11FC"/>
    <w:rsid w:val="690031C6"/>
    <w:rsid w:val="69021FA8"/>
    <w:rsid w:val="69026F3E"/>
    <w:rsid w:val="6905258B"/>
    <w:rsid w:val="69054339"/>
    <w:rsid w:val="690600B1"/>
    <w:rsid w:val="6908207B"/>
    <w:rsid w:val="690A3727"/>
    <w:rsid w:val="690A7BA1"/>
    <w:rsid w:val="690C3919"/>
    <w:rsid w:val="690F3409"/>
    <w:rsid w:val="690F6F65"/>
    <w:rsid w:val="69132EFA"/>
    <w:rsid w:val="69146C72"/>
    <w:rsid w:val="6917406C"/>
    <w:rsid w:val="69182644"/>
    <w:rsid w:val="6919323E"/>
    <w:rsid w:val="69196036"/>
    <w:rsid w:val="691A112B"/>
    <w:rsid w:val="691A41F7"/>
    <w:rsid w:val="691C1682"/>
    <w:rsid w:val="691E189E"/>
    <w:rsid w:val="691E3642"/>
    <w:rsid w:val="6922313D"/>
    <w:rsid w:val="69270753"/>
    <w:rsid w:val="69273AE8"/>
    <w:rsid w:val="69280027"/>
    <w:rsid w:val="6928618E"/>
    <w:rsid w:val="69286A9D"/>
    <w:rsid w:val="692A0243"/>
    <w:rsid w:val="692C3FBB"/>
    <w:rsid w:val="692C5D69"/>
    <w:rsid w:val="692E5EF1"/>
    <w:rsid w:val="692F290E"/>
    <w:rsid w:val="692F585A"/>
    <w:rsid w:val="692F7608"/>
    <w:rsid w:val="69300F27"/>
    <w:rsid w:val="6933509E"/>
    <w:rsid w:val="6935694D"/>
    <w:rsid w:val="693641AE"/>
    <w:rsid w:val="69380234"/>
    <w:rsid w:val="693A4A45"/>
    <w:rsid w:val="693B41FE"/>
    <w:rsid w:val="693B74C7"/>
    <w:rsid w:val="693D07DD"/>
    <w:rsid w:val="693D7F76"/>
    <w:rsid w:val="693E1AD4"/>
    <w:rsid w:val="693E5A9D"/>
    <w:rsid w:val="693E71EE"/>
    <w:rsid w:val="69450BD9"/>
    <w:rsid w:val="694834EE"/>
    <w:rsid w:val="694A61EF"/>
    <w:rsid w:val="694C1F68"/>
    <w:rsid w:val="694D7A8E"/>
    <w:rsid w:val="694E2184"/>
    <w:rsid w:val="694F1A58"/>
    <w:rsid w:val="694F3806"/>
    <w:rsid w:val="695157D0"/>
    <w:rsid w:val="69540E1C"/>
    <w:rsid w:val="69541678"/>
    <w:rsid w:val="69570AF1"/>
    <w:rsid w:val="695D4175"/>
    <w:rsid w:val="695D5F23"/>
    <w:rsid w:val="695F613F"/>
    <w:rsid w:val="696279DD"/>
    <w:rsid w:val="696763D3"/>
    <w:rsid w:val="69676DA1"/>
    <w:rsid w:val="69684BE4"/>
    <w:rsid w:val="696C43B8"/>
    <w:rsid w:val="697272C7"/>
    <w:rsid w:val="697274AB"/>
    <w:rsid w:val="69733998"/>
    <w:rsid w:val="6974326C"/>
    <w:rsid w:val="69744B87"/>
    <w:rsid w:val="69747710"/>
    <w:rsid w:val="69780FAF"/>
    <w:rsid w:val="69790883"/>
    <w:rsid w:val="697C15D4"/>
    <w:rsid w:val="69801C11"/>
    <w:rsid w:val="69817558"/>
    <w:rsid w:val="69841670"/>
    <w:rsid w:val="698519E9"/>
    <w:rsid w:val="6986084C"/>
    <w:rsid w:val="69865813"/>
    <w:rsid w:val="6989460C"/>
    <w:rsid w:val="698A0CE2"/>
    <w:rsid w:val="698A1526"/>
    <w:rsid w:val="698C2CAC"/>
    <w:rsid w:val="698C714F"/>
    <w:rsid w:val="698F62F8"/>
    <w:rsid w:val="699102C2"/>
    <w:rsid w:val="69913E1E"/>
    <w:rsid w:val="6994393A"/>
    <w:rsid w:val="699456BD"/>
    <w:rsid w:val="69951B60"/>
    <w:rsid w:val="69961435"/>
    <w:rsid w:val="699D3BAB"/>
    <w:rsid w:val="699D6C67"/>
    <w:rsid w:val="699F478D"/>
    <w:rsid w:val="69A052B7"/>
    <w:rsid w:val="69A10F1F"/>
    <w:rsid w:val="69A17C70"/>
    <w:rsid w:val="69A26664"/>
    <w:rsid w:val="69A31AC6"/>
    <w:rsid w:val="69A5683B"/>
    <w:rsid w:val="69A578CA"/>
    <w:rsid w:val="69A739B3"/>
    <w:rsid w:val="69A92A43"/>
    <w:rsid w:val="69AB6231"/>
    <w:rsid w:val="69AD50D5"/>
    <w:rsid w:val="69AE2C22"/>
    <w:rsid w:val="69AE5F1E"/>
    <w:rsid w:val="69AF0748"/>
    <w:rsid w:val="69AF20E2"/>
    <w:rsid w:val="69B10E15"/>
    <w:rsid w:val="69B12FFE"/>
    <w:rsid w:val="69B16B52"/>
    <w:rsid w:val="69B55D5F"/>
    <w:rsid w:val="69B662D2"/>
    <w:rsid w:val="69B813AB"/>
    <w:rsid w:val="69B8584F"/>
    <w:rsid w:val="69BE1770"/>
    <w:rsid w:val="69C016E8"/>
    <w:rsid w:val="69C055B8"/>
    <w:rsid w:val="69C34819"/>
    <w:rsid w:val="69C53AC8"/>
    <w:rsid w:val="69C73CE4"/>
    <w:rsid w:val="69C86033"/>
    <w:rsid w:val="69C935B8"/>
    <w:rsid w:val="69C97A5C"/>
    <w:rsid w:val="69CB37D4"/>
    <w:rsid w:val="69CC6B23"/>
    <w:rsid w:val="69D33990"/>
    <w:rsid w:val="69D62B10"/>
    <w:rsid w:val="69D71628"/>
    <w:rsid w:val="69D72179"/>
    <w:rsid w:val="69DA57C5"/>
    <w:rsid w:val="69DC03F6"/>
    <w:rsid w:val="69DC2875"/>
    <w:rsid w:val="69E06B54"/>
    <w:rsid w:val="69E20B1E"/>
    <w:rsid w:val="69E322CC"/>
    <w:rsid w:val="69E421A0"/>
    <w:rsid w:val="69E71C90"/>
    <w:rsid w:val="69EA3D2E"/>
    <w:rsid w:val="69EE1F30"/>
    <w:rsid w:val="69F20600"/>
    <w:rsid w:val="69F23BD1"/>
    <w:rsid w:val="69F31215"/>
    <w:rsid w:val="69F525FF"/>
    <w:rsid w:val="69F66377"/>
    <w:rsid w:val="69F820EF"/>
    <w:rsid w:val="69F83E9D"/>
    <w:rsid w:val="69FA7C16"/>
    <w:rsid w:val="69FD14B4"/>
    <w:rsid w:val="69FF30B1"/>
    <w:rsid w:val="69FF347E"/>
    <w:rsid w:val="6A010FA4"/>
    <w:rsid w:val="6A0171F6"/>
    <w:rsid w:val="6A036E73"/>
    <w:rsid w:val="6A062A6F"/>
    <w:rsid w:val="6A063261"/>
    <w:rsid w:val="6A06480C"/>
    <w:rsid w:val="6A072332"/>
    <w:rsid w:val="6A0779D8"/>
    <w:rsid w:val="6A0942FC"/>
    <w:rsid w:val="6A0B1E23"/>
    <w:rsid w:val="6A0B466F"/>
    <w:rsid w:val="6A0B5038"/>
    <w:rsid w:val="6A0D3B8B"/>
    <w:rsid w:val="6A0E1913"/>
    <w:rsid w:val="6A136040"/>
    <w:rsid w:val="6A152CA1"/>
    <w:rsid w:val="6A1A02B8"/>
    <w:rsid w:val="6A1C5DDE"/>
    <w:rsid w:val="6A2151A2"/>
    <w:rsid w:val="6A215C43"/>
    <w:rsid w:val="6A24084D"/>
    <w:rsid w:val="6A247220"/>
    <w:rsid w:val="6A2531A4"/>
    <w:rsid w:val="6A266C5C"/>
    <w:rsid w:val="6A2B6021"/>
    <w:rsid w:val="6A2E3C72"/>
    <w:rsid w:val="6A2E5B11"/>
    <w:rsid w:val="6A2F1539"/>
    <w:rsid w:val="6A303637"/>
    <w:rsid w:val="6A311AA1"/>
    <w:rsid w:val="6A311D9D"/>
    <w:rsid w:val="6A333127"/>
    <w:rsid w:val="6A333130"/>
    <w:rsid w:val="6A343731"/>
    <w:rsid w:val="6A356C32"/>
    <w:rsid w:val="6A3749C6"/>
    <w:rsid w:val="6A3D521F"/>
    <w:rsid w:val="6A3E40E5"/>
    <w:rsid w:val="6A410D55"/>
    <w:rsid w:val="6A413A96"/>
    <w:rsid w:val="6A44252F"/>
    <w:rsid w:val="6A445FF1"/>
    <w:rsid w:val="6A4529C4"/>
    <w:rsid w:val="6A4C5F97"/>
    <w:rsid w:val="6A4C7071"/>
    <w:rsid w:val="6A4F389E"/>
    <w:rsid w:val="6A501D51"/>
    <w:rsid w:val="6A5512F0"/>
    <w:rsid w:val="6A577A5F"/>
    <w:rsid w:val="6A5A4B58"/>
    <w:rsid w:val="6A5D63E6"/>
    <w:rsid w:val="6A5F445E"/>
    <w:rsid w:val="6A636002"/>
    <w:rsid w:val="6A68195F"/>
    <w:rsid w:val="6A687275"/>
    <w:rsid w:val="6A691F55"/>
    <w:rsid w:val="6A6F71DF"/>
    <w:rsid w:val="6A7264F7"/>
    <w:rsid w:val="6A745C1A"/>
    <w:rsid w:val="6A7506A4"/>
    <w:rsid w:val="6A75729C"/>
    <w:rsid w:val="6A7732FA"/>
    <w:rsid w:val="6A786D8C"/>
    <w:rsid w:val="6A7875D3"/>
    <w:rsid w:val="6A794FDE"/>
    <w:rsid w:val="6A79725B"/>
    <w:rsid w:val="6A7A6FA8"/>
    <w:rsid w:val="6A7B2E7F"/>
    <w:rsid w:val="6A837C0B"/>
    <w:rsid w:val="6A845731"/>
    <w:rsid w:val="6A86594D"/>
    <w:rsid w:val="6A8B4D12"/>
    <w:rsid w:val="6A8F4802"/>
    <w:rsid w:val="6A90057A"/>
    <w:rsid w:val="6A9260A0"/>
    <w:rsid w:val="6A94006A"/>
    <w:rsid w:val="6A9811DC"/>
    <w:rsid w:val="6A99612A"/>
    <w:rsid w:val="6A9976C8"/>
    <w:rsid w:val="6A9A31A7"/>
    <w:rsid w:val="6A9A5C09"/>
    <w:rsid w:val="6A9E1186"/>
    <w:rsid w:val="6AA02996"/>
    <w:rsid w:val="6AA13260"/>
    <w:rsid w:val="6AA133AA"/>
    <w:rsid w:val="6AA3205B"/>
    <w:rsid w:val="6AA47B81"/>
    <w:rsid w:val="6AA606EC"/>
    <w:rsid w:val="6AA61B4B"/>
    <w:rsid w:val="6AA62461"/>
    <w:rsid w:val="6AA67245"/>
    <w:rsid w:val="6AA812CF"/>
    <w:rsid w:val="6AA90A16"/>
    <w:rsid w:val="6AAA0379"/>
    <w:rsid w:val="6AAD155D"/>
    <w:rsid w:val="6AAF6C52"/>
    <w:rsid w:val="6AB46016"/>
    <w:rsid w:val="6AB62BC4"/>
    <w:rsid w:val="6AB97AD1"/>
    <w:rsid w:val="6ABB3E6D"/>
    <w:rsid w:val="6ABE6E95"/>
    <w:rsid w:val="6AC337A3"/>
    <w:rsid w:val="6AC36078"/>
    <w:rsid w:val="6AC67AF8"/>
    <w:rsid w:val="6ACB40EB"/>
    <w:rsid w:val="6ACE43D9"/>
    <w:rsid w:val="6AD2649C"/>
    <w:rsid w:val="6AD36262"/>
    <w:rsid w:val="6AD374A7"/>
    <w:rsid w:val="6AD40467"/>
    <w:rsid w:val="6AD4585A"/>
    <w:rsid w:val="6AD466B8"/>
    <w:rsid w:val="6AD55F8D"/>
    <w:rsid w:val="6AD62431"/>
    <w:rsid w:val="6AD72F36"/>
    <w:rsid w:val="6AD817EC"/>
    <w:rsid w:val="6ADF0BB9"/>
    <w:rsid w:val="6ADF6E0B"/>
    <w:rsid w:val="6AE14931"/>
    <w:rsid w:val="6AE21764"/>
    <w:rsid w:val="6AE306AA"/>
    <w:rsid w:val="6AE363F1"/>
    <w:rsid w:val="6AE65E85"/>
    <w:rsid w:val="6AE7679A"/>
    <w:rsid w:val="6AED7708"/>
    <w:rsid w:val="6AEE5956"/>
    <w:rsid w:val="6AF10C48"/>
    <w:rsid w:val="6AF376FD"/>
    <w:rsid w:val="6AF503DD"/>
    <w:rsid w:val="6AF50F9A"/>
    <w:rsid w:val="6AF573BF"/>
    <w:rsid w:val="6AF705F9"/>
    <w:rsid w:val="6AFB3C45"/>
    <w:rsid w:val="6AFC5C0F"/>
    <w:rsid w:val="6AFC79BD"/>
    <w:rsid w:val="6AFF300A"/>
    <w:rsid w:val="6B054AC4"/>
    <w:rsid w:val="6B062DE4"/>
    <w:rsid w:val="6B0F5943"/>
    <w:rsid w:val="6B105217"/>
    <w:rsid w:val="6B1271E1"/>
    <w:rsid w:val="6B135FC9"/>
    <w:rsid w:val="6B136FFE"/>
    <w:rsid w:val="6B146AB5"/>
    <w:rsid w:val="6B146D5E"/>
    <w:rsid w:val="6B1765A5"/>
    <w:rsid w:val="6B1B3F64"/>
    <w:rsid w:val="6B1C3BBC"/>
    <w:rsid w:val="6B221D8A"/>
    <w:rsid w:val="6B252A70"/>
    <w:rsid w:val="6B275BCB"/>
    <w:rsid w:val="6B286A04"/>
    <w:rsid w:val="6B2A0087"/>
    <w:rsid w:val="6B2A452A"/>
    <w:rsid w:val="6B2A606B"/>
    <w:rsid w:val="6B2C6F32"/>
    <w:rsid w:val="6B2D401B"/>
    <w:rsid w:val="6B2F7D93"/>
    <w:rsid w:val="6B3158B9"/>
    <w:rsid w:val="6B317667"/>
    <w:rsid w:val="6B32518D"/>
    <w:rsid w:val="6B34361E"/>
    <w:rsid w:val="6B3512D8"/>
    <w:rsid w:val="6B361121"/>
    <w:rsid w:val="6B362ECF"/>
    <w:rsid w:val="6B3B04E6"/>
    <w:rsid w:val="6B3C5F86"/>
    <w:rsid w:val="6B3E3B32"/>
    <w:rsid w:val="6B403D4E"/>
    <w:rsid w:val="6B4F21E3"/>
    <w:rsid w:val="6B513865"/>
    <w:rsid w:val="6B521BB9"/>
    <w:rsid w:val="6B5275DD"/>
    <w:rsid w:val="6B546244"/>
    <w:rsid w:val="6B5477F9"/>
    <w:rsid w:val="6B547844"/>
    <w:rsid w:val="6B5559B8"/>
    <w:rsid w:val="6B556078"/>
    <w:rsid w:val="6B5670CE"/>
    <w:rsid w:val="6B5D343D"/>
    <w:rsid w:val="6B5D3D0E"/>
    <w:rsid w:val="6B5F7207"/>
    <w:rsid w:val="6B607DA5"/>
    <w:rsid w:val="6B607F4C"/>
    <w:rsid w:val="6B62131E"/>
    <w:rsid w:val="6B630500"/>
    <w:rsid w:val="6B63067C"/>
    <w:rsid w:val="6B6378E1"/>
    <w:rsid w:val="6B65640B"/>
    <w:rsid w:val="6B6712DB"/>
    <w:rsid w:val="6B67752D"/>
    <w:rsid w:val="6B6B0204"/>
    <w:rsid w:val="6B6B029E"/>
    <w:rsid w:val="6B6D2669"/>
    <w:rsid w:val="6B713022"/>
    <w:rsid w:val="6B715CB5"/>
    <w:rsid w:val="6B730E18"/>
    <w:rsid w:val="6B740742"/>
    <w:rsid w:val="6B7439F8"/>
    <w:rsid w:val="6B7834E8"/>
    <w:rsid w:val="6B79100E"/>
    <w:rsid w:val="6B7B14D4"/>
    <w:rsid w:val="6B7B2FD8"/>
    <w:rsid w:val="6B7B53AB"/>
    <w:rsid w:val="6B7B6B34"/>
    <w:rsid w:val="6B7D0AFE"/>
    <w:rsid w:val="6B7E4876"/>
    <w:rsid w:val="6B87372B"/>
    <w:rsid w:val="6B896C51"/>
    <w:rsid w:val="6B8A321B"/>
    <w:rsid w:val="6B8A5DB3"/>
    <w:rsid w:val="6B8D37E8"/>
    <w:rsid w:val="6B8D5588"/>
    <w:rsid w:val="6B8E3B2B"/>
    <w:rsid w:val="6B90665E"/>
    <w:rsid w:val="6B930322"/>
    <w:rsid w:val="6B951E62"/>
    <w:rsid w:val="6B96396E"/>
    <w:rsid w:val="6B9D164B"/>
    <w:rsid w:val="6B9E2823"/>
    <w:rsid w:val="6B9F6CC6"/>
    <w:rsid w:val="6BA22313"/>
    <w:rsid w:val="6BA41FF0"/>
    <w:rsid w:val="6BA77929"/>
    <w:rsid w:val="6BAB5FD6"/>
    <w:rsid w:val="6BAC3191"/>
    <w:rsid w:val="6BAC52AB"/>
    <w:rsid w:val="6BAE0355"/>
    <w:rsid w:val="6BAE1E2A"/>
    <w:rsid w:val="6BAF67DE"/>
    <w:rsid w:val="6BB2546B"/>
    <w:rsid w:val="6BB32772"/>
    <w:rsid w:val="6BB34D7C"/>
    <w:rsid w:val="6BB43DF4"/>
    <w:rsid w:val="6BB51BEE"/>
    <w:rsid w:val="6BB562F5"/>
    <w:rsid w:val="6BB76003"/>
    <w:rsid w:val="6BB838E4"/>
    <w:rsid w:val="6BBB571F"/>
    <w:rsid w:val="6BBC67D6"/>
    <w:rsid w:val="6BBC6DCC"/>
    <w:rsid w:val="6BBD539F"/>
    <w:rsid w:val="6BBF1117"/>
    <w:rsid w:val="6BC26511"/>
    <w:rsid w:val="6BC524A5"/>
    <w:rsid w:val="6BC85EB3"/>
    <w:rsid w:val="6BC900B2"/>
    <w:rsid w:val="6BCC55E2"/>
    <w:rsid w:val="6BCC62B4"/>
    <w:rsid w:val="6BCE3108"/>
    <w:rsid w:val="6BD57D6A"/>
    <w:rsid w:val="6BD63835"/>
    <w:rsid w:val="6BD73FE9"/>
    <w:rsid w:val="6BD8236E"/>
    <w:rsid w:val="6BDA26B3"/>
    <w:rsid w:val="6BDE2E5C"/>
    <w:rsid w:val="6BDE586D"/>
    <w:rsid w:val="6BDF3567"/>
    <w:rsid w:val="6BDF5315"/>
    <w:rsid w:val="6BE02E3B"/>
    <w:rsid w:val="6BE21B12"/>
    <w:rsid w:val="6BE4292B"/>
    <w:rsid w:val="6BE64B4B"/>
    <w:rsid w:val="6BE74475"/>
    <w:rsid w:val="6BE8387E"/>
    <w:rsid w:val="6BEA5A68"/>
    <w:rsid w:val="6BEC5C84"/>
    <w:rsid w:val="6BED4F5E"/>
    <w:rsid w:val="6BF14384"/>
    <w:rsid w:val="6BF40694"/>
    <w:rsid w:val="6BF54B38"/>
    <w:rsid w:val="6BF95CAB"/>
    <w:rsid w:val="6C00528B"/>
    <w:rsid w:val="6C007039"/>
    <w:rsid w:val="6C042FCD"/>
    <w:rsid w:val="6C0465D8"/>
    <w:rsid w:val="6C0528A2"/>
    <w:rsid w:val="6C066D46"/>
    <w:rsid w:val="6C070C5C"/>
    <w:rsid w:val="6C0905E4"/>
    <w:rsid w:val="6C094140"/>
    <w:rsid w:val="6C0C1E82"/>
    <w:rsid w:val="6C0E65DE"/>
    <w:rsid w:val="6C0E79A8"/>
    <w:rsid w:val="6C117498"/>
    <w:rsid w:val="6C125BF0"/>
    <w:rsid w:val="6C133846"/>
    <w:rsid w:val="6C156F89"/>
    <w:rsid w:val="6C171C52"/>
    <w:rsid w:val="6C172C23"/>
    <w:rsid w:val="6C1A634D"/>
    <w:rsid w:val="6C1D408F"/>
    <w:rsid w:val="6C1D7BEB"/>
    <w:rsid w:val="6C1F1BB5"/>
    <w:rsid w:val="6C1F4726"/>
    <w:rsid w:val="6C2341B9"/>
    <w:rsid w:val="6C262F44"/>
    <w:rsid w:val="6C272818"/>
    <w:rsid w:val="6C2B04D4"/>
    <w:rsid w:val="6C2B536E"/>
    <w:rsid w:val="6C2F06A5"/>
    <w:rsid w:val="6C300DB3"/>
    <w:rsid w:val="6C327B3B"/>
    <w:rsid w:val="6C345CDB"/>
    <w:rsid w:val="6C354F35"/>
    <w:rsid w:val="6C3B1211"/>
    <w:rsid w:val="6C3C4515"/>
    <w:rsid w:val="6C3D29D8"/>
    <w:rsid w:val="6C4038DA"/>
    <w:rsid w:val="6C450EF0"/>
    <w:rsid w:val="6C47110C"/>
    <w:rsid w:val="6C494E84"/>
    <w:rsid w:val="6C501D6F"/>
    <w:rsid w:val="6C514DB6"/>
    <w:rsid w:val="6C527E46"/>
    <w:rsid w:val="6C542CCA"/>
    <w:rsid w:val="6C553829"/>
    <w:rsid w:val="6C57134F"/>
    <w:rsid w:val="6C586E75"/>
    <w:rsid w:val="6C59295C"/>
    <w:rsid w:val="6C5C4BB7"/>
    <w:rsid w:val="6C5F0204"/>
    <w:rsid w:val="6C611866"/>
    <w:rsid w:val="6C621AA2"/>
    <w:rsid w:val="6C643A6C"/>
    <w:rsid w:val="6C6574B5"/>
    <w:rsid w:val="6C68355C"/>
    <w:rsid w:val="6C692BA0"/>
    <w:rsid w:val="6C6A0E2B"/>
    <w:rsid w:val="6C700663"/>
    <w:rsid w:val="6C705F6D"/>
    <w:rsid w:val="6C711CE5"/>
    <w:rsid w:val="6C733CAF"/>
    <w:rsid w:val="6C765525"/>
    <w:rsid w:val="6C7672FB"/>
    <w:rsid w:val="6C806CA3"/>
    <w:rsid w:val="6C81461E"/>
    <w:rsid w:val="6C845EBC"/>
    <w:rsid w:val="6C847C6A"/>
    <w:rsid w:val="6C862D61"/>
    <w:rsid w:val="6C866B92"/>
    <w:rsid w:val="6C8934D3"/>
    <w:rsid w:val="6C8941EE"/>
    <w:rsid w:val="6C89702F"/>
    <w:rsid w:val="6C8B40D0"/>
    <w:rsid w:val="6C8D2FC3"/>
    <w:rsid w:val="6C8E2897"/>
    <w:rsid w:val="6C9205D9"/>
    <w:rsid w:val="6C924135"/>
    <w:rsid w:val="6C926572"/>
    <w:rsid w:val="6C937EAD"/>
    <w:rsid w:val="6C941C77"/>
    <w:rsid w:val="6C97174C"/>
    <w:rsid w:val="6C9A56E0"/>
    <w:rsid w:val="6C9C604C"/>
    <w:rsid w:val="6CA125CA"/>
    <w:rsid w:val="6CA51767"/>
    <w:rsid w:val="6CA6791B"/>
    <w:rsid w:val="6CA95923"/>
    <w:rsid w:val="6CAB297C"/>
    <w:rsid w:val="6CAB3449"/>
    <w:rsid w:val="6CAB51F7"/>
    <w:rsid w:val="6CAE4CE7"/>
    <w:rsid w:val="6CAF170D"/>
    <w:rsid w:val="6CB0535E"/>
    <w:rsid w:val="6CB06F02"/>
    <w:rsid w:val="6CB457A3"/>
    <w:rsid w:val="6CB479D6"/>
    <w:rsid w:val="6CB60838"/>
    <w:rsid w:val="6CBB59AC"/>
    <w:rsid w:val="6CBC7B76"/>
    <w:rsid w:val="6CBF116F"/>
    <w:rsid w:val="6CC10EBE"/>
    <w:rsid w:val="6CC14A1B"/>
    <w:rsid w:val="6CC30EEC"/>
    <w:rsid w:val="6CC50A1D"/>
    <w:rsid w:val="6CC60283"/>
    <w:rsid w:val="6CC63191"/>
    <w:rsid w:val="6CC76056"/>
    <w:rsid w:val="6CC91B21"/>
    <w:rsid w:val="6CC97238"/>
    <w:rsid w:val="6CCC4B16"/>
    <w:rsid w:val="6CCD1003"/>
    <w:rsid w:val="6CCD1611"/>
    <w:rsid w:val="6CCD33BF"/>
    <w:rsid w:val="6CCD34E0"/>
    <w:rsid w:val="6CCE2A58"/>
    <w:rsid w:val="6CD01102"/>
    <w:rsid w:val="6CD04C5E"/>
    <w:rsid w:val="6CD24137"/>
    <w:rsid w:val="6CD34F1F"/>
    <w:rsid w:val="6CD36180"/>
    <w:rsid w:val="6CD43EAC"/>
    <w:rsid w:val="6CD44CF3"/>
    <w:rsid w:val="6CD52274"/>
    <w:rsid w:val="6CD97FB6"/>
    <w:rsid w:val="6CDA5BDB"/>
    <w:rsid w:val="6CDE3856"/>
    <w:rsid w:val="6CDE411D"/>
    <w:rsid w:val="6CE14005"/>
    <w:rsid w:val="6CE21DDF"/>
    <w:rsid w:val="6CE23374"/>
    <w:rsid w:val="6CE30E35"/>
    <w:rsid w:val="6CE34991"/>
    <w:rsid w:val="6CE46387"/>
    <w:rsid w:val="6CE54BAD"/>
    <w:rsid w:val="6CE60925"/>
    <w:rsid w:val="6CEE3336"/>
    <w:rsid w:val="6CEF0133"/>
    <w:rsid w:val="6CEF77DA"/>
    <w:rsid w:val="6CF03552"/>
    <w:rsid w:val="6CF21078"/>
    <w:rsid w:val="6CF44DF0"/>
    <w:rsid w:val="6CF6233D"/>
    <w:rsid w:val="6CF763B2"/>
    <w:rsid w:val="6CF7668E"/>
    <w:rsid w:val="6CFA1CDB"/>
    <w:rsid w:val="6CFE5C6F"/>
    <w:rsid w:val="6D0035B5"/>
    <w:rsid w:val="6D013069"/>
    <w:rsid w:val="6D06067F"/>
    <w:rsid w:val="6D062D75"/>
    <w:rsid w:val="6D064B23"/>
    <w:rsid w:val="6D077569"/>
    <w:rsid w:val="6D0936FF"/>
    <w:rsid w:val="6D0A14BC"/>
    <w:rsid w:val="6D0A2DB0"/>
    <w:rsid w:val="6D0A4613"/>
    <w:rsid w:val="6D0B637D"/>
    <w:rsid w:val="6D0F1C2A"/>
    <w:rsid w:val="6D1159A2"/>
    <w:rsid w:val="6D125276"/>
    <w:rsid w:val="6D127803"/>
    <w:rsid w:val="6D19155C"/>
    <w:rsid w:val="6D194857"/>
    <w:rsid w:val="6D195ABC"/>
    <w:rsid w:val="6D1A412B"/>
    <w:rsid w:val="6D1B05CF"/>
    <w:rsid w:val="6D1C18E6"/>
    <w:rsid w:val="6D1D60F1"/>
    <w:rsid w:val="6D1E1E6D"/>
    <w:rsid w:val="6D1E3C1B"/>
    <w:rsid w:val="6D1E7F7F"/>
    <w:rsid w:val="6D201BB4"/>
    <w:rsid w:val="6D21195D"/>
    <w:rsid w:val="6D213317"/>
    <w:rsid w:val="6D24025C"/>
    <w:rsid w:val="6D257FA0"/>
    <w:rsid w:val="6D260D22"/>
    <w:rsid w:val="6D2A6A64"/>
    <w:rsid w:val="6D2D20B0"/>
    <w:rsid w:val="6D2D3E5E"/>
    <w:rsid w:val="6D2F5E28"/>
    <w:rsid w:val="6D3204BB"/>
    <w:rsid w:val="6D390A55"/>
    <w:rsid w:val="6D392803"/>
    <w:rsid w:val="6D405751"/>
    <w:rsid w:val="6D4337F7"/>
    <w:rsid w:val="6D4348C6"/>
    <w:rsid w:val="6D45389E"/>
    <w:rsid w:val="6D462696"/>
    <w:rsid w:val="6D463172"/>
    <w:rsid w:val="6D4713C4"/>
    <w:rsid w:val="6D48513C"/>
    <w:rsid w:val="6D486EEA"/>
    <w:rsid w:val="6D4B15EF"/>
    <w:rsid w:val="6D4C5D1C"/>
    <w:rsid w:val="6D4C710A"/>
    <w:rsid w:val="6D4D0EB0"/>
    <w:rsid w:val="6D512242"/>
    <w:rsid w:val="6D593E46"/>
    <w:rsid w:val="6D5B6725"/>
    <w:rsid w:val="6D5D0F82"/>
    <w:rsid w:val="6D643FA3"/>
    <w:rsid w:val="6D6535F8"/>
    <w:rsid w:val="6D655433"/>
    <w:rsid w:val="6D667370"/>
    <w:rsid w:val="6D68133A"/>
    <w:rsid w:val="6D6965D2"/>
    <w:rsid w:val="6D6F091A"/>
    <w:rsid w:val="6D7970A3"/>
    <w:rsid w:val="6D7C15E4"/>
    <w:rsid w:val="6D7E46BA"/>
    <w:rsid w:val="6D8223FC"/>
    <w:rsid w:val="6D851EEC"/>
    <w:rsid w:val="6D862C49"/>
    <w:rsid w:val="6D875C64"/>
    <w:rsid w:val="6D88145A"/>
    <w:rsid w:val="6D88378A"/>
    <w:rsid w:val="6D891EDD"/>
    <w:rsid w:val="6D8B59E4"/>
    <w:rsid w:val="6D8D79DF"/>
    <w:rsid w:val="6D8F2D6B"/>
    <w:rsid w:val="6D910891"/>
    <w:rsid w:val="6D920165"/>
    <w:rsid w:val="6D97577B"/>
    <w:rsid w:val="6D9B34BE"/>
    <w:rsid w:val="6D9D3732"/>
    <w:rsid w:val="6DA34120"/>
    <w:rsid w:val="6DA57E98"/>
    <w:rsid w:val="6DA61459"/>
    <w:rsid w:val="6DA67C30"/>
    <w:rsid w:val="6DA71E62"/>
    <w:rsid w:val="6DA77DB7"/>
    <w:rsid w:val="6DA82874"/>
    <w:rsid w:val="6DAC1227"/>
    <w:rsid w:val="6DAF51BB"/>
    <w:rsid w:val="6DAF6F69"/>
    <w:rsid w:val="6DB24ECA"/>
    <w:rsid w:val="6DB419DE"/>
    <w:rsid w:val="6DB602F7"/>
    <w:rsid w:val="6DB70237"/>
    <w:rsid w:val="6DB72B96"/>
    <w:rsid w:val="6DB87176"/>
    <w:rsid w:val="6DB97DE8"/>
    <w:rsid w:val="6DBB76BC"/>
    <w:rsid w:val="6DBD1686"/>
    <w:rsid w:val="6DC05BAA"/>
    <w:rsid w:val="6DC20695"/>
    <w:rsid w:val="6DC42A14"/>
    <w:rsid w:val="6DC9057F"/>
    <w:rsid w:val="6DCA601C"/>
    <w:rsid w:val="6DCB16AB"/>
    <w:rsid w:val="6DCE0124"/>
    <w:rsid w:val="6DD13EBA"/>
    <w:rsid w:val="6DD145B2"/>
    <w:rsid w:val="6DD2612E"/>
    <w:rsid w:val="6DD65DC8"/>
    <w:rsid w:val="6DD8201C"/>
    <w:rsid w:val="6DDE33AA"/>
    <w:rsid w:val="6DDF784E"/>
    <w:rsid w:val="6DE05374"/>
    <w:rsid w:val="6DE07122"/>
    <w:rsid w:val="6DE210EC"/>
    <w:rsid w:val="6DE22E9A"/>
    <w:rsid w:val="6DE344AD"/>
    <w:rsid w:val="6DE5298B"/>
    <w:rsid w:val="6DE55E78"/>
    <w:rsid w:val="6DE77173"/>
    <w:rsid w:val="6DEA1D4F"/>
    <w:rsid w:val="6DEC1F6B"/>
    <w:rsid w:val="6DEE4900"/>
    <w:rsid w:val="6DEF229A"/>
    <w:rsid w:val="6DF2033E"/>
    <w:rsid w:val="6DF472ED"/>
    <w:rsid w:val="6DF606F4"/>
    <w:rsid w:val="6DF66946"/>
    <w:rsid w:val="6DF901E4"/>
    <w:rsid w:val="6DFA4688"/>
    <w:rsid w:val="6E035861"/>
    <w:rsid w:val="6E042C4D"/>
    <w:rsid w:val="6E0472B5"/>
    <w:rsid w:val="6E047311"/>
    <w:rsid w:val="6E065A2C"/>
    <w:rsid w:val="6E0B0643"/>
    <w:rsid w:val="6E0D0088"/>
    <w:rsid w:val="6E105C5A"/>
    <w:rsid w:val="6E1119D2"/>
    <w:rsid w:val="6E1135E9"/>
    <w:rsid w:val="6E11552E"/>
    <w:rsid w:val="6E126D75"/>
    <w:rsid w:val="6E14501E"/>
    <w:rsid w:val="6E157498"/>
    <w:rsid w:val="6E1804E6"/>
    <w:rsid w:val="6E1B1AD5"/>
    <w:rsid w:val="6E22242C"/>
    <w:rsid w:val="6E2D2550"/>
    <w:rsid w:val="6E2D74A0"/>
    <w:rsid w:val="6E2E4332"/>
    <w:rsid w:val="6E2E7E8E"/>
    <w:rsid w:val="6E2F3C06"/>
    <w:rsid w:val="6E315BD0"/>
    <w:rsid w:val="6E34121C"/>
    <w:rsid w:val="6E3556C0"/>
    <w:rsid w:val="6E3851B0"/>
    <w:rsid w:val="6E3B07FD"/>
    <w:rsid w:val="6E423939"/>
    <w:rsid w:val="6E42602E"/>
    <w:rsid w:val="6E42656A"/>
    <w:rsid w:val="6E4753F3"/>
    <w:rsid w:val="6E49116B"/>
    <w:rsid w:val="6E4A5A7E"/>
    <w:rsid w:val="6E4B6C92"/>
    <w:rsid w:val="6E4D187B"/>
    <w:rsid w:val="6E5024FA"/>
    <w:rsid w:val="6E510020"/>
    <w:rsid w:val="6E526272"/>
    <w:rsid w:val="6E531FEA"/>
    <w:rsid w:val="6E556878"/>
    <w:rsid w:val="6E56086D"/>
    <w:rsid w:val="6E563AAB"/>
    <w:rsid w:val="6E5D2F46"/>
    <w:rsid w:val="6E5E537C"/>
    <w:rsid w:val="6E602011"/>
    <w:rsid w:val="6E62768C"/>
    <w:rsid w:val="6E65164E"/>
    <w:rsid w:val="6E66347A"/>
    <w:rsid w:val="6E664E45"/>
    <w:rsid w:val="6E6715F2"/>
    <w:rsid w:val="6E6816F2"/>
    <w:rsid w:val="6E6933A5"/>
    <w:rsid w:val="6E6B2E90"/>
    <w:rsid w:val="6E6F5A8A"/>
    <w:rsid w:val="6E754B3F"/>
    <w:rsid w:val="6E755ABD"/>
    <w:rsid w:val="6E7770F1"/>
    <w:rsid w:val="6E7837FF"/>
    <w:rsid w:val="6E790B05"/>
    <w:rsid w:val="6E7A7577"/>
    <w:rsid w:val="6E7C32EF"/>
    <w:rsid w:val="6E7D1E7A"/>
    <w:rsid w:val="6E7F2DDF"/>
    <w:rsid w:val="6E7F4B8D"/>
    <w:rsid w:val="6E810905"/>
    <w:rsid w:val="6E8151DA"/>
    <w:rsid w:val="6E873A42"/>
    <w:rsid w:val="6E8842D7"/>
    <w:rsid w:val="6E8C0A9D"/>
    <w:rsid w:val="6E8E4DD0"/>
    <w:rsid w:val="6E8F41AA"/>
    <w:rsid w:val="6E8F6925"/>
    <w:rsid w:val="6E906D9A"/>
    <w:rsid w:val="6E915729"/>
    <w:rsid w:val="6E930639"/>
    <w:rsid w:val="6E931918"/>
    <w:rsid w:val="6E963C85"/>
    <w:rsid w:val="6E964EF7"/>
    <w:rsid w:val="6E9817AB"/>
    <w:rsid w:val="6E985C4F"/>
    <w:rsid w:val="6E9A5523"/>
    <w:rsid w:val="6EA12D56"/>
    <w:rsid w:val="6EA142D6"/>
    <w:rsid w:val="6EA168B2"/>
    <w:rsid w:val="6EA2262A"/>
    <w:rsid w:val="6EA36ACE"/>
    <w:rsid w:val="6EA470E4"/>
    <w:rsid w:val="6EA701DC"/>
    <w:rsid w:val="6EA75E92"/>
    <w:rsid w:val="6EA77C40"/>
    <w:rsid w:val="6EA81F4A"/>
    <w:rsid w:val="6EAB3BD4"/>
    <w:rsid w:val="6EAB7671"/>
    <w:rsid w:val="6EB04D47"/>
    <w:rsid w:val="6EB1286D"/>
    <w:rsid w:val="6EB26D11"/>
    <w:rsid w:val="6EB34837"/>
    <w:rsid w:val="6EB459D0"/>
    <w:rsid w:val="6EB5235D"/>
    <w:rsid w:val="6EB53772"/>
    <w:rsid w:val="6EB760D5"/>
    <w:rsid w:val="6EB81E4D"/>
    <w:rsid w:val="6EB83BFB"/>
    <w:rsid w:val="6EC21F7B"/>
    <w:rsid w:val="6EC262F1"/>
    <w:rsid w:val="6EC57260"/>
    <w:rsid w:val="6EC627BC"/>
    <w:rsid w:val="6EC67591"/>
    <w:rsid w:val="6EC922AC"/>
    <w:rsid w:val="6ECA78F5"/>
    <w:rsid w:val="6ECB1B80"/>
    <w:rsid w:val="6ECB392F"/>
    <w:rsid w:val="6ECE1D5E"/>
    <w:rsid w:val="6ED8125F"/>
    <w:rsid w:val="6ED8604B"/>
    <w:rsid w:val="6EDA0016"/>
    <w:rsid w:val="6EDA1DC4"/>
    <w:rsid w:val="6EE36ECA"/>
    <w:rsid w:val="6EE449F0"/>
    <w:rsid w:val="6EE53863"/>
    <w:rsid w:val="6EE64CF3"/>
    <w:rsid w:val="6EE80984"/>
    <w:rsid w:val="6EEA46FD"/>
    <w:rsid w:val="6EEB5DB6"/>
    <w:rsid w:val="6EEB6121"/>
    <w:rsid w:val="6EF03395"/>
    <w:rsid w:val="6EF154D3"/>
    <w:rsid w:val="6EF235B1"/>
    <w:rsid w:val="6EF239E0"/>
    <w:rsid w:val="6EF27217"/>
    <w:rsid w:val="6EF35E67"/>
    <w:rsid w:val="6EF410D7"/>
    <w:rsid w:val="6EF70BC7"/>
    <w:rsid w:val="6EF71769"/>
    <w:rsid w:val="6EF8049C"/>
    <w:rsid w:val="6EF822A2"/>
    <w:rsid w:val="6EF848A6"/>
    <w:rsid w:val="6EF86B16"/>
    <w:rsid w:val="6EF94940"/>
    <w:rsid w:val="6EFA06B8"/>
    <w:rsid w:val="6EFC1D3A"/>
    <w:rsid w:val="6EFC61DE"/>
    <w:rsid w:val="6EFE1F56"/>
    <w:rsid w:val="6EFF2062"/>
    <w:rsid w:val="6F0137F4"/>
    <w:rsid w:val="6F03451A"/>
    <w:rsid w:val="6F0357BE"/>
    <w:rsid w:val="6F040B3D"/>
    <w:rsid w:val="6F07576D"/>
    <w:rsid w:val="6F082DD5"/>
    <w:rsid w:val="6F0830DB"/>
    <w:rsid w:val="6F085F3C"/>
    <w:rsid w:val="6F094457"/>
    <w:rsid w:val="6F0B6421"/>
    <w:rsid w:val="6F0D03EB"/>
    <w:rsid w:val="6F0D794D"/>
    <w:rsid w:val="6F125F25"/>
    <w:rsid w:val="6F137C43"/>
    <w:rsid w:val="6F141779"/>
    <w:rsid w:val="6F152DFC"/>
    <w:rsid w:val="6F160223"/>
    <w:rsid w:val="6F176B74"/>
    <w:rsid w:val="6F17730A"/>
    <w:rsid w:val="6F1B4001"/>
    <w:rsid w:val="6F1C7C44"/>
    <w:rsid w:val="6F1D1FAB"/>
    <w:rsid w:val="6F1E43A6"/>
    <w:rsid w:val="6F1F3C7A"/>
    <w:rsid w:val="6F213E96"/>
    <w:rsid w:val="6F240FF8"/>
    <w:rsid w:val="6F2614AD"/>
    <w:rsid w:val="6F285225"/>
    <w:rsid w:val="6F286FD3"/>
    <w:rsid w:val="6F2B2817"/>
    <w:rsid w:val="6F2B6AC3"/>
    <w:rsid w:val="6F2C1F99"/>
    <w:rsid w:val="6F2E3750"/>
    <w:rsid w:val="6F2F34E9"/>
    <w:rsid w:val="6F320729"/>
    <w:rsid w:val="6F347BEB"/>
    <w:rsid w:val="6F3E2352"/>
    <w:rsid w:val="6F4436E1"/>
    <w:rsid w:val="6F460A1C"/>
    <w:rsid w:val="6F466B9E"/>
    <w:rsid w:val="6F4716B0"/>
    <w:rsid w:val="6F4A519B"/>
    <w:rsid w:val="6F4B4A6F"/>
    <w:rsid w:val="6F4F27B2"/>
    <w:rsid w:val="6F4F630E"/>
    <w:rsid w:val="6F5002D8"/>
    <w:rsid w:val="6F5222A2"/>
    <w:rsid w:val="6F533830"/>
    <w:rsid w:val="6F5557B4"/>
    <w:rsid w:val="6F571666"/>
    <w:rsid w:val="6F593630"/>
    <w:rsid w:val="6F59718C"/>
    <w:rsid w:val="6F5A4F08"/>
    <w:rsid w:val="6F5E1933"/>
    <w:rsid w:val="6F5E29F5"/>
    <w:rsid w:val="6F6124E5"/>
    <w:rsid w:val="6F63082F"/>
    <w:rsid w:val="6F631DB9"/>
    <w:rsid w:val="6F6322D5"/>
    <w:rsid w:val="6F655B31"/>
    <w:rsid w:val="6F663551"/>
    <w:rsid w:val="6F675DD1"/>
    <w:rsid w:val="6F697C94"/>
    <w:rsid w:val="6F6A687A"/>
    <w:rsid w:val="6F6B5749"/>
    <w:rsid w:val="6F6D49E6"/>
    <w:rsid w:val="6F6F4C26"/>
    <w:rsid w:val="6F6F5836"/>
    <w:rsid w:val="6F700088"/>
    <w:rsid w:val="6F72024E"/>
    <w:rsid w:val="6F777227"/>
    <w:rsid w:val="6F792D82"/>
    <w:rsid w:val="6F79782E"/>
    <w:rsid w:val="6F7A5EC6"/>
    <w:rsid w:val="6F7B5355"/>
    <w:rsid w:val="6F7C63CD"/>
    <w:rsid w:val="6F7E4E45"/>
    <w:rsid w:val="6F7F3FE0"/>
    <w:rsid w:val="6F7F4719"/>
    <w:rsid w:val="6F8042A7"/>
    <w:rsid w:val="6F806E0F"/>
    <w:rsid w:val="6F814935"/>
    <w:rsid w:val="6F84114D"/>
    <w:rsid w:val="6F843CED"/>
    <w:rsid w:val="6F864D01"/>
    <w:rsid w:val="6F865AA7"/>
    <w:rsid w:val="6F8A5548"/>
    <w:rsid w:val="6F900ABA"/>
    <w:rsid w:val="6F926B42"/>
    <w:rsid w:val="6F962FBC"/>
    <w:rsid w:val="6F992AFB"/>
    <w:rsid w:val="6F9957DB"/>
    <w:rsid w:val="6F997ED1"/>
    <w:rsid w:val="6F9C52CB"/>
    <w:rsid w:val="6FA128E1"/>
    <w:rsid w:val="6FA1380A"/>
    <w:rsid w:val="6FA51B0D"/>
    <w:rsid w:val="6FA83AAB"/>
    <w:rsid w:val="6FA83C70"/>
    <w:rsid w:val="6FA94376"/>
    <w:rsid w:val="6FAC1DB3"/>
    <w:rsid w:val="6FAC5D4C"/>
    <w:rsid w:val="6FAD572A"/>
    <w:rsid w:val="6FAE28B9"/>
    <w:rsid w:val="6FB10D76"/>
    <w:rsid w:val="6FB1672A"/>
    <w:rsid w:val="6FB5477A"/>
    <w:rsid w:val="6FB54AF7"/>
    <w:rsid w:val="6FB70357"/>
    <w:rsid w:val="6FB72105"/>
    <w:rsid w:val="6FB90350"/>
    <w:rsid w:val="6FBA385D"/>
    <w:rsid w:val="6FBB1BF5"/>
    <w:rsid w:val="6FBF51F6"/>
    <w:rsid w:val="6FC52A74"/>
    <w:rsid w:val="6FC82564"/>
    <w:rsid w:val="6FCA1E38"/>
    <w:rsid w:val="6FCA4EEE"/>
    <w:rsid w:val="6FCF38F2"/>
    <w:rsid w:val="6FD1351C"/>
    <w:rsid w:val="6FD35191"/>
    <w:rsid w:val="6FD57AAE"/>
    <w:rsid w:val="6FD66A2F"/>
    <w:rsid w:val="6FD75806"/>
    <w:rsid w:val="6FD76303"/>
    <w:rsid w:val="6FD76CF0"/>
    <w:rsid w:val="6FDB2297"/>
    <w:rsid w:val="6FDC3608"/>
    <w:rsid w:val="6FDC73B2"/>
    <w:rsid w:val="6FDD0031"/>
    <w:rsid w:val="6FE0340A"/>
    <w:rsid w:val="6FE23671"/>
    <w:rsid w:val="6FE4258E"/>
    <w:rsid w:val="6FE42753"/>
    <w:rsid w:val="6FE54EC4"/>
    <w:rsid w:val="6FEA072C"/>
    <w:rsid w:val="6FEA5B27"/>
    <w:rsid w:val="6FEC46EE"/>
    <w:rsid w:val="6FEF7AF1"/>
    <w:rsid w:val="6FF15617"/>
    <w:rsid w:val="6FF375E1"/>
    <w:rsid w:val="6FF427C1"/>
    <w:rsid w:val="6FF42A5B"/>
    <w:rsid w:val="6FF60E7F"/>
    <w:rsid w:val="6FF84BF7"/>
    <w:rsid w:val="6FF9271D"/>
    <w:rsid w:val="6FFB0243"/>
    <w:rsid w:val="6FFE1AE2"/>
    <w:rsid w:val="70003AAC"/>
    <w:rsid w:val="70013F75"/>
    <w:rsid w:val="70052E70"/>
    <w:rsid w:val="70090BB2"/>
    <w:rsid w:val="700A492A"/>
    <w:rsid w:val="700A66D9"/>
    <w:rsid w:val="700D53AB"/>
    <w:rsid w:val="700E142B"/>
    <w:rsid w:val="70161521"/>
    <w:rsid w:val="70164FD5"/>
    <w:rsid w:val="70194B6E"/>
    <w:rsid w:val="7019691C"/>
    <w:rsid w:val="701B2694"/>
    <w:rsid w:val="701C04CB"/>
    <w:rsid w:val="701C7B88"/>
    <w:rsid w:val="701D4BDE"/>
    <w:rsid w:val="70200B53"/>
    <w:rsid w:val="70207CAA"/>
    <w:rsid w:val="70221C74"/>
    <w:rsid w:val="70223A22"/>
    <w:rsid w:val="7027728A"/>
    <w:rsid w:val="702A0B29"/>
    <w:rsid w:val="702A2886"/>
    <w:rsid w:val="702B2B1C"/>
    <w:rsid w:val="70313C65"/>
    <w:rsid w:val="70315BE1"/>
    <w:rsid w:val="70352450"/>
    <w:rsid w:val="703562E6"/>
    <w:rsid w:val="703819D4"/>
    <w:rsid w:val="703853CE"/>
    <w:rsid w:val="70385584"/>
    <w:rsid w:val="703A5D5A"/>
    <w:rsid w:val="703D260A"/>
    <w:rsid w:val="703F2D33"/>
    <w:rsid w:val="704768DE"/>
    <w:rsid w:val="70476A93"/>
    <w:rsid w:val="7047792D"/>
    <w:rsid w:val="704936A5"/>
    <w:rsid w:val="70497B9A"/>
    <w:rsid w:val="704B36FC"/>
    <w:rsid w:val="705067E1"/>
    <w:rsid w:val="70525CA9"/>
    <w:rsid w:val="70531E2E"/>
    <w:rsid w:val="70553DF8"/>
    <w:rsid w:val="70585696"/>
    <w:rsid w:val="705B0CE2"/>
    <w:rsid w:val="705D738E"/>
    <w:rsid w:val="705F7989"/>
    <w:rsid w:val="70626515"/>
    <w:rsid w:val="70632114"/>
    <w:rsid w:val="70640CBF"/>
    <w:rsid w:val="70673B2B"/>
    <w:rsid w:val="706A53C9"/>
    <w:rsid w:val="706B361B"/>
    <w:rsid w:val="706C2EEF"/>
    <w:rsid w:val="706E310B"/>
    <w:rsid w:val="70716DA6"/>
    <w:rsid w:val="7073427E"/>
    <w:rsid w:val="70780C86"/>
    <w:rsid w:val="70785D38"/>
    <w:rsid w:val="70795E23"/>
    <w:rsid w:val="707D1BF1"/>
    <w:rsid w:val="707F13AA"/>
    <w:rsid w:val="707F2C23"/>
    <w:rsid w:val="707F4C92"/>
    <w:rsid w:val="708159DE"/>
    <w:rsid w:val="70822713"/>
    <w:rsid w:val="70827D2B"/>
    <w:rsid w:val="70851233"/>
    <w:rsid w:val="70893AA1"/>
    <w:rsid w:val="708E10B8"/>
    <w:rsid w:val="708E3A71"/>
    <w:rsid w:val="708F7D90"/>
    <w:rsid w:val="70903082"/>
    <w:rsid w:val="709155F6"/>
    <w:rsid w:val="70952446"/>
    <w:rsid w:val="7095798E"/>
    <w:rsid w:val="709866F7"/>
    <w:rsid w:val="7099639A"/>
    <w:rsid w:val="709976F3"/>
    <w:rsid w:val="709B1556"/>
    <w:rsid w:val="709B20BF"/>
    <w:rsid w:val="709C10B7"/>
    <w:rsid w:val="709D12FB"/>
    <w:rsid w:val="709D5D2D"/>
    <w:rsid w:val="709D754D"/>
    <w:rsid w:val="709D7D6C"/>
    <w:rsid w:val="709E4A5F"/>
    <w:rsid w:val="70A24B63"/>
    <w:rsid w:val="70A97C9F"/>
    <w:rsid w:val="70AE3508"/>
    <w:rsid w:val="70AE6645"/>
    <w:rsid w:val="70B03C8E"/>
    <w:rsid w:val="70B12FF8"/>
    <w:rsid w:val="70B14DA6"/>
    <w:rsid w:val="70B623BC"/>
    <w:rsid w:val="70B825D8"/>
    <w:rsid w:val="70BA00FF"/>
    <w:rsid w:val="70BA5946"/>
    <w:rsid w:val="70BF18AF"/>
    <w:rsid w:val="70C14B61"/>
    <w:rsid w:val="70C14FE6"/>
    <w:rsid w:val="70C324C7"/>
    <w:rsid w:val="70C525FF"/>
    <w:rsid w:val="70C56AF6"/>
    <w:rsid w:val="70C867FE"/>
    <w:rsid w:val="70CB40BA"/>
    <w:rsid w:val="70CB5E68"/>
    <w:rsid w:val="70CC1BE0"/>
    <w:rsid w:val="70CD7E32"/>
    <w:rsid w:val="70CE3BAA"/>
    <w:rsid w:val="70CF77C1"/>
    <w:rsid w:val="70D3219F"/>
    <w:rsid w:val="70D54F38"/>
    <w:rsid w:val="70D6480D"/>
    <w:rsid w:val="70D909A6"/>
    <w:rsid w:val="70DA254F"/>
    <w:rsid w:val="70DA60AB"/>
    <w:rsid w:val="70DC62C7"/>
    <w:rsid w:val="70DD3DED"/>
    <w:rsid w:val="70DF6333"/>
    <w:rsid w:val="70E1438C"/>
    <w:rsid w:val="70E17439"/>
    <w:rsid w:val="70E44A92"/>
    <w:rsid w:val="70E70C90"/>
    <w:rsid w:val="70EB02B8"/>
    <w:rsid w:val="70EB400D"/>
    <w:rsid w:val="70EB650A"/>
    <w:rsid w:val="70EB6BD0"/>
    <w:rsid w:val="70ED0DB6"/>
    <w:rsid w:val="70ED2282"/>
    <w:rsid w:val="70EE591B"/>
    <w:rsid w:val="70F27898"/>
    <w:rsid w:val="70F54884"/>
    <w:rsid w:val="70F62BE1"/>
    <w:rsid w:val="70FF5B11"/>
    <w:rsid w:val="7101188A"/>
    <w:rsid w:val="71037581"/>
    <w:rsid w:val="7104137A"/>
    <w:rsid w:val="71046BC4"/>
    <w:rsid w:val="71080E6A"/>
    <w:rsid w:val="710824C8"/>
    <w:rsid w:val="71092E34"/>
    <w:rsid w:val="71096990"/>
    <w:rsid w:val="710D6480"/>
    <w:rsid w:val="710E4DF2"/>
    <w:rsid w:val="710F1D8A"/>
    <w:rsid w:val="71121CE9"/>
    <w:rsid w:val="711315BD"/>
    <w:rsid w:val="7113780F"/>
    <w:rsid w:val="711733E6"/>
    <w:rsid w:val="71174225"/>
    <w:rsid w:val="711772FF"/>
    <w:rsid w:val="71193CCC"/>
    <w:rsid w:val="711A294B"/>
    <w:rsid w:val="711A6DEF"/>
    <w:rsid w:val="711C4E32"/>
    <w:rsid w:val="711C66C3"/>
    <w:rsid w:val="711D772C"/>
    <w:rsid w:val="711F3BA7"/>
    <w:rsid w:val="71265794"/>
    <w:rsid w:val="7129778D"/>
    <w:rsid w:val="712E4649"/>
    <w:rsid w:val="71325EE7"/>
    <w:rsid w:val="71336B36"/>
    <w:rsid w:val="713559D7"/>
    <w:rsid w:val="7136363E"/>
    <w:rsid w:val="713779A1"/>
    <w:rsid w:val="71381023"/>
    <w:rsid w:val="713A2FED"/>
    <w:rsid w:val="713B46B6"/>
    <w:rsid w:val="713E6E12"/>
    <w:rsid w:val="713F23B2"/>
    <w:rsid w:val="713F52B8"/>
    <w:rsid w:val="71414351"/>
    <w:rsid w:val="71456464"/>
    <w:rsid w:val="71467BE4"/>
    <w:rsid w:val="71472673"/>
    <w:rsid w:val="71481856"/>
    <w:rsid w:val="714874B8"/>
    <w:rsid w:val="714D39D8"/>
    <w:rsid w:val="714E0847"/>
    <w:rsid w:val="7150636D"/>
    <w:rsid w:val="715220E5"/>
    <w:rsid w:val="71526589"/>
    <w:rsid w:val="71535E5D"/>
    <w:rsid w:val="715C1F07"/>
    <w:rsid w:val="715F2A54"/>
    <w:rsid w:val="715F4802"/>
    <w:rsid w:val="716167CC"/>
    <w:rsid w:val="71624463"/>
    <w:rsid w:val="71655A4E"/>
    <w:rsid w:val="71655B6B"/>
    <w:rsid w:val="716817FE"/>
    <w:rsid w:val="71681909"/>
    <w:rsid w:val="7169076D"/>
    <w:rsid w:val="7169285C"/>
    <w:rsid w:val="71696B14"/>
    <w:rsid w:val="716F78C1"/>
    <w:rsid w:val="7174447F"/>
    <w:rsid w:val="71754026"/>
    <w:rsid w:val="717C53B4"/>
    <w:rsid w:val="717C7162"/>
    <w:rsid w:val="717E0BF8"/>
    <w:rsid w:val="717E2EDA"/>
    <w:rsid w:val="71804EA4"/>
    <w:rsid w:val="71810C1C"/>
    <w:rsid w:val="718146DA"/>
    <w:rsid w:val="71836289"/>
    <w:rsid w:val="718633AD"/>
    <w:rsid w:val="71881FAB"/>
    <w:rsid w:val="71883D59"/>
    <w:rsid w:val="7189187F"/>
    <w:rsid w:val="718B7769"/>
    <w:rsid w:val="718D136F"/>
    <w:rsid w:val="718F158B"/>
    <w:rsid w:val="718F3339"/>
    <w:rsid w:val="718F6E95"/>
    <w:rsid w:val="7190726E"/>
    <w:rsid w:val="719418FE"/>
    <w:rsid w:val="71944291"/>
    <w:rsid w:val="719512E7"/>
    <w:rsid w:val="7196395B"/>
    <w:rsid w:val="719646C8"/>
    <w:rsid w:val="71974705"/>
    <w:rsid w:val="71995F66"/>
    <w:rsid w:val="71997D14"/>
    <w:rsid w:val="719C5A56"/>
    <w:rsid w:val="719E532A"/>
    <w:rsid w:val="71A072F4"/>
    <w:rsid w:val="71A14E1B"/>
    <w:rsid w:val="71A16BC9"/>
    <w:rsid w:val="71A2511D"/>
    <w:rsid w:val="71A76152"/>
    <w:rsid w:val="71A843FB"/>
    <w:rsid w:val="71AA2D68"/>
    <w:rsid w:val="71AC62DD"/>
    <w:rsid w:val="71AD269A"/>
    <w:rsid w:val="71B11502"/>
    <w:rsid w:val="71B54736"/>
    <w:rsid w:val="71B763EC"/>
    <w:rsid w:val="71B92164"/>
    <w:rsid w:val="71BC1C54"/>
    <w:rsid w:val="71BD7A27"/>
    <w:rsid w:val="71BE1ED9"/>
    <w:rsid w:val="71C11019"/>
    <w:rsid w:val="71C46692"/>
    <w:rsid w:val="71C56D5B"/>
    <w:rsid w:val="71D04CD8"/>
    <w:rsid w:val="71D074AE"/>
    <w:rsid w:val="71D207BD"/>
    <w:rsid w:val="71D277C6"/>
    <w:rsid w:val="71D4762D"/>
    <w:rsid w:val="71D56BED"/>
    <w:rsid w:val="71DB20DB"/>
    <w:rsid w:val="71DB4C11"/>
    <w:rsid w:val="71DD22F7"/>
    <w:rsid w:val="71DD2AF1"/>
    <w:rsid w:val="71E2790D"/>
    <w:rsid w:val="71E371E1"/>
    <w:rsid w:val="71E511AB"/>
    <w:rsid w:val="71E573FD"/>
    <w:rsid w:val="71E739F7"/>
    <w:rsid w:val="71E97186"/>
    <w:rsid w:val="71EA0570"/>
    <w:rsid w:val="71EC3636"/>
    <w:rsid w:val="71ED0060"/>
    <w:rsid w:val="71EE1406"/>
    <w:rsid w:val="71EF133E"/>
    <w:rsid w:val="71F37896"/>
    <w:rsid w:val="71F4319C"/>
    <w:rsid w:val="71F54391"/>
    <w:rsid w:val="71F66728"/>
    <w:rsid w:val="71F66F14"/>
    <w:rsid w:val="71F7609C"/>
    <w:rsid w:val="71F920B5"/>
    <w:rsid w:val="71FB452B"/>
    <w:rsid w:val="71FC3F4E"/>
    <w:rsid w:val="71FF33E6"/>
    <w:rsid w:val="72062ED0"/>
    <w:rsid w:val="72083AFA"/>
    <w:rsid w:val="72095A00"/>
    <w:rsid w:val="72097D64"/>
    <w:rsid w:val="720A0C12"/>
    <w:rsid w:val="720C49BB"/>
    <w:rsid w:val="7212264B"/>
    <w:rsid w:val="72146BC2"/>
    <w:rsid w:val="7216013B"/>
    <w:rsid w:val="72161365"/>
    <w:rsid w:val="721750DD"/>
    <w:rsid w:val="72180E4A"/>
    <w:rsid w:val="72190311"/>
    <w:rsid w:val="721F6DC4"/>
    <w:rsid w:val="72200435"/>
    <w:rsid w:val="722149BB"/>
    <w:rsid w:val="722577FA"/>
    <w:rsid w:val="72257E87"/>
    <w:rsid w:val="722A3062"/>
    <w:rsid w:val="722C0861"/>
    <w:rsid w:val="722C2936"/>
    <w:rsid w:val="722C54DE"/>
    <w:rsid w:val="722D2BF3"/>
    <w:rsid w:val="722F68CA"/>
    <w:rsid w:val="7231619E"/>
    <w:rsid w:val="72343EE1"/>
    <w:rsid w:val="72347190"/>
    <w:rsid w:val="7236678B"/>
    <w:rsid w:val="723E08BB"/>
    <w:rsid w:val="724203AC"/>
    <w:rsid w:val="7242215A"/>
    <w:rsid w:val="72451C4A"/>
    <w:rsid w:val="72457E9C"/>
    <w:rsid w:val="72464B3F"/>
    <w:rsid w:val="72473C14"/>
    <w:rsid w:val="724949AF"/>
    <w:rsid w:val="724D7270"/>
    <w:rsid w:val="724E786B"/>
    <w:rsid w:val="7250570D"/>
    <w:rsid w:val="72514A93"/>
    <w:rsid w:val="72567431"/>
    <w:rsid w:val="72580864"/>
    <w:rsid w:val="7258372B"/>
    <w:rsid w:val="725956F5"/>
    <w:rsid w:val="725A3947"/>
    <w:rsid w:val="725B146D"/>
    <w:rsid w:val="72695938"/>
    <w:rsid w:val="726C5429"/>
    <w:rsid w:val="726D31E3"/>
    <w:rsid w:val="726D4075"/>
    <w:rsid w:val="726F7ACC"/>
    <w:rsid w:val="72706ECC"/>
    <w:rsid w:val="72712A3F"/>
    <w:rsid w:val="72730565"/>
    <w:rsid w:val="727577AB"/>
    <w:rsid w:val="72773728"/>
    <w:rsid w:val="72780225"/>
    <w:rsid w:val="727860E0"/>
    <w:rsid w:val="727A5D97"/>
    <w:rsid w:val="727B38BE"/>
    <w:rsid w:val="727B566C"/>
    <w:rsid w:val="727D13E4"/>
    <w:rsid w:val="727D272D"/>
    <w:rsid w:val="727D7636"/>
    <w:rsid w:val="727E5DB7"/>
    <w:rsid w:val="727F0FDB"/>
    <w:rsid w:val="727F33AE"/>
    <w:rsid w:val="72822E9E"/>
    <w:rsid w:val="72864CB9"/>
    <w:rsid w:val="728704B4"/>
    <w:rsid w:val="7289422C"/>
    <w:rsid w:val="728C1627"/>
    <w:rsid w:val="728C471B"/>
    <w:rsid w:val="728C5ACB"/>
    <w:rsid w:val="728E1641"/>
    <w:rsid w:val="728E45AB"/>
    <w:rsid w:val="7290187B"/>
    <w:rsid w:val="72936E59"/>
    <w:rsid w:val="729445D6"/>
    <w:rsid w:val="72966949"/>
    <w:rsid w:val="7298446F"/>
    <w:rsid w:val="72990018"/>
    <w:rsid w:val="729A4776"/>
    <w:rsid w:val="729B666C"/>
    <w:rsid w:val="729B69D7"/>
    <w:rsid w:val="729C1A10"/>
    <w:rsid w:val="729D36A9"/>
    <w:rsid w:val="729F75AC"/>
    <w:rsid w:val="72A47E5E"/>
    <w:rsid w:val="72A526E9"/>
    <w:rsid w:val="72AB5F51"/>
    <w:rsid w:val="72AC47EB"/>
    <w:rsid w:val="72AE36E4"/>
    <w:rsid w:val="72AE5A41"/>
    <w:rsid w:val="72B333C6"/>
    <w:rsid w:val="72B8066E"/>
    <w:rsid w:val="72B868C0"/>
    <w:rsid w:val="72BA6194"/>
    <w:rsid w:val="72BB015E"/>
    <w:rsid w:val="72BD5C84"/>
    <w:rsid w:val="72BF19FC"/>
    <w:rsid w:val="72BF37AA"/>
    <w:rsid w:val="72C02163"/>
    <w:rsid w:val="72C15FE4"/>
    <w:rsid w:val="72C26316"/>
    <w:rsid w:val="72C473A3"/>
    <w:rsid w:val="72C538BB"/>
    <w:rsid w:val="72C60FDD"/>
    <w:rsid w:val="72C70AB0"/>
    <w:rsid w:val="72C7270A"/>
    <w:rsid w:val="72C842CA"/>
    <w:rsid w:val="72CB64BE"/>
    <w:rsid w:val="72D03C09"/>
    <w:rsid w:val="72D11650"/>
    <w:rsid w:val="72D1172F"/>
    <w:rsid w:val="72D27981"/>
    <w:rsid w:val="72D35037"/>
    <w:rsid w:val="72D45379"/>
    <w:rsid w:val="72D45970"/>
    <w:rsid w:val="72D51220"/>
    <w:rsid w:val="72D57472"/>
    <w:rsid w:val="72D624E7"/>
    <w:rsid w:val="72D66A87"/>
    <w:rsid w:val="72DA6836"/>
    <w:rsid w:val="72DC25AE"/>
    <w:rsid w:val="72DD00D4"/>
    <w:rsid w:val="72E01973"/>
    <w:rsid w:val="72E1149C"/>
    <w:rsid w:val="72E15E16"/>
    <w:rsid w:val="72E256EB"/>
    <w:rsid w:val="72E476B5"/>
    <w:rsid w:val="72E81551"/>
    <w:rsid w:val="72E82D2A"/>
    <w:rsid w:val="72E869FF"/>
    <w:rsid w:val="72E90827"/>
    <w:rsid w:val="72EC519B"/>
    <w:rsid w:val="72EE0533"/>
    <w:rsid w:val="72F07E08"/>
    <w:rsid w:val="72F11FE4"/>
    <w:rsid w:val="72F3388B"/>
    <w:rsid w:val="72F3740F"/>
    <w:rsid w:val="72F553BF"/>
    <w:rsid w:val="72F773E8"/>
    <w:rsid w:val="72FB055A"/>
    <w:rsid w:val="72FD5AEB"/>
    <w:rsid w:val="72FF629D"/>
    <w:rsid w:val="730072C7"/>
    <w:rsid w:val="73010267"/>
    <w:rsid w:val="73010F8C"/>
    <w:rsid w:val="73012015"/>
    <w:rsid w:val="73013DC3"/>
    <w:rsid w:val="73016E15"/>
    <w:rsid w:val="73072EA6"/>
    <w:rsid w:val="7308332F"/>
    <w:rsid w:val="73091DE9"/>
    <w:rsid w:val="730D1BFA"/>
    <w:rsid w:val="730E028E"/>
    <w:rsid w:val="730F451A"/>
    <w:rsid w:val="73117D68"/>
    <w:rsid w:val="73133AF6"/>
    <w:rsid w:val="731358A4"/>
    <w:rsid w:val="73171838"/>
    <w:rsid w:val="7318110C"/>
    <w:rsid w:val="731A30D6"/>
    <w:rsid w:val="731A6C33"/>
    <w:rsid w:val="731C0BFD"/>
    <w:rsid w:val="731E2BC7"/>
    <w:rsid w:val="731E64B5"/>
    <w:rsid w:val="731F693F"/>
    <w:rsid w:val="73245D03"/>
    <w:rsid w:val="73262CC8"/>
    <w:rsid w:val="732743DA"/>
    <w:rsid w:val="732950C8"/>
    <w:rsid w:val="732B3BA9"/>
    <w:rsid w:val="732C4748"/>
    <w:rsid w:val="732E6E21"/>
    <w:rsid w:val="732F5D62"/>
    <w:rsid w:val="73326672"/>
    <w:rsid w:val="733306C3"/>
    <w:rsid w:val="73337CF4"/>
    <w:rsid w:val="73357F10"/>
    <w:rsid w:val="733A6CBD"/>
    <w:rsid w:val="733C0236"/>
    <w:rsid w:val="733C304D"/>
    <w:rsid w:val="733D0B73"/>
    <w:rsid w:val="733F0D8F"/>
    <w:rsid w:val="73412411"/>
    <w:rsid w:val="7344037D"/>
    <w:rsid w:val="73462290"/>
    <w:rsid w:val="734C3B60"/>
    <w:rsid w:val="734F0FD2"/>
    <w:rsid w:val="7353202C"/>
    <w:rsid w:val="73532145"/>
    <w:rsid w:val="7354011D"/>
    <w:rsid w:val="73567625"/>
    <w:rsid w:val="73570A12"/>
    <w:rsid w:val="73574C00"/>
    <w:rsid w:val="73577C81"/>
    <w:rsid w:val="735859AD"/>
    <w:rsid w:val="73593CC9"/>
    <w:rsid w:val="735B000D"/>
    <w:rsid w:val="735B6820"/>
    <w:rsid w:val="735B7814"/>
    <w:rsid w:val="735C36EF"/>
    <w:rsid w:val="735E1215"/>
    <w:rsid w:val="73610D05"/>
    <w:rsid w:val="73612AB3"/>
    <w:rsid w:val="73682094"/>
    <w:rsid w:val="73697BBA"/>
    <w:rsid w:val="736E7675"/>
    <w:rsid w:val="736F3422"/>
    <w:rsid w:val="73700F48"/>
    <w:rsid w:val="73702CF6"/>
    <w:rsid w:val="73722F12"/>
    <w:rsid w:val="7377615A"/>
    <w:rsid w:val="737A1DC7"/>
    <w:rsid w:val="737A5923"/>
    <w:rsid w:val="737E3665"/>
    <w:rsid w:val="737F06A0"/>
    <w:rsid w:val="737F1CDA"/>
    <w:rsid w:val="737F73DD"/>
    <w:rsid w:val="73813156"/>
    <w:rsid w:val="73832670"/>
    <w:rsid w:val="73833CEC"/>
    <w:rsid w:val="7386076C"/>
    <w:rsid w:val="73880040"/>
    <w:rsid w:val="73886292"/>
    <w:rsid w:val="7389537F"/>
    <w:rsid w:val="738A200A"/>
    <w:rsid w:val="738D1AFA"/>
    <w:rsid w:val="739015EB"/>
    <w:rsid w:val="7390447B"/>
    <w:rsid w:val="73925DF3"/>
    <w:rsid w:val="739509AF"/>
    <w:rsid w:val="7395275D"/>
    <w:rsid w:val="73964155"/>
    <w:rsid w:val="73966C01"/>
    <w:rsid w:val="73970283"/>
    <w:rsid w:val="73993FFB"/>
    <w:rsid w:val="739F35DC"/>
    <w:rsid w:val="739F41D5"/>
    <w:rsid w:val="739F538A"/>
    <w:rsid w:val="73A12165"/>
    <w:rsid w:val="73A2766E"/>
    <w:rsid w:val="73A429A0"/>
    <w:rsid w:val="73A51816"/>
    <w:rsid w:val="73A6496A"/>
    <w:rsid w:val="73A72E66"/>
    <w:rsid w:val="73A82490"/>
    <w:rsid w:val="73AA4DA0"/>
    <w:rsid w:val="73AC1DF5"/>
    <w:rsid w:val="73AC2F92"/>
    <w:rsid w:val="73AF32CE"/>
    <w:rsid w:val="73B021B6"/>
    <w:rsid w:val="73B13A3B"/>
    <w:rsid w:val="73B2330F"/>
    <w:rsid w:val="73B76B77"/>
    <w:rsid w:val="73B940A9"/>
    <w:rsid w:val="73BB407D"/>
    <w:rsid w:val="73C03C7E"/>
    <w:rsid w:val="73C05A2C"/>
    <w:rsid w:val="73C31078"/>
    <w:rsid w:val="73C3376E"/>
    <w:rsid w:val="73C54EE2"/>
    <w:rsid w:val="73C60B68"/>
    <w:rsid w:val="73C848E1"/>
    <w:rsid w:val="73CB1F0F"/>
    <w:rsid w:val="73CC08B9"/>
    <w:rsid w:val="73CC6823"/>
    <w:rsid w:val="73CD672F"/>
    <w:rsid w:val="73D5260C"/>
    <w:rsid w:val="73D57D52"/>
    <w:rsid w:val="73D72D76"/>
    <w:rsid w:val="73D95384"/>
    <w:rsid w:val="73DA4BFF"/>
    <w:rsid w:val="73DB0AB8"/>
    <w:rsid w:val="73DB2866"/>
    <w:rsid w:val="73E0011D"/>
    <w:rsid w:val="73E10783"/>
    <w:rsid w:val="73E159A2"/>
    <w:rsid w:val="73E21E46"/>
    <w:rsid w:val="73E54E99"/>
    <w:rsid w:val="73E84F83"/>
    <w:rsid w:val="73ED2599"/>
    <w:rsid w:val="73ED267F"/>
    <w:rsid w:val="73EF4563"/>
    <w:rsid w:val="73F00D55"/>
    <w:rsid w:val="73F25980"/>
    <w:rsid w:val="73F80300"/>
    <w:rsid w:val="73FA23F7"/>
    <w:rsid w:val="73FB2F08"/>
    <w:rsid w:val="73FC0A2E"/>
    <w:rsid w:val="73FF2068"/>
    <w:rsid w:val="74024296"/>
    <w:rsid w:val="740278BB"/>
    <w:rsid w:val="74033B6B"/>
    <w:rsid w:val="7404235A"/>
    <w:rsid w:val="74051691"/>
    <w:rsid w:val="74065409"/>
    <w:rsid w:val="74082F2F"/>
    <w:rsid w:val="740A7B07"/>
    <w:rsid w:val="740D6797"/>
    <w:rsid w:val="740D76F2"/>
    <w:rsid w:val="74105148"/>
    <w:rsid w:val="741325EF"/>
    <w:rsid w:val="741527AA"/>
    <w:rsid w:val="74176B8F"/>
    <w:rsid w:val="7419338E"/>
    <w:rsid w:val="741D2E7E"/>
    <w:rsid w:val="74203EA7"/>
    <w:rsid w:val="74235FBB"/>
    <w:rsid w:val="74281823"/>
    <w:rsid w:val="742A10F7"/>
    <w:rsid w:val="742A559B"/>
    <w:rsid w:val="742C1313"/>
    <w:rsid w:val="742C30C1"/>
    <w:rsid w:val="743106D8"/>
    <w:rsid w:val="74343D24"/>
    <w:rsid w:val="74382C12"/>
    <w:rsid w:val="7438301C"/>
    <w:rsid w:val="743E2DF5"/>
    <w:rsid w:val="743E30A2"/>
    <w:rsid w:val="74404DBF"/>
    <w:rsid w:val="74416441"/>
    <w:rsid w:val="744228E5"/>
    <w:rsid w:val="74455F31"/>
    <w:rsid w:val="744877CF"/>
    <w:rsid w:val="744B7A76"/>
    <w:rsid w:val="744D4DE6"/>
    <w:rsid w:val="744F0B5E"/>
    <w:rsid w:val="7452521E"/>
    <w:rsid w:val="74525F67"/>
    <w:rsid w:val="74542618"/>
    <w:rsid w:val="745430D0"/>
    <w:rsid w:val="74562C47"/>
    <w:rsid w:val="74583EB6"/>
    <w:rsid w:val="745B39A7"/>
    <w:rsid w:val="745D6389"/>
    <w:rsid w:val="745D7266"/>
    <w:rsid w:val="745D771F"/>
    <w:rsid w:val="746565D3"/>
    <w:rsid w:val="746622AE"/>
    <w:rsid w:val="7467234B"/>
    <w:rsid w:val="74692370"/>
    <w:rsid w:val="746D0776"/>
    <w:rsid w:val="746D723B"/>
    <w:rsid w:val="746E1D09"/>
    <w:rsid w:val="746F1200"/>
    <w:rsid w:val="747131CA"/>
    <w:rsid w:val="74722359"/>
    <w:rsid w:val="747230AE"/>
    <w:rsid w:val="74745D74"/>
    <w:rsid w:val="74786307"/>
    <w:rsid w:val="747D4DCB"/>
    <w:rsid w:val="747D56CB"/>
    <w:rsid w:val="747E5633"/>
    <w:rsid w:val="747F0FAE"/>
    <w:rsid w:val="747F7695"/>
    <w:rsid w:val="74870E42"/>
    <w:rsid w:val="74886F56"/>
    <w:rsid w:val="748947C0"/>
    <w:rsid w:val="74896D89"/>
    <w:rsid w:val="748B214B"/>
    <w:rsid w:val="748C3B60"/>
    <w:rsid w:val="748C590E"/>
    <w:rsid w:val="748E4467"/>
    <w:rsid w:val="748F3650"/>
    <w:rsid w:val="74956477"/>
    <w:rsid w:val="74956EB9"/>
    <w:rsid w:val="74977C4C"/>
    <w:rsid w:val="74982505"/>
    <w:rsid w:val="749863EC"/>
    <w:rsid w:val="749B5ECF"/>
    <w:rsid w:val="749F7D37"/>
    <w:rsid w:val="74A0585D"/>
    <w:rsid w:val="74A0760B"/>
    <w:rsid w:val="74A66B02"/>
    <w:rsid w:val="74A76BEC"/>
    <w:rsid w:val="74AE1D28"/>
    <w:rsid w:val="74AF784E"/>
    <w:rsid w:val="74B03CF2"/>
    <w:rsid w:val="74B15375"/>
    <w:rsid w:val="74B45753"/>
    <w:rsid w:val="74B65081"/>
    <w:rsid w:val="74B84955"/>
    <w:rsid w:val="74BD1F6B"/>
    <w:rsid w:val="74C01A5C"/>
    <w:rsid w:val="74C07CAE"/>
    <w:rsid w:val="74C37184"/>
    <w:rsid w:val="74C51C14"/>
    <w:rsid w:val="74C535A1"/>
    <w:rsid w:val="74C57072"/>
    <w:rsid w:val="74CA4688"/>
    <w:rsid w:val="74CB28DA"/>
    <w:rsid w:val="74CB6B3C"/>
    <w:rsid w:val="74CC21AE"/>
    <w:rsid w:val="74CD6F79"/>
    <w:rsid w:val="74D177C5"/>
    <w:rsid w:val="74D379E1"/>
    <w:rsid w:val="74D478E6"/>
    <w:rsid w:val="74D81898"/>
    <w:rsid w:val="74DA0D6F"/>
    <w:rsid w:val="74DB0643"/>
    <w:rsid w:val="74DD616A"/>
    <w:rsid w:val="74E03EAC"/>
    <w:rsid w:val="74E042F3"/>
    <w:rsid w:val="74E0465F"/>
    <w:rsid w:val="74E1098B"/>
    <w:rsid w:val="74E273E6"/>
    <w:rsid w:val="74E4399C"/>
    <w:rsid w:val="74E474FD"/>
    <w:rsid w:val="74E514C2"/>
    <w:rsid w:val="74E90984"/>
    <w:rsid w:val="74EA0887"/>
    <w:rsid w:val="74F01197"/>
    <w:rsid w:val="74F11C15"/>
    <w:rsid w:val="74F160B9"/>
    <w:rsid w:val="74F17E67"/>
    <w:rsid w:val="74F33BDF"/>
    <w:rsid w:val="74F34607"/>
    <w:rsid w:val="74F6547D"/>
    <w:rsid w:val="74F71921"/>
    <w:rsid w:val="74F77FF3"/>
    <w:rsid w:val="74FD05BA"/>
    <w:rsid w:val="74FD05BB"/>
    <w:rsid w:val="74FE0903"/>
    <w:rsid w:val="74FF0924"/>
    <w:rsid w:val="7501454E"/>
    <w:rsid w:val="75017085"/>
    <w:rsid w:val="75022074"/>
    <w:rsid w:val="7503605C"/>
    <w:rsid w:val="7504558C"/>
    <w:rsid w:val="75061B64"/>
    <w:rsid w:val="75063912"/>
    <w:rsid w:val="750965AD"/>
    <w:rsid w:val="750C2131"/>
    <w:rsid w:val="750C6A4F"/>
    <w:rsid w:val="750E0A19"/>
    <w:rsid w:val="750E79AD"/>
    <w:rsid w:val="751002ED"/>
    <w:rsid w:val="751122B7"/>
    <w:rsid w:val="75151DA7"/>
    <w:rsid w:val="751C1388"/>
    <w:rsid w:val="751C63E4"/>
    <w:rsid w:val="752036B3"/>
    <w:rsid w:val="75232716"/>
    <w:rsid w:val="752A6B80"/>
    <w:rsid w:val="752B15CB"/>
    <w:rsid w:val="752B3379"/>
    <w:rsid w:val="752E5043"/>
    <w:rsid w:val="75354225"/>
    <w:rsid w:val="7535557C"/>
    <w:rsid w:val="75357D54"/>
    <w:rsid w:val="75375467"/>
    <w:rsid w:val="75376455"/>
    <w:rsid w:val="753A7A60"/>
    <w:rsid w:val="753B7E9C"/>
    <w:rsid w:val="754160AC"/>
    <w:rsid w:val="7541670A"/>
    <w:rsid w:val="754643C6"/>
    <w:rsid w:val="7548217D"/>
    <w:rsid w:val="754937FF"/>
    <w:rsid w:val="754A0005"/>
    <w:rsid w:val="754D5524"/>
    <w:rsid w:val="75504B8E"/>
    <w:rsid w:val="7553467E"/>
    <w:rsid w:val="75553073"/>
    <w:rsid w:val="75556162"/>
    <w:rsid w:val="75567ED7"/>
    <w:rsid w:val="755723C0"/>
    <w:rsid w:val="75573A90"/>
    <w:rsid w:val="755831BD"/>
    <w:rsid w:val="75587E0D"/>
    <w:rsid w:val="755C3532"/>
    <w:rsid w:val="755E7CAF"/>
    <w:rsid w:val="75610B49"/>
    <w:rsid w:val="75630D65"/>
    <w:rsid w:val="75640639"/>
    <w:rsid w:val="756602B2"/>
    <w:rsid w:val="75660D48"/>
    <w:rsid w:val="756643B1"/>
    <w:rsid w:val="756747F8"/>
    <w:rsid w:val="75681E19"/>
    <w:rsid w:val="756845CD"/>
    <w:rsid w:val="7568637B"/>
    <w:rsid w:val="75692D38"/>
    <w:rsid w:val="756B21D6"/>
    <w:rsid w:val="756C44E1"/>
    <w:rsid w:val="756E3266"/>
    <w:rsid w:val="756E770A"/>
    <w:rsid w:val="75736ACE"/>
    <w:rsid w:val="7577036C"/>
    <w:rsid w:val="757B6B58"/>
    <w:rsid w:val="757C7C1D"/>
    <w:rsid w:val="757D42F0"/>
    <w:rsid w:val="75862CA5"/>
    <w:rsid w:val="75887ABF"/>
    <w:rsid w:val="758B206A"/>
    <w:rsid w:val="758C652B"/>
    <w:rsid w:val="75905BB3"/>
    <w:rsid w:val="75932CCC"/>
    <w:rsid w:val="75972838"/>
    <w:rsid w:val="759A04FF"/>
    <w:rsid w:val="759A22AD"/>
    <w:rsid w:val="759F78C3"/>
    <w:rsid w:val="75A03D67"/>
    <w:rsid w:val="75A05F49"/>
    <w:rsid w:val="75A1188D"/>
    <w:rsid w:val="75A1363B"/>
    <w:rsid w:val="75A44ED9"/>
    <w:rsid w:val="75A60C51"/>
    <w:rsid w:val="75A6216B"/>
    <w:rsid w:val="75A66EA3"/>
    <w:rsid w:val="75A90742"/>
    <w:rsid w:val="75A924F0"/>
    <w:rsid w:val="75AA6994"/>
    <w:rsid w:val="75AD70BD"/>
    <w:rsid w:val="75B4336E"/>
    <w:rsid w:val="75B75445"/>
    <w:rsid w:val="75B94E29"/>
    <w:rsid w:val="75B96BD7"/>
    <w:rsid w:val="75BB2B51"/>
    <w:rsid w:val="75BC66C7"/>
    <w:rsid w:val="75BD0103"/>
    <w:rsid w:val="75BE41ED"/>
    <w:rsid w:val="75C17839"/>
    <w:rsid w:val="75C37A55"/>
    <w:rsid w:val="75C458AB"/>
    <w:rsid w:val="75CB3F3B"/>
    <w:rsid w:val="75CB690A"/>
    <w:rsid w:val="75D05CCE"/>
    <w:rsid w:val="75D43A11"/>
    <w:rsid w:val="75D457BF"/>
    <w:rsid w:val="75D91027"/>
    <w:rsid w:val="75DA6B4D"/>
    <w:rsid w:val="75DC0B17"/>
    <w:rsid w:val="75DC749C"/>
    <w:rsid w:val="75DF4163"/>
    <w:rsid w:val="75E17EDC"/>
    <w:rsid w:val="75E2743D"/>
    <w:rsid w:val="75E654F2"/>
    <w:rsid w:val="75E83018"/>
    <w:rsid w:val="75E874BC"/>
    <w:rsid w:val="75EA2786"/>
    <w:rsid w:val="75EA3234"/>
    <w:rsid w:val="75EB0D5A"/>
    <w:rsid w:val="75EF084A"/>
    <w:rsid w:val="75F0011F"/>
    <w:rsid w:val="75F06371"/>
    <w:rsid w:val="75F31770"/>
    <w:rsid w:val="75F47C0F"/>
    <w:rsid w:val="75F6437C"/>
    <w:rsid w:val="75F714AD"/>
    <w:rsid w:val="75FA2D4B"/>
    <w:rsid w:val="75FC6AC3"/>
    <w:rsid w:val="75FE45EA"/>
    <w:rsid w:val="75FE6CDF"/>
    <w:rsid w:val="760029C6"/>
    <w:rsid w:val="760065B4"/>
    <w:rsid w:val="760763B8"/>
    <w:rsid w:val="760A601F"/>
    <w:rsid w:val="760A7432"/>
    <w:rsid w:val="760A7E7A"/>
    <w:rsid w:val="760D578D"/>
    <w:rsid w:val="76113FFA"/>
    <w:rsid w:val="76120095"/>
    <w:rsid w:val="76171B4F"/>
    <w:rsid w:val="76172CE4"/>
    <w:rsid w:val="76197675"/>
    <w:rsid w:val="761E4ABF"/>
    <w:rsid w:val="76200BC8"/>
    <w:rsid w:val="76241DC1"/>
    <w:rsid w:val="76262337"/>
    <w:rsid w:val="762732D0"/>
    <w:rsid w:val="762E6A4A"/>
    <w:rsid w:val="7634269A"/>
    <w:rsid w:val="76342701"/>
    <w:rsid w:val="76361FD5"/>
    <w:rsid w:val="76363356"/>
    <w:rsid w:val="76364369"/>
    <w:rsid w:val="76373F9F"/>
    <w:rsid w:val="76393874"/>
    <w:rsid w:val="763B3A90"/>
    <w:rsid w:val="7644079B"/>
    <w:rsid w:val="764467DA"/>
    <w:rsid w:val="76452218"/>
    <w:rsid w:val="764635D8"/>
    <w:rsid w:val="764741E2"/>
    <w:rsid w:val="764861AD"/>
    <w:rsid w:val="764A5A81"/>
    <w:rsid w:val="764A73B8"/>
    <w:rsid w:val="764A782F"/>
    <w:rsid w:val="764B43B6"/>
    <w:rsid w:val="764C7A4B"/>
    <w:rsid w:val="764E245D"/>
    <w:rsid w:val="764F753B"/>
    <w:rsid w:val="76517D10"/>
    <w:rsid w:val="76530DD9"/>
    <w:rsid w:val="76582957"/>
    <w:rsid w:val="765863F0"/>
    <w:rsid w:val="76592168"/>
    <w:rsid w:val="765929B4"/>
    <w:rsid w:val="765A00C6"/>
    <w:rsid w:val="765B643C"/>
    <w:rsid w:val="765F3B58"/>
    <w:rsid w:val="7662726E"/>
    <w:rsid w:val="76661D86"/>
    <w:rsid w:val="76674A06"/>
    <w:rsid w:val="766F1796"/>
    <w:rsid w:val="766F7295"/>
    <w:rsid w:val="7671300D"/>
    <w:rsid w:val="76724FD8"/>
    <w:rsid w:val="76726D86"/>
    <w:rsid w:val="76740D50"/>
    <w:rsid w:val="76756F13"/>
    <w:rsid w:val="76780840"/>
    <w:rsid w:val="767B3E8C"/>
    <w:rsid w:val="767B4B72"/>
    <w:rsid w:val="767B6740"/>
    <w:rsid w:val="767B7C77"/>
    <w:rsid w:val="767C19B2"/>
    <w:rsid w:val="767D2392"/>
    <w:rsid w:val="767E5FFC"/>
    <w:rsid w:val="768076F4"/>
    <w:rsid w:val="76812D85"/>
    <w:rsid w:val="76831851"/>
    <w:rsid w:val="76852F5D"/>
    <w:rsid w:val="76884F57"/>
    <w:rsid w:val="768C42EB"/>
    <w:rsid w:val="76901F70"/>
    <w:rsid w:val="76911902"/>
    <w:rsid w:val="769136B0"/>
    <w:rsid w:val="76937428"/>
    <w:rsid w:val="76960176"/>
    <w:rsid w:val="76994225"/>
    <w:rsid w:val="769C07B3"/>
    <w:rsid w:val="769D02A6"/>
    <w:rsid w:val="76A01B45"/>
    <w:rsid w:val="76A17E20"/>
    <w:rsid w:val="76A52D81"/>
    <w:rsid w:val="76A54079"/>
    <w:rsid w:val="76A809F9"/>
    <w:rsid w:val="76A96C4B"/>
    <w:rsid w:val="76AC04E9"/>
    <w:rsid w:val="76AD4308"/>
    <w:rsid w:val="76AF3B36"/>
    <w:rsid w:val="76B000B8"/>
    <w:rsid w:val="76B123BF"/>
    <w:rsid w:val="76B3071E"/>
    <w:rsid w:val="76B4114C"/>
    <w:rsid w:val="76B44018"/>
    <w:rsid w:val="76B63F2A"/>
    <w:rsid w:val="76B741D6"/>
    <w:rsid w:val="76B8141B"/>
    <w:rsid w:val="76B9150D"/>
    <w:rsid w:val="76BA3D3B"/>
    <w:rsid w:val="76BF021D"/>
    <w:rsid w:val="76C03F95"/>
    <w:rsid w:val="76C53359"/>
    <w:rsid w:val="76C65EF1"/>
    <w:rsid w:val="76C665F0"/>
    <w:rsid w:val="76C92E49"/>
    <w:rsid w:val="76CA4592"/>
    <w:rsid w:val="76CC584D"/>
    <w:rsid w:val="76D0242A"/>
    <w:rsid w:val="76D11CFE"/>
    <w:rsid w:val="76D450EA"/>
    <w:rsid w:val="76D67314"/>
    <w:rsid w:val="76D812DE"/>
    <w:rsid w:val="76DD06A3"/>
    <w:rsid w:val="76DD5F5F"/>
    <w:rsid w:val="76DE4877"/>
    <w:rsid w:val="76DF5A8E"/>
    <w:rsid w:val="76E41A31"/>
    <w:rsid w:val="76E47C83"/>
    <w:rsid w:val="76E539FB"/>
    <w:rsid w:val="76E77774"/>
    <w:rsid w:val="76EA1012"/>
    <w:rsid w:val="76EA19D0"/>
    <w:rsid w:val="76F254D2"/>
    <w:rsid w:val="76F55E6B"/>
    <w:rsid w:val="76F8372F"/>
    <w:rsid w:val="76FA74A7"/>
    <w:rsid w:val="76FD0D45"/>
    <w:rsid w:val="76FD6F97"/>
    <w:rsid w:val="77000835"/>
    <w:rsid w:val="77002C6D"/>
    <w:rsid w:val="77020109"/>
    <w:rsid w:val="7702635B"/>
    <w:rsid w:val="770551D1"/>
    <w:rsid w:val="77057A22"/>
    <w:rsid w:val="770706D4"/>
    <w:rsid w:val="77091498"/>
    <w:rsid w:val="770B7547"/>
    <w:rsid w:val="770C61B4"/>
    <w:rsid w:val="770E0AD4"/>
    <w:rsid w:val="77122F04"/>
    <w:rsid w:val="77132317"/>
    <w:rsid w:val="771358E0"/>
    <w:rsid w:val="7715608F"/>
    <w:rsid w:val="77161E07"/>
    <w:rsid w:val="77163BB5"/>
    <w:rsid w:val="77176BA7"/>
    <w:rsid w:val="7718743F"/>
    <w:rsid w:val="771A45AF"/>
    <w:rsid w:val="771C566F"/>
    <w:rsid w:val="771F2A69"/>
    <w:rsid w:val="77242776"/>
    <w:rsid w:val="77245AA7"/>
    <w:rsid w:val="77284FC5"/>
    <w:rsid w:val="77291B30"/>
    <w:rsid w:val="77291B3A"/>
    <w:rsid w:val="772B283B"/>
    <w:rsid w:val="772B58B2"/>
    <w:rsid w:val="772F230A"/>
    <w:rsid w:val="77302EC9"/>
    <w:rsid w:val="7735228D"/>
    <w:rsid w:val="7736212F"/>
    <w:rsid w:val="77381AAC"/>
    <w:rsid w:val="773A3D47"/>
    <w:rsid w:val="773B2E31"/>
    <w:rsid w:val="773C7ABF"/>
    <w:rsid w:val="773E0BED"/>
    <w:rsid w:val="773F310C"/>
    <w:rsid w:val="77453BED"/>
    <w:rsid w:val="77461862"/>
    <w:rsid w:val="774870E5"/>
    <w:rsid w:val="774921DC"/>
    <w:rsid w:val="774B7D02"/>
    <w:rsid w:val="774C75D7"/>
    <w:rsid w:val="7750356B"/>
    <w:rsid w:val="77521CC0"/>
    <w:rsid w:val="775248E8"/>
    <w:rsid w:val="77533239"/>
    <w:rsid w:val="77536BB7"/>
    <w:rsid w:val="7756449C"/>
    <w:rsid w:val="7758241F"/>
    <w:rsid w:val="77585F7B"/>
    <w:rsid w:val="77591129"/>
    <w:rsid w:val="775C3CBE"/>
    <w:rsid w:val="775D3592"/>
    <w:rsid w:val="775D7A36"/>
    <w:rsid w:val="775E5E65"/>
    <w:rsid w:val="775F37AE"/>
    <w:rsid w:val="77664B3C"/>
    <w:rsid w:val="77672662"/>
    <w:rsid w:val="776821F4"/>
    <w:rsid w:val="77685B26"/>
    <w:rsid w:val="776A4892"/>
    <w:rsid w:val="776C1A27"/>
    <w:rsid w:val="777031CF"/>
    <w:rsid w:val="7772528F"/>
    <w:rsid w:val="77741A44"/>
    <w:rsid w:val="77783630"/>
    <w:rsid w:val="777A05E8"/>
    <w:rsid w:val="777A77F5"/>
    <w:rsid w:val="777B605C"/>
    <w:rsid w:val="777E4859"/>
    <w:rsid w:val="777F2FEF"/>
    <w:rsid w:val="77813724"/>
    <w:rsid w:val="778154D2"/>
    <w:rsid w:val="77833378"/>
    <w:rsid w:val="7783749C"/>
    <w:rsid w:val="77846889"/>
    <w:rsid w:val="7785646B"/>
    <w:rsid w:val="77876861"/>
    <w:rsid w:val="778B75EC"/>
    <w:rsid w:val="778C0F36"/>
    <w:rsid w:val="77901BB9"/>
    <w:rsid w:val="77933457"/>
    <w:rsid w:val="779853B3"/>
    <w:rsid w:val="77985A45"/>
    <w:rsid w:val="779969FD"/>
    <w:rsid w:val="779A6594"/>
    <w:rsid w:val="779C5161"/>
    <w:rsid w:val="779D14EF"/>
    <w:rsid w:val="779F004E"/>
    <w:rsid w:val="779F3BAA"/>
    <w:rsid w:val="77A318EC"/>
    <w:rsid w:val="77A411C1"/>
    <w:rsid w:val="77AA2AC8"/>
    <w:rsid w:val="77AA48B7"/>
    <w:rsid w:val="77AA4DD8"/>
    <w:rsid w:val="77AB2922"/>
    <w:rsid w:val="77B05DB7"/>
    <w:rsid w:val="77B17ACF"/>
    <w:rsid w:val="77B238DE"/>
    <w:rsid w:val="77B26BC9"/>
    <w:rsid w:val="77B3280E"/>
    <w:rsid w:val="77B51620"/>
    <w:rsid w:val="77B533CE"/>
    <w:rsid w:val="77B86EDF"/>
    <w:rsid w:val="77B96808"/>
    <w:rsid w:val="77BA5DC7"/>
    <w:rsid w:val="77BE0D98"/>
    <w:rsid w:val="77BE282F"/>
    <w:rsid w:val="77BF5FFA"/>
    <w:rsid w:val="77C17FC5"/>
    <w:rsid w:val="77C61511"/>
    <w:rsid w:val="77C6382D"/>
    <w:rsid w:val="77C701C7"/>
    <w:rsid w:val="77C7119B"/>
    <w:rsid w:val="77C74EAF"/>
    <w:rsid w:val="77C81353"/>
    <w:rsid w:val="77CD0717"/>
    <w:rsid w:val="77D221D2"/>
    <w:rsid w:val="77D45F4A"/>
    <w:rsid w:val="77D476D4"/>
    <w:rsid w:val="77D47CF8"/>
    <w:rsid w:val="77D71596"/>
    <w:rsid w:val="77D97F2F"/>
    <w:rsid w:val="77DF4DEA"/>
    <w:rsid w:val="77DF669D"/>
    <w:rsid w:val="77E048EF"/>
    <w:rsid w:val="77E141C3"/>
    <w:rsid w:val="77E15873"/>
    <w:rsid w:val="77E15F71"/>
    <w:rsid w:val="77E65C7D"/>
    <w:rsid w:val="77E872FF"/>
    <w:rsid w:val="77E97401"/>
    <w:rsid w:val="77EA7C71"/>
    <w:rsid w:val="77EC27B2"/>
    <w:rsid w:val="77F11529"/>
    <w:rsid w:val="77F425A8"/>
    <w:rsid w:val="77F55EC0"/>
    <w:rsid w:val="77F71C38"/>
    <w:rsid w:val="77F75794"/>
    <w:rsid w:val="77FB07C5"/>
    <w:rsid w:val="77FE4D75"/>
    <w:rsid w:val="77FE6B23"/>
    <w:rsid w:val="77FF4227"/>
    <w:rsid w:val="78003630"/>
    <w:rsid w:val="78003B51"/>
    <w:rsid w:val="78006D3F"/>
    <w:rsid w:val="780126CE"/>
    <w:rsid w:val="780219DA"/>
    <w:rsid w:val="78045E4E"/>
    <w:rsid w:val="7805352D"/>
    <w:rsid w:val="78054355"/>
    <w:rsid w:val="780879A1"/>
    <w:rsid w:val="780B1240"/>
    <w:rsid w:val="780C5670"/>
    <w:rsid w:val="780D6D66"/>
    <w:rsid w:val="780E6178"/>
    <w:rsid w:val="780F0D30"/>
    <w:rsid w:val="78104AA8"/>
    <w:rsid w:val="78185A5C"/>
    <w:rsid w:val="78186DD1"/>
    <w:rsid w:val="7819395D"/>
    <w:rsid w:val="781A1483"/>
    <w:rsid w:val="781F15B9"/>
    <w:rsid w:val="781F426B"/>
    <w:rsid w:val="781F6205"/>
    <w:rsid w:val="78236589"/>
    <w:rsid w:val="78280044"/>
    <w:rsid w:val="78280A0D"/>
    <w:rsid w:val="78283352"/>
    <w:rsid w:val="782B378D"/>
    <w:rsid w:val="782B6988"/>
    <w:rsid w:val="782D126E"/>
    <w:rsid w:val="782E09E2"/>
    <w:rsid w:val="782F13D2"/>
    <w:rsid w:val="782F63ED"/>
    <w:rsid w:val="78322C70"/>
    <w:rsid w:val="78372663"/>
    <w:rsid w:val="783A1FE4"/>
    <w:rsid w:val="783C589D"/>
    <w:rsid w:val="783E1615"/>
    <w:rsid w:val="784014B3"/>
    <w:rsid w:val="78442EB8"/>
    <w:rsid w:val="78454752"/>
    <w:rsid w:val="78472124"/>
    <w:rsid w:val="78487BCC"/>
    <w:rsid w:val="784F5E63"/>
    <w:rsid w:val="784F737E"/>
    <w:rsid w:val="78515A11"/>
    <w:rsid w:val="78542BE7"/>
    <w:rsid w:val="78544995"/>
    <w:rsid w:val="785902C5"/>
    <w:rsid w:val="785B5D23"/>
    <w:rsid w:val="785D1DCC"/>
    <w:rsid w:val="78610198"/>
    <w:rsid w:val="786372CE"/>
    <w:rsid w:val="78646412"/>
    <w:rsid w:val="78654D55"/>
    <w:rsid w:val="78676109"/>
    <w:rsid w:val="786819F4"/>
    <w:rsid w:val="78681D5F"/>
    <w:rsid w:val="786A065C"/>
    <w:rsid w:val="786C7F30"/>
    <w:rsid w:val="786D3CA8"/>
    <w:rsid w:val="786D5A56"/>
    <w:rsid w:val="786F17CF"/>
    <w:rsid w:val="786F7A21"/>
    <w:rsid w:val="787119EB"/>
    <w:rsid w:val="7872162A"/>
    <w:rsid w:val="78782095"/>
    <w:rsid w:val="78782D79"/>
    <w:rsid w:val="787A3EE7"/>
    <w:rsid w:val="787D038F"/>
    <w:rsid w:val="788105AD"/>
    <w:rsid w:val="78810918"/>
    <w:rsid w:val="78830BDE"/>
    <w:rsid w:val="78840A36"/>
    <w:rsid w:val="78843F29"/>
    <w:rsid w:val="788472CD"/>
    <w:rsid w:val="78850C45"/>
    <w:rsid w:val="78857244"/>
    <w:rsid w:val="78866B18"/>
    <w:rsid w:val="789045CC"/>
    <w:rsid w:val="78915B36"/>
    <w:rsid w:val="78947741"/>
    <w:rsid w:val="78970D25"/>
    <w:rsid w:val="789B6166"/>
    <w:rsid w:val="789D1565"/>
    <w:rsid w:val="789E449D"/>
    <w:rsid w:val="78A0407E"/>
    <w:rsid w:val="78A32BF1"/>
    <w:rsid w:val="78A70F68"/>
    <w:rsid w:val="78A771BA"/>
    <w:rsid w:val="78A82F32"/>
    <w:rsid w:val="78AC52A2"/>
    <w:rsid w:val="78AD2B82"/>
    <w:rsid w:val="78AF42C1"/>
    <w:rsid w:val="78B13B95"/>
    <w:rsid w:val="78B158B9"/>
    <w:rsid w:val="78B2790D"/>
    <w:rsid w:val="78B638A1"/>
    <w:rsid w:val="78B6564F"/>
    <w:rsid w:val="78B76110"/>
    <w:rsid w:val="78B83176"/>
    <w:rsid w:val="78BF7473"/>
    <w:rsid w:val="78C20A4C"/>
    <w:rsid w:val="78C740DC"/>
    <w:rsid w:val="78CD4747"/>
    <w:rsid w:val="78CF4963"/>
    <w:rsid w:val="78D1009C"/>
    <w:rsid w:val="78D21D5D"/>
    <w:rsid w:val="78D43D28"/>
    <w:rsid w:val="78D67BCB"/>
    <w:rsid w:val="78D82580"/>
    <w:rsid w:val="78D83818"/>
    <w:rsid w:val="78D930EC"/>
    <w:rsid w:val="78DD2BDC"/>
    <w:rsid w:val="78DD498A"/>
    <w:rsid w:val="78DE6954"/>
    <w:rsid w:val="78E430A7"/>
    <w:rsid w:val="78E55F35"/>
    <w:rsid w:val="78E616C9"/>
    <w:rsid w:val="78E71CAD"/>
    <w:rsid w:val="78E73A5B"/>
    <w:rsid w:val="78EB6A81"/>
    <w:rsid w:val="78EB75F0"/>
    <w:rsid w:val="78EE303B"/>
    <w:rsid w:val="78EE6B97"/>
    <w:rsid w:val="78EF13EB"/>
    <w:rsid w:val="78F024C3"/>
    <w:rsid w:val="78F04E11"/>
    <w:rsid w:val="78F27566"/>
    <w:rsid w:val="78F41CD4"/>
    <w:rsid w:val="78F912C0"/>
    <w:rsid w:val="78F96C15"/>
    <w:rsid w:val="78FD3DB1"/>
    <w:rsid w:val="78FE2B52"/>
    <w:rsid w:val="79015500"/>
    <w:rsid w:val="79025B52"/>
    <w:rsid w:val="790638F7"/>
    <w:rsid w:val="79074632"/>
    <w:rsid w:val="790A7749"/>
    <w:rsid w:val="790B126C"/>
    <w:rsid w:val="790C526F"/>
    <w:rsid w:val="790E2F6B"/>
    <w:rsid w:val="790E548B"/>
    <w:rsid w:val="790E67E0"/>
    <w:rsid w:val="790F4D60"/>
    <w:rsid w:val="79102FB2"/>
    <w:rsid w:val="79122FC2"/>
    <w:rsid w:val="7915026D"/>
    <w:rsid w:val="791505C8"/>
    <w:rsid w:val="79170479"/>
    <w:rsid w:val="79175B42"/>
    <w:rsid w:val="79181E66"/>
    <w:rsid w:val="791A1C51"/>
    <w:rsid w:val="791A54EA"/>
    <w:rsid w:val="791D122B"/>
    <w:rsid w:val="79206F6D"/>
    <w:rsid w:val="79215F9C"/>
    <w:rsid w:val="79232704"/>
    <w:rsid w:val="792453C0"/>
    <w:rsid w:val="79294073"/>
    <w:rsid w:val="792952F5"/>
    <w:rsid w:val="79295E21"/>
    <w:rsid w:val="792D56A0"/>
    <w:rsid w:val="792E168A"/>
    <w:rsid w:val="792E51E6"/>
    <w:rsid w:val="79334EF2"/>
    <w:rsid w:val="79340265"/>
    <w:rsid w:val="79366790"/>
    <w:rsid w:val="79383607"/>
    <w:rsid w:val="793B3DA7"/>
    <w:rsid w:val="793C710C"/>
    <w:rsid w:val="7940316B"/>
    <w:rsid w:val="79424A4D"/>
    <w:rsid w:val="79425B49"/>
    <w:rsid w:val="7946222B"/>
    <w:rsid w:val="79497508"/>
    <w:rsid w:val="794A7131"/>
    <w:rsid w:val="794B223C"/>
    <w:rsid w:val="794D67DD"/>
    <w:rsid w:val="794E44A0"/>
    <w:rsid w:val="794F27B4"/>
    <w:rsid w:val="794F5AC6"/>
    <w:rsid w:val="795135CA"/>
    <w:rsid w:val="795310F0"/>
    <w:rsid w:val="79544BF7"/>
    <w:rsid w:val="79556C16"/>
    <w:rsid w:val="795804B5"/>
    <w:rsid w:val="795B1D53"/>
    <w:rsid w:val="795C2667"/>
    <w:rsid w:val="795C61F7"/>
    <w:rsid w:val="795D3040"/>
    <w:rsid w:val="795D5ACB"/>
    <w:rsid w:val="795E3046"/>
    <w:rsid w:val="79605415"/>
    <w:rsid w:val="79611281"/>
    <w:rsid w:val="796432FD"/>
    <w:rsid w:val="79646E59"/>
    <w:rsid w:val="79647A53"/>
    <w:rsid w:val="79674B9C"/>
    <w:rsid w:val="796C0DB6"/>
    <w:rsid w:val="796E7CD8"/>
    <w:rsid w:val="797572B9"/>
    <w:rsid w:val="79786DA9"/>
    <w:rsid w:val="797C1D3C"/>
    <w:rsid w:val="797C23F5"/>
    <w:rsid w:val="797C680C"/>
    <w:rsid w:val="79856DD0"/>
    <w:rsid w:val="79872B48"/>
    <w:rsid w:val="79891BE0"/>
    <w:rsid w:val="79892D64"/>
    <w:rsid w:val="798B088A"/>
    <w:rsid w:val="798B2638"/>
    <w:rsid w:val="798B6ADC"/>
    <w:rsid w:val="798B6F10"/>
    <w:rsid w:val="798D4602"/>
    <w:rsid w:val="798D63C9"/>
    <w:rsid w:val="79910EBB"/>
    <w:rsid w:val="79932434"/>
    <w:rsid w:val="79932A97"/>
    <w:rsid w:val="79982F8C"/>
    <w:rsid w:val="79982FA7"/>
    <w:rsid w:val="7999473D"/>
    <w:rsid w:val="799A0ACD"/>
    <w:rsid w:val="799B3E33"/>
    <w:rsid w:val="799B65F3"/>
    <w:rsid w:val="799D05BD"/>
    <w:rsid w:val="79A11E5C"/>
    <w:rsid w:val="79A15169"/>
    <w:rsid w:val="79A454A8"/>
    <w:rsid w:val="79A5003A"/>
    <w:rsid w:val="79A85D75"/>
    <w:rsid w:val="79A92AE0"/>
    <w:rsid w:val="79A978C7"/>
    <w:rsid w:val="79AE4579"/>
    <w:rsid w:val="79B17BC5"/>
    <w:rsid w:val="79B24069"/>
    <w:rsid w:val="79B53B29"/>
    <w:rsid w:val="79B6667A"/>
    <w:rsid w:val="79B67D3E"/>
    <w:rsid w:val="79B7167F"/>
    <w:rsid w:val="79B839A0"/>
    <w:rsid w:val="79B853F7"/>
    <w:rsid w:val="79BB10AC"/>
    <w:rsid w:val="79BC0A44"/>
    <w:rsid w:val="79BC4EE7"/>
    <w:rsid w:val="79BD209E"/>
    <w:rsid w:val="79BD656A"/>
    <w:rsid w:val="79C33EBF"/>
    <w:rsid w:val="79C43D9C"/>
    <w:rsid w:val="79C63670"/>
    <w:rsid w:val="79C8388C"/>
    <w:rsid w:val="79CA276B"/>
    <w:rsid w:val="79CB0C87"/>
    <w:rsid w:val="79CE22A2"/>
    <w:rsid w:val="79CE69F2"/>
    <w:rsid w:val="79D272AC"/>
    <w:rsid w:val="79D333D9"/>
    <w:rsid w:val="79D437A7"/>
    <w:rsid w:val="79D43F4C"/>
    <w:rsid w:val="79D55FA9"/>
    <w:rsid w:val="79D57D57"/>
    <w:rsid w:val="79D66391"/>
    <w:rsid w:val="79D7762B"/>
    <w:rsid w:val="79D77D74"/>
    <w:rsid w:val="79D815F5"/>
    <w:rsid w:val="79D833A4"/>
    <w:rsid w:val="79DD09BA"/>
    <w:rsid w:val="79DD6C0C"/>
    <w:rsid w:val="79E00959"/>
    <w:rsid w:val="79E07D62"/>
    <w:rsid w:val="79E26208"/>
    <w:rsid w:val="79E60136"/>
    <w:rsid w:val="79E61F64"/>
    <w:rsid w:val="79E7243A"/>
    <w:rsid w:val="79E815D9"/>
    <w:rsid w:val="79E93803"/>
    <w:rsid w:val="79E9735F"/>
    <w:rsid w:val="79EA578D"/>
    <w:rsid w:val="79EC7D2F"/>
    <w:rsid w:val="79ED32F3"/>
    <w:rsid w:val="79EF26F4"/>
    <w:rsid w:val="79F226B7"/>
    <w:rsid w:val="79F54A66"/>
    <w:rsid w:val="79F71A7C"/>
    <w:rsid w:val="79FA24E2"/>
    <w:rsid w:val="79FC074B"/>
    <w:rsid w:val="79FC52E4"/>
    <w:rsid w:val="79FC7092"/>
    <w:rsid w:val="79FD2E0A"/>
    <w:rsid w:val="79FE72AE"/>
    <w:rsid w:val="79FF352D"/>
    <w:rsid w:val="79FF4DD4"/>
    <w:rsid w:val="7A010B4C"/>
    <w:rsid w:val="7A027042"/>
    <w:rsid w:val="7A0320AC"/>
    <w:rsid w:val="7A050697"/>
    <w:rsid w:val="7A060515"/>
    <w:rsid w:val="7A067F11"/>
    <w:rsid w:val="7A08012D"/>
    <w:rsid w:val="7A0917AF"/>
    <w:rsid w:val="7A097A01"/>
    <w:rsid w:val="7A0B19CB"/>
    <w:rsid w:val="7A0E5017"/>
    <w:rsid w:val="7A102B3D"/>
    <w:rsid w:val="7A124B07"/>
    <w:rsid w:val="7A140303"/>
    <w:rsid w:val="7A146A54"/>
    <w:rsid w:val="7A156705"/>
    <w:rsid w:val="7A163A0F"/>
    <w:rsid w:val="7A1A02F9"/>
    <w:rsid w:val="7A1B7E60"/>
    <w:rsid w:val="7A1C11EA"/>
    <w:rsid w:val="7A1C56C1"/>
    <w:rsid w:val="7A1C7734"/>
    <w:rsid w:val="7A1F2D8B"/>
    <w:rsid w:val="7A212F9C"/>
    <w:rsid w:val="7A26253D"/>
    <w:rsid w:val="7A266805"/>
    <w:rsid w:val="7A275271"/>
    <w:rsid w:val="7A28257D"/>
    <w:rsid w:val="7A2C27BE"/>
    <w:rsid w:val="7A2D1941"/>
    <w:rsid w:val="7A2D7B93"/>
    <w:rsid w:val="7A3320D0"/>
    <w:rsid w:val="7A3525A4"/>
    <w:rsid w:val="7A3746A1"/>
    <w:rsid w:val="7A392094"/>
    <w:rsid w:val="7A396538"/>
    <w:rsid w:val="7A3A401F"/>
    <w:rsid w:val="7A3B3819"/>
    <w:rsid w:val="7A3D174F"/>
    <w:rsid w:val="7A401675"/>
    <w:rsid w:val="7A4153ED"/>
    <w:rsid w:val="7A432807"/>
    <w:rsid w:val="7A463EDC"/>
    <w:rsid w:val="7A48677B"/>
    <w:rsid w:val="7A486B67"/>
    <w:rsid w:val="7A4A42A1"/>
    <w:rsid w:val="7A4B40A2"/>
    <w:rsid w:val="7A4D5B40"/>
    <w:rsid w:val="7A4E1809"/>
    <w:rsid w:val="7A505630"/>
    <w:rsid w:val="7A5213A8"/>
    <w:rsid w:val="7A53120C"/>
    <w:rsid w:val="7A540C7C"/>
    <w:rsid w:val="7A541A6F"/>
    <w:rsid w:val="7A543372"/>
    <w:rsid w:val="7A60672F"/>
    <w:rsid w:val="7A607228"/>
    <w:rsid w:val="7A63567B"/>
    <w:rsid w:val="7A643E8C"/>
    <w:rsid w:val="7A652E89"/>
    <w:rsid w:val="7A654347"/>
    <w:rsid w:val="7A665F33"/>
    <w:rsid w:val="7A6C06BC"/>
    <w:rsid w:val="7A70182E"/>
    <w:rsid w:val="7A750139"/>
    <w:rsid w:val="7A7670B3"/>
    <w:rsid w:val="7A77357E"/>
    <w:rsid w:val="7A792DD8"/>
    <w:rsid w:val="7A7A445B"/>
    <w:rsid w:val="7A7C4677"/>
    <w:rsid w:val="7A80087B"/>
    <w:rsid w:val="7A801B3B"/>
    <w:rsid w:val="7A805F15"/>
    <w:rsid w:val="7A80658D"/>
    <w:rsid w:val="7A811C8D"/>
    <w:rsid w:val="7A817676"/>
    <w:rsid w:val="7A833499"/>
    <w:rsid w:val="7A84010E"/>
    <w:rsid w:val="7A884DCA"/>
    <w:rsid w:val="7A8D418E"/>
    <w:rsid w:val="7A8F43AA"/>
    <w:rsid w:val="7A8F6158"/>
    <w:rsid w:val="7A8F6C11"/>
    <w:rsid w:val="7A903C7E"/>
    <w:rsid w:val="7A910122"/>
    <w:rsid w:val="7A923E9A"/>
    <w:rsid w:val="7A925C48"/>
    <w:rsid w:val="7A9E5FB6"/>
    <w:rsid w:val="7A9E639B"/>
    <w:rsid w:val="7AA00365"/>
    <w:rsid w:val="7AA17934"/>
    <w:rsid w:val="7AA31C03"/>
    <w:rsid w:val="7AA5321C"/>
    <w:rsid w:val="7AA53BCD"/>
    <w:rsid w:val="7AA5597C"/>
    <w:rsid w:val="7AA64A51"/>
    <w:rsid w:val="7AA65250"/>
    <w:rsid w:val="7AAA4D40"/>
    <w:rsid w:val="7AAE6C50"/>
    <w:rsid w:val="7AAF05D2"/>
    <w:rsid w:val="7AB14320"/>
    <w:rsid w:val="7AB30796"/>
    <w:rsid w:val="7AB67B89"/>
    <w:rsid w:val="7ABA5A98"/>
    <w:rsid w:val="7ABB519F"/>
    <w:rsid w:val="7ABB587D"/>
    <w:rsid w:val="7ABC1778"/>
    <w:rsid w:val="7ABC1CA3"/>
    <w:rsid w:val="7ABC7375"/>
    <w:rsid w:val="7ABD2CC5"/>
    <w:rsid w:val="7ABF4168"/>
    <w:rsid w:val="7AC322A6"/>
    <w:rsid w:val="7AC53928"/>
    <w:rsid w:val="7AC97A72"/>
    <w:rsid w:val="7ACD7751"/>
    <w:rsid w:val="7ACF7DBE"/>
    <w:rsid w:val="7AD1070A"/>
    <w:rsid w:val="7AD24297"/>
    <w:rsid w:val="7AD251AF"/>
    <w:rsid w:val="7AD67CFC"/>
    <w:rsid w:val="7AD91071"/>
    <w:rsid w:val="7ADE49EA"/>
    <w:rsid w:val="7AE40FE7"/>
    <w:rsid w:val="7AE77D42"/>
    <w:rsid w:val="7AE8630E"/>
    <w:rsid w:val="7AE87255"/>
    <w:rsid w:val="7AEC00ED"/>
    <w:rsid w:val="7AEC35AA"/>
    <w:rsid w:val="7AEC5358"/>
    <w:rsid w:val="7AEE6C54"/>
    <w:rsid w:val="7AEF309B"/>
    <w:rsid w:val="7AEF4E49"/>
    <w:rsid w:val="7AF64429"/>
    <w:rsid w:val="7AFB559C"/>
    <w:rsid w:val="7AFD1314"/>
    <w:rsid w:val="7AFE32DE"/>
    <w:rsid w:val="7B015903"/>
    <w:rsid w:val="7B041608"/>
    <w:rsid w:val="7B046B46"/>
    <w:rsid w:val="7B047FA7"/>
    <w:rsid w:val="7B0501C8"/>
    <w:rsid w:val="7B0B7105"/>
    <w:rsid w:val="7B0D0EC4"/>
    <w:rsid w:val="7B0D6B53"/>
    <w:rsid w:val="7B116B6D"/>
    <w:rsid w:val="7B167964"/>
    <w:rsid w:val="7B187EFC"/>
    <w:rsid w:val="7B1A1609"/>
    <w:rsid w:val="7B1D19B6"/>
    <w:rsid w:val="7B1D5512"/>
    <w:rsid w:val="7B1F572E"/>
    <w:rsid w:val="7B200118"/>
    <w:rsid w:val="7B2014A6"/>
    <w:rsid w:val="7B203504"/>
    <w:rsid w:val="7B220D7A"/>
    <w:rsid w:val="7B22521E"/>
    <w:rsid w:val="7B2269FB"/>
    <w:rsid w:val="7B234AF2"/>
    <w:rsid w:val="7B2368A0"/>
    <w:rsid w:val="7B25086A"/>
    <w:rsid w:val="7B256ABC"/>
    <w:rsid w:val="7B267740"/>
    <w:rsid w:val="7B2A5EAC"/>
    <w:rsid w:val="7B2B073C"/>
    <w:rsid w:val="7B2C22A3"/>
    <w:rsid w:val="7B2F16E9"/>
    <w:rsid w:val="7B2F4F94"/>
    <w:rsid w:val="7B310FBD"/>
    <w:rsid w:val="7B315461"/>
    <w:rsid w:val="7B315B6D"/>
    <w:rsid w:val="7B354F51"/>
    <w:rsid w:val="7B3559DB"/>
    <w:rsid w:val="7B3867F0"/>
    <w:rsid w:val="7B3A4316"/>
    <w:rsid w:val="7B3D3E06"/>
    <w:rsid w:val="7B424F78"/>
    <w:rsid w:val="7B440C45"/>
    <w:rsid w:val="7B454A69"/>
    <w:rsid w:val="7B476FEF"/>
    <w:rsid w:val="7B4D0916"/>
    <w:rsid w:val="7B4E6013"/>
    <w:rsid w:val="7B503B39"/>
    <w:rsid w:val="7B526355"/>
    <w:rsid w:val="7B553884"/>
    <w:rsid w:val="7B57638E"/>
    <w:rsid w:val="7B5B2589"/>
    <w:rsid w:val="7B5C32A8"/>
    <w:rsid w:val="7B5C44D9"/>
    <w:rsid w:val="7B5F3D7C"/>
    <w:rsid w:val="7B61697D"/>
    <w:rsid w:val="7B687429"/>
    <w:rsid w:val="7B690757"/>
    <w:rsid w:val="7B6929A4"/>
    <w:rsid w:val="7B693891"/>
    <w:rsid w:val="7B6A2721"/>
    <w:rsid w:val="7B737828"/>
    <w:rsid w:val="7B75029D"/>
    <w:rsid w:val="7B7517F2"/>
    <w:rsid w:val="7B752E6E"/>
    <w:rsid w:val="7B762809"/>
    <w:rsid w:val="7B784E3E"/>
    <w:rsid w:val="7B7F4658"/>
    <w:rsid w:val="7B821819"/>
    <w:rsid w:val="7B890DF9"/>
    <w:rsid w:val="7B89388B"/>
    <w:rsid w:val="7B897BA3"/>
    <w:rsid w:val="7B8A691F"/>
    <w:rsid w:val="7B8B4B71"/>
    <w:rsid w:val="7B8C6EE9"/>
    <w:rsid w:val="7B8D7AD7"/>
    <w:rsid w:val="7B9377E9"/>
    <w:rsid w:val="7B945701"/>
    <w:rsid w:val="7B945FC9"/>
    <w:rsid w:val="7B95779E"/>
    <w:rsid w:val="7B963EE1"/>
    <w:rsid w:val="7B98728E"/>
    <w:rsid w:val="7B9C6D7F"/>
    <w:rsid w:val="7B9E3DFA"/>
    <w:rsid w:val="7B9F686F"/>
    <w:rsid w:val="7BA07F4A"/>
    <w:rsid w:val="7BA11262"/>
    <w:rsid w:val="7BA479E1"/>
    <w:rsid w:val="7BA67BFD"/>
    <w:rsid w:val="7BAD3DAE"/>
    <w:rsid w:val="7BAE0860"/>
    <w:rsid w:val="7BB10350"/>
    <w:rsid w:val="7BB21B01"/>
    <w:rsid w:val="7BB221D7"/>
    <w:rsid w:val="7BB3231A"/>
    <w:rsid w:val="7BB66BC0"/>
    <w:rsid w:val="7BB87930"/>
    <w:rsid w:val="7BB963E9"/>
    <w:rsid w:val="7BBB11D1"/>
    <w:rsid w:val="7BBD6CF5"/>
    <w:rsid w:val="7BC073CC"/>
    <w:rsid w:val="7BC136E6"/>
    <w:rsid w:val="7BC15F35"/>
    <w:rsid w:val="7BC231C6"/>
    <w:rsid w:val="7BC77B74"/>
    <w:rsid w:val="7BC82AD2"/>
    <w:rsid w:val="7BC9569A"/>
    <w:rsid w:val="7BC9713C"/>
    <w:rsid w:val="7BC97448"/>
    <w:rsid w:val="7BC97C07"/>
    <w:rsid w:val="7BCD6162"/>
    <w:rsid w:val="7BCE2CB0"/>
    <w:rsid w:val="7BCF6905"/>
    <w:rsid w:val="7BCF78A0"/>
    <w:rsid w:val="7BD01989"/>
    <w:rsid w:val="7BD06A28"/>
    <w:rsid w:val="7BD73093"/>
    <w:rsid w:val="7BD755D3"/>
    <w:rsid w:val="7BD76009"/>
    <w:rsid w:val="7BD80AB6"/>
    <w:rsid w:val="7BDC361F"/>
    <w:rsid w:val="7BDC53CD"/>
    <w:rsid w:val="7BDC7EDC"/>
    <w:rsid w:val="7BDF73BB"/>
    <w:rsid w:val="7BE15E8E"/>
    <w:rsid w:val="7BE75B20"/>
    <w:rsid w:val="7BEB42B4"/>
    <w:rsid w:val="7BEC7AF9"/>
    <w:rsid w:val="7BF00E78"/>
    <w:rsid w:val="7BF3790A"/>
    <w:rsid w:val="7BF4181D"/>
    <w:rsid w:val="7BFB302C"/>
    <w:rsid w:val="7BFD122E"/>
    <w:rsid w:val="7BFE17E7"/>
    <w:rsid w:val="7BFF10BB"/>
    <w:rsid w:val="7C003181"/>
    <w:rsid w:val="7C02295A"/>
    <w:rsid w:val="7C0437A7"/>
    <w:rsid w:val="7C044924"/>
    <w:rsid w:val="7C0466D2"/>
    <w:rsid w:val="7C064FD8"/>
    <w:rsid w:val="7C0866BC"/>
    <w:rsid w:val="7C0A73F6"/>
    <w:rsid w:val="7C0D37D8"/>
    <w:rsid w:val="7C102BDF"/>
    <w:rsid w:val="7C1032C9"/>
    <w:rsid w:val="7C122B9D"/>
    <w:rsid w:val="7C130F60"/>
    <w:rsid w:val="7C135965"/>
    <w:rsid w:val="7C184FB7"/>
    <w:rsid w:val="7C1A4147"/>
    <w:rsid w:val="7C1C2F96"/>
    <w:rsid w:val="7C1C3A1B"/>
    <w:rsid w:val="7C1F175E"/>
    <w:rsid w:val="7C1F350C"/>
    <w:rsid w:val="7C1F46EF"/>
    <w:rsid w:val="7C1F761D"/>
    <w:rsid w:val="7C2074F7"/>
    <w:rsid w:val="7C211032"/>
    <w:rsid w:val="7C217284"/>
    <w:rsid w:val="7C23124E"/>
    <w:rsid w:val="7C237223"/>
    <w:rsid w:val="7C262AEC"/>
    <w:rsid w:val="7C26489A"/>
    <w:rsid w:val="7C29438A"/>
    <w:rsid w:val="7C2955FD"/>
    <w:rsid w:val="7C2D3E7B"/>
    <w:rsid w:val="7C2D7237"/>
    <w:rsid w:val="7C2E2D54"/>
    <w:rsid w:val="7C324FED"/>
    <w:rsid w:val="7C34793A"/>
    <w:rsid w:val="7C350F81"/>
    <w:rsid w:val="7C366A82"/>
    <w:rsid w:val="7C372603"/>
    <w:rsid w:val="7C38637B"/>
    <w:rsid w:val="7C3915A8"/>
    <w:rsid w:val="7C392087"/>
    <w:rsid w:val="7C395F8A"/>
    <w:rsid w:val="7C3A0345"/>
    <w:rsid w:val="7C3A20F4"/>
    <w:rsid w:val="7C3A66AB"/>
    <w:rsid w:val="7C3B5358"/>
    <w:rsid w:val="7C3F595C"/>
    <w:rsid w:val="7C42096C"/>
    <w:rsid w:val="7C444D20"/>
    <w:rsid w:val="7C464F3C"/>
    <w:rsid w:val="7C484810"/>
    <w:rsid w:val="7C49795C"/>
    <w:rsid w:val="7C4D776D"/>
    <w:rsid w:val="7C4F1227"/>
    <w:rsid w:val="7C5036C5"/>
    <w:rsid w:val="7C507E19"/>
    <w:rsid w:val="7C52568F"/>
    <w:rsid w:val="7C541407"/>
    <w:rsid w:val="7C5533D1"/>
    <w:rsid w:val="7C5717FC"/>
    <w:rsid w:val="7C573B71"/>
    <w:rsid w:val="7C5A75EB"/>
    <w:rsid w:val="7C5F732D"/>
    <w:rsid w:val="7C605FFE"/>
    <w:rsid w:val="7C6158D2"/>
    <w:rsid w:val="7C6252CD"/>
    <w:rsid w:val="7C647170"/>
    <w:rsid w:val="7C662EE9"/>
    <w:rsid w:val="7C681548"/>
    <w:rsid w:val="7C684EB3"/>
    <w:rsid w:val="7C691DE9"/>
    <w:rsid w:val="7C6D24C9"/>
    <w:rsid w:val="7C6E4C43"/>
    <w:rsid w:val="7C7056D8"/>
    <w:rsid w:val="7C705B15"/>
    <w:rsid w:val="7C7074C9"/>
    <w:rsid w:val="7C72188D"/>
    <w:rsid w:val="7C736B18"/>
    <w:rsid w:val="7C743857"/>
    <w:rsid w:val="7C75137E"/>
    <w:rsid w:val="7C773348"/>
    <w:rsid w:val="7C7A6994"/>
    <w:rsid w:val="7C7B1236"/>
    <w:rsid w:val="7C7B135B"/>
    <w:rsid w:val="7C7C44BA"/>
    <w:rsid w:val="7C7D18F7"/>
    <w:rsid w:val="7C7E23E8"/>
    <w:rsid w:val="7C7E6484"/>
    <w:rsid w:val="7C820075"/>
    <w:rsid w:val="7C82440A"/>
    <w:rsid w:val="7C831CEC"/>
    <w:rsid w:val="7C835849"/>
    <w:rsid w:val="7C855A65"/>
    <w:rsid w:val="7C877261"/>
    <w:rsid w:val="7C8B1F44"/>
    <w:rsid w:val="7C8D3BF7"/>
    <w:rsid w:val="7C8D4919"/>
    <w:rsid w:val="7C921F30"/>
    <w:rsid w:val="7C944613"/>
    <w:rsid w:val="7C95766D"/>
    <w:rsid w:val="7C966E67"/>
    <w:rsid w:val="7C9771BA"/>
    <w:rsid w:val="7C9B5288"/>
    <w:rsid w:val="7C9B6740"/>
    <w:rsid w:val="7C9C2DAE"/>
    <w:rsid w:val="7C9C658A"/>
    <w:rsid w:val="7CA11C5F"/>
    <w:rsid w:val="7CA33AD1"/>
    <w:rsid w:val="7CA3413D"/>
    <w:rsid w:val="7CA53A11"/>
    <w:rsid w:val="7CA71080"/>
    <w:rsid w:val="7CA77B0E"/>
    <w:rsid w:val="7CA852AF"/>
    <w:rsid w:val="7CA97C72"/>
    <w:rsid w:val="7CAA0691"/>
    <w:rsid w:val="7CAA54CB"/>
    <w:rsid w:val="7CAB0325"/>
    <w:rsid w:val="7CAB2FF1"/>
    <w:rsid w:val="7CAD0B17"/>
    <w:rsid w:val="7CB535DF"/>
    <w:rsid w:val="7CB974BC"/>
    <w:rsid w:val="7CBB3234"/>
    <w:rsid w:val="7CC02AF5"/>
    <w:rsid w:val="7CC172DB"/>
    <w:rsid w:val="7CC32839"/>
    <w:rsid w:val="7CC52D4F"/>
    <w:rsid w:val="7CC80C45"/>
    <w:rsid w:val="7CC84DBF"/>
    <w:rsid w:val="7CC876FF"/>
    <w:rsid w:val="7CCA16C9"/>
    <w:rsid w:val="7CCB0061"/>
    <w:rsid w:val="7CCC14D9"/>
    <w:rsid w:val="7CCF4F32"/>
    <w:rsid w:val="7CD12A58"/>
    <w:rsid w:val="7CD15462"/>
    <w:rsid w:val="7CD17D61"/>
    <w:rsid w:val="7CD2057E"/>
    <w:rsid w:val="7CD267D0"/>
    <w:rsid w:val="7CD50349"/>
    <w:rsid w:val="7CD50824"/>
    <w:rsid w:val="7CD9190C"/>
    <w:rsid w:val="7CDA0AC4"/>
    <w:rsid w:val="7CDB3F68"/>
    <w:rsid w:val="7CE0679E"/>
    <w:rsid w:val="7CE315D5"/>
    <w:rsid w:val="7CE3278B"/>
    <w:rsid w:val="7CE47B98"/>
    <w:rsid w:val="7CE50341"/>
    <w:rsid w:val="7CE54755"/>
    <w:rsid w:val="7CE60F2F"/>
    <w:rsid w:val="7CED360A"/>
    <w:rsid w:val="7CEF7382"/>
    <w:rsid w:val="7CF05FEE"/>
    <w:rsid w:val="7CF07389"/>
    <w:rsid w:val="7CF130FA"/>
    <w:rsid w:val="7CF203AC"/>
    <w:rsid w:val="7CF46746"/>
    <w:rsid w:val="7CF6084C"/>
    <w:rsid w:val="7CF77FE5"/>
    <w:rsid w:val="7CFD79B8"/>
    <w:rsid w:val="7D003066"/>
    <w:rsid w:val="7D012C11"/>
    <w:rsid w:val="7D02613C"/>
    <w:rsid w:val="7D0270B5"/>
    <w:rsid w:val="7D032E2D"/>
    <w:rsid w:val="7D04126C"/>
    <w:rsid w:val="7D050953"/>
    <w:rsid w:val="7D060228"/>
    <w:rsid w:val="7D07647A"/>
    <w:rsid w:val="7D0A41BC"/>
    <w:rsid w:val="7D0A7D18"/>
    <w:rsid w:val="7D0C3A90"/>
    <w:rsid w:val="7D0F17D2"/>
    <w:rsid w:val="7D0F1D9C"/>
    <w:rsid w:val="7D1152DB"/>
    <w:rsid w:val="7D142945"/>
    <w:rsid w:val="7D162EEF"/>
    <w:rsid w:val="7D184638"/>
    <w:rsid w:val="7D1B0177"/>
    <w:rsid w:val="7D1B6DE2"/>
    <w:rsid w:val="7D1C059F"/>
    <w:rsid w:val="7D1D48E5"/>
    <w:rsid w:val="7D1E420E"/>
    <w:rsid w:val="7D23702C"/>
    <w:rsid w:val="7D2428A3"/>
    <w:rsid w:val="7D243D8A"/>
    <w:rsid w:val="7D24527D"/>
    <w:rsid w:val="7D261C56"/>
    <w:rsid w:val="7D272678"/>
    <w:rsid w:val="7D292894"/>
    <w:rsid w:val="7D2A2168"/>
    <w:rsid w:val="7D2C4132"/>
    <w:rsid w:val="7D2D58D3"/>
    <w:rsid w:val="7D2F3C22"/>
    <w:rsid w:val="7D3038A0"/>
    <w:rsid w:val="7D33726F"/>
    <w:rsid w:val="7D376798"/>
    <w:rsid w:val="7D380D29"/>
    <w:rsid w:val="7D3923AB"/>
    <w:rsid w:val="7D3B2F9B"/>
    <w:rsid w:val="7D3C46D8"/>
    <w:rsid w:val="7D3D1E9B"/>
    <w:rsid w:val="7D3E250F"/>
    <w:rsid w:val="7D3E3E65"/>
    <w:rsid w:val="7D3E470B"/>
    <w:rsid w:val="7D3E6309"/>
    <w:rsid w:val="7D40198C"/>
    <w:rsid w:val="7D44147C"/>
    <w:rsid w:val="7D453A82"/>
    <w:rsid w:val="7D471493"/>
    <w:rsid w:val="7D491E50"/>
    <w:rsid w:val="7D4A41F7"/>
    <w:rsid w:val="7D4C0330"/>
    <w:rsid w:val="7D4D1E94"/>
    <w:rsid w:val="7D4E157B"/>
    <w:rsid w:val="7D4E211F"/>
    <w:rsid w:val="7D502AF4"/>
    <w:rsid w:val="7D515947"/>
    <w:rsid w:val="7D5316BF"/>
    <w:rsid w:val="7D534BB0"/>
    <w:rsid w:val="7D5616FD"/>
    <w:rsid w:val="7D573783"/>
    <w:rsid w:val="7D5D078F"/>
    <w:rsid w:val="7D603DDC"/>
    <w:rsid w:val="7D6438CC"/>
    <w:rsid w:val="7D660653"/>
    <w:rsid w:val="7D6A2CD5"/>
    <w:rsid w:val="7D6C538E"/>
    <w:rsid w:val="7D6E6A74"/>
    <w:rsid w:val="7D725243"/>
    <w:rsid w:val="7D741635"/>
    <w:rsid w:val="7D7D04EA"/>
    <w:rsid w:val="7D817891"/>
    <w:rsid w:val="7D853842"/>
    <w:rsid w:val="7D8555F0"/>
    <w:rsid w:val="7D894AA5"/>
    <w:rsid w:val="7D895AAD"/>
    <w:rsid w:val="7D8A0E59"/>
    <w:rsid w:val="7D8A2C07"/>
    <w:rsid w:val="7D935485"/>
    <w:rsid w:val="7D935B5C"/>
    <w:rsid w:val="7D951CD7"/>
    <w:rsid w:val="7D957F29"/>
    <w:rsid w:val="7D98349C"/>
    <w:rsid w:val="7D9B4E14"/>
    <w:rsid w:val="7D9C02B8"/>
    <w:rsid w:val="7DA0067C"/>
    <w:rsid w:val="7DA10F30"/>
    <w:rsid w:val="7DA12F58"/>
    <w:rsid w:val="7DA16152"/>
    <w:rsid w:val="7DA41F1A"/>
    <w:rsid w:val="7DA50647"/>
    <w:rsid w:val="7DA55C93"/>
    <w:rsid w:val="7DAB14FB"/>
    <w:rsid w:val="7DB06B11"/>
    <w:rsid w:val="7DB11D69"/>
    <w:rsid w:val="7DB12C98"/>
    <w:rsid w:val="7DB368C8"/>
    <w:rsid w:val="7DB45822"/>
    <w:rsid w:val="7DB77377"/>
    <w:rsid w:val="7DB87774"/>
    <w:rsid w:val="7DBA5383"/>
    <w:rsid w:val="7DBC3A6F"/>
    <w:rsid w:val="7DC26844"/>
    <w:rsid w:val="7DC40EE8"/>
    <w:rsid w:val="7DC4436B"/>
    <w:rsid w:val="7DC45624"/>
    <w:rsid w:val="7DC46119"/>
    <w:rsid w:val="7DC97BD3"/>
    <w:rsid w:val="7DCC321F"/>
    <w:rsid w:val="7DCD6ED9"/>
    <w:rsid w:val="7DCF02AA"/>
    <w:rsid w:val="7DCF46FA"/>
    <w:rsid w:val="7DD02D0F"/>
    <w:rsid w:val="7DD16A88"/>
    <w:rsid w:val="7DD30A52"/>
    <w:rsid w:val="7DD32800"/>
    <w:rsid w:val="7DD81BC4"/>
    <w:rsid w:val="7DD87E16"/>
    <w:rsid w:val="7DD97A56"/>
    <w:rsid w:val="7DDA2B39"/>
    <w:rsid w:val="7DDB20F8"/>
    <w:rsid w:val="7DDD0DF8"/>
    <w:rsid w:val="7DDD542C"/>
    <w:rsid w:val="7DDE27E8"/>
    <w:rsid w:val="7DDF6B7D"/>
    <w:rsid w:val="7DE07FB2"/>
    <w:rsid w:val="7DE35179"/>
    <w:rsid w:val="7DE60785"/>
    <w:rsid w:val="7DE642E1"/>
    <w:rsid w:val="7DE72A72"/>
    <w:rsid w:val="7DE82DDE"/>
    <w:rsid w:val="7DE82EA7"/>
    <w:rsid w:val="7DEA7A23"/>
    <w:rsid w:val="7DEB18F7"/>
    <w:rsid w:val="7DEE4F51"/>
    <w:rsid w:val="7DEF2DB9"/>
    <w:rsid w:val="7DF12C86"/>
    <w:rsid w:val="7DF24F98"/>
    <w:rsid w:val="7DF329A7"/>
    <w:rsid w:val="7DF32EA2"/>
    <w:rsid w:val="7DF74740"/>
    <w:rsid w:val="7DF87D6E"/>
    <w:rsid w:val="7DF96F7F"/>
    <w:rsid w:val="7DFA4230"/>
    <w:rsid w:val="7DFD787D"/>
    <w:rsid w:val="7DFF53A3"/>
    <w:rsid w:val="7E011EBB"/>
    <w:rsid w:val="7E0155BF"/>
    <w:rsid w:val="7E0354DB"/>
    <w:rsid w:val="7E0615C8"/>
    <w:rsid w:val="7E0724A9"/>
    <w:rsid w:val="7E074257"/>
    <w:rsid w:val="7E095DF9"/>
    <w:rsid w:val="7E097FCF"/>
    <w:rsid w:val="7E0B1F99"/>
    <w:rsid w:val="7E0B275C"/>
    <w:rsid w:val="7E0C7AC0"/>
    <w:rsid w:val="7E0E3838"/>
    <w:rsid w:val="7E117D72"/>
    <w:rsid w:val="7E12157A"/>
    <w:rsid w:val="7E153FFB"/>
    <w:rsid w:val="7E19327F"/>
    <w:rsid w:val="7E1A3F8B"/>
    <w:rsid w:val="7E1B20D9"/>
    <w:rsid w:val="7E1B5949"/>
    <w:rsid w:val="7E1C7D03"/>
    <w:rsid w:val="7E1E37A6"/>
    <w:rsid w:val="7E1E3EB9"/>
    <w:rsid w:val="7E235C52"/>
    <w:rsid w:val="7E281378"/>
    <w:rsid w:val="7E2917E3"/>
    <w:rsid w:val="7E292420"/>
    <w:rsid w:val="7E2A10C7"/>
    <w:rsid w:val="7E2A33C1"/>
    <w:rsid w:val="7E2B263C"/>
    <w:rsid w:val="7E2F515C"/>
    <w:rsid w:val="7E2F73AC"/>
    <w:rsid w:val="7E301A00"/>
    <w:rsid w:val="7E3055E9"/>
    <w:rsid w:val="7E310B05"/>
    <w:rsid w:val="7E325589"/>
    <w:rsid w:val="7E331708"/>
    <w:rsid w:val="7E33504C"/>
    <w:rsid w:val="7E374E0C"/>
    <w:rsid w:val="7E385937"/>
    <w:rsid w:val="7E394D59"/>
    <w:rsid w:val="7E3C65F7"/>
    <w:rsid w:val="7E3E236F"/>
    <w:rsid w:val="7E3F7E95"/>
    <w:rsid w:val="7E40297E"/>
    <w:rsid w:val="7E431733"/>
    <w:rsid w:val="7E45730E"/>
    <w:rsid w:val="7E470AF8"/>
    <w:rsid w:val="7E484108"/>
    <w:rsid w:val="7E484302"/>
    <w:rsid w:val="7E491FC4"/>
    <w:rsid w:val="7E4A6CAB"/>
    <w:rsid w:val="7E4C610E"/>
    <w:rsid w:val="7E4F3F2E"/>
    <w:rsid w:val="7E5002A1"/>
    <w:rsid w:val="7E5020A2"/>
    <w:rsid w:val="7E5112BB"/>
    <w:rsid w:val="7E545FF2"/>
    <w:rsid w:val="7E552DFD"/>
    <w:rsid w:val="7E553215"/>
    <w:rsid w:val="7E572CB5"/>
    <w:rsid w:val="7E5F24F8"/>
    <w:rsid w:val="7E6104FB"/>
    <w:rsid w:val="7E6176F1"/>
    <w:rsid w:val="7E633B84"/>
    <w:rsid w:val="7E652AEE"/>
    <w:rsid w:val="7E665422"/>
    <w:rsid w:val="7E6715FD"/>
    <w:rsid w:val="7E67262D"/>
    <w:rsid w:val="7E682F48"/>
    <w:rsid w:val="7E694F12"/>
    <w:rsid w:val="7E696CC0"/>
    <w:rsid w:val="7E6A307A"/>
    <w:rsid w:val="7E6A6C07"/>
    <w:rsid w:val="7E6A6EBA"/>
    <w:rsid w:val="7E6B2559"/>
    <w:rsid w:val="7E6B6EDC"/>
    <w:rsid w:val="7E6E2528"/>
    <w:rsid w:val="7E6E42D6"/>
    <w:rsid w:val="7E6F077A"/>
    <w:rsid w:val="7E723DC7"/>
    <w:rsid w:val="7E736FA3"/>
    <w:rsid w:val="7E7713DD"/>
    <w:rsid w:val="7E7A0ECD"/>
    <w:rsid w:val="7E7C69F3"/>
    <w:rsid w:val="7E7E09BD"/>
    <w:rsid w:val="7E7E6C0F"/>
    <w:rsid w:val="7E7F1EF7"/>
    <w:rsid w:val="7E803351"/>
    <w:rsid w:val="7E81225C"/>
    <w:rsid w:val="7E81400A"/>
    <w:rsid w:val="7E825C71"/>
    <w:rsid w:val="7E833CDC"/>
    <w:rsid w:val="7E843835"/>
    <w:rsid w:val="7E8458A8"/>
    <w:rsid w:val="7E851D4C"/>
    <w:rsid w:val="7E891110"/>
    <w:rsid w:val="7E930337"/>
    <w:rsid w:val="7E941377"/>
    <w:rsid w:val="7E9A331D"/>
    <w:rsid w:val="7E9A50CB"/>
    <w:rsid w:val="7E9E696A"/>
    <w:rsid w:val="7E9F26E2"/>
    <w:rsid w:val="7EA06B86"/>
    <w:rsid w:val="7EA1645A"/>
    <w:rsid w:val="7EA55CBC"/>
    <w:rsid w:val="7EA633B5"/>
    <w:rsid w:val="7EAC3EB7"/>
    <w:rsid w:val="7EAD3051"/>
    <w:rsid w:val="7EAF155E"/>
    <w:rsid w:val="7EB02B41"/>
    <w:rsid w:val="7EB14CC0"/>
    <w:rsid w:val="7EB22415"/>
    <w:rsid w:val="7EB443DF"/>
    <w:rsid w:val="7EB663A9"/>
    <w:rsid w:val="7EB73ECF"/>
    <w:rsid w:val="7EB75C7D"/>
    <w:rsid w:val="7EB97C47"/>
    <w:rsid w:val="7EBF106A"/>
    <w:rsid w:val="7EC65EC0"/>
    <w:rsid w:val="7EC71C53"/>
    <w:rsid w:val="7EC81C39"/>
    <w:rsid w:val="7EC87E8B"/>
    <w:rsid w:val="7ECB4467"/>
    <w:rsid w:val="7ECD54A1"/>
    <w:rsid w:val="7ECE417E"/>
    <w:rsid w:val="7ECF746B"/>
    <w:rsid w:val="7ED00AED"/>
    <w:rsid w:val="7ED122C0"/>
    <w:rsid w:val="7ED153FF"/>
    <w:rsid w:val="7ED46A07"/>
    <w:rsid w:val="7ED50BC3"/>
    <w:rsid w:val="7ED56104"/>
    <w:rsid w:val="7ED83879"/>
    <w:rsid w:val="7EDD6F0A"/>
    <w:rsid w:val="7EE04A9D"/>
    <w:rsid w:val="7EE2719E"/>
    <w:rsid w:val="7EE3058C"/>
    <w:rsid w:val="7EE50A3C"/>
    <w:rsid w:val="7EE61D71"/>
    <w:rsid w:val="7EE868F7"/>
    <w:rsid w:val="7EEA6053"/>
    <w:rsid w:val="7EEB3FA8"/>
    <w:rsid w:val="7EEC170A"/>
    <w:rsid w:val="7EED169F"/>
    <w:rsid w:val="7EED28AB"/>
    <w:rsid w:val="7EEF18BB"/>
    <w:rsid w:val="7EEF21C0"/>
    <w:rsid w:val="7EEF560F"/>
    <w:rsid w:val="7EF27612"/>
    <w:rsid w:val="7EF3630A"/>
    <w:rsid w:val="7EF5002A"/>
    <w:rsid w:val="7EF50554"/>
    <w:rsid w:val="7EF72556"/>
    <w:rsid w:val="7EF74BC5"/>
    <w:rsid w:val="7EFB3DBC"/>
    <w:rsid w:val="7EFE00B4"/>
    <w:rsid w:val="7EFE6EA6"/>
    <w:rsid w:val="7EFF74BD"/>
    <w:rsid w:val="7F007624"/>
    <w:rsid w:val="7F017381"/>
    <w:rsid w:val="7F026647"/>
    <w:rsid w:val="7F05182D"/>
    <w:rsid w:val="7F0709B3"/>
    <w:rsid w:val="7F087043"/>
    <w:rsid w:val="7F095643"/>
    <w:rsid w:val="7F0A3FFF"/>
    <w:rsid w:val="7F0A7EEC"/>
    <w:rsid w:val="7F0C1109"/>
    <w:rsid w:val="7F0C421B"/>
    <w:rsid w:val="7F0E3AB0"/>
    <w:rsid w:val="7F0E7F48"/>
    <w:rsid w:val="7F0F1615"/>
    <w:rsid w:val="7F0F3F28"/>
    <w:rsid w:val="7F10538E"/>
    <w:rsid w:val="7F121106"/>
    <w:rsid w:val="7F1A58FA"/>
    <w:rsid w:val="7F1C3A35"/>
    <w:rsid w:val="7F203823"/>
    <w:rsid w:val="7F205E71"/>
    <w:rsid w:val="7F21369B"/>
    <w:rsid w:val="7F2430A7"/>
    <w:rsid w:val="7F264BB1"/>
    <w:rsid w:val="7F2773C0"/>
    <w:rsid w:val="7F2C21C7"/>
    <w:rsid w:val="7F2C3804"/>
    <w:rsid w:val="7F2E1536"/>
    <w:rsid w:val="7F313C82"/>
    <w:rsid w:val="7F3274F1"/>
    <w:rsid w:val="7F34281E"/>
    <w:rsid w:val="7F353426"/>
    <w:rsid w:val="7F363046"/>
    <w:rsid w:val="7F3726FE"/>
    <w:rsid w:val="7F3B065C"/>
    <w:rsid w:val="7F3B240A"/>
    <w:rsid w:val="7F3B4503"/>
    <w:rsid w:val="7F402117"/>
    <w:rsid w:val="7F436148"/>
    <w:rsid w:val="7F447E8B"/>
    <w:rsid w:val="7F45772D"/>
    <w:rsid w:val="7F484B27"/>
    <w:rsid w:val="7F4A099A"/>
    <w:rsid w:val="7F4B6A06"/>
    <w:rsid w:val="7F4C0A0C"/>
    <w:rsid w:val="7F4D2BC0"/>
    <w:rsid w:val="7F4E5137"/>
    <w:rsid w:val="7F4F5297"/>
    <w:rsid w:val="7F5236A8"/>
    <w:rsid w:val="7F565496"/>
    <w:rsid w:val="7F5659A9"/>
    <w:rsid w:val="7F572FBC"/>
    <w:rsid w:val="7F5B485B"/>
    <w:rsid w:val="7F5E3354"/>
    <w:rsid w:val="7F605D3A"/>
    <w:rsid w:val="7F637BB3"/>
    <w:rsid w:val="7F642801"/>
    <w:rsid w:val="7F65392B"/>
    <w:rsid w:val="7F660AEE"/>
    <w:rsid w:val="7F6A0F42"/>
    <w:rsid w:val="7F6A1694"/>
    <w:rsid w:val="7F6A2CF0"/>
    <w:rsid w:val="7F6B4E3B"/>
    <w:rsid w:val="7F6C7FA9"/>
    <w:rsid w:val="7F6F306D"/>
    <w:rsid w:val="7F700D6D"/>
    <w:rsid w:val="7F705E2F"/>
    <w:rsid w:val="7F71407E"/>
    <w:rsid w:val="7F721BA4"/>
    <w:rsid w:val="7F722025"/>
    <w:rsid w:val="7F72303A"/>
    <w:rsid w:val="7F78365F"/>
    <w:rsid w:val="7F7A15D3"/>
    <w:rsid w:val="7F7B314F"/>
    <w:rsid w:val="7F7D2A23"/>
    <w:rsid w:val="7F7E49ED"/>
    <w:rsid w:val="7F7F30D9"/>
    <w:rsid w:val="7F82628B"/>
    <w:rsid w:val="7F835A8D"/>
    <w:rsid w:val="7F871AF4"/>
    <w:rsid w:val="7F8B5477"/>
    <w:rsid w:val="7F8C0EA2"/>
    <w:rsid w:val="7F8E0F57"/>
    <w:rsid w:val="7F8F09A8"/>
    <w:rsid w:val="7F8F3022"/>
    <w:rsid w:val="7F905E98"/>
    <w:rsid w:val="7F907247"/>
    <w:rsid w:val="7F941FDD"/>
    <w:rsid w:val="7F961D37"/>
    <w:rsid w:val="7F97205B"/>
    <w:rsid w:val="7F9A5289"/>
    <w:rsid w:val="7FA426A6"/>
    <w:rsid w:val="7FA501CC"/>
    <w:rsid w:val="7FAB3A34"/>
    <w:rsid w:val="7FAC50B6"/>
    <w:rsid w:val="7FAD7508"/>
    <w:rsid w:val="7FAE0E2E"/>
    <w:rsid w:val="7FAF4BA7"/>
    <w:rsid w:val="7FB0202F"/>
    <w:rsid w:val="7FB71AFB"/>
    <w:rsid w:val="7FB771D5"/>
    <w:rsid w:val="7FB83A5B"/>
    <w:rsid w:val="7FBB179D"/>
    <w:rsid w:val="7FBD5515"/>
    <w:rsid w:val="7FC05006"/>
    <w:rsid w:val="7FCA19E0"/>
    <w:rsid w:val="7FCB5182"/>
    <w:rsid w:val="7FCB5DB7"/>
    <w:rsid w:val="7FCD4149"/>
    <w:rsid w:val="7FCF160C"/>
    <w:rsid w:val="7FCF5E45"/>
    <w:rsid w:val="7FD1229B"/>
    <w:rsid w:val="7FD2355F"/>
    <w:rsid w:val="7FD50181"/>
    <w:rsid w:val="7FD8234F"/>
    <w:rsid w:val="7FD91C23"/>
    <w:rsid w:val="7FDB19B8"/>
    <w:rsid w:val="7FDB599C"/>
    <w:rsid w:val="7FDE4F57"/>
    <w:rsid w:val="7FDF4F36"/>
    <w:rsid w:val="7FDF7877"/>
    <w:rsid w:val="7FE049C5"/>
    <w:rsid w:val="7FE07F1C"/>
    <w:rsid w:val="7FEA3E31"/>
    <w:rsid w:val="7FEB2083"/>
    <w:rsid w:val="7FEC5DFB"/>
    <w:rsid w:val="7FEE787F"/>
    <w:rsid w:val="7FF058EB"/>
    <w:rsid w:val="7FF16F6D"/>
    <w:rsid w:val="7FF20268"/>
    <w:rsid w:val="7FF57BA6"/>
    <w:rsid w:val="7FF77C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iPriority="0" w:semiHidden="0"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99" w:semiHidden="0" w:name="Plain Text"/>
    <w:lsdException w:uiPriority="99" w:name="E-mail Signature"/>
    <w:lsdException w:qFormat="1" w:unhideWhenUsed="0" w:uiPriority="99" w:semiHidden="0" w:name="Normal (Web)"/>
    <w:lsdException w:qFormat="1" w:unhideWhenUsed="0" w:uiPriority="0" w:semiHidden="0" w:name="HTML Acronym"/>
    <w:lsdException w:uiPriority="99"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iPriority="99"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宋体" w:hAnsi="宋体" w:eastAsia="宋体" w:cs="宋体"/>
      <w:kern w:val="0"/>
      <w:sz w:val="24"/>
      <w:szCs w:val="24"/>
      <w:lang w:val="en-US" w:eastAsia="zh-CN" w:bidi="ar-SA"/>
    </w:rPr>
  </w:style>
  <w:style w:type="paragraph" w:styleId="4">
    <w:name w:val="heading 1"/>
    <w:basedOn w:val="1"/>
    <w:next w:val="1"/>
    <w:link w:val="75"/>
    <w:qFormat/>
    <w:uiPriority w:val="0"/>
    <w:pPr>
      <w:outlineLvl w:val="0"/>
    </w:pPr>
    <w:rPr>
      <w:rFonts w:ascii="Times New Roman" w:hAnsi="Times New Roman" w:eastAsia="宋体"/>
      <w:b/>
      <w:sz w:val="36"/>
    </w:rPr>
  </w:style>
  <w:style w:type="paragraph" w:styleId="5">
    <w:name w:val="heading 2"/>
    <w:basedOn w:val="1"/>
    <w:next w:val="6"/>
    <w:link w:val="76"/>
    <w:unhideWhenUsed/>
    <w:qFormat/>
    <w:uiPriority w:val="0"/>
    <w:pPr>
      <w:keepNext/>
      <w:keepLines/>
      <w:outlineLvl w:val="1"/>
    </w:pPr>
    <w:rPr>
      <w:rFonts w:ascii="Times New Roman" w:hAnsi="Times New Roman" w:cs="Times New Roman"/>
      <w:b/>
      <w:bCs/>
      <w:snapToGrid w:val="0"/>
      <w:color w:val="auto"/>
      <w:sz w:val="32"/>
      <w:szCs w:val="32"/>
      <w:highlight w:val="none"/>
    </w:rPr>
  </w:style>
  <w:style w:type="paragraph" w:styleId="7">
    <w:name w:val="heading 3"/>
    <w:basedOn w:val="1"/>
    <w:next w:val="1"/>
    <w:link w:val="77"/>
    <w:unhideWhenUsed/>
    <w:qFormat/>
    <w:uiPriority w:val="0"/>
    <w:pPr>
      <w:keepNext/>
      <w:keepLines/>
      <w:widowControl w:val="0"/>
      <w:adjustRightInd w:val="0"/>
      <w:snapToGrid w:val="0"/>
      <w:spacing w:line="360" w:lineRule="auto"/>
      <w:jc w:val="both"/>
      <w:outlineLvl w:val="2"/>
    </w:pPr>
    <w:rPr>
      <w:rFonts w:ascii="Times New Roman" w:hAnsi="Times New Roman" w:eastAsia="宋体" w:cs="Times New Roman"/>
      <w:b/>
      <w:bCs/>
      <w:color w:val="auto"/>
      <w:kern w:val="2"/>
      <w:sz w:val="28"/>
      <w:szCs w:val="21"/>
      <w:highlight w:val="none"/>
    </w:rPr>
  </w:style>
  <w:style w:type="paragraph" w:styleId="8">
    <w:name w:val="heading 4"/>
    <w:basedOn w:val="1"/>
    <w:next w:val="1"/>
    <w:link w:val="86"/>
    <w:qFormat/>
    <w:uiPriority w:val="0"/>
    <w:pPr>
      <w:keepNext/>
      <w:keepLines/>
      <w:spacing w:line="360" w:lineRule="auto"/>
      <w:outlineLvl w:val="3"/>
    </w:pPr>
    <w:rPr>
      <w:rFonts w:ascii="Times New Roman" w:hAnsi="Times New Roman" w:eastAsia="宋体" w:cs="Times New Roman"/>
      <w:b/>
      <w:szCs w:val="20"/>
      <w:lang w:val="zh-CN"/>
    </w:rPr>
  </w:style>
  <w:style w:type="paragraph" w:styleId="9">
    <w:name w:val="heading 5"/>
    <w:basedOn w:val="1"/>
    <w:next w:val="6"/>
    <w:link w:val="87"/>
    <w:qFormat/>
    <w:uiPriority w:val="0"/>
    <w:pPr>
      <w:keepNext/>
      <w:keepLines/>
      <w:spacing w:before="280" w:after="290" w:line="372" w:lineRule="auto"/>
      <w:outlineLvl w:val="4"/>
    </w:pPr>
    <w:rPr>
      <w:rFonts w:cs="Times New Roman"/>
      <w:b/>
      <w:sz w:val="28"/>
      <w:szCs w:val="20"/>
      <w:lang w:val="zh-CN" w:eastAsia="zh-CN"/>
    </w:rPr>
  </w:style>
  <w:style w:type="paragraph" w:styleId="10">
    <w:name w:val="heading 6"/>
    <w:basedOn w:val="1"/>
    <w:next w:val="6"/>
    <w:link w:val="88"/>
    <w:qFormat/>
    <w:uiPriority w:val="0"/>
    <w:pPr>
      <w:keepNext/>
      <w:keepLines/>
      <w:spacing w:before="240" w:after="64" w:line="317" w:lineRule="auto"/>
      <w:outlineLvl w:val="5"/>
    </w:pPr>
    <w:rPr>
      <w:rFonts w:ascii="Arial" w:hAnsi="Arial" w:eastAsia="黑体" w:cs="Times New Roman"/>
      <w:b/>
      <w:szCs w:val="20"/>
      <w:lang w:val="zh-CN" w:eastAsia="zh-CN"/>
    </w:rPr>
  </w:style>
  <w:style w:type="paragraph" w:styleId="11">
    <w:name w:val="heading 7"/>
    <w:basedOn w:val="1"/>
    <w:next w:val="6"/>
    <w:link w:val="89"/>
    <w:qFormat/>
    <w:uiPriority w:val="0"/>
    <w:pPr>
      <w:keepNext/>
      <w:keepLines/>
      <w:spacing w:before="240" w:after="64" w:line="317" w:lineRule="auto"/>
      <w:outlineLvl w:val="6"/>
    </w:pPr>
    <w:rPr>
      <w:rFonts w:cs="Times New Roman"/>
      <w:b/>
      <w:szCs w:val="20"/>
      <w:lang w:val="zh-CN" w:eastAsia="zh-CN"/>
    </w:rPr>
  </w:style>
  <w:style w:type="paragraph" w:styleId="12">
    <w:name w:val="heading 8"/>
    <w:basedOn w:val="1"/>
    <w:next w:val="6"/>
    <w:link w:val="90"/>
    <w:qFormat/>
    <w:uiPriority w:val="0"/>
    <w:pPr>
      <w:keepNext/>
      <w:keepLines/>
      <w:spacing w:before="240" w:after="64" w:line="317" w:lineRule="auto"/>
      <w:outlineLvl w:val="7"/>
    </w:pPr>
    <w:rPr>
      <w:rFonts w:ascii="Arial" w:hAnsi="Arial" w:eastAsia="黑体" w:cs="Times New Roman"/>
      <w:szCs w:val="20"/>
      <w:lang w:val="zh-CN" w:eastAsia="zh-CN"/>
    </w:rPr>
  </w:style>
  <w:style w:type="paragraph" w:styleId="13">
    <w:name w:val="heading 9"/>
    <w:basedOn w:val="1"/>
    <w:next w:val="6"/>
    <w:link w:val="91"/>
    <w:qFormat/>
    <w:uiPriority w:val="0"/>
    <w:pPr>
      <w:keepNext/>
      <w:keepLines/>
      <w:spacing w:before="240" w:after="64" w:line="317" w:lineRule="auto"/>
      <w:outlineLvl w:val="8"/>
    </w:pPr>
    <w:rPr>
      <w:rFonts w:ascii="Arial" w:hAnsi="Arial" w:eastAsia="黑体" w:cs="Times New Roman"/>
      <w:sz w:val="21"/>
      <w:szCs w:val="20"/>
      <w:lang w:val="zh-CN" w:eastAsia="zh-CN"/>
    </w:rPr>
  </w:style>
  <w:style w:type="character" w:default="1" w:styleId="50">
    <w:name w:val="Default Paragraph Font"/>
    <w:semiHidden/>
    <w:unhideWhenUsed/>
    <w:qFormat/>
    <w:uiPriority w:val="1"/>
  </w:style>
  <w:style w:type="table" w:default="1" w:styleId="48">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1"/>
    <w:qFormat/>
    <w:uiPriority w:val="0"/>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paragraph" w:customStyle="1" w:styleId="3">
    <w:name w:val="纯文本1"/>
    <w:basedOn w:val="1"/>
    <w:qFormat/>
    <w:uiPriority w:val="0"/>
    <w:rPr>
      <w:rFonts w:hAnsi="Courier New" w:cs="Courier New"/>
      <w:szCs w:val="21"/>
    </w:rPr>
  </w:style>
  <w:style w:type="paragraph" w:styleId="6">
    <w:name w:val="Normal Indent"/>
    <w:basedOn w:val="1"/>
    <w:next w:val="1"/>
    <w:link w:val="168"/>
    <w:qFormat/>
    <w:uiPriority w:val="0"/>
    <w:pPr>
      <w:ind w:firstLine="420"/>
    </w:pPr>
    <w:rPr>
      <w:rFonts w:eastAsiaTheme="minorEastAsia"/>
      <w:sz w:val="21"/>
    </w:rPr>
  </w:style>
  <w:style w:type="paragraph" w:styleId="14">
    <w:name w:val="toc 7"/>
    <w:basedOn w:val="1"/>
    <w:next w:val="1"/>
    <w:qFormat/>
    <w:uiPriority w:val="39"/>
    <w:pPr>
      <w:ind w:left="1260"/>
    </w:pPr>
    <w:rPr>
      <w:rFonts w:cs="Times New Roman"/>
      <w:sz w:val="18"/>
      <w:szCs w:val="20"/>
    </w:rPr>
  </w:style>
  <w:style w:type="paragraph" w:styleId="15">
    <w:name w:val="caption"/>
    <w:basedOn w:val="1"/>
    <w:next w:val="1"/>
    <w:link w:val="180"/>
    <w:unhideWhenUsed/>
    <w:qFormat/>
    <w:uiPriority w:val="0"/>
    <w:rPr>
      <w:rFonts w:eastAsia="黑体" w:asciiTheme="majorHAnsi" w:hAnsiTheme="majorHAnsi" w:cstheme="majorBidi"/>
      <w:sz w:val="20"/>
      <w:szCs w:val="20"/>
    </w:rPr>
  </w:style>
  <w:style w:type="paragraph" w:styleId="16">
    <w:name w:val="Document Map"/>
    <w:basedOn w:val="1"/>
    <w:link w:val="201"/>
    <w:qFormat/>
    <w:uiPriority w:val="0"/>
    <w:pPr>
      <w:shd w:val="clear" w:color="auto" w:fill="000080"/>
    </w:pPr>
    <w:rPr>
      <w:rFonts w:eastAsiaTheme="minorEastAsia"/>
      <w:sz w:val="21"/>
      <w:shd w:val="clear" w:color="auto" w:fill="000080"/>
    </w:rPr>
  </w:style>
  <w:style w:type="paragraph" w:styleId="17">
    <w:name w:val="annotation text"/>
    <w:basedOn w:val="1"/>
    <w:link w:val="220"/>
    <w:unhideWhenUsed/>
    <w:qFormat/>
    <w:uiPriority w:val="0"/>
  </w:style>
  <w:style w:type="paragraph" w:styleId="18">
    <w:name w:val="Body Text 3"/>
    <w:basedOn w:val="1"/>
    <w:link w:val="145"/>
    <w:qFormat/>
    <w:uiPriority w:val="0"/>
    <w:pPr>
      <w:spacing w:after="120"/>
    </w:pPr>
    <w:rPr>
      <w:rFonts w:eastAsiaTheme="minorEastAsia"/>
      <w:sz w:val="16"/>
    </w:rPr>
  </w:style>
  <w:style w:type="paragraph" w:styleId="19">
    <w:name w:val="Body Text"/>
    <w:basedOn w:val="1"/>
    <w:link w:val="227"/>
    <w:unhideWhenUsed/>
    <w:qFormat/>
    <w:uiPriority w:val="0"/>
    <w:pPr>
      <w:spacing w:after="120"/>
    </w:pPr>
  </w:style>
  <w:style w:type="paragraph" w:styleId="20">
    <w:name w:val="Body Text Indent"/>
    <w:basedOn w:val="1"/>
    <w:next w:val="21"/>
    <w:link w:val="125"/>
    <w:qFormat/>
    <w:uiPriority w:val="0"/>
    <w:pPr>
      <w:spacing w:line="500" w:lineRule="exact"/>
      <w:ind w:firstLine="570"/>
    </w:pPr>
    <w:rPr>
      <w:rFonts w:eastAsiaTheme="minorEastAsia"/>
      <w:sz w:val="28"/>
    </w:rPr>
  </w:style>
  <w:style w:type="paragraph" w:styleId="21">
    <w:name w:val="header"/>
    <w:basedOn w:val="1"/>
    <w:next w:val="22"/>
    <w:link w:val="83"/>
    <w:unhideWhenUsed/>
    <w:qFormat/>
    <w:uiPriority w:val="99"/>
    <w:pPr>
      <w:pBdr>
        <w:bottom w:val="single" w:color="auto" w:sz="6" w:space="1"/>
      </w:pBdr>
      <w:tabs>
        <w:tab w:val="center" w:pos="4153"/>
        <w:tab w:val="right" w:pos="8306"/>
      </w:tabs>
      <w:jc w:val="center"/>
    </w:pPr>
    <w:rPr>
      <w:sz w:val="18"/>
      <w:szCs w:val="18"/>
    </w:rPr>
  </w:style>
  <w:style w:type="paragraph" w:customStyle="1" w:styleId="22">
    <w:name w:val="样式5"/>
    <w:basedOn w:val="6"/>
    <w:next w:val="1"/>
    <w:qFormat/>
    <w:uiPriority w:val="0"/>
  </w:style>
  <w:style w:type="paragraph" w:styleId="23">
    <w:name w:val="toc 5"/>
    <w:basedOn w:val="1"/>
    <w:next w:val="1"/>
    <w:qFormat/>
    <w:uiPriority w:val="39"/>
    <w:pPr>
      <w:ind w:left="840"/>
    </w:pPr>
    <w:rPr>
      <w:rFonts w:cs="Times New Roman"/>
      <w:sz w:val="18"/>
      <w:szCs w:val="20"/>
    </w:rPr>
  </w:style>
  <w:style w:type="paragraph" w:styleId="24">
    <w:name w:val="toc 3"/>
    <w:basedOn w:val="1"/>
    <w:next w:val="1"/>
    <w:qFormat/>
    <w:uiPriority w:val="39"/>
    <w:pPr>
      <w:ind w:left="420"/>
    </w:pPr>
    <w:rPr>
      <w:rFonts w:cs="Times New Roman"/>
      <w:i/>
      <w:sz w:val="20"/>
      <w:szCs w:val="20"/>
    </w:rPr>
  </w:style>
  <w:style w:type="paragraph" w:styleId="25">
    <w:name w:val="Plain Text"/>
    <w:basedOn w:val="1"/>
    <w:next w:val="1"/>
    <w:link w:val="196"/>
    <w:qFormat/>
    <w:uiPriority w:val="99"/>
    <w:rPr>
      <w:rFonts w:hAnsi="Courier New" w:eastAsiaTheme="minorEastAsia"/>
      <w:sz w:val="21"/>
    </w:rPr>
  </w:style>
  <w:style w:type="paragraph" w:styleId="26">
    <w:name w:val="toc 8"/>
    <w:basedOn w:val="1"/>
    <w:next w:val="1"/>
    <w:qFormat/>
    <w:uiPriority w:val="39"/>
    <w:pPr>
      <w:ind w:left="1470"/>
    </w:pPr>
    <w:rPr>
      <w:rFonts w:cs="Times New Roman"/>
      <w:sz w:val="18"/>
      <w:szCs w:val="20"/>
    </w:rPr>
  </w:style>
  <w:style w:type="paragraph" w:styleId="27">
    <w:name w:val="Date"/>
    <w:basedOn w:val="1"/>
    <w:next w:val="1"/>
    <w:link w:val="199"/>
    <w:qFormat/>
    <w:uiPriority w:val="0"/>
    <w:pPr>
      <w:ind w:left="100" w:leftChars="2500"/>
    </w:pPr>
    <w:rPr>
      <w:rFonts w:eastAsiaTheme="minorEastAsia"/>
      <w:sz w:val="28"/>
    </w:rPr>
  </w:style>
  <w:style w:type="paragraph" w:styleId="28">
    <w:name w:val="Body Text Indent 2"/>
    <w:basedOn w:val="1"/>
    <w:link w:val="204"/>
    <w:qFormat/>
    <w:uiPriority w:val="99"/>
    <w:pPr>
      <w:spacing w:line="520" w:lineRule="atLeast"/>
      <w:ind w:firstLine="470" w:firstLineChars="196"/>
    </w:pPr>
    <w:rPr>
      <w:rFonts w:eastAsiaTheme="minorEastAsia"/>
    </w:rPr>
  </w:style>
  <w:style w:type="paragraph" w:styleId="29">
    <w:name w:val="Balloon Text"/>
    <w:basedOn w:val="1"/>
    <w:link w:val="150"/>
    <w:qFormat/>
    <w:uiPriority w:val="0"/>
    <w:rPr>
      <w:rFonts w:eastAsiaTheme="minorEastAsia"/>
      <w:sz w:val="18"/>
    </w:rPr>
  </w:style>
  <w:style w:type="paragraph" w:styleId="30">
    <w:name w:val="footer"/>
    <w:basedOn w:val="1"/>
    <w:link w:val="84"/>
    <w:unhideWhenUsed/>
    <w:qFormat/>
    <w:uiPriority w:val="99"/>
    <w:pPr>
      <w:tabs>
        <w:tab w:val="center" w:pos="4153"/>
        <w:tab w:val="right" w:pos="8306"/>
      </w:tabs>
    </w:pPr>
    <w:rPr>
      <w:sz w:val="18"/>
      <w:szCs w:val="18"/>
    </w:rPr>
  </w:style>
  <w:style w:type="paragraph" w:styleId="31">
    <w:name w:val="toc 1"/>
    <w:basedOn w:val="1"/>
    <w:next w:val="1"/>
    <w:qFormat/>
    <w:uiPriority w:val="39"/>
    <w:pPr>
      <w:spacing w:before="120" w:after="120"/>
    </w:pPr>
    <w:rPr>
      <w:rFonts w:cs="Times New Roman"/>
      <w:b/>
      <w:caps/>
      <w:sz w:val="20"/>
      <w:szCs w:val="20"/>
    </w:rPr>
  </w:style>
  <w:style w:type="paragraph" w:styleId="32">
    <w:name w:val="toc 4"/>
    <w:basedOn w:val="1"/>
    <w:next w:val="1"/>
    <w:qFormat/>
    <w:uiPriority w:val="39"/>
    <w:pPr>
      <w:ind w:left="630"/>
    </w:pPr>
    <w:rPr>
      <w:rFonts w:cs="Times New Roman"/>
      <w:sz w:val="18"/>
      <w:szCs w:val="20"/>
    </w:rPr>
  </w:style>
  <w:style w:type="paragraph" w:styleId="33">
    <w:name w:val="List"/>
    <w:basedOn w:val="1"/>
    <w:qFormat/>
    <w:uiPriority w:val="0"/>
    <w:pPr>
      <w:ind w:left="200" w:hanging="200" w:hangingChars="200"/>
    </w:pPr>
    <w:rPr>
      <w:rFonts w:cs="Times New Roman"/>
      <w:szCs w:val="20"/>
    </w:rPr>
  </w:style>
  <w:style w:type="paragraph" w:styleId="34">
    <w:name w:val="toc 6"/>
    <w:basedOn w:val="1"/>
    <w:next w:val="1"/>
    <w:qFormat/>
    <w:uiPriority w:val="39"/>
    <w:pPr>
      <w:ind w:left="1050"/>
    </w:pPr>
    <w:rPr>
      <w:rFonts w:cs="Times New Roman"/>
      <w:sz w:val="18"/>
      <w:szCs w:val="20"/>
    </w:rPr>
  </w:style>
  <w:style w:type="paragraph" w:styleId="35">
    <w:name w:val="Body Text Indent 3"/>
    <w:basedOn w:val="1"/>
    <w:link w:val="169"/>
    <w:qFormat/>
    <w:uiPriority w:val="0"/>
    <w:pPr>
      <w:spacing w:line="520" w:lineRule="atLeast"/>
    </w:pPr>
    <w:rPr>
      <w:rFonts w:eastAsiaTheme="minorEastAsia"/>
    </w:rPr>
  </w:style>
  <w:style w:type="paragraph" w:styleId="36">
    <w:name w:val="table of figures"/>
    <w:basedOn w:val="1"/>
    <w:next w:val="1"/>
    <w:qFormat/>
    <w:uiPriority w:val="0"/>
    <w:pPr>
      <w:keepNext/>
      <w:adjustRightInd w:val="0"/>
      <w:snapToGrid w:val="0"/>
      <w:spacing w:line="360" w:lineRule="auto"/>
    </w:pPr>
    <w:rPr>
      <w:rFonts w:ascii="Times New Roman" w:hAnsi="Times New Roman"/>
      <w:smallCaps/>
      <w:sz w:val="28"/>
      <w:szCs w:val="28"/>
    </w:rPr>
  </w:style>
  <w:style w:type="paragraph" w:styleId="37">
    <w:name w:val="toc 2"/>
    <w:basedOn w:val="1"/>
    <w:next w:val="1"/>
    <w:qFormat/>
    <w:uiPriority w:val="39"/>
    <w:pPr>
      <w:ind w:left="210"/>
    </w:pPr>
    <w:rPr>
      <w:rFonts w:cs="Times New Roman"/>
      <w:smallCaps/>
      <w:sz w:val="20"/>
      <w:szCs w:val="20"/>
    </w:rPr>
  </w:style>
  <w:style w:type="paragraph" w:styleId="38">
    <w:name w:val="toc 9"/>
    <w:basedOn w:val="1"/>
    <w:next w:val="1"/>
    <w:qFormat/>
    <w:uiPriority w:val="39"/>
    <w:pPr>
      <w:ind w:left="1680"/>
    </w:pPr>
    <w:rPr>
      <w:rFonts w:cs="Times New Roman"/>
      <w:sz w:val="18"/>
      <w:szCs w:val="20"/>
    </w:rPr>
  </w:style>
  <w:style w:type="paragraph" w:styleId="39">
    <w:name w:val="Body Text 2"/>
    <w:basedOn w:val="1"/>
    <w:link w:val="185"/>
    <w:qFormat/>
    <w:uiPriority w:val="0"/>
    <w:pPr>
      <w:spacing w:line="520" w:lineRule="atLeast"/>
    </w:pPr>
    <w:rPr>
      <w:rFonts w:eastAsiaTheme="minorEastAsia"/>
      <w:sz w:val="28"/>
    </w:rPr>
  </w:style>
  <w:style w:type="paragraph" w:styleId="40">
    <w:name w:val="Message Header"/>
    <w:basedOn w:val="1"/>
    <w:unhideWhenUsed/>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bCs/>
      <w:kern w:val="0"/>
      <w:sz w:val="24"/>
    </w:rPr>
  </w:style>
  <w:style w:type="paragraph" w:styleId="41">
    <w:name w:val="HTML Preformatted"/>
    <w:basedOn w:val="1"/>
    <w:link w:val="10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eastAsiaTheme="minorEastAsia"/>
    </w:rPr>
  </w:style>
  <w:style w:type="paragraph" w:styleId="42">
    <w:name w:val="Normal (Web)"/>
    <w:basedOn w:val="1"/>
    <w:qFormat/>
    <w:uiPriority w:val="99"/>
    <w:pPr>
      <w:spacing w:before="100" w:beforeAutospacing="1" w:after="100" w:afterAutospacing="1"/>
    </w:pPr>
  </w:style>
  <w:style w:type="paragraph" w:styleId="43">
    <w:name w:val="index 1"/>
    <w:basedOn w:val="1"/>
    <w:next w:val="1"/>
    <w:qFormat/>
    <w:uiPriority w:val="0"/>
    <w:pPr>
      <w:jc w:val="center"/>
    </w:pPr>
    <w:rPr>
      <w:rFonts w:cs="Times New Roman"/>
      <w:szCs w:val="20"/>
    </w:rPr>
  </w:style>
  <w:style w:type="paragraph" w:styleId="44">
    <w:name w:val="Title"/>
    <w:basedOn w:val="1"/>
    <w:next w:val="1"/>
    <w:link w:val="78"/>
    <w:qFormat/>
    <w:uiPriority w:val="0"/>
    <w:pPr>
      <w:spacing w:before="50" w:beforeLines="50" w:after="50" w:afterLines="50"/>
      <w:outlineLvl w:val="2"/>
    </w:pPr>
    <w:rPr>
      <w:rFonts w:eastAsia="黑体" w:cstheme="majorBidi"/>
      <w:bCs/>
      <w:szCs w:val="32"/>
    </w:rPr>
  </w:style>
  <w:style w:type="paragraph" w:styleId="45">
    <w:name w:val="annotation subject"/>
    <w:basedOn w:val="17"/>
    <w:next w:val="17"/>
    <w:link w:val="221"/>
    <w:qFormat/>
    <w:uiPriority w:val="0"/>
    <w:rPr>
      <w:rFonts w:cs="Times New Roman"/>
      <w:b/>
      <w:bCs/>
      <w:sz w:val="20"/>
      <w:szCs w:val="20"/>
    </w:rPr>
  </w:style>
  <w:style w:type="paragraph" w:styleId="46">
    <w:name w:val="Body Text First Indent"/>
    <w:basedOn w:val="19"/>
    <w:next w:val="1"/>
    <w:link w:val="197"/>
    <w:qFormat/>
    <w:uiPriority w:val="0"/>
    <w:pPr>
      <w:spacing w:before="78" w:beforeLines="25" w:after="78" w:afterLines="25"/>
      <w:ind w:firstLine="420" w:firstLineChars="100"/>
    </w:pPr>
    <w:rPr>
      <w:rFonts w:eastAsiaTheme="minorEastAsia"/>
      <w:sz w:val="21"/>
    </w:rPr>
  </w:style>
  <w:style w:type="paragraph" w:styleId="47">
    <w:name w:val="Body Text First Indent 2"/>
    <w:basedOn w:val="20"/>
    <w:next w:val="1"/>
    <w:link w:val="403"/>
    <w:semiHidden/>
    <w:unhideWhenUsed/>
    <w:qFormat/>
    <w:uiPriority w:val="99"/>
    <w:pPr>
      <w:adjustRightInd w:val="0"/>
      <w:snapToGrid w:val="0"/>
      <w:spacing w:after="120" w:line="360" w:lineRule="auto"/>
      <w:ind w:left="420" w:leftChars="200" w:firstLine="420" w:firstLineChars="200"/>
    </w:pPr>
    <w:rPr>
      <w:rFonts w:ascii="Times New Roman" w:hAnsi="Times New Roman" w:eastAsia="宋体"/>
      <w:sz w:val="24"/>
    </w:rPr>
  </w:style>
  <w:style w:type="table" w:styleId="49">
    <w:name w:val="Table Grid"/>
    <w:basedOn w:val="48"/>
    <w:qFormat/>
    <w:uiPriority w:val="0"/>
    <w:pPr>
      <w:adjustRightInd w:val="0"/>
      <w:snapToGrid w:val="0"/>
      <w:jc w:val="center"/>
    </w:pPr>
    <w:rPr>
      <w:rFonts w:ascii="Times New Roman" w:hAnsi="Times New Roman" w:eastAsia="宋体"/>
    </w:rPr>
    <w:tblPr>
      <w:jc w:val="center"/>
      <w:tblBorders>
        <w:top w:val="single" w:color="auto" w:sz="4" w:space="0"/>
        <w:bottom w:val="single" w:color="auto" w:sz="4" w:space="0"/>
        <w:insideH w:val="single" w:color="auto" w:sz="4" w:space="0"/>
        <w:insideV w:val="single" w:color="auto" w:sz="4" w:space="0"/>
      </w:tblBorders>
    </w:tblPr>
    <w:trPr>
      <w:jc w:val="center"/>
    </w:trPr>
    <w:tcPr>
      <w:vAlign w:val="center"/>
    </w:tcPr>
  </w:style>
  <w:style w:type="character" w:styleId="51">
    <w:name w:val="Strong"/>
    <w:qFormat/>
    <w:uiPriority w:val="22"/>
    <w:rPr>
      <w:rFonts w:ascii="Times New Roman" w:hAnsi="Times New Roman"/>
      <w:b/>
      <w:szCs w:val="20"/>
    </w:rPr>
  </w:style>
  <w:style w:type="character" w:styleId="52">
    <w:name w:val="page number"/>
    <w:qFormat/>
    <w:uiPriority w:val="0"/>
    <w:rPr>
      <w:rFonts w:ascii="方正美黑简体" w:hAnsi="宋体" w:eastAsia="方正美黑简体"/>
      <w:sz w:val="18"/>
      <w:szCs w:val="20"/>
    </w:rPr>
  </w:style>
  <w:style w:type="character" w:styleId="53">
    <w:name w:val="FollowedHyperlink"/>
    <w:qFormat/>
    <w:uiPriority w:val="0"/>
    <w:rPr>
      <w:rFonts w:ascii="Times New Roman" w:hAnsi="Times New Roman"/>
      <w:color w:val="000000"/>
      <w:szCs w:val="20"/>
      <w:u w:val="none"/>
    </w:rPr>
  </w:style>
  <w:style w:type="character" w:styleId="54">
    <w:name w:val="Emphasis"/>
    <w:qFormat/>
    <w:uiPriority w:val="0"/>
    <w:rPr>
      <w:color w:val="CC0033"/>
    </w:rPr>
  </w:style>
  <w:style w:type="character" w:styleId="55">
    <w:name w:val="HTML Definition"/>
    <w:qFormat/>
    <w:uiPriority w:val="0"/>
    <w:rPr>
      <w:rFonts w:ascii="Times New Roman" w:hAnsi="Times New Roman"/>
      <w:szCs w:val="20"/>
    </w:rPr>
  </w:style>
  <w:style w:type="character" w:styleId="56">
    <w:name w:val="HTML Acronym"/>
    <w:qFormat/>
    <w:uiPriority w:val="0"/>
    <w:rPr>
      <w:rFonts w:ascii="Times New Roman" w:hAnsi="Times New Roman"/>
      <w:szCs w:val="20"/>
    </w:rPr>
  </w:style>
  <w:style w:type="character" w:styleId="57">
    <w:name w:val="HTML Variable"/>
    <w:qFormat/>
    <w:uiPriority w:val="0"/>
    <w:rPr>
      <w:rFonts w:ascii="Times New Roman" w:hAnsi="Times New Roman"/>
      <w:szCs w:val="20"/>
    </w:rPr>
  </w:style>
  <w:style w:type="character" w:styleId="58">
    <w:name w:val="Hyperlink"/>
    <w:qFormat/>
    <w:uiPriority w:val="99"/>
    <w:rPr>
      <w:rFonts w:ascii="Times New Roman" w:hAnsi="Times New Roman"/>
      <w:color w:val="000000"/>
      <w:szCs w:val="20"/>
      <w:u w:val="none"/>
    </w:rPr>
  </w:style>
  <w:style w:type="character" w:styleId="59">
    <w:name w:val="HTML Code"/>
    <w:qFormat/>
    <w:uiPriority w:val="0"/>
    <w:rPr>
      <w:rFonts w:ascii="Courier New" w:hAnsi="Courier New" w:eastAsia="Courier New" w:cs="Courier New"/>
      <w:sz w:val="20"/>
      <w:szCs w:val="20"/>
    </w:rPr>
  </w:style>
  <w:style w:type="character" w:styleId="60">
    <w:name w:val="annotation reference"/>
    <w:qFormat/>
    <w:uiPriority w:val="0"/>
    <w:rPr>
      <w:rFonts w:ascii="Times New Roman" w:hAnsi="Times New Roman"/>
      <w:sz w:val="21"/>
      <w:szCs w:val="21"/>
    </w:rPr>
  </w:style>
  <w:style w:type="character" w:styleId="61">
    <w:name w:val="HTML Cite"/>
    <w:qFormat/>
    <w:uiPriority w:val="0"/>
    <w:rPr>
      <w:rFonts w:ascii="Times New Roman" w:hAnsi="Times New Roman"/>
      <w:szCs w:val="20"/>
    </w:rPr>
  </w:style>
  <w:style w:type="character" w:styleId="62">
    <w:name w:val="HTML Keyboard"/>
    <w:qFormat/>
    <w:uiPriority w:val="0"/>
    <w:rPr>
      <w:rFonts w:ascii="Courier New" w:hAnsi="Courier New" w:eastAsia="Courier New" w:cs="Courier New"/>
      <w:sz w:val="20"/>
      <w:szCs w:val="20"/>
    </w:rPr>
  </w:style>
  <w:style w:type="character" w:styleId="63">
    <w:name w:val="HTML Sample"/>
    <w:qFormat/>
    <w:uiPriority w:val="0"/>
    <w:rPr>
      <w:rFonts w:ascii="Courier New" w:hAnsi="Courier New" w:eastAsia="Courier New" w:cs="Courier New"/>
      <w:szCs w:val="20"/>
    </w:rPr>
  </w:style>
  <w:style w:type="paragraph" w:customStyle="1" w:styleId="64">
    <w:name w:val="Normal (Web)1"/>
    <w:basedOn w:val="1"/>
    <w:next w:val="65"/>
    <w:qFormat/>
    <w:uiPriority w:val="0"/>
    <w:pPr>
      <w:widowControl/>
      <w:jc w:val="left"/>
    </w:pPr>
    <w:rPr>
      <w:rFonts w:ascii="宋体" w:cs="Times New Roman"/>
      <w:kern w:val="0"/>
      <w:sz w:val="24"/>
      <w:szCs w:val="21"/>
    </w:rPr>
  </w:style>
  <w:style w:type="paragraph" w:customStyle="1" w:styleId="65">
    <w:name w:val="Date1"/>
    <w:basedOn w:val="1"/>
    <w:next w:val="1"/>
    <w:qFormat/>
    <w:uiPriority w:val="0"/>
    <w:pPr>
      <w:ind w:left="2500" w:leftChars="2500"/>
    </w:pPr>
  </w:style>
  <w:style w:type="paragraph" w:customStyle="1" w:styleId="66">
    <w:name w:val="表格内"/>
    <w:basedOn w:val="1"/>
    <w:qFormat/>
    <w:uiPriority w:val="0"/>
    <w:pPr>
      <w:spacing w:line="360" w:lineRule="exact"/>
      <w:jc w:val="center"/>
    </w:pPr>
    <w:rPr>
      <w:rFonts w:eastAsia="Times New Roman"/>
      <w:sz w:val="21"/>
      <w:szCs w:val="21"/>
    </w:rPr>
  </w:style>
  <w:style w:type="paragraph" w:customStyle="1" w:styleId="67">
    <w:name w:val="通用正文"/>
    <w:basedOn w:val="68"/>
    <w:qFormat/>
    <w:uiPriority w:val="0"/>
    <w:pPr>
      <w:widowControl w:val="0"/>
      <w:wordWrap w:val="0"/>
      <w:topLinePunct/>
      <w:adjustRightInd/>
      <w:snapToGrid/>
      <w:spacing w:after="0" w:line="360" w:lineRule="auto"/>
      <w:ind w:left="0" w:firstLine="420" w:firstLineChars="200"/>
      <w:jc w:val="left"/>
    </w:pPr>
    <w:rPr>
      <w:rFonts w:ascii="Times New Roman" w:hAnsi="Times New Roman" w:eastAsia="宋体" w:cs="Times New Roman"/>
      <w:color w:val="000000"/>
      <w:kern w:val="2"/>
      <w:sz w:val="24"/>
      <w:szCs w:val="24"/>
      <w:lang w:val="en-US" w:bidi="ar-SA"/>
    </w:rPr>
  </w:style>
  <w:style w:type="paragraph" w:customStyle="1" w:styleId="68">
    <w:name w:val="00通用正文"/>
    <w:basedOn w:val="1"/>
    <w:qFormat/>
    <w:uiPriority w:val="0"/>
    <w:pPr>
      <w:widowControl w:val="0"/>
      <w:wordWrap w:val="0"/>
      <w:spacing w:after="0" w:line="360" w:lineRule="auto"/>
      <w:ind w:firstLine="420" w:firstLineChars="200"/>
      <w:jc w:val="left"/>
    </w:pPr>
    <w:rPr>
      <w:rFonts w:ascii="Times New Roman" w:hAnsi="Times New Roman" w:eastAsia="宋体" w:cs="Times New Roman"/>
      <w:color w:val="000000"/>
      <w:kern w:val="2"/>
      <w:sz w:val="24"/>
      <w:szCs w:val="24"/>
      <w:lang w:val="en-US" w:bidi="ar-SA"/>
    </w:rPr>
  </w:style>
  <w:style w:type="paragraph" w:customStyle="1" w:styleId="69">
    <w:name w:val="正文格式"/>
    <w:basedOn w:val="1"/>
    <w:next w:val="1"/>
    <w:qFormat/>
    <w:uiPriority w:val="0"/>
    <w:pPr>
      <w:ind w:firstLine="544"/>
    </w:pPr>
    <w:rPr>
      <w:rFonts w:cs="Times New Roman"/>
      <w:szCs w:val="20"/>
    </w:rPr>
  </w:style>
  <w:style w:type="paragraph" w:customStyle="1" w:styleId="70">
    <w:name w:val="样式 标题 1 + 首行缩进:  2 字符"/>
    <w:basedOn w:val="4"/>
    <w:qFormat/>
    <w:uiPriority w:val="0"/>
    <w:pPr>
      <w:ind w:firstLine="200" w:firstLineChars="200"/>
      <w:jc w:val="center"/>
    </w:pPr>
    <w:rPr>
      <w:rFonts w:cs="宋体"/>
      <w:szCs w:val="20"/>
    </w:rPr>
  </w:style>
  <w:style w:type="paragraph" w:customStyle="1" w:styleId="71">
    <w:name w:val="正文 + 首行缩进:  2 字符"/>
    <w:basedOn w:val="1"/>
    <w:qFormat/>
    <w:uiPriority w:val="0"/>
    <w:pPr>
      <w:spacing w:line="480" w:lineRule="exact"/>
      <w:ind w:firstLine="200" w:firstLineChars="200"/>
      <w:jc w:val="left"/>
    </w:pPr>
    <w:rPr>
      <w:snapToGrid w:val="0"/>
      <w:kern w:val="0"/>
      <w:sz w:val="24"/>
    </w:rPr>
  </w:style>
  <w:style w:type="paragraph" w:customStyle="1" w:styleId="72">
    <w:name w:val="11111"/>
    <w:basedOn w:val="1"/>
    <w:next w:val="1"/>
    <w:qFormat/>
    <w:uiPriority w:val="0"/>
    <w:pPr>
      <w:spacing w:line="360" w:lineRule="auto"/>
      <w:ind w:firstLine="200" w:firstLineChars="200"/>
    </w:pPr>
    <w:rPr>
      <w:rFonts w:hAnsi="宋体" w:cs="宋体"/>
    </w:rPr>
  </w:style>
  <w:style w:type="paragraph" w:customStyle="1" w:styleId="73">
    <w:name w:val="xl27"/>
    <w:basedOn w:val="1"/>
    <w:next w:val="1"/>
    <w:qFormat/>
    <w:uiPriority w:val="0"/>
    <w:pPr>
      <w:pBdr>
        <w:top w:val="single" w:color="auto" w:sz="8" w:space="0"/>
        <w:left w:val="single" w:color="auto" w:sz="8" w:space="0"/>
        <w:right w:val="single" w:color="auto" w:sz="8" w:space="0"/>
      </w:pBdr>
      <w:spacing w:before="100" w:beforeAutospacing="1" w:after="100" w:afterAutospacing="1"/>
      <w:jc w:val="center"/>
      <w:textAlignment w:val="center"/>
    </w:pPr>
    <w:rPr>
      <w:rFonts w:ascii="Arial Unicode MS" w:hAnsi="Arial Unicode MS" w:eastAsia="Arial Unicode MS"/>
      <w:kern w:val="0"/>
      <w:sz w:val="22"/>
    </w:rPr>
  </w:style>
  <w:style w:type="paragraph" w:customStyle="1" w:styleId="74">
    <w:name w:val="样式3"/>
    <w:basedOn w:val="5"/>
    <w:next w:val="19"/>
    <w:qFormat/>
    <w:uiPriority w:val="0"/>
    <w:pPr>
      <w:spacing w:before="156" w:beforeLines="50" w:after="156" w:afterLines="50" w:line="500" w:lineRule="exact"/>
      <w:jc w:val="both"/>
      <w:outlineLvl w:val="0"/>
    </w:pPr>
    <w:rPr>
      <w:rFonts w:ascii="黑体" w:cs="Times New Roman"/>
      <w:szCs w:val="28"/>
      <w:lang w:val="zh-CN" w:eastAsia="zh-CN"/>
    </w:rPr>
  </w:style>
  <w:style w:type="character" w:customStyle="1" w:styleId="75">
    <w:name w:val="标题 1 字符"/>
    <w:link w:val="4"/>
    <w:qFormat/>
    <w:uiPriority w:val="0"/>
    <w:rPr>
      <w:rFonts w:ascii="Times New Roman" w:hAnsi="Times New Roman" w:eastAsia="宋体" w:cs="宋体"/>
      <w:b/>
      <w:kern w:val="0"/>
      <w:sz w:val="36"/>
      <w:szCs w:val="24"/>
      <w:lang w:val="en-US" w:eastAsia="zh-CN" w:bidi="ar-SA"/>
    </w:rPr>
  </w:style>
  <w:style w:type="character" w:customStyle="1" w:styleId="76">
    <w:name w:val="标题 2 字符"/>
    <w:link w:val="5"/>
    <w:qFormat/>
    <w:uiPriority w:val="0"/>
    <w:rPr>
      <w:rFonts w:ascii="Times New Roman" w:hAnsi="Times New Roman" w:eastAsia="宋体" w:cs="Times New Roman"/>
      <w:b/>
      <w:bCs/>
      <w:snapToGrid w:val="0"/>
      <w:color w:val="auto"/>
      <w:kern w:val="0"/>
      <w:sz w:val="32"/>
      <w:szCs w:val="32"/>
      <w:highlight w:val="none"/>
      <w:lang w:val="en-US" w:eastAsia="zh-CN" w:bidi="ar-SA"/>
    </w:rPr>
  </w:style>
  <w:style w:type="character" w:customStyle="1" w:styleId="77">
    <w:name w:val="标题 3 字符"/>
    <w:link w:val="7"/>
    <w:qFormat/>
    <w:uiPriority w:val="0"/>
    <w:rPr>
      <w:rFonts w:ascii="Times New Roman" w:hAnsi="Times New Roman" w:eastAsia="宋体" w:cs="Times New Roman"/>
      <w:b/>
      <w:bCs/>
      <w:color w:val="auto"/>
      <w:kern w:val="2"/>
      <w:sz w:val="28"/>
      <w:szCs w:val="21"/>
      <w:highlight w:val="none"/>
      <w:lang w:val="en-US" w:eastAsia="zh-CN" w:bidi="ar-SA"/>
    </w:rPr>
  </w:style>
  <w:style w:type="character" w:customStyle="1" w:styleId="78">
    <w:name w:val="标题 字符"/>
    <w:basedOn w:val="50"/>
    <w:link w:val="44"/>
    <w:qFormat/>
    <w:uiPriority w:val="0"/>
    <w:rPr>
      <w:rFonts w:ascii="Times New Roman" w:hAnsi="Times New Roman" w:eastAsia="黑体" w:cstheme="majorBidi"/>
      <w:bCs/>
      <w:sz w:val="24"/>
      <w:szCs w:val="32"/>
    </w:rPr>
  </w:style>
  <w:style w:type="paragraph" w:customStyle="1" w:styleId="79">
    <w:name w:val="表头"/>
    <w:basedOn w:val="1"/>
    <w:next w:val="1"/>
    <w:link w:val="81"/>
    <w:qFormat/>
    <w:uiPriority w:val="0"/>
    <w:pPr>
      <w:jc w:val="center"/>
    </w:pPr>
    <w:rPr>
      <w:rFonts w:eastAsia="黑体"/>
    </w:rPr>
  </w:style>
  <w:style w:type="paragraph" w:customStyle="1" w:styleId="80">
    <w:name w:val="表中文字"/>
    <w:basedOn w:val="79"/>
    <w:link w:val="82"/>
    <w:qFormat/>
    <w:uiPriority w:val="0"/>
    <w:rPr>
      <w:rFonts w:eastAsia="宋体"/>
      <w:sz w:val="21"/>
    </w:rPr>
  </w:style>
  <w:style w:type="character" w:customStyle="1" w:styleId="81">
    <w:name w:val="表头 字符"/>
    <w:basedOn w:val="50"/>
    <w:link w:val="79"/>
    <w:qFormat/>
    <w:uiPriority w:val="0"/>
    <w:rPr>
      <w:rFonts w:ascii="Times New Roman" w:hAnsi="Times New Roman" w:eastAsia="黑体"/>
      <w:sz w:val="24"/>
    </w:rPr>
  </w:style>
  <w:style w:type="character" w:customStyle="1" w:styleId="82">
    <w:name w:val="表中文字 字符"/>
    <w:basedOn w:val="81"/>
    <w:link w:val="80"/>
    <w:qFormat/>
    <w:uiPriority w:val="0"/>
    <w:rPr>
      <w:rFonts w:ascii="Times New Roman" w:hAnsi="Times New Roman" w:eastAsia="宋体"/>
      <w:sz w:val="24"/>
    </w:rPr>
  </w:style>
  <w:style w:type="character" w:customStyle="1" w:styleId="83">
    <w:name w:val="页眉 字符"/>
    <w:basedOn w:val="50"/>
    <w:link w:val="21"/>
    <w:qFormat/>
    <w:uiPriority w:val="99"/>
    <w:rPr>
      <w:rFonts w:ascii="Times New Roman" w:hAnsi="Times New Roman" w:eastAsia="宋体"/>
      <w:sz w:val="18"/>
      <w:szCs w:val="18"/>
    </w:rPr>
  </w:style>
  <w:style w:type="character" w:customStyle="1" w:styleId="84">
    <w:name w:val="页脚 字符"/>
    <w:basedOn w:val="50"/>
    <w:link w:val="30"/>
    <w:qFormat/>
    <w:uiPriority w:val="99"/>
    <w:rPr>
      <w:rFonts w:ascii="Times New Roman" w:hAnsi="Times New Roman" w:eastAsia="宋体"/>
      <w:sz w:val="18"/>
      <w:szCs w:val="18"/>
    </w:rPr>
  </w:style>
  <w:style w:type="table" w:customStyle="1" w:styleId="85">
    <w:name w:val="样式1"/>
    <w:basedOn w:val="48"/>
    <w:qFormat/>
    <w:uiPriority w:val="99"/>
    <w:tblPr>
      <w:tblBorders>
        <w:top w:val="single" w:color="auto" w:sz="4" w:space="0"/>
        <w:bottom w:val="single" w:color="auto" w:sz="4" w:space="0"/>
        <w:insideH w:val="single" w:color="auto" w:sz="4" w:space="0"/>
        <w:insideV w:val="single" w:color="auto" w:sz="4" w:space="0"/>
      </w:tblBorders>
    </w:tblPr>
  </w:style>
  <w:style w:type="character" w:customStyle="1" w:styleId="86">
    <w:name w:val="标题 4 字符"/>
    <w:basedOn w:val="50"/>
    <w:link w:val="8"/>
    <w:qFormat/>
    <w:uiPriority w:val="0"/>
    <w:rPr>
      <w:rFonts w:ascii="Times New Roman" w:hAnsi="Times New Roman" w:eastAsia="宋体" w:cs="Times New Roman"/>
      <w:b/>
      <w:kern w:val="0"/>
      <w:sz w:val="24"/>
      <w:szCs w:val="20"/>
      <w:lang w:val="zh-CN" w:eastAsia="zh-CN"/>
    </w:rPr>
  </w:style>
  <w:style w:type="character" w:customStyle="1" w:styleId="87">
    <w:name w:val="标题 5 字符"/>
    <w:basedOn w:val="50"/>
    <w:link w:val="9"/>
    <w:qFormat/>
    <w:uiPriority w:val="0"/>
    <w:rPr>
      <w:rFonts w:ascii="Times New Roman" w:hAnsi="Times New Roman" w:eastAsia="宋体" w:cs="Times New Roman"/>
      <w:b/>
      <w:sz w:val="28"/>
      <w:szCs w:val="20"/>
      <w:lang w:val="zh-CN" w:eastAsia="zh-CN"/>
    </w:rPr>
  </w:style>
  <w:style w:type="character" w:customStyle="1" w:styleId="88">
    <w:name w:val="标题 6 字符"/>
    <w:basedOn w:val="50"/>
    <w:link w:val="10"/>
    <w:qFormat/>
    <w:uiPriority w:val="0"/>
    <w:rPr>
      <w:rFonts w:ascii="Arial" w:hAnsi="Arial" w:eastAsia="黑体" w:cs="Times New Roman"/>
      <w:b/>
      <w:sz w:val="24"/>
      <w:szCs w:val="20"/>
      <w:lang w:val="zh-CN" w:eastAsia="zh-CN"/>
    </w:rPr>
  </w:style>
  <w:style w:type="character" w:customStyle="1" w:styleId="89">
    <w:name w:val="标题 7 字符"/>
    <w:basedOn w:val="50"/>
    <w:link w:val="11"/>
    <w:qFormat/>
    <w:uiPriority w:val="0"/>
    <w:rPr>
      <w:rFonts w:ascii="Times New Roman" w:hAnsi="Times New Roman" w:eastAsia="宋体" w:cs="Times New Roman"/>
      <w:b/>
      <w:sz w:val="24"/>
      <w:szCs w:val="20"/>
      <w:lang w:val="zh-CN" w:eastAsia="zh-CN"/>
    </w:rPr>
  </w:style>
  <w:style w:type="character" w:customStyle="1" w:styleId="90">
    <w:name w:val="标题 8 字符"/>
    <w:basedOn w:val="50"/>
    <w:link w:val="12"/>
    <w:qFormat/>
    <w:uiPriority w:val="0"/>
    <w:rPr>
      <w:rFonts w:ascii="Arial" w:hAnsi="Arial" w:eastAsia="黑体" w:cs="Times New Roman"/>
      <w:sz w:val="24"/>
      <w:szCs w:val="20"/>
      <w:lang w:val="zh-CN" w:eastAsia="zh-CN"/>
    </w:rPr>
  </w:style>
  <w:style w:type="character" w:customStyle="1" w:styleId="91">
    <w:name w:val="标题 9 字符"/>
    <w:basedOn w:val="50"/>
    <w:link w:val="13"/>
    <w:qFormat/>
    <w:uiPriority w:val="0"/>
    <w:rPr>
      <w:rFonts w:ascii="Arial" w:hAnsi="Arial" w:eastAsia="黑体" w:cs="Times New Roman"/>
      <w:szCs w:val="20"/>
      <w:lang w:val="zh-CN" w:eastAsia="zh-CN"/>
    </w:rPr>
  </w:style>
  <w:style w:type="character" w:customStyle="1" w:styleId="92">
    <w:name w:val="正文文本最新 Char Char Char Char Char Char Char"/>
    <w:qFormat/>
    <w:uiPriority w:val="0"/>
    <w:rPr>
      <w:rFonts w:eastAsia="宋体"/>
      <w:kern w:val="2"/>
      <w:sz w:val="28"/>
      <w:lang w:val="en-US" w:eastAsia="zh-CN"/>
    </w:rPr>
  </w:style>
  <w:style w:type="character" w:customStyle="1" w:styleId="93">
    <w:name w:val="【正文】 Char"/>
    <w:link w:val="94"/>
    <w:qFormat/>
    <w:uiPriority w:val="0"/>
    <w:rPr>
      <w:rFonts w:ascii="宋体" w:hAnsi="宋体" w:eastAsia="宋体" w:cs="宋体"/>
      <w:kern w:val="0"/>
      <w:sz w:val="24"/>
      <w:szCs w:val="24"/>
    </w:rPr>
  </w:style>
  <w:style w:type="paragraph" w:customStyle="1" w:styleId="94">
    <w:name w:val="【正文】"/>
    <w:basedOn w:val="1"/>
    <w:link w:val="93"/>
    <w:qFormat/>
    <w:uiPriority w:val="0"/>
    <w:pPr>
      <w:spacing w:line="360" w:lineRule="auto"/>
      <w:ind w:firstLine="200" w:firstLineChars="200"/>
      <w:jc w:val="both"/>
    </w:pPr>
  </w:style>
  <w:style w:type="character" w:customStyle="1" w:styleId="95">
    <w:name w:val="表格标题 Char Char"/>
    <w:link w:val="96"/>
    <w:qFormat/>
    <w:uiPriority w:val="0"/>
    <w:rPr>
      <w:rFonts w:ascii="宋体" w:hAnsi="宋体"/>
      <w:sz w:val="24"/>
    </w:rPr>
  </w:style>
  <w:style w:type="paragraph" w:customStyle="1" w:styleId="96">
    <w:name w:val="表格标题"/>
    <w:basedOn w:val="1"/>
    <w:link w:val="95"/>
    <w:qFormat/>
    <w:uiPriority w:val="0"/>
    <w:rPr>
      <w:rFonts w:eastAsiaTheme="minorEastAsia"/>
    </w:rPr>
  </w:style>
  <w:style w:type="character" w:customStyle="1" w:styleId="97">
    <w:name w:val="标题 1 Char Char Char"/>
    <w:qFormat/>
    <w:uiPriority w:val="0"/>
    <w:rPr>
      <w:rFonts w:ascii="Times New Roman" w:hAnsi="Times New Roman"/>
      <w:b/>
      <w:kern w:val="44"/>
      <w:sz w:val="44"/>
    </w:rPr>
  </w:style>
  <w:style w:type="character" w:customStyle="1" w:styleId="98">
    <w:name w:val="hover73"/>
    <w:qFormat/>
    <w:uiPriority w:val="0"/>
    <w:rPr>
      <w:rFonts w:ascii="Times New Roman" w:hAnsi="Times New Roman"/>
      <w:color w:val="BA0000"/>
      <w:szCs w:val="20"/>
    </w:rPr>
  </w:style>
  <w:style w:type="character" w:customStyle="1" w:styleId="99">
    <w:name w:val="表文字居中 Char Char"/>
    <w:link w:val="100"/>
    <w:qFormat/>
    <w:uiPriority w:val="0"/>
    <w:rPr>
      <w:rFonts w:ascii="Arial" w:hAnsi="Arial"/>
    </w:rPr>
  </w:style>
  <w:style w:type="paragraph" w:customStyle="1" w:styleId="100">
    <w:name w:val="表文字居中"/>
    <w:link w:val="99"/>
    <w:qFormat/>
    <w:uiPriority w:val="0"/>
    <w:pPr>
      <w:adjustRightInd w:val="0"/>
      <w:spacing w:line="360" w:lineRule="auto"/>
      <w:jc w:val="center"/>
    </w:pPr>
    <w:rPr>
      <w:rFonts w:ascii="Arial" w:hAnsi="Arial" w:eastAsiaTheme="minorEastAsia" w:cstheme="minorBidi"/>
      <w:kern w:val="2"/>
      <w:sz w:val="21"/>
      <w:szCs w:val="22"/>
      <w:lang w:val="en-US" w:eastAsia="zh-CN" w:bidi="ar-SA"/>
    </w:rPr>
  </w:style>
  <w:style w:type="character" w:customStyle="1" w:styleId="101">
    <w:name w:val="HTML 预设格式 字符"/>
    <w:link w:val="41"/>
    <w:qFormat/>
    <w:uiPriority w:val="0"/>
    <w:rPr>
      <w:rFonts w:ascii="宋体" w:hAnsi="宋体"/>
      <w:sz w:val="24"/>
    </w:rPr>
  </w:style>
  <w:style w:type="character" w:customStyle="1" w:styleId="102">
    <w:name w:val="标题 6 Char1"/>
    <w:qFormat/>
    <w:uiPriority w:val="0"/>
    <w:rPr>
      <w:rFonts w:ascii="Cambria" w:hAnsi="Cambria" w:eastAsia="宋体" w:cs="Times New Roman"/>
      <w:b/>
      <w:bCs/>
      <w:kern w:val="2"/>
      <w:sz w:val="24"/>
      <w:szCs w:val="24"/>
    </w:rPr>
  </w:style>
  <w:style w:type="character" w:customStyle="1" w:styleId="103">
    <w:name w:val="font41"/>
    <w:qFormat/>
    <w:uiPriority w:val="0"/>
    <w:rPr>
      <w:rFonts w:hint="eastAsia" w:ascii="宋体" w:hAnsi="宋体" w:eastAsia="宋体" w:cs="宋体"/>
      <w:b/>
      <w:color w:val="000000"/>
      <w:sz w:val="20"/>
      <w:szCs w:val="20"/>
      <w:u w:val="none"/>
    </w:rPr>
  </w:style>
  <w:style w:type="character" w:customStyle="1" w:styleId="104">
    <w:name w:val="正文文本缩进 2 Char1"/>
    <w:qFormat/>
    <w:uiPriority w:val="0"/>
    <w:rPr>
      <w:kern w:val="2"/>
      <w:sz w:val="21"/>
    </w:rPr>
  </w:style>
  <w:style w:type="character" w:customStyle="1" w:styleId="105">
    <w:name w:val="标题 2 Char Char"/>
    <w:qFormat/>
    <w:uiPriority w:val="0"/>
    <w:rPr>
      <w:rFonts w:ascii="Cambria" w:hAnsi="Cambria" w:eastAsia="宋体" w:cs="Times New Roman"/>
      <w:b/>
      <w:bCs/>
      <w:kern w:val="2"/>
      <w:sz w:val="32"/>
      <w:szCs w:val="32"/>
    </w:rPr>
  </w:style>
  <w:style w:type="character" w:customStyle="1" w:styleId="106">
    <w:name w:val="highlight1"/>
    <w:qFormat/>
    <w:uiPriority w:val="0"/>
    <w:rPr>
      <w:sz w:val="19"/>
    </w:rPr>
  </w:style>
  <w:style w:type="character" w:customStyle="1" w:styleId="107">
    <w:name w:val="正文文本缩进 3 Char1"/>
    <w:qFormat/>
    <w:uiPriority w:val="0"/>
    <w:rPr>
      <w:kern w:val="2"/>
      <w:sz w:val="16"/>
      <w:szCs w:val="16"/>
    </w:rPr>
  </w:style>
  <w:style w:type="character" w:customStyle="1" w:styleId="108">
    <w:name w:val="ourfont2"/>
    <w:qFormat/>
    <w:uiPriority w:val="0"/>
  </w:style>
  <w:style w:type="character" w:customStyle="1" w:styleId="109">
    <w:name w:val="页脚 Char1"/>
    <w:qFormat/>
    <w:uiPriority w:val="0"/>
    <w:rPr>
      <w:kern w:val="2"/>
      <w:sz w:val="18"/>
      <w:szCs w:val="18"/>
    </w:rPr>
  </w:style>
  <w:style w:type="character" w:customStyle="1" w:styleId="110">
    <w:name w:val="l181"/>
    <w:qFormat/>
    <w:uiPriority w:val="0"/>
  </w:style>
  <w:style w:type="character" w:customStyle="1" w:styleId="111">
    <w:name w:val="正文首行缩进 Char Char Char"/>
    <w:link w:val="112"/>
    <w:qFormat/>
    <w:uiPriority w:val="0"/>
    <w:rPr>
      <w:rFonts w:ascii="Calibri" w:hAnsi="Calibri" w:eastAsia="宋体"/>
    </w:rPr>
  </w:style>
  <w:style w:type="paragraph" w:customStyle="1" w:styleId="112">
    <w:name w:val="正文首行缩进1"/>
    <w:basedOn w:val="19"/>
    <w:link w:val="111"/>
    <w:qFormat/>
    <w:uiPriority w:val="0"/>
    <w:pPr>
      <w:spacing w:before="78" w:beforeLines="25" w:after="78" w:afterLines="25"/>
      <w:ind w:firstLine="420" w:firstLineChars="100"/>
    </w:pPr>
    <w:rPr>
      <w:rFonts w:ascii="Calibri" w:hAnsi="Calibri"/>
      <w:sz w:val="21"/>
    </w:rPr>
  </w:style>
  <w:style w:type="character" w:customStyle="1" w:styleId="113">
    <w:name w:val="样式 正文缩进首行缩进两字identication表正文正文非缩进 + 段前: 0.25 行 段后: 0.25 行 Char Char Char Char Char"/>
    <w:link w:val="114"/>
    <w:qFormat/>
    <w:uiPriority w:val="0"/>
    <w:rPr>
      <w:rFonts w:ascii="宋体" w:hAnsi="Courier New" w:cs="宋体"/>
      <w:spacing w:val="-2"/>
      <w:kern w:val="10"/>
      <w:sz w:val="24"/>
    </w:rPr>
  </w:style>
  <w:style w:type="paragraph" w:customStyle="1" w:styleId="114">
    <w:name w:val="样式 正文缩进首行缩进两字identication表正文正文非缩进 + 段前: 0.25 行 段后: 0.25 行"/>
    <w:basedOn w:val="6"/>
    <w:link w:val="113"/>
    <w:qFormat/>
    <w:uiPriority w:val="0"/>
    <w:pPr>
      <w:overflowPunct w:val="0"/>
      <w:autoSpaceDN w:val="0"/>
      <w:adjustRightInd w:val="0"/>
      <w:snapToGrid w:val="0"/>
      <w:spacing w:before="78" w:beforeLines="25" w:after="78" w:afterLines="25" w:line="360" w:lineRule="auto"/>
      <w:ind w:firstLine="482"/>
    </w:pPr>
    <w:rPr>
      <w:rFonts w:hAnsi="Courier New"/>
      <w:spacing w:val="-2"/>
      <w:kern w:val="10"/>
      <w:sz w:val="24"/>
    </w:rPr>
  </w:style>
  <w:style w:type="character" w:customStyle="1" w:styleId="115">
    <w:name w:val="p141"/>
    <w:qFormat/>
    <w:uiPriority w:val="0"/>
    <w:rPr>
      <w:color w:val="333333"/>
      <w:sz w:val="20"/>
    </w:rPr>
  </w:style>
  <w:style w:type="character" w:customStyle="1" w:styleId="116">
    <w:name w:val="表体 Char Char"/>
    <w:qFormat/>
    <w:uiPriority w:val="0"/>
    <w:rPr>
      <w:rFonts w:eastAsia="仿宋_GB2312"/>
      <w:sz w:val="24"/>
      <w:lang w:val="en-US" w:eastAsia="zh-CN"/>
    </w:rPr>
  </w:style>
  <w:style w:type="character" w:customStyle="1" w:styleId="117">
    <w:name w:val="章节标题 Char1"/>
    <w:qFormat/>
    <w:uiPriority w:val="0"/>
    <w:rPr>
      <w:b/>
      <w:bCs/>
      <w:kern w:val="44"/>
      <w:sz w:val="44"/>
      <w:szCs w:val="44"/>
    </w:rPr>
  </w:style>
  <w:style w:type="character" w:customStyle="1" w:styleId="118">
    <w:name w:val="道路正文 Char"/>
    <w:link w:val="119"/>
    <w:qFormat/>
    <w:uiPriority w:val="0"/>
    <w:rPr>
      <w:rFonts w:ascii="Times New Roman" w:hAnsi="Times New Roman"/>
      <w:sz w:val="24"/>
      <w:szCs w:val="20"/>
    </w:rPr>
  </w:style>
  <w:style w:type="paragraph" w:customStyle="1" w:styleId="119">
    <w:name w:val="道路正文"/>
    <w:basedOn w:val="1"/>
    <w:link w:val="118"/>
    <w:qFormat/>
    <w:uiPriority w:val="0"/>
    <w:pPr>
      <w:spacing w:line="500" w:lineRule="exact"/>
    </w:pPr>
    <w:rPr>
      <w:rFonts w:eastAsiaTheme="minorEastAsia"/>
      <w:szCs w:val="20"/>
    </w:rPr>
  </w:style>
  <w:style w:type="character" w:customStyle="1" w:styleId="120">
    <w:name w:val="日期 Char1"/>
    <w:qFormat/>
    <w:uiPriority w:val="0"/>
    <w:rPr>
      <w:kern w:val="2"/>
      <w:sz w:val="21"/>
    </w:rPr>
  </w:style>
  <w:style w:type="character" w:customStyle="1" w:styleId="121">
    <w:name w:val="font11"/>
    <w:basedOn w:val="50"/>
    <w:qFormat/>
    <w:uiPriority w:val="0"/>
    <w:rPr>
      <w:rFonts w:hint="eastAsia" w:ascii="宋体" w:hAnsi="宋体" w:eastAsia="宋体" w:cs="宋体"/>
      <w:b/>
      <w:color w:val="000000"/>
      <w:sz w:val="20"/>
      <w:szCs w:val="20"/>
      <w:u w:val="none"/>
    </w:rPr>
  </w:style>
  <w:style w:type="character" w:customStyle="1" w:styleId="122">
    <w:name w:val="正文(首行缩进) Char Char"/>
    <w:link w:val="123"/>
    <w:qFormat/>
    <w:uiPriority w:val="0"/>
    <w:rPr>
      <w:sz w:val="24"/>
      <w:szCs w:val="24"/>
    </w:rPr>
  </w:style>
  <w:style w:type="paragraph" w:customStyle="1" w:styleId="123">
    <w:name w:val="正文(首行缩进)"/>
    <w:basedOn w:val="1"/>
    <w:link w:val="122"/>
    <w:qFormat/>
    <w:uiPriority w:val="99"/>
    <w:pPr>
      <w:ind w:firstLine="200"/>
    </w:pPr>
    <w:rPr>
      <w:rFonts w:asciiTheme="minorHAnsi" w:hAnsiTheme="minorHAnsi" w:eastAsiaTheme="minorEastAsia"/>
    </w:rPr>
  </w:style>
  <w:style w:type="character" w:customStyle="1" w:styleId="124">
    <w:name w:val="正文文本 Char Char Char"/>
    <w:qFormat/>
    <w:uiPriority w:val="0"/>
    <w:rPr>
      <w:rFonts w:ascii="Calibri" w:hAnsi="Calibri" w:eastAsia="宋体"/>
      <w:kern w:val="2"/>
      <w:sz w:val="21"/>
      <w:szCs w:val="22"/>
      <w:lang w:val="en-US" w:eastAsia="zh-CN" w:bidi="ar-SA"/>
    </w:rPr>
  </w:style>
  <w:style w:type="character" w:customStyle="1" w:styleId="125">
    <w:name w:val="正文文本缩进 字符"/>
    <w:link w:val="20"/>
    <w:qFormat/>
    <w:uiPriority w:val="99"/>
    <w:rPr>
      <w:rFonts w:ascii="宋体" w:hAnsi="宋体"/>
      <w:sz w:val="28"/>
    </w:rPr>
  </w:style>
  <w:style w:type="character" w:customStyle="1" w:styleId="126">
    <w:name w:val="纯文本 Char Char"/>
    <w:qFormat/>
    <w:uiPriority w:val="0"/>
    <w:rPr>
      <w:rFonts w:ascii="宋体" w:hAnsi="Courier New" w:cs="Courier New"/>
      <w:kern w:val="2"/>
      <w:sz w:val="21"/>
      <w:szCs w:val="21"/>
    </w:rPr>
  </w:style>
  <w:style w:type="character" w:customStyle="1" w:styleId="127">
    <w:name w:val="页眉 Char1"/>
    <w:qFormat/>
    <w:uiPriority w:val="0"/>
    <w:rPr>
      <w:kern w:val="2"/>
      <w:sz w:val="18"/>
      <w:szCs w:val="18"/>
    </w:rPr>
  </w:style>
  <w:style w:type="character" w:customStyle="1" w:styleId="128">
    <w:name w:val="Char Char1"/>
    <w:qFormat/>
    <w:uiPriority w:val="0"/>
    <w:rPr>
      <w:rFonts w:hint="eastAsia" w:ascii="宋体" w:hAnsi="宋体" w:eastAsia="宋体"/>
      <w:kern w:val="2"/>
      <w:sz w:val="28"/>
      <w:lang w:val="en-US" w:eastAsia="zh-CN"/>
    </w:rPr>
  </w:style>
  <w:style w:type="character" w:customStyle="1" w:styleId="129">
    <w:name w:val="纯文本 Char Char Char"/>
    <w:qFormat/>
    <w:uiPriority w:val="0"/>
    <w:rPr>
      <w:rFonts w:ascii="宋体" w:hAnsi="Courier New"/>
      <w:kern w:val="2"/>
      <w:sz w:val="21"/>
    </w:rPr>
  </w:style>
  <w:style w:type="character" w:customStyle="1" w:styleId="130">
    <w:name w:val="标题 6 Char Char"/>
    <w:qFormat/>
    <w:uiPriority w:val="0"/>
    <w:rPr>
      <w:rFonts w:ascii="Arial" w:hAnsi="Arial" w:eastAsia="黑体"/>
      <w:b/>
      <w:kern w:val="2"/>
      <w:sz w:val="24"/>
    </w:rPr>
  </w:style>
  <w:style w:type="character" w:customStyle="1" w:styleId="131">
    <w:name w:val="Section Char"/>
    <w:qFormat/>
    <w:uiPriority w:val="0"/>
    <w:rPr>
      <w:rFonts w:eastAsia="黑体"/>
      <w:b/>
      <w:kern w:val="2"/>
      <w:sz w:val="28"/>
      <w:lang w:val="en-US" w:eastAsia="zh-CN"/>
    </w:rPr>
  </w:style>
  <w:style w:type="character" w:customStyle="1" w:styleId="132">
    <w:name w:val="报告书正文 Char Char"/>
    <w:qFormat/>
    <w:uiPriority w:val="0"/>
    <w:rPr>
      <w:rFonts w:eastAsia="宋体"/>
      <w:kern w:val="2"/>
      <w:sz w:val="24"/>
      <w:lang w:val="en-US" w:eastAsia="zh-CN"/>
    </w:rPr>
  </w:style>
  <w:style w:type="character" w:customStyle="1" w:styleId="133">
    <w:name w:val="正文道路 Char"/>
    <w:link w:val="134"/>
    <w:qFormat/>
    <w:uiPriority w:val="0"/>
    <w:rPr>
      <w:rFonts w:ascii="宋体" w:hAnsi="Times New Roman"/>
      <w:color w:val="000000"/>
      <w:sz w:val="24"/>
      <w:szCs w:val="20"/>
    </w:rPr>
  </w:style>
  <w:style w:type="paragraph" w:customStyle="1" w:styleId="134">
    <w:name w:val="正文道路"/>
    <w:basedOn w:val="1"/>
    <w:link w:val="133"/>
    <w:qFormat/>
    <w:uiPriority w:val="0"/>
    <w:pPr>
      <w:spacing w:line="500" w:lineRule="exact"/>
      <w:ind w:right="-25"/>
    </w:pPr>
    <w:rPr>
      <w:rFonts w:eastAsiaTheme="minorEastAsia"/>
      <w:color w:val="000000"/>
      <w:szCs w:val="20"/>
    </w:rPr>
  </w:style>
  <w:style w:type="character" w:customStyle="1" w:styleId="135">
    <w:name w:val="页眉 Char Char Char"/>
    <w:qFormat/>
    <w:uiPriority w:val="0"/>
    <w:rPr>
      <w:rFonts w:ascii="Calibri" w:hAnsi="Calibri"/>
      <w:sz w:val="18"/>
      <w:szCs w:val="18"/>
    </w:rPr>
  </w:style>
  <w:style w:type="character" w:customStyle="1" w:styleId="136">
    <w:name w:val="标题 9 Char Char"/>
    <w:qFormat/>
    <w:uiPriority w:val="0"/>
    <w:rPr>
      <w:rFonts w:ascii="Arial" w:hAnsi="Arial" w:eastAsia="黑体"/>
      <w:kern w:val="2"/>
      <w:sz w:val="21"/>
    </w:rPr>
  </w:style>
  <w:style w:type="character" w:customStyle="1" w:styleId="137">
    <w:name w:val="text_edit editable-title"/>
    <w:qFormat/>
    <w:uiPriority w:val="0"/>
  </w:style>
  <w:style w:type="character" w:customStyle="1" w:styleId="138">
    <w:name w:val="正文文本 2 Char1"/>
    <w:qFormat/>
    <w:uiPriority w:val="0"/>
    <w:rPr>
      <w:kern w:val="2"/>
      <w:sz w:val="21"/>
    </w:rPr>
  </w:style>
  <w:style w:type="character" w:customStyle="1" w:styleId="139">
    <w:name w:val="样式 正文缩进首行缩进两字identication表正文正文非缩进 + 段前: 0.25 行 段后: 0.25 行 Char Char Char Char"/>
    <w:link w:val="140"/>
    <w:qFormat/>
    <w:uiPriority w:val="0"/>
    <w:rPr>
      <w:rFonts w:ascii="宋体" w:hAnsi="Courier New" w:cs="宋体"/>
      <w:spacing w:val="-2"/>
      <w:kern w:val="10"/>
      <w:sz w:val="24"/>
    </w:rPr>
  </w:style>
  <w:style w:type="paragraph" w:customStyle="1" w:styleId="140">
    <w:name w:val="样式 正文缩进首行缩进两字identication表正文正文非缩进 + 段前: 0.25 行 段后: 0.25 行 Char Char"/>
    <w:basedOn w:val="6"/>
    <w:link w:val="139"/>
    <w:qFormat/>
    <w:uiPriority w:val="0"/>
    <w:pPr>
      <w:overflowPunct w:val="0"/>
      <w:autoSpaceDN w:val="0"/>
      <w:adjustRightInd w:val="0"/>
      <w:snapToGrid w:val="0"/>
      <w:spacing w:before="78" w:beforeLines="25" w:after="78" w:afterLines="25" w:line="360" w:lineRule="auto"/>
      <w:ind w:firstLine="482"/>
    </w:pPr>
    <w:rPr>
      <w:rFonts w:hAnsi="Courier New"/>
      <w:spacing w:val="-2"/>
      <w:kern w:val="10"/>
      <w:sz w:val="24"/>
    </w:rPr>
  </w:style>
  <w:style w:type="character" w:customStyle="1" w:styleId="141">
    <w:name w:val="标题 7 Char1"/>
    <w:qFormat/>
    <w:uiPriority w:val="0"/>
    <w:rPr>
      <w:b/>
      <w:bCs/>
      <w:kern w:val="2"/>
      <w:sz w:val="24"/>
      <w:szCs w:val="24"/>
    </w:rPr>
  </w:style>
  <w:style w:type="character" w:customStyle="1" w:styleId="142">
    <w:name w:val="表格标题采用 Char Char Char"/>
    <w:link w:val="143"/>
    <w:qFormat/>
    <w:uiPriority w:val="0"/>
    <w:rPr>
      <w:rFonts w:ascii="黑体" w:hAnsi="Times New Roman" w:eastAsia="黑体"/>
      <w:szCs w:val="20"/>
    </w:rPr>
  </w:style>
  <w:style w:type="paragraph" w:customStyle="1" w:styleId="143">
    <w:name w:val="表格标题采用"/>
    <w:basedOn w:val="19"/>
    <w:link w:val="142"/>
    <w:qFormat/>
    <w:uiPriority w:val="0"/>
    <w:pPr>
      <w:spacing w:before="78" w:beforeLines="25" w:after="0" w:line="460" w:lineRule="exact"/>
      <w:ind w:firstLine="200"/>
      <w:jc w:val="center"/>
    </w:pPr>
    <w:rPr>
      <w:rFonts w:ascii="黑体" w:eastAsia="黑体"/>
      <w:sz w:val="21"/>
      <w:szCs w:val="20"/>
    </w:rPr>
  </w:style>
  <w:style w:type="character" w:customStyle="1" w:styleId="144">
    <w:name w:val="标题 1 Char Char"/>
    <w:qFormat/>
    <w:uiPriority w:val="0"/>
    <w:rPr>
      <w:b/>
      <w:bCs/>
      <w:kern w:val="44"/>
      <w:sz w:val="44"/>
      <w:szCs w:val="44"/>
    </w:rPr>
  </w:style>
  <w:style w:type="character" w:customStyle="1" w:styleId="145">
    <w:name w:val="正文文本 3 字符"/>
    <w:link w:val="18"/>
    <w:qFormat/>
    <w:uiPriority w:val="0"/>
    <w:rPr>
      <w:rFonts w:ascii="Times New Roman" w:hAnsi="Times New Roman"/>
      <w:sz w:val="16"/>
    </w:rPr>
  </w:style>
  <w:style w:type="character" w:customStyle="1" w:styleId="146">
    <w:name w:val="text11"/>
    <w:qFormat/>
    <w:uiPriority w:val="0"/>
    <w:rPr>
      <w:sz w:val="20"/>
    </w:rPr>
  </w:style>
  <w:style w:type="character" w:customStyle="1" w:styleId="147">
    <w:name w:val="标题 7 Char Char"/>
    <w:qFormat/>
    <w:uiPriority w:val="0"/>
    <w:rPr>
      <w:rFonts w:ascii="Times New Roman" w:hAnsi="Times New Roman"/>
      <w:b/>
      <w:kern w:val="2"/>
      <w:sz w:val="24"/>
    </w:rPr>
  </w:style>
  <w:style w:type="character" w:customStyle="1" w:styleId="148">
    <w:name w:val="四级标题 Char"/>
    <w:link w:val="149"/>
    <w:qFormat/>
    <w:uiPriority w:val="0"/>
    <w:rPr>
      <w:rFonts w:ascii="Times New Roman" w:hAnsi="Times New Roman"/>
      <w:sz w:val="24"/>
      <w:szCs w:val="20"/>
    </w:rPr>
  </w:style>
  <w:style w:type="paragraph" w:customStyle="1" w:styleId="149">
    <w:name w:val="四级标题"/>
    <w:basedOn w:val="1"/>
    <w:link w:val="148"/>
    <w:qFormat/>
    <w:uiPriority w:val="0"/>
    <w:pPr>
      <w:spacing w:line="500" w:lineRule="exact"/>
    </w:pPr>
    <w:rPr>
      <w:rFonts w:eastAsiaTheme="minorEastAsia"/>
      <w:szCs w:val="20"/>
    </w:rPr>
  </w:style>
  <w:style w:type="character" w:customStyle="1" w:styleId="150">
    <w:name w:val="批注框文本 字符"/>
    <w:link w:val="29"/>
    <w:qFormat/>
    <w:uiPriority w:val="0"/>
    <w:rPr>
      <w:rFonts w:ascii="Times New Roman" w:hAnsi="Times New Roman"/>
      <w:sz w:val="18"/>
    </w:rPr>
  </w:style>
  <w:style w:type="character" w:customStyle="1" w:styleId="151">
    <w:name w:val="【表中文字】 Char"/>
    <w:link w:val="152"/>
    <w:qFormat/>
    <w:uiPriority w:val="0"/>
    <w:rPr>
      <w:rFonts w:ascii="Times New Roman" w:hAnsi="Times New Roman" w:eastAsia="宋体"/>
      <w:lang w:val="zh-CN" w:eastAsia="zh-CN"/>
    </w:rPr>
  </w:style>
  <w:style w:type="paragraph" w:customStyle="1" w:styleId="152">
    <w:name w:val="【表中文字】"/>
    <w:basedOn w:val="153"/>
    <w:link w:val="151"/>
    <w:qFormat/>
    <w:uiPriority w:val="0"/>
    <w:pPr>
      <w:jc w:val="center"/>
    </w:pPr>
    <w:rPr>
      <w:sz w:val="21"/>
      <w:lang w:val="zh-CN" w:eastAsia="zh-CN"/>
    </w:rPr>
  </w:style>
  <w:style w:type="paragraph" w:customStyle="1" w:styleId="153">
    <w:name w:val="表格字"/>
    <w:basedOn w:val="33"/>
    <w:qFormat/>
    <w:uiPriority w:val="0"/>
    <w:pPr>
      <w:ind w:left="0" w:firstLine="0" w:firstLineChars="0"/>
      <w:jc w:val="center"/>
    </w:pPr>
  </w:style>
  <w:style w:type="paragraph" w:customStyle="1" w:styleId="154">
    <w:name w:val=".表1-1-1内容"/>
    <w:basedOn w:val="1"/>
    <w:qFormat/>
    <w:uiPriority w:val="0"/>
    <w:pPr>
      <w:spacing w:line="300" w:lineRule="exact"/>
      <w:jc w:val="center"/>
    </w:pPr>
    <w:rPr>
      <w:kern w:val="0"/>
      <w:szCs w:val="21"/>
    </w:rPr>
  </w:style>
  <w:style w:type="character" w:customStyle="1" w:styleId="155">
    <w:name w:val="页码1"/>
    <w:qFormat/>
    <w:uiPriority w:val="0"/>
    <w:rPr>
      <w:rFonts w:ascii="Times New Roman" w:hAnsi="Times New Roman"/>
      <w:szCs w:val="20"/>
    </w:rPr>
  </w:style>
  <w:style w:type="character" w:customStyle="1" w:styleId="156">
    <w:name w:val="正文111 Char Char"/>
    <w:link w:val="157"/>
    <w:qFormat/>
    <w:uiPriority w:val="0"/>
    <w:rPr>
      <w:rFonts w:ascii="Times New Roman" w:hAnsi="Times New Roman" w:eastAsia="黑体"/>
      <w:spacing w:val="6"/>
      <w:sz w:val="24"/>
      <w:szCs w:val="24"/>
    </w:rPr>
  </w:style>
  <w:style w:type="paragraph" w:customStyle="1" w:styleId="157">
    <w:name w:val="正文111"/>
    <w:basedOn w:val="1"/>
    <w:link w:val="156"/>
    <w:qFormat/>
    <w:uiPriority w:val="0"/>
    <w:pPr>
      <w:spacing w:line="500" w:lineRule="exact"/>
      <w:jc w:val="center"/>
    </w:pPr>
    <w:rPr>
      <w:rFonts w:eastAsia="黑体"/>
      <w:spacing w:val="6"/>
    </w:rPr>
  </w:style>
  <w:style w:type="character" w:customStyle="1" w:styleId="158">
    <w:name w:val="标题 5 Char1"/>
    <w:qFormat/>
    <w:uiPriority w:val="0"/>
    <w:rPr>
      <w:b/>
      <w:bCs/>
      <w:kern w:val="2"/>
      <w:sz w:val="28"/>
      <w:szCs w:val="28"/>
    </w:rPr>
  </w:style>
  <w:style w:type="character" w:customStyle="1" w:styleId="159">
    <w:name w:val="标题 8 Char1"/>
    <w:qFormat/>
    <w:uiPriority w:val="0"/>
    <w:rPr>
      <w:rFonts w:ascii="Cambria" w:hAnsi="Cambria" w:eastAsia="宋体" w:cs="Times New Roman"/>
      <w:kern w:val="2"/>
      <w:sz w:val="24"/>
      <w:szCs w:val="24"/>
    </w:rPr>
  </w:style>
  <w:style w:type="character" w:customStyle="1" w:styleId="160">
    <w:name w:val="表 Char Char"/>
    <w:qFormat/>
    <w:uiPriority w:val="0"/>
    <w:rPr>
      <w:rFonts w:eastAsia="宋体"/>
      <w:kern w:val="2"/>
      <w:sz w:val="21"/>
      <w:lang w:val="en-US" w:eastAsia="zh-CN"/>
    </w:rPr>
  </w:style>
  <w:style w:type="character" w:customStyle="1" w:styleId="161">
    <w:name w:val="标题 4 Char Char"/>
    <w:qFormat/>
    <w:uiPriority w:val="0"/>
    <w:rPr>
      <w:rFonts w:ascii="Cambria" w:hAnsi="Cambria" w:eastAsia="宋体" w:cs="Times New Roman"/>
      <w:b/>
      <w:bCs/>
      <w:kern w:val="2"/>
      <w:sz w:val="28"/>
      <w:szCs w:val="28"/>
    </w:rPr>
  </w:style>
  <w:style w:type="character" w:customStyle="1" w:styleId="162">
    <w:name w:val="正文文本 字符"/>
    <w:qFormat/>
    <w:uiPriority w:val="0"/>
    <w:rPr>
      <w:kern w:val="2"/>
      <w:sz w:val="21"/>
      <w:szCs w:val="22"/>
    </w:rPr>
  </w:style>
  <w:style w:type="character" w:customStyle="1" w:styleId="163">
    <w:name w:val="页脚 字符1"/>
    <w:qFormat/>
    <w:uiPriority w:val="99"/>
    <w:rPr>
      <w:sz w:val="18"/>
      <w:szCs w:val="18"/>
    </w:rPr>
  </w:style>
  <w:style w:type="character" w:customStyle="1" w:styleId="164">
    <w:name w:val="正文缩进 Char Char"/>
    <w:qFormat/>
    <w:uiPriority w:val="0"/>
    <w:rPr>
      <w:rFonts w:ascii="Times New Roman" w:hAnsi="Times New Roman"/>
      <w:kern w:val="2"/>
      <w:sz w:val="21"/>
    </w:rPr>
  </w:style>
  <w:style w:type="character" w:customStyle="1" w:styleId="165">
    <w:name w:val="Subtle Emphasis"/>
    <w:qFormat/>
    <w:uiPriority w:val="19"/>
    <w:rPr>
      <w:rFonts w:ascii="Times New Roman" w:hAnsi="Times New Roman"/>
      <w:i/>
      <w:iCs/>
      <w:color w:val="808080"/>
      <w:szCs w:val="20"/>
    </w:rPr>
  </w:style>
  <w:style w:type="character" w:customStyle="1" w:styleId="166">
    <w:name w:val="标题 5 Char Char"/>
    <w:qFormat/>
    <w:uiPriority w:val="0"/>
    <w:rPr>
      <w:rFonts w:ascii="Times New Roman" w:hAnsi="Times New Roman"/>
      <w:b/>
      <w:kern w:val="2"/>
      <w:sz w:val="28"/>
    </w:rPr>
  </w:style>
  <w:style w:type="character" w:customStyle="1" w:styleId="167">
    <w:name w:val="常用标题 4 Char1"/>
    <w:qFormat/>
    <w:uiPriority w:val="0"/>
    <w:rPr>
      <w:rFonts w:ascii="Cambria" w:hAnsi="Cambria" w:eastAsia="宋体" w:cs="Times New Roman"/>
      <w:b/>
      <w:bCs/>
      <w:kern w:val="2"/>
      <w:sz w:val="28"/>
      <w:szCs w:val="28"/>
    </w:rPr>
  </w:style>
  <w:style w:type="character" w:customStyle="1" w:styleId="168">
    <w:name w:val="正文缩进 字符"/>
    <w:link w:val="6"/>
    <w:qFormat/>
    <w:uiPriority w:val="0"/>
    <w:rPr>
      <w:rFonts w:ascii="Times New Roman" w:hAnsi="Times New Roman"/>
    </w:rPr>
  </w:style>
  <w:style w:type="character" w:customStyle="1" w:styleId="169">
    <w:name w:val="正文文本缩进 3 字符"/>
    <w:link w:val="35"/>
    <w:qFormat/>
    <w:uiPriority w:val="0"/>
    <w:rPr>
      <w:rFonts w:ascii="宋体" w:hAnsi="宋体"/>
      <w:sz w:val="24"/>
    </w:rPr>
  </w:style>
  <w:style w:type="character" w:customStyle="1" w:styleId="170">
    <w:name w:val="正文文本 Char1"/>
    <w:qFormat/>
    <w:uiPriority w:val="0"/>
    <w:rPr>
      <w:kern w:val="2"/>
      <w:sz w:val="21"/>
    </w:rPr>
  </w:style>
  <w:style w:type="character" w:customStyle="1" w:styleId="171">
    <w:name w:val="Char Char3"/>
    <w:qFormat/>
    <w:uiPriority w:val="0"/>
    <w:rPr>
      <w:rFonts w:hint="default" w:ascii="Arial" w:hAnsi="Arial" w:eastAsia="黑体" w:cs="Arial"/>
      <w:b/>
      <w:kern w:val="2"/>
      <w:sz w:val="32"/>
      <w:lang w:val="en-US" w:eastAsia="zh-CN"/>
    </w:rPr>
  </w:style>
  <w:style w:type="character" w:customStyle="1" w:styleId="172">
    <w:name w:val="Char Char2"/>
    <w:qFormat/>
    <w:uiPriority w:val="0"/>
    <w:rPr>
      <w:rFonts w:hint="eastAsia" w:ascii="宋体" w:hAnsi="宋体" w:eastAsia="宋体"/>
      <w:b/>
      <w:kern w:val="2"/>
      <w:sz w:val="32"/>
      <w:lang w:val="en-US" w:eastAsia="zh-CN"/>
    </w:rPr>
  </w:style>
  <w:style w:type="character" w:customStyle="1" w:styleId="173">
    <w:name w:val="三级标题道路 Char"/>
    <w:link w:val="174"/>
    <w:qFormat/>
    <w:uiPriority w:val="0"/>
    <w:rPr>
      <w:rFonts w:ascii="黑体" w:hAnsi="黑体" w:eastAsia="黑体" w:cs="黑体"/>
      <w:color w:val="000000"/>
      <w:sz w:val="24"/>
    </w:rPr>
  </w:style>
  <w:style w:type="paragraph" w:customStyle="1" w:styleId="174">
    <w:name w:val="三级标题道路"/>
    <w:basedOn w:val="7"/>
    <w:link w:val="173"/>
    <w:qFormat/>
    <w:uiPriority w:val="0"/>
    <w:pPr>
      <w:keepNext w:val="0"/>
      <w:keepLines w:val="0"/>
      <w:tabs>
        <w:tab w:val="left" w:pos="547"/>
      </w:tabs>
      <w:jc w:val="both"/>
    </w:pPr>
    <w:rPr>
      <w:rFonts w:ascii="黑体" w:hAnsi="黑体" w:cs="黑体"/>
      <w:b w:val="0"/>
      <w:bCs w:val="0"/>
      <w:color w:val="000000"/>
      <w:szCs w:val="22"/>
    </w:rPr>
  </w:style>
  <w:style w:type="character" w:customStyle="1" w:styleId="175">
    <w:name w:val="表格内容 Char Char"/>
    <w:qFormat/>
    <w:uiPriority w:val="0"/>
    <w:rPr>
      <w:rFonts w:ascii="黑体" w:hAnsi="宋体" w:eastAsia="黑体"/>
      <w:w w:val="90"/>
      <w:sz w:val="24"/>
      <w:lang w:val="en-US" w:eastAsia="zh-CN"/>
    </w:rPr>
  </w:style>
  <w:style w:type="character" w:customStyle="1" w:styleId="176">
    <w:name w:val="三级标题 Char"/>
    <w:link w:val="177"/>
    <w:qFormat/>
    <w:uiPriority w:val="0"/>
    <w:rPr>
      <w:rFonts w:eastAsia="黑体" w:cs="黑体"/>
      <w:iCs/>
      <w:color w:val="000000"/>
      <w:sz w:val="24"/>
    </w:rPr>
  </w:style>
  <w:style w:type="paragraph" w:customStyle="1" w:styleId="177">
    <w:name w:val="三级标题"/>
    <w:basedOn w:val="7"/>
    <w:link w:val="176"/>
    <w:qFormat/>
    <w:uiPriority w:val="0"/>
    <w:pPr>
      <w:keepNext w:val="0"/>
      <w:keepLines w:val="0"/>
      <w:tabs>
        <w:tab w:val="left" w:pos="547"/>
      </w:tabs>
      <w:jc w:val="both"/>
    </w:pPr>
    <w:rPr>
      <w:rFonts w:cs="黑体" w:asciiTheme="minorHAnsi" w:hAnsiTheme="minorHAnsi"/>
      <w:b w:val="0"/>
      <w:bCs w:val="0"/>
      <w:iCs/>
      <w:color w:val="000000"/>
      <w:szCs w:val="22"/>
    </w:rPr>
  </w:style>
  <w:style w:type="character" w:customStyle="1" w:styleId="178">
    <w:name w:val="节标题 1.1 Char1"/>
    <w:qFormat/>
    <w:uiPriority w:val="0"/>
    <w:rPr>
      <w:rFonts w:ascii="Cambria" w:hAnsi="Cambria" w:eastAsia="宋体" w:cs="Times New Roman"/>
      <w:b/>
      <w:bCs/>
      <w:kern w:val="2"/>
      <w:sz w:val="32"/>
      <w:szCs w:val="32"/>
    </w:rPr>
  </w:style>
  <w:style w:type="character" w:customStyle="1" w:styleId="179">
    <w:name w:val="正文文本 3 Char1"/>
    <w:qFormat/>
    <w:uiPriority w:val="0"/>
    <w:rPr>
      <w:kern w:val="2"/>
      <w:sz w:val="16"/>
      <w:szCs w:val="16"/>
    </w:rPr>
  </w:style>
  <w:style w:type="character" w:customStyle="1" w:styleId="180">
    <w:name w:val="题注 字符"/>
    <w:link w:val="15"/>
    <w:qFormat/>
    <w:uiPriority w:val="0"/>
    <w:rPr>
      <w:rFonts w:eastAsia="黑体" w:asciiTheme="majorHAnsi" w:hAnsiTheme="majorHAnsi" w:cstheme="majorBidi"/>
      <w:sz w:val="20"/>
      <w:szCs w:val="20"/>
    </w:rPr>
  </w:style>
  <w:style w:type="character" w:customStyle="1" w:styleId="181">
    <w:name w:val="表头1 Char Char"/>
    <w:link w:val="182"/>
    <w:qFormat/>
    <w:uiPriority w:val="0"/>
    <w:rPr>
      <w:rFonts w:ascii="Times New Roman" w:hAnsi="Times New Roman" w:eastAsia="黑体"/>
      <w:szCs w:val="28"/>
    </w:rPr>
  </w:style>
  <w:style w:type="paragraph" w:customStyle="1" w:styleId="182">
    <w:name w:val="表头1"/>
    <w:basedOn w:val="1"/>
    <w:link w:val="181"/>
    <w:qFormat/>
    <w:uiPriority w:val="0"/>
    <w:pPr>
      <w:tabs>
        <w:tab w:val="left" w:pos="605"/>
      </w:tabs>
      <w:jc w:val="center"/>
    </w:pPr>
    <w:rPr>
      <w:rFonts w:eastAsia="黑体"/>
      <w:sz w:val="21"/>
      <w:szCs w:val="28"/>
    </w:rPr>
  </w:style>
  <w:style w:type="character" w:customStyle="1" w:styleId="183">
    <w:name w:val="纯文本 Char Char Char1"/>
    <w:qFormat/>
    <w:uiPriority w:val="0"/>
    <w:rPr>
      <w:rFonts w:ascii="宋体" w:hAnsi="Courier New" w:eastAsia="宋体"/>
      <w:kern w:val="2"/>
      <w:sz w:val="21"/>
      <w:lang w:val="en-US" w:eastAsia="zh-CN"/>
    </w:rPr>
  </w:style>
  <w:style w:type="character" w:customStyle="1" w:styleId="184">
    <w:name w:val="标题 3 Char Char Char1"/>
    <w:qFormat/>
    <w:uiPriority w:val="0"/>
    <w:rPr>
      <w:rFonts w:eastAsia="宋体"/>
      <w:b/>
      <w:sz w:val="28"/>
      <w:lang w:val="en-US" w:eastAsia="zh-CN"/>
    </w:rPr>
  </w:style>
  <w:style w:type="character" w:customStyle="1" w:styleId="185">
    <w:name w:val="正文文本 2 字符"/>
    <w:link w:val="39"/>
    <w:qFormat/>
    <w:uiPriority w:val="0"/>
    <w:rPr>
      <w:rFonts w:ascii="宋体" w:hAnsi="宋体"/>
      <w:sz w:val="28"/>
    </w:rPr>
  </w:style>
  <w:style w:type="character" w:customStyle="1" w:styleId="186">
    <w:name w:val="表文字 Char Char"/>
    <w:link w:val="187"/>
    <w:qFormat/>
    <w:uiPriority w:val="0"/>
    <w:rPr>
      <w:rFonts w:ascii="Times New Roman" w:hAnsi="Times New Roman"/>
      <w:sz w:val="24"/>
    </w:rPr>
  </w:style>
  <w:style w:type="paragraph" w:customStyle="1" w:styleId="187">
    <w:name w:val="表文字"/>
    <w:basedOn w:val="1"/>
    <w:link w:val="186"/>
    <w:qFormat/>
    <w:uiPriority w:val="0"/>
    <w:pPr>
      <w:overflowPunct w:val="0"/>
      <w:autoSpaceDE w:val="0"/>
      <w:autoSpaceDN w:val="0"/>
      <w:spacing w:line="240" w:lineRule="atLeast"/>
      <w:jc w:val="center"/>
      <w:textAlignment w:val="baseline"/>
    </w:pPr>
    <w:rPr>
      <w:rFonts w:eastAsiaTheme="minorEastAsia"/>
    </w:rPr>
  </w:style>
  <w:style w:type="character" w:customStyle="1" w:styleId="188">
    <w:name w:val="标题 3 Char Char"/>
    <w:qFormat/>
    <w:uiPriority w:val="0"/>
    <w:rPr>
      <w:b/>
      <w:bCs/>
      <w:kern w:val="2"/>
      <w:sz w:val="32"/>
      <w:szCs w:val="32"/>
    </w:rPr>
  </w:style>
  <w:style w:type="character" w:customStyle="1" w:styleId="189">
    <w:name w:val="表头 道路 Char"/>
    <w:link w:val="190"/>
    <w:qFormat/>
    <w:uiPriority w:val="0"/>
    <w:rPr>
      <w:rFonts w:ascii="黑体" w:hAnsi="黑体" w:eastAsia="黑体" w:cs="黑体"/>
      <w:color w:val="000000"/>
      <w:sz w:val="24"/>
      <w:szCs w:val="20"/>
    </w:rPr>
  </w:style>
  <w:style w:type="paragraph" w:customStyle="1" w:styleId="190">
    <w:name w:val="表头 道路"/>
    <w:basedOn w:val="1"/>
    <w:link w:val="189"/>
    <w:qFormat/>
    <w:uiPriority w:val="0"/>
    <w:pPr>
      <w:spacing w:line="500" w:lineRule="exact"/>
      <w:jc w:val="center"/>
    </w:pPr>
    <w:rPr>
      <w:rFonts w:ascii="黑体" w:hAnsi="黑体" w:eastAsia="黑体" w:cs="黑体"/>
      <w:color w:val="000000"/>
      <w:szCs w:val="20"/>
    </w:rPr>
  </w:style>
  <w:style w:type="character" w:customStyle="1" w:styleId="191">
    <w:name w:val="正文首行缩进 Char1"/>
    <w:qFormat/>
    <w:uiPriority w:val="0"/>
  </w:style>
  <w:style w:type="character" w:customStyle="1" w:styleId="192">
    <w:name w:val="二级标题 Char"/>
    <w:link w:val="193"/>
    <w:qFormat/>
    <w:uiPriority w:val="0"/>
    <w:rPr>
      <w:rFonts w:ascii="Arial" w:hAnsi="Arial" w:eastAsia="黑体" w:cs="黑体"/>
      <w:color w:val="000000"/>
      <w:sz w:val="28"/>
    </w:rPr>
  </w:style>
  <w:style w:type="paragraph" w:customStyle="1" w:styleId="193">
    <w:name w:val="二级标题"/>
    <w:basedOn w:val="5"/>
    <w:link w:val="192"/>
    <w:qFormat/>
    <w:uiPriority w:val="0"/>
    <w:pPr>
      <w:spacing w:before="120" w:beforeLines="50" w:after="120" w:afterLines="50" w:line="500" w:lineRule="exact"/>
      <w:jc w:val="both"/>
    </w:pPr>
    <w:rPr>
      <w:rFonts w:ascii="Arial" w:hAnsi="Arial" w:cs="黑体"/>
      <w:bCs w:val="0"/>
      <w:color w:val="000000"/>
      <w:szCs w:val="22"/>
    </w:rPr>
  </w:style>
  <w:style w:type="character" w:customStyle="1" w:styleId="194">
    <w:name w:val="普通文字 Char Char Char Char"/>
    <w:qFormat/>
    <w:uiPriority w:val="0"/>
    <w:rPr>
      <w:rFonts w:ascii="宋体" w:hAnsi="Courier New" w:eastAsia="宋体"/>
      <w:kern w:val="2"/>
      <w:sz w:val="21"/>
      <w:lang w:val="en-US" w:eastAsia="zh-CN"/>
    </w:rPr>
  </w:style>
  <w:style w:type="character" w:customStyle="1" w:styleId="195">
    <w:name w:val="批注框文本 Char1"/>
    <w:qFormat/>
    <w:uiPriority w:val="0"/>
    <w:rPr>
      <w:kern w:val="2"/>
      <w:sz w:val="18"/>
      <w:szCs w:val="18"/>
    </w:rPr>
  </w:style>
  <w:style w:type="character" w:customStyle="1" w:styleId="196">
    <w:name w:val="纯文本 字符"/>
    <w:link w:val="25"/>
    <w:qFormat/>
    <w:uiPriority w:val="99"/>
    <w:rPr>
      <w:rFonts w:ascii="宋体" w:hAnsi="Courier New"/>
    </w:rPr>
  </w:style>
  <w:style w:type="character" w:customStyle="1" w:styleId="197">
    <w:name w:val="正文文本首行缩进 字符"/>
    <w:link w:val="46"/>
    <w:qFormat/>
    <w:uiPriority w:val="0"/>
    <w:rPr>
      <w:rFonts w:ascii="Times New Roman" w:hAnsi="Times New Roman"/>
    </w:rPr>
  </w:style>
  <w:style w:type="character" w:customStyle="1" w:styleId="198">
    <w:name w:val="标题 9 Char1"/>
    <w:qFormat/>
    <w:uiPriority w:val="0"/>
    <w:rPr>
      <w:rFonts w:ascii="Cambria" w:hAnsi="Cambria" w:eastAsia="宋体" w:cs="Times New Roman"/>
      <w:kern w:val="2"/>
      <w:sz w:val="21"/>
      <w:szCs w:val="21"/>
    </w:rPr>
  </w:style>
  <w:style w:type="character" w:customStyle="1" w:styleId="199">
    <w:name w:val="日期 字符"/>
    <w:link w:val="27"/>
    <w:qFormat/>
    <w:uiPriority w:val="0"/>
    <w:rPr>
      <w:rFonts w:ascii="Times New Roman" w:hAnsi="Times New Roman"/>
      <w:sz w:val="28"/>
    </w:rPr>
  </w:style>
  <w:style w:type="character" w:customStyle="1" w:styleId="200">
    <w:name w:val="表格标题采用 Char Char"/>
    <w:qFormat/>
    <w:uiPriority w:val="0"/>
    <w:rPr>
      <w:rFonts w:ascii="黑体" w:hAnsi="宋体" w:eastAsia="黑体"/>
      <w:kern w:val="2"/>
      <w:sz w:val="24"/>
      <w:lang w:val="en-US" w:eastAsia="zh-CN"/>
    </w:rPr>
  </w:style>
  <w:style w:type="character" w:customStyle="1" w:styleId="201">
    <w:name w:val="文档结构图 字符"/>
    <w:link w:val="16"/>
    <w:qFormat/>
    <w:uiPriority w:val="0"/>
    <w:rPr>
      <w:rFonts w:ascii="Times New Roman" w:hAnsi="Times New Roman"/>
      <w:shd w:val="clear" w:color="auto" w:fill="000080"/>
    </w:rPr>
  </w:style>
  <w:style w:type="character" w:customStyle="1" w:styleId="202">
    <w:name w:val="表头 Char Char Char"/>
    <w:link w:val="203"/>
    <w:qFormat/>
    <w:uiPriority w:val="0"/>
    <w:rPr>
      <w:rFonts w:eastAsia="宋体"/>
      <w:sz w:val="28"/>
    </w:rPr>
  </w:style>
  <w:style w:type="paragraph" w:customStyle="1" w:styleId="203">
    <w:name w:val="表头2"/>
    <w:basedOn w:val="1"/>
    <w:link w:val="202"/>
    <w:qFormat/>
    <w:uiPriority w:val="0"/>
    <w:pPr>
      <w:spacing w:before="120" w:line="300" w:lineRule="auto"/>
      <w:ind w:firstLine="540"/>
      <w:jc w:val="center"/>
    </w:pPr>
    <w:rPr>
      <w:rFonts w:asciiTheme="minorHAnsi" w:hAnsiTheme="minorHAnsi"/>
      <w:sz w:val="28"/>
    </w:rPr>
  </w:style>
  <w:style w:type="character" w:customStyle="1" w:styleId="204">
    <w:name w:val="正文文本缩进 2 字符"/>
    <w:link w:val="28"/>
    <w:qFormat/>
    <w:uiPriority w:val="0"/>
    <w:rPr>
      <w:rFonts w:ascii="Times New Roman" w:hAnsi="Times New Roman"/>
      <w:sz w:val="24"/>
    </w:rPr>
  </w:style>
  <w:style w:type="character" w:customStyle="1" w:styleId="205">
    <w:name w:val="正文文本缩进 2 Char Char"/>
    <w:qFormat/>
    <w:uiPriority w:val="0"/>
    <w:rPr>
      <w:rFonts w:ascii="Times New Roman" w:hAnsi="Times New Roman"/>
      <w:kern w:val="2"/>
      <w:sz w:val="24"/>
    </w:rPr>
  </w:style>
  <w:style w:type="character" w:customStyle="1" w:styleId="206">
    <w:name w:val="标题 8 Char Char"/>
    <w:qFormat/>
    <w:uiPriority w:val="0"/>
    <w:rPr>
      <w:rFonts w:ascii="Arial" w:hAnsi="Arial" w:eastAsia="黑体"/>
      <w:kern w:val="2"/>
      <w:sz w:val="24"/>
    </w:rPr>
  </w:style>
  <w:style w:type="character" w:customStyle="1" w:styleId="207">
    <w:name w:val="正文（首行缩进两字） Char2"/>
    <w:qFormat/>
    <w:uiPriority w:val="0"/>
    <w:rPr>
      <w:rFonts w:eastAsia="宋体"/>
      <w:kern w:val="2"/>
      <w:sz w:val="28"/>
    </w:rPr>
  </w:style>
  <w:style w:type="character" w:customStyle="1" w:styleId="208">
    <w:name w:val="图名 Char Char"/>
    <w:qFormat/>
    <w:uiPriority w:val="0"/>
    <w:rPr>
      <w:rFonts w:eastAsia="黑体"/>
      <w:b/>
      <w:snapToGrid w:val="0"/>
      <w:spacing w:val="12"/>
      <w:sz w:val="24"/>
      <w:lang w:val="en-US" w:eastAsia="zh-CN"/>
    </w:rPr>
  </w:style>
  <w:style w:type="character" w:customStyle="1" w:styleId="209">
    <w:name w:val="font01"/>
    <w:qFormat/>
    <w:uiPriority w:val="0"/>
    <w:rPr>
      <w:rFonts w:hint="eastAsia" w:ascii="宋体" w:hAnsi="宋体" w:eastAsia="宋体" w:cs="宋体"/>
      <w:b/>
      <w:color w:val="000000"/>
      <w:sz w:val="20"/>
      <w:szCs w:val="20"/>
      <w:u w:val="none"/>
      <w:vertAlign w:val="superscript"/>
    </w:rPr>
  </w:style>
  <w:style w:type="character" w:customStyle="1" w:styleId="210">
    <w:name w:val="正文道路1 Char"/>
    <w:link w:val="211"/>
    <w:qFormat/>
    <w:uiPriority w:val="0"/>
    <w:rPr>
      <w:rFonts w:ascii="宋体" w:hAnsi="Times New Roman"/>
      <w:color w:val="000000"/>
      <w:sz w:val="24"/>
      <w:szCs w:val="20"/>
    </w:rPr>
  </w:style>
  <w:style w:type="paragraph" w:customStyle="1" w:styleId="211">
    <w:name w:val="正文道路1"/>
    <w:basedOn w:val="1"/>
    <w:link w:val="210"/>
    <w:qFormat/>
    <w:uiPriority w:val="0"/>
    <w:pPr>
      <w:spacing w:line="500" w:lineRule="exact"/>
    </w:pPr>
    <w:rPr>
      <w:rFonts w:eastAsiaTheme="minorEastAsia"/>
      <w:color w:val="000000"/>
      <w:szCs w:val="20"/>
    </w:rPr>
  </w:style>
  <w:style w:type="character" w:customStyle="1" w:styleId="212">
    <w:name w:val="headline-content2"/>
    <w:qFormat/>
    <w:uiPriority w:val="0"/>
  </w:style>
  <w:style w:type="character" w:customStyle="1" w:styleId="213">
    <w:name w:val="文档结构图 Char1"/>
    <w:qFormat/>
    <w:uiPriority w:val="0"/>
    <w:rPr>
      <w:rFonts w:ascii="宋体"/>
      <w:kern w:val="2"/>
      <w:sz w:val="18"/>
      <w:szCs w:val="18"/>
    </w:rPr>
  </w:style>
  <w:style w:type="character" w:customStyle="1" w:styleId="214">
    <w:name w:val="正文文本缩进 Char1"/>
    <w:qFormat/>
    <w:uiPriority w:val="0"/>
    <w:rPr>
      <w:kern w:val="2"/>
      <w:sz w:val="21"/>
    </w:rPr>
  </w:style>
  <w:style w:type="character" w:customStyle="1" w:styleId="215">
    <w:name w:val="【表头】 Char"/>
    <w:link w:val="216"/>
    <w:qFormat/>
    <w:uiPriority w:val="0"/>
    <w:rPr>
      <w:rFonts w:ascii="宋体" w:hAnsi="宋体" w:cs="宋体"/>
      <w:b/>
      <w:kern w:val="0"/>
      <w:szCs w:val="24"/>
      <w:lang w:val="zh-CN" w:eastAsia="zh-CN"/>
    </w:rPr>
  </w:style>
  <w:style w:type="paragraph" w:customStyle="1" w:styleId="216">
    <w:name w:val="【表头】"/>
    <w:basedOn w:val="1"/>
    <w:link w:val="215"/>
    <w:qFormat/>
    <w:uiPriority w:val="0"/>
    <w:pPr>
      <w:jc w:val="center"/>
    </w:pPr>
    <w:rPr>
      <w:rFonts w:eastAsiaTheme="minorEastAsia"/>
      <w:b/>
      <w:sz w:val="21"/>
      <w:lang w:val="zh-CN" w:eastAsia="zh-CN"/>
    </w:rPr>
  </w:style>
  <w:style w:type="character" w:customStyle="1" w:styleId="217">
    <w:name w:val="正文zoe Char Char"/>
    <w:qFormat/>
    <w:uiPriority w:val="0"/>
    <w:rPr>
      <w:rFonts w:ascii="宋体" w:hAnsi="宋体" w:eastAsia="宋体"/>
      <w:sz w:val="24"/>
      <w:lang w:val="en-US" w:eastAsia="zh-CN"/>
    </w:rPr>
  </w:style>
  <w:style w:type="character" w:customStyle="1" w:styleId="218">
    <w:name w:val="font21"/>
    <w:qFormat/>
    <w:uiPriority w:val="0"/>
    <w:rPr>
      <w:rFonts w:hint="eastAsia" w:ascii="宋体" w:hAnsi="宋体" w:eastAsia="宋体" w:cs="宋体"/>
      <w:b/>
      <w:color w:val="000000"/>
      <w:sz w:val="20"/>
      <w:szCs w:val="20"/>
      <w:u w:val="none"/>
    </w:rPr>
  </w:style>
  <w:style w:type="character" w:customStyle="1" w:styleId="219">
    <w:name w:val="正文文本缩进 2 字符1"/>
    <w:basedOn w:val="50"/>
    <w:semiHidden/>
    <w:qFormat/>
    <w:uiPriority w:val="99"/>
    <w:rPr>
      <w:rFonts w:ascii="Times New Roman" w:hAnsi="Times New Roman" w:eastAsia="宋体"/>
      <w:sz w:val="24"/>
    </w:rPr>
  </w:style>
  <w:style w:type="character" w:customStyle="1" w:styleId="220">
    <w:name w:val="批注文字 字符"/>
    <w:basedOn w:val="50"/>
    <w:link w:val="17"/>
    <w:qFormat/>
    <w:uiPriority w:val="0"/>
    <w:rPr>
      <w:rFonts w:ascii="Times New Roman" w:hAnsi="Times New Roman" w:eastAsia="宋体"/>
      <w:sz w:val="24"/>
    </w:rPr>
  </w:style>
  <w:style w:type="character" w:customStyle="1" w:styleId="221">
    <w:name w:val="批注主题 字符"/>
    <w:basedOn w:val="220"/>
    <w:link w:val="45"/>
    <w:qFormat/>
    <w:uiPriority w:val="0"/>
    <w:rPr>
      <w:rFonts w:ascii="宋体" w:hAnsi="Times New Roman" w:eastAsia="宋体" w:cs="Times New Roman"/>
      <w:b/>
      <w:bCs/>
      <w:kern w:val="0"/>
      <w:sz w:val="20"/>
      <w:szCs w:val="20"/>
    </w:rPr>
  </w:style>
  <w:style w:type="character" w:customStyle="1" w:styleId="222">
    <w:name w:val="纯文本 字符1"/>
    <w:basedOn w:val="50"/>
    <w:semiHidden/>
    <w:qFormat/>
    <w:uiPriority w:val="0"/>
    <w:rPr>
      <w:rFonts w:hAnsi="Courier New" w:cs="Courier New" w:asciiTheme="minorEastAsia"/>
      <w:sz w:val="24"/>
    </w:rPr>
  </w:style>
  <w:style w:type="character" w:customStyle="1" w:styleId="223">
    <w:name w:val="文档结构图 字符1"/>
    <w:basedOn w:val="50"/>
    <w:semiHidden/>
    <w:qFormat/>
    <w:uiPriority w:val="99"/>
    <w:rPr>
      <w:rFonts w:ascii="Microsoft YaHei UI" w:hAnsi="Times New Roman" w:eastAsia="Microsoft YaHei UI"/>
      <w:sz w:val="18"/>
      <w:szCs w:val="18"/>
    </w:rPr>
  </w:style>
  <w:style w:type="character" w:customStyle="1" w:styleId="224">
    <w:name w:val="HTML 预设格式 字符1"/>
    <w:basedOn w:val="50"/>
    <w:semiHidden/>
    <w:qFormat/>
    <w:uiPriority w:val="99"/>
    <w:rPr>
      <w:rFonts w:ascii="Courier New" w:hAnsi="Courier New" w:eastAsia="宋体" w:cs="Courier New"/>
      <w:sz w:val="20"/>
      <w:szCs w:val="20"/>
    </w:rPr>
  </w:style>
  <w:style w:type="character" w:customStyle="1" w:styleId="225">
    <w:name w:val="正文文本 2 字符1"/>
    <w:basedOn w:val="50"/>
    <w:semiHidden/>
    <w:qFormat/>
    <w:uiPriority w:val="99"/>
    <w:rPr>
      <w:rFonts w:ascii="Times New Roman" w:hAnsi="Times New Roman" w:eastAsia="宋体"/>
      <w:sz w:val="24"/>
    </w:rPr>
  </w:style>
  <w:style w:type="character" w:customStyle="1" w:styleId="226">
    <w:name w:val="正文文本缩进 字符1"/>
    <w:basedOn w:val="50"/>
    <w:semiHidden/>
    <w:qFormat/>
    <w:uiPriority w:val="99"/>
    <w:rPr>
      <w:rFonts w:ascii="Times New Roman" w:hAnsi="Times New Roman" w:eastAsia="宋体"/>
      <w:sz w:val="24"/>
    </w:rPr>
  </w:style>
  <w:style w:type="character" w:customStyle="1" w:styleId="227">
    <w:name w:val="正文文本 字符1"/>
    <w:basedOn w:val="50"/>
    <w:link w:val="19"/>
    <w:qFormat/>
    <w:uiPriority w:val="99"/>
    <w:rPr>
      <w:rFonts w:ascii="Times New Roman" w:hAnsi="Times New Roman" w:eastAsia="宋体"/>
      <w:sz w:val="24"/>
    </w:rPr>
  </w:style>
  <w:style w:type="character" w:customStyle="1" w:styleId="228">
    <w:name w:val="正文首行缩进 字符1"/>
    <w:basedOn w:val="227"/>
    <w:semiHidden/>
    <w:qFormat/>
    <w:uiPriority w:val="99"/>
    <w:rPr>
      <w:rFonts w:ascii="Times New Roman" w:hAnsi="Times New Roman" w:eastAsia="宋体"/>
      <w:sz w:val="24"/>
    </w:rPr>
  </w:style>
  <w:style w:type="character" w:customStyle="1" w:styleId="229">
    <w:name w:val="正文文本缩进 3 字符1"/>
    <w:basedOn w:val="50"/>
    <w:semiHidden/>
    <w:qFormat/>
    <w:uiPriority w:val="99"/>
    <w:rPr>
      <w:rFonts w:ascii="Times New Roman" w:hAnsi="Times New Roman" w:eastAsia="宋体"/>
      <w:sz w:val="16"/>
      <w:szCs w:val="16"/>
    </w:rPr>
  </w:style>
  <w:style w:type="character" w:customStyle="1" w:styleId="230">
    <w:name w:val="正文文本 3 字符1"/>
    <w:basedOn w:val="50"/>
    <w:semiHidden/>
    <w:qFormat/>
    <w:uiPriority w:val="99"/>
    <w:rPr>
      <w:rFonts w:ascii="Times New Roman" w:hAnsi="Times New Roman" w:eastAsia="宋体"/>
      <w:sz w:val="16"/>
      <w:szCs w:val="16"/>
    </w:rPr>
  </w:style>
  <w:style w:type="character" w:customStyle="1" w:styleId="231">
    <w:name w:val="批注框文本 字符1"/>
    <w:basedOn w:val="50"/>
    <w:semiHidden/>
    <w:qFormat/>
    <w:uiPriority w:val="99"/>
    <w:rPr>
      <w:rFonts w:ascii="Times New Roman" w:hAnsi="Times New Roman" w:eastAsia="宋体"/>
      <w:sz w:val="18"/>
      <w:szCs w:val="18"/>
    </w:rPr>
  </w:style>
  <w:style w:type="character" w:customStyle="1" w:styleId="232">
    <w:name w:val="日期 字符1"/>
    <w:basedOn w:val="50"/>
    <w:semiHidden/>
    <w:qFormat/>
    <w:uiPriority w:val="99"/>
    <w:rPr>
      <w:rFonts w:ascii="Times New Roman" w:hAnsi="Times New Roman" w:eastAsia="宋体"/>
      <w:sz w:val="24"/>
    </w:rPr>
  </w:style>
  <w:style w:type="paragraph" w:customStyle="1" w:styleId="233">
    <w:name w:val="Char Char Char Char Char Char Char Char Char Char"/>
    <w:basedOn w:val="1"/>
    <w:qFormat/>
    <w:uiPriority w:val="0"/>
    <w:rPr>
      <w:rFonts w:cs="Times New Roman"/>
      <w:szCs w:val="20"/>
    </w:rPr>
  </w:style>
  <w:style w:type="paragraph" w:customStyle="1" w:styleId="234">
    <w:name w:val="表头文字"/>
    <w:basedOn w:val="1"/>
    <w:qFormat/>
    <w:uiPriority w:val="0"/>
    <w:pPr>
      <w:jc w:val="center"/>
    </w:pPr>
    <w:rPr>
      <w:rFonts w:cs="Times New Roman"/>
      <w:sz w:val="28"/>
      <w:szCs w:val="20"/>
    </w:rPr>
  </w:style>
  <w:style w:type="paragraph" w:customStyle="1" w:styleId="235">
    <w:name w:val="表格内容左"/>
    <w:basedOn w:val="236"/>
    <w:qFormat/>
    <w:uiPriority w:val="0"/>
    <w:pPr>
      <w:jc w:val="right"/>
      <w:outlineLvl w:val="9"/>
    </w:pPr>
    <w:rPr>
      <w:w w:val="100"/>
      <w:sz w:val="18"/>
    </w:rPr>
  </w:style>
  <w:style w:type="paragraph" w:customStyle="1" w:styleId="236">
    <w:name w:val="表格内容"/>
    <w:basedOn w:val="237"/>
    <w:next w:val="1"/>
    <w:qFormat/>
    <w:uiPriority w:val="0"/>
    <w:pPr>
      <w:outlineLvl w:val="0"/>
    </w:pPr>
    <w:rPr>
      <w:rFonts w:ascii="黑体" w:eastAsia="黑体" w:cs="Times New Roman"/>
      <w:w w:val="90"/>
      <w:szCs w:val="20"/>
    </w:rPr>
  </w:style>
  <w:style w:type="paragraph" w:customStyle="1" w:styleId="237">
    <w:name w:val="封皮-证书编号"/>
    <w:basedOn w:val="1"/>
    <w:qFormat/>
    <w:uiPriority w:val="0"/>
    <w:pPr>
      <w:jc w:val="center"/>
    </w:pPr>
    <w:rPr>
      <w:rFonts w:eastAsia="黑体"/>
      <w:sz w:val="28"/>
    </w:rPr>
  </w:style>
  <w:style w:type="paragraph" w:customStyle="1" w:styleId="238">
    <w:name w:val="报告节标题"/>
    <w:basedOn w:val="5"/>
    <w:next w:val="1"/>
    <w:qFormat/>
    <w:uiPriority w:val="0"/>
    <w:pPr>
      <w:numPr>
        <w:ilvl w:val="1"/>
        <w:numId w:val="1"/>
      </w:numPr>
      <w:spacing w:before="240" w:after="240" w:line="400" w:lineRule="exact"/>
      <w:jc w:val="center"/>
    </w:pPr>
    <w:rPr>
      <w:rFonts w:cs="Times New Roman"/>
      <w:b w:val="0"/>
      <w:bCs w:val="0"/>
      <w:sz w:val="30"/>
      <w:szCs w:val="20"/>
      <w:lang w:val="zh-CN" w:eastAsia="zh-CN"/>
    </w:rPr>
  </w:style>
  <w:style w:type="paragraph" w:customStyle="1" w:styleId="239">
    <w:name w:val="刘昕正文"/>
    <w:basedOn w:val="1"/>
    <w:qFormat/>
    <w:uiPriority w:val="0"/>
    <w:pPr>
      <w:spacing w:line="500" w:lineRule="exact"/>
      <w:ind w:firstLine="200"/>
    </w:pPr>
    <w:rPr>
      <w:rFonts w:cs="Times New Roman"/>
      <w:szCs w:val="20"/>
    </w:rPr>
  </w:style>
  <w:style w:type="paragraph" w:customStyle="1" w:styleId="240">
    <w:name w:val="表苡"/>
    <w:basedOn w:val="1"/>
    <w:qFormat/>
    <w:uiPriority w:val="0"/>
    <w:pPr>
      <w:wordWrap w:val="0"/>
      <w:spacing w:line="240" w:lineRule="exact"/>
      <w:jc w:val="center"/>
    </w:pPr>
    <w:rPr>
      <w:rFonts w:cs="Times New Roman"/>
      <w:sz w:val="18"/>
      <w:szCs w:val="21"/>
    </w:rPr>
  </w:style>
  <w:style w:type="paragraph" w:customStyle="1" w:styleId="241">
    <w:name w:val="样式 样式 样式 样式 正文首行缩进 2 Char + 首行缩进:  2 字符 段后: 0.5 行 + 首行缩进:  2 字符 ..."/>
    <w:basedOn w:val="1"/>
    <w:qFormat/>
    <w:uiPriority w:val="0"/>
    <w:pPr>
      <w:spacing w:afterLines="50" w:line="440" w:lineRule="exact"/>
    </w:pPr>
    <w:rPr>
      <w:szCs w:val="20"/>
    </w:rPr>
  </w:style>
  <w:style w:type="paragraph" w:customStyle="1" w:styleId="242">
    <w:name w:val="文本条款"/>
    <w:basedOn w:val="1"/>
    <w:next w:val="1"/>
    <w:qFormat/>
    <w:uiPriority w:val="0"/>
    <w:pPr>
      <w:spacing w:line="480" w:lineRule="exact"/>
      <w:ind w:firstLine="560"/>
    </w:pPr>
    <w:rPr>
      <w:rFonts w:cs="Times New Roman"/>
      <w:sz w:val="28"/>
      <w:szCs w:val="20"/>
    </w:rPr>
  </w:style>
  <w:style w:type="paragraph" w:customStyle="1" w:styleId="243">
    <w:name w:val="图表文字"/>
    <w:qFormat/>
    <w:uiPriority w:val="0"/>
    <w:pPr>
      <w:jc w:val="center"/>
    </w:pPr>
    <w:rPr>
      <w:rFonts w:ascii="Times New Roman" w:hAnsi="Times New Roman" w:eastAsia="仿宋_GB2312" w:cs="Times New Roman"/>
      <w:kern w:val="2"/>
      <w:sz w:val="21"/>
      <w:szCs w:val="20"/>
      <w:lang w:val="en-US" w:eastAsia="zh-CN" w:bidi="ar-SA"/>
    </w:rPr>
  </w:style>
  <w:style w:type="paragraph" w:customStyle="1" w:styleId="244">
    <w:name w:val="Char Char1 Char"/>
    <w:basedOn w:val="1"/>
    <w:next w:val="1"/>
    <w:qFormat/>
    <w:uiPriority w:val="0"/>
    <w:pPr>
      <w:ind w:firstLine="200"/>
    </w:pPr>
    <w:rPr>
      <w:rFonts w:cs="Times New Roman"/>
      <w:szCs w:val="20"/>
    </w:rPr>
  </w:style>
  <w:style w:type="paragraph" w:customStyle="1" w:styleId="245">
    <w:name w:val="样式 正文文字 2 + Times New Roman 自动设置 左 行距: 最小值 25 磅"/>
    <w:basedOn w:val="1"/>
    <w:qFormat/>
    <w:uiPriority w:val="0"/>
    <w:pPr>
      <w:spacing w:line="500" w:lineRule="exact"/>
      <w:ind w:firstLine="200"/>
    </w:pPr>
    <w:rPr>
      <w:rFonts w:cs="Times New Roman"/>
      <w:sz w:val="28"/>
      <w:szCs w:val="20"/>
    </w:rPr>
  </w:style>
  <w:style w:type="paragraph" w:customStyle="1" w:styleId="246">
    <w:name w:val="报告章标题"/>
    <w:basedOn w:val="4"/>
    <w:next w:val="1"/>
    <w:qFormat/>
    <w:uiPriority w:val="0"/>
    <w:pPr>
      <w:keepNext/>
      <w:keepLines/>
      <w:numPr>
        <w:ilvl w:val="0"/>
        <w:numId w:val="1"/>
      </w:numPr>
      <w:spacing w:before="360" w:after="360" w:line="400" w:lineRule="exact"/>
      <w:jc w:val="center"/>
    </w:pPr>
    <w:rPr>
      <w:rFonts w:cs="Times New Roman"/>
      <w:b w:val="0"/>
      <w:kern w:val="44"/>
      <w:szCs w:val="20"/>
      <w:lang w:val="zh-CN" w:eastAsia="zh-CN"/>
    </w:rPr>
  </w:style>
  <w:style w:type="paragraph" w:customStyle="1" w:styleId="247">
    <w:name w:val="表格1"/>
    <w:basedOn w:val="1"/>
    <w:qFormat/>
    <w:uiPriority w:val="0"/>
    <w:pPr>
      <w:spacing w:line="20" w:lineRule="atLeast"/>
      <w:jc w:val="center"/>
      <w:textAlignment w:val="center"/>
    </w:pPr>
    <w:rPr>
      <w:rFonts w:cs="Times New Roman"/>
      <w:szCs w:val="20"/>
    </w:rPr>
  </w:style>
  <w:style w:type="paragraph" w:customStyle="1" w:styleId="248">
    <w:name w:val="样式 首行缩进:  2 字符"/>
    <w:basedOn w:val="1"/>
    <w:qFormat/>
    <w:uiPriority w:val="0"/>
    <w:pPr>
      <w:topLinePunct/>
      <w:autoSpaceDE w:val="0"/>
      <w:autoSpaceDN w:val="0"/>
    </w:pPr>
    <w:rPr>
      <w:snapToGrid w:val="0"/>
      <w:szCs w:val="20"/>
      <w:lang w:eastAsia="en-US" w:bidi="en-US"/>
    </w:rPr>
  </w:style>
  <w:style w:type="paragraph" w:customStyle="1" w:styleId="249">
    <w:name w:val="Char Char Char Char Char Char Char Char Char Char Char Char"/>
    <w:basedOn w:val="1"/>
    <w:qFormat/>
    <w:uiPriority w:val="0"/>
    <w:rPr>
      <w:rFonts w:cs="Times New Roman"/>
      <w:szCs w:val="20"/>
    </w:rPr>
  </w:style>
  <w:style w:type="paragraph" w:customStyle="1" w:styleId="250">
    <w:name w:val="xl34"/>
    <w:basedOn w:val="1"/>
    <w:qFormat/>
    <w:uiPriority w:val="0"/>
    <w:pPr>
      <w:pBdr>
        <w:top w:val="single" w:color="auto" w:sz="4" w:space="0"/>
        <w:left w:val="single" w:color="auto" w:sz="4" w:space="0"/>
      </w:pBdr>
      <w:spacing w:before="100" w:beforeAutospacing="1" w:after="100" w:afterAutospacing="1"/>
      <w:jc w:val="center"/>
    </w:pPr>
    <w:rPr>
      <w:rFonts w:cs="Times New Roman"/>
      <w:szCs w:val="20"/>
    </w:rPr>
  </w:style>
  <w:style w:type="paragraph" w:customStyle="1" w:styleId="251">
    <w:name w:val="Char1 Char Char Char Char Char Char"/>
    <w:basedOn w:val="1"/>
    <w:qFormat/>
    <w:uiPriority w:val="0"/>
    <w:pPr>
      <w:ind w:firstLine="200"/>
    </w:pPr>
    <w:rPr>
      <w:rFonts w:eastAsia="仿宋_GB2312" w:cs="Times New Roman"/>
      <w:szCs w:val="20"/>
    </w:rPr>
  </w:style>
  <w:style w:type="paragraph" w:customStyle="1" w:styleId="252">
    <w:name w:val="偶数页脚"/>
    <w:basedOn w:val="30"/>
    <w:qFormat/>
    <w:uiPriority w:val="0"/>
    <w:pPr>
      <w:jc w:val="both"/>
    </w:pPr>
    <w:rPr>
      <w:rFonts w:cs="Times New Roman"/>
      <w:lang w:val="zh-CN" w:eastAsia="zh-CN"/>
    </w:rPr>
  </w:style>
  <w:style w:type="paragraph" w:customStyle="1" w:styleId="253">
    <w:name w:val="报告正文"/>
    <w:basedOn w:val="1"/>
    <w:qFormat/>
    <w:uiPriority w:val="0"/>
    <w:pPr>
      <w:spacing w:before="50"/>
      <w:ind w:firstLine="540"/>
    </w:pPr>
    <w:rPr>
      <w:rFonts w:cs="Times New Roman"/>
      <w:szCs w:val="20"/>
    </w:rPr>
  </w:style>
  <w:style w:type="paragraph" w:customStyle="1" w:styleId="254">
    <w:name w:val="表格内容小"/>
    <w:basedOn w:val="236"/>
    <w:qFormat/>
    <w:uiPriority w:val="0"/>
    <w:pPr>
      <w:outlineLvl w:val="9"/>
    </w:pPr>
    <w:rPr>
      <w:w w:val="100"/>
      <w:sz w:val="18"/>
    </w:rPr>
  </w:style>
  <w:style w:type="paragraph" w:customStyle="1" w:styleId="255">
    <w:name w:val="页脚1"/>
    <w:basedOn w:val="1"/>
    <w:qFormat/>
    <w:uiPriority w:val="99"/>
    <w:pPr>
      <w:pBdr>
        <w:top w:val="single" w:color="auto" w:sz="4" w:space="1"/>
      </w:pBdr>
      <w:tabs>
        <w:tab w:val="center" w:pos="4153"/>
        <w:tab w:val="right" w:pos="8306"/>
      </w:tabs>
      <w:spacing w:line="240" w:lineRule="atLeast"/>
    </w:pPr>
    <w:rPr>
      <w:rFonts w:ascii="Calibri" w:hAnsi="Calibri" w:cs="Times New Roman"/>
      <w:sz w:val="18"/>
      <w:szCs w:val="20"/>
    </w:rPr>
  </w:style>
  <w:style w:type="paragraph" w:customStyle="1" w:styleId="256">
    <w:name w:val="公式"/>
    <w:basedOn w:val="1"/>
    <w:qFormat/>
    <w:uiPriority w:val="0"/>
    <w:pPr>
      <w:spacing w:before="60" w:line="394" w:lineRule="atLeast"/>
      <w:jc w:val="center"/>
      <w:textAlignment w:val="baseline"/>
    </w:pPr>
    <w:rPr>
      <w:rFonts w:cs="Times New Roman"/>
      <w:szCs w:val="20"/>
    </w:rPr>
  </w:style>
  <w:style w:type="paragraph" w:customStyle="1" w:styleId="257">
    <w:name w:val="表尾"/>
    <w:basedOn w:val="236"/>
    <w:qFormat/>
    <w:uiPriority w:val="0"/>
    <w:rPr>
      <w:rFonts w:hAnsi="Times New Roman" w:cs="宋体"/>
      <w:color w:val="000000"/>
      <w:szCs w:val="21"/>
    </w:rPr>
  </w:style>
  <w:style w:type="paragraph" w:customStyle="1" w:styleId="258">
    <w:name w:val="_Style 6"/>
    <w:basedOn w:val="1"/>
    <w:qFormat/>
    <w:uiPriority w:val="0"/>
    <w:pPr>
      <w:ind w:firstLine="420"/>
    </w:pPr>
    <w:rPr>
      <w:rFonts w:cs="Times New Roman"/>
      <w:szCs w:val="20"/>
    </w:rPr>
  </w:style>
  <w:style w:type="paragraph" w:customStyle="1" w:styleId="259">
    <w:name w:val="默认段落字体 Para Char"/>
    <w:basedOn w:val="1"/>
    <w:qFormat/>
    <w:uiPriority w:val="0"/>
    <w:rPr>
      <w:rFonts w:cs="Times New Roman"/>
      <w:szCs w:val="20"/>
    </w:rPr>
  </w:style>
  <w:style w:type="paragraph" w:customStyle="1" w:styleId="260">
    <w:name w:val="报告小节标题"/>
    <w:basedOn w:val="7"/>
    <w:next w:val="1"/>
    <w:qFormat/>
    <w:uiPriority w:val="0"/>
    <w:pPr>
      <w:numPr>
        <w:ilvl w:val="2"/>
        <w:numId w:val="1"/>
      </w:numPr>
      <w:tabs>
        <w:tab w:val="left" w:pos="645"/>
        <w:tab w:val="clear" w:pos="1680"/>
      </w:tabs>
      <w:spacing w:before="240" w:after="120" w:line="400" w:lineRule="exact"/>
      <w:jc w:val="both"/>
    </w:pPr>
    <w:rPr>
      <w:rFonts w:cs="Times New Roman"/>
      <w:b w:val="0"/>
      <w:bCs w:val="0"/>
      <w:szCs w:val="20"/>
      <w:lang w:val="zh-CN" w:eastAsia="zh-CN"/>
    </w:rPr>
  </w:style>
  <w:style w:type="paragraph" w:customStyle="1" w:styleId="261">
    <w:name w:val="Char Char Char Char Char"/>
    <w:basedOn w:val="1"/>
    <w:qFormat/>
    <w:uiPriority w:val="0"/>
    <w:pPr>
      <w:tabs>
        <w:tab w:val="left" w:pos="170"/>
      </w:tabs>
      <w:ind w:left="170" w:hanging="170"/>
    </w:pPr>
    <w:rPr>
      <w:rFonts w:cs="Times New Roman"/>
      <w:szCs w:val="20"/>
    </w:rPr>
  </w:style>
  <w:style w:type="paragraph" w:customStyle="1" w:styleId="262">
    <w:name w:val="图名A"/>
    <w:basedOn w:val="1"/>
    <w:qFormat/>
    <w:uiPriority w:val="0"/>
    <w:pPr>
      <w:tabs>
        <w:tab w:val="left" w:pos="0"/>
      </w:tabs>
      <w:spacing w:before="62" w:after="249"/>
      <w:jc w:val="center"/>
    </w:pPr>
    <w:rPr>
      <w:rFonts w:cs="Times New Roman"/>
      <w:b/>
      <w:snapToGrid w:val="0"/>
      <w:szCs w:val="20"/>
    </w:rPr>
  </w:style>
  <w:style w:type="paragraph" w:customStyle="1" w:styleId="263">
    <w:name w:val="表格"/>
    <w:basedOn w:val="6"/>
    <w:next w:val="1"/>
    <w:qFormat/>
    <w:uiPriority w:val="0"/>
    <w:pPr>
      <w:spacing w:line="480" w:lineRule="exact"/>
      <w:jc w:val="center"/>
    </w:pPr>
    <w:rPr>
      <w:rFonts w:cs="Times New Roman"/>
      <w:snapToGrid w:val="0"/>
      <w:szCs w:val="20"/>
    </w:rPr>
  </w:style>
  <w:style w:type="paragraph" w:customStyle="1" w:styleId="264">
    <w:name w:val="表格 32"/>
    <w:basedOn w:val="1"/>
    <w:qFormat/>
    <w:uiPriority w:val="0"/>
    <w:pPr>
      <w:autoSpaceDE w:val="0"/>
      <w:autoSpaceDN w:val="0"/>
      <w:jc w:val="center"/>
      <w:textAlignment w:val="baseline"/>
    </w:pPr>
    <w:rPr>
      <w:rFonts w:cs="Times New Roman"/>
      <w:szCs w:val="20"/>
    </w:rPr>
  </w:style>
  <w:style w:type="paragraph" w:customStyle="1" w:styleId="265">
    <w:name w:val="表文C"/>
    <w:basedOn w:val="1"/>
    <w:qFormat/>
    <w:uiPriority w:val="0"/>
    <w:pPr>
      <w:tabs>
        <w:tab w:val="left" w:pos="0"/>
      </w:tabs>
      <w:jc w:val="center"/>
    </w:pPr>
    <w:rPr>
      <w:rFonts w:cs="Times New Roman"/>
      <w:snapToGrid w:val="0"/>
      <w:szCs w:val="20"/>
    </w:rPr>
  </w:style>
  <w:style w:type="paragraph" w:customStyle="1" w:styleId="266">
    <w:name w:val="p0"/>
    <w:basedOn w:val="1"/>
    <w:qFormat/>
    <w:uiPriority w:val="0"/>
    <w:rPr>
      <w:rFonts w:cs="Times New Roman"/>
      <w:sz w:val="21"/>
      <w:szCs w:val="21"/>
    </w:rPr>
  </w:style>
  <w:style w:type="paragraph" w:customStyle="1" w:styleId="267">
    <w:name w:val="xl31"/>
    <w:basedOn w:val="1"/>
    <w:qFormat/>
    <w:uiPriority w:val="0"/>
    <w:pPr>
      <w:spacing w:before="100" w:beforeAutospacing="1" w:after="100" w:afterAutospacing="1"/>
      <w:jc w:val="center"/>
    </w:pPr>
    <w:rPr>
      <w:rFonts w:ascii="Arial Unicode MS" w:hAnsi="Arial Unicode MS" w:eastAsia="Arial Unicode MS" w:cs="Times New Roman"/>
      <w:szCs w:val="20"/>
    </w:rPr>
  </w:style>
  <w:style w:type="paragraph" w:customStyle="1" w:styleId="268">
    <w:name w:val="正文1"/>
    <w:link w:val="387"/>
    <w:qFormat/>
    <w:uiPriority w:val="99"/>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269">
    <w:name w:val="正文居中"/>
    <w:qFormat/>
    <w:uiPriority w:val="0"/>
    <w:pPr>
      <w:keepNext/>
      <w:spacing w:before="80" w:after="80" w:line="240" w:lineRule="exact"/>
      <w:jc w:val="center"/>
    </w:pPr>
    <w:rPr>
      <w:rFonts w:ascii="宋体" w:hAnsi="宋体" w:eastAsia="宋体" w:cs="Times New Roman"/>
      <w:kern w:val="0"/>
      <w:sz w:val="21"/>
      <w:szCs w:val="21"/>
      <w:lang w:val="en-US" w:eastAsia="zh-CN" w:bidi="ar-SA"/>
    </w:rPr>
  </w:style>
  <w:style w:type="paragraph" w:customStyle="1" w:styleId="270">
    <w:name w:val="正文zoe"/>
    <w:basedOn w:val="20"/>
    <w:qFormat/>
    <w:uiPriority w:val="0"/>
    <w:pPr>
      <w:adjustRightInd w:val="0"/>
      <w:spacing w:line="360" w:lineRule="auto"/>
      <w:ind w:firstLine="480" w:firstLineChars="200"/>
      <w:textAlignment w:val="baseline"/>
    </w:pPr>
    <w:rPr>
      <w:sz w:val="24"/>
    </w:rPr>
  </w:style>
  <w:style w:type="paragraph" w:customStyle="1" w:styleId="271">
    <w:name w:val="宋体首行缩进:  2 字符"/>
    <w:basedOn w:val="1"/>
    <w:qFormat/>
    <w:uiPriority w:val="0"/>
    <w:pPr>
      <w:ind w:firstLine="200"/>
    </w:pPr>
    <w:rPr>
      <w:rFonts w:cs="Times New Roman"/>
      <w:szCs w:val="20"/>
    </w:rPr>
  </w:style>
  <w:style w:type="paragraph" w:customStyle="1" w:styleId="272">
    <w:name w:val="xl26"/>
    <w:basedOn w:val="1"/>
    <w:qFormat/>
    <w:uiPriority w:val="0"/>
    <w:pPr>
      <w:spacing w:before="100" w:beforeAutospacing="1" w:after="100" w:afterAutospacing="1"/>
      <w:textAlignment w:val="center"/>
    </w:pPr>
    <w:rPr>
      <w:rFonts w:cs="Times New Roman"/>
      <w:szCs w:val="20"/>
    </w:rPr>
  </w:style>
  <w:style w:type="paragraph" w:customStyle="1" w:styleId="273">
    <w:name w:val="xl24"/>
    <w:basedOn w:val="1"/>
    <w:qFormat/>
    <w:uiPriority w:val="0"/>
    <w:pPr>
      <w:spacing w:before="100" w:beforeAutospacing="1" w:after="100" w:afterAutospacing="1"/>
      <w:jc w:val="center"/>
    </w:pPr>
    <w:rPr>
      <w:rFonts w:cs="Times New Roman"/>
      <w:szCs w:val="20"/>
    </w:rPr>
  </w:style>
  <w:style w:type="paragraph" w:customStyle="1" w:styleId="274">
    <w:name w:val="样式7"/>
    <w:basedOn w:val="1"/>
    <w:qFormat/>
    <w:uiPriority w:val="0"/>
    <w:rPr>
      <w:rFonts w:cs="Times New Roman"/>
      <w:szCs w:val="20"/>
    </w:rPr>
  </w:style>
  <w:style w:type="paragraph" w:customStyle="1" w:styleId="275">
    <w:name w:val="样式 标题 1 + 自动设置"/>
    <w:basedOn w:val="4"/>
    <w:qFormat/>
    <w:uiPriority w:val="0"/>
    <w:pPr>
      <w:keepNext/>
      <w:keepLines/>
      <w:tabs>
        <w:tab w:val="left" w:pos="700"/>
      </w:tabs>
      <w:autoSpaceDE w:val="0"/>
      <w:autoSpaceDN w:val="0"/>
      <w:spacing w:before="120" w:after="60"/>
    </w:pPr>
    <w:rPr>
      <w:rFonts w:cs="Times New Roman"/>
      <w:kern w:val="44"/>
      <w:sz w:val="28"/>
      <w:szCs w:val="20"/>
      <w:lang w:val="zh-CN" w:eastAsia="zh-CN"/>
    </w:rPr>
  </w:style>
  <w:style w:type="paragraph" w:customStyle="1" w:styleId="276">
    <w:name w:val="正文（首行缩进两字） Char"/>
    <w:basedOn w:val="1"/>
    <w:qFormat/>
    <w:uiPriority w:val="0"/>
    <w:pPr>
      <w:spacing w:line="500" w:lineRule="exact"/>
      <w:ind w:firstLine="420"/>
    </w:pPr>
    <w:rPr>
      <w:rFonts w:cs="Times New Roman"/>
      <w:sz w:val="28"/>
      <w:szCs w:val="20"/>
    </w:rPr>
  </w:style>
  <w:style w:type="paragraph" w:customStyle="1" w:styleId="277">
    <w:name w:val="HTML Top of Form"/>
    <w:basedOn w:val="1"/>
    <w:next w:val="1"/>
    <w:link w:val="278"/>
    <w:qFormat/>
    <w:uiPriority w:val="0"/>
    <w:pPr>
      <w:pBdr>
        <w:bottom w:val="single" w:color="auto" w:sz="6" w:space="1"/>
      </w:pBdr>
      <w:jc w:val="center"/>
    </w:pPr>
    <w:rPr>
      <w:rFonts w:ascii="Arial" w:cs="Times New Roman"/>
      <w:vanish/>
      <w:sz w:val="16"/>
      <w:szCs w:val="20"/>
    </w:rPr>
  </w:style>
  <w:style w:type="character" w:customStyle="1" w:styleId="278">
    <w:name w:val="z-窗体顶端 字符"/>
    <w:basedOn w:val="50"/>
    <w:link w:val="277"/>
    <w:qFormat/>
    <w:uiPriority w:val="0"/>
    <w:rPr>
      <w:rFonts w:ascii="Arial" w:hAnsi="Times New Roman" w:eastAsia="宋体" w:cs="Times New Roman"/>
      <w:vanish/>
      <w:kern w:val="0"/>
      <w:sz w:val="16"/>
      <w:szCs w:val="20"/>
    </w:rPr>
  </w:style>
  <w:style w:type="paragraph" w:customStyle="1" w:styleId="279">
    <w:name w:val="样式 标题 1 + 紧缩量  1 磅"/>
    <w:basedOn w:val="4"/>
    <w:qFormat/>
    <w:uiPriority w:val="0"/>
    <w:pPr>
      <w:keepNext/>
      <w:keepLines/>
      <w:spacing w:line="578" w:lineRule="auto"/>
      <w:jc w:val="both"/>
    </w:pPr>
    <w:rPr>
      <w:rFonts w:hint="eastAsia" w:ascii="Calibri" w:hAnsi="Calibri" w:cs="Times New Roman"/>
      <w:bCs/>
      <w:iCs/>
      <w:kern w:val="44"/>
      <w:sz w:val="36"/>
      <w:szCs w:val="36"/>
      <w:lang w:val="zh-CN" w:eastAsia="zh-CN"/>
    </w:rPr>
  </w:style>
  <w:style w:type="paragraph" w:customStyle="1" w:styleId="280">
    <w:name w:val="xl46"/>
    <w:basedOn w:val="1"/>
    <w:qFormat/>
    <w:uiPriority w:val="0"/>
    <w:pPr>
      <w:pBdr>
        <w:right w:val="single" w:color="auto" w:sz="8" w:space="0"/>
      </w:pBdr>
      <w:spacing w:before="100" w:beforeAutospacing="1" w:after="100" w:afterAutospacing="1"/>
      <w:jc w:val="center"/>
    </w:pPr>
    <w:rPr>
      <w:rFonts w:cs="Times New Roman"/>
      <w:szCs w:val="20"/>
    </w:rPr>
  </w:style>
  <w:style w:type="paragraph" w:customStyle="1" w:styleId="281">
    <w:name w:val="简单回函地址"/>
    <w:basedOn w:val="1"/>
    <w:qFormat/>
    <w:uiPriority w:val="0"/>
    <w:rPr>
      <w:rFonts w:cs="Times New Roman"/>
      <w:szCs w:val="20"/>
    </w:rPr>
  </w:style>
  <w:style w:type="paragraph" w:customStyle="1" w:styleId="282">
    <w:name w:val="图名"/>
    <w:basedOn w:val="1"/>
    <w:qFormat/>
    <w:uiPriority w:val="0"/>
    <w:pPr>
      <w:ind w:left="-22" w:leftChars="-9"/>
      <w:jc w:val="center"/>
      <w:textAlignment w:val="baseline"/>
    </w:pPr>
    <w:rPr>
      <w:rFonts w:eastAsia="黑体" w:cs="Times New Roman"/>
      <w:b/>
      <w:snapToGrid w:val="0"/>
      <w:spacing w:val="12"/>
      <w:szCs w:val="20"/>
    </w:rPr>
  </w:style>
  <w:style w:type="paragraph" w:customStyle="1" w:styleId="283">
    <w:name w:val="Char Char Char Char Char Char Char Char Char Char1 Char Char Char Char Char Char Char Char Char Char Char Char Char"/>
    <w:basedOn w:val="1"/>
    <w:qFormat/>
    <w:uiPriority w:val="0"/>
    <w:rPr>
      <w:rFonts w:cs="Times New Roman"/>
      <w:szCs w:val="20"/>
    </w:rPr>
  </w:style>
  <w:style w:type="paragraph" w:customStyle="1" w:styleId="284">
    <w:name w:val="密级编号"/>
    <w:basedOn w:val="1"/>
    <w:qFormat/>
    <w:uiPriority w:val="0"/>
    <w:pPr>
      <w:jc w:val="center"/>
      <w:textAlignment w:val="baseline"/>
    </w:pPr>
    <w:rPr>
      <w:rFonts w:ascii="仿宋_GB2312" w:eastAsia="仿宋_GB2312" w:cs="Times New Roman"/>
      <w:szCs w:val="20"/>
    </w:rPr>
  </w:style>
  <w:style w:type="paragraph" w:customStyle="1" w:styleId="285">
    <w:name w:val="【黑体表头】"/>
    <w:basedOn w:val="1"/>
    <w:qFormat/>
    <w:uiPriority w:val="0"/>
    <w:pPr>
      <w:tabs>
        <w:tab w:val="left" w:leader="middleDot" w:pos="7371"/>
      </w:tabs>
      <w:ind w:firstLine="200"/>
      <w:jc w:val="center"/>
    </w:pPr>
    <w:rPr>
      <w:rFonts w:ascii="黑体" w:hAnsi="黑体" w:eastAsia="黑体" w:cs="Times New Roman"/>
      <w:szCs w:val="20"/>
    </w:rPr>
  </w:style>
  <w:style w:type="paragraph" w:customStyle="1" w:styleId="286">
    <w:name w:val="表体"/>
    <w:basedOn w:val="1"/>
    <w:qFormat/>
    <w:uiPriority w:val="0"/>
    <w:pPr>
      <w:spacing w:line="240" w:lineRule="atLeast"/>
      <w:jc w:val="center"/>
    </w:pPr>
    <w:rPr>
      <w:rFonts w:eastAsia="仿宋_GB2312" w:cs="Times New Roman"/>
      <w:szCs w:val="20"/>
    </w:rPr>
  </w:style>
  <w:style w:type="paragraph" w:customStyle="1" w:styleId="287">
    <w:name w:val="Char1"/>
    <w:basedOn w:val="1"/>
    <w:qFormat/>
    <w:uiPriority w:val="0"/>
    <w:pPr>
      <w:ind w:firstLine="200"/>
    </w:pPr>
    <w:rPr>
      <w:rFonts w:cs="Times New Roman"/>
      <w:szCs w:val="20"/>
    </w:rPr>
  </w:style>
  <w:style w:type="paragraph" w:customStyle="1" w:styleId="288">
    <w:name w:val="正文非缩进 Char"/>
    <w:basedOn w:val="1"/>
    <w:qFormat/>
    <w:uiPriority w:val="0"/>
    <w:pPr>
      <w:spacing w:line="500" w:lineRule="exact"/>
      <w:ind w:firstLine="420"/>
    </w:pPr>
    <w:rPr>
      <w:rFonts w:cs="Times New Roman"/>
      <w:sz w:val="28"/>
      <w:szCs w:val="20"/>
    </w:rPr>
  </w:style>
  <w:style w:type="paragraph" w:customStyle="1" w:styleId="289">
    <w:name w:val="图说表名"/>
    <w:next w:val="1"/>
    <w:qFormat/>
    <w:uiPriority w:val="0"/>
    <w:pPr>
      <w:adjustRightInd w:val="0"/>
      <w:spacing w:before="25" w:after="25"/>
      <w:jc w:val="center"/>
    </w:pPr>
    <w:rPr>
      <w:rFonts w:ascii="Arial" w:hAnsi="Arial" w:eastAsia="黑体" w:cs="Times New Roman"/>
      <w:kern w:val="2"/>
      <w:sz w:val="24"/>
      <w:szCs w:val="20"/>
      <w:lang w:val="en-US" w:eastAsia="zh-CN" w:bidi="ar-SA"/>
    </w:rPr>
  </w:style>
  <w:style w:type="paragraph" w:customStyle="1" w:styleId="290">
    <w:name w:val="正文01"/>
    <w:basedOn w:val="1"/>
    <w:qFormat/>
    <w:uiPriority w:val="0"/>
    <w:pPr>
      <w:spacing w:before="60" w:line="460" w:lineRule="exact"/>
      <w:ind w:firstLine="200"/>
    </w:pPr>
    <w:rPr>
      <w:rFonts w:cs="Times New Roman"/>
      <w:szCs w:val="20"/>
    </w:rPr>
  </w:style>
  <w:style w:type="paragraph" w:customStyle="1" w:styleId="291">
    <w:name w:val="【标题2】"/>
    <w:basedOn w:val="5"/>
    <w:qFormat/>
    <w:uiPriority w:val="0"/>
    <w:pPr>
      <w:keepNext w:val="0"/>
      <w:spacing w:line="700" w:lineRule="exact"/>
    </w:pPr>
    <w:rPr>
      <w:rFonts w:ascii="Calibri" w:hAnsi="Calibri" w:cs="Times New Roman"/>
      <w:bCs w:val="0"/>
      <w:szCs w:val="22"/>
      <w:lang w:val="zh-CN" w:eastAsia="en-US"/>
    </w:rPr>
  </w:style>
  <w:style w:type="paragraph" w:customStyle="1" w:styleId="292">
    <w:name w:val="主标题"/>
    <w:basedOn w:val="1"/>
    <w:qFormat/>
    <w:uiPriority w:val="0"/>
    <w:pPr>
      <w:spacing w:before="60" w:after="60"/>
      <w:jc w:val="center"/>
      <w:outlineLvl w:val="0"/>
    </w:pPr>
    <w:rPr>
      <w:rFonts w:ascii="黑体" w:eastAsia="黑体" w:cs="Times New Roman"/>
      <w:b/>
      <w:color w:val="000000"/>
      <w:sz w:val="32"/>
      <w:szCs w:val="20"/>
    </w:rPr>
  </w:style>
  <w:style w:type="paragraph" w:customStyle="1" w:styleId="293">
    <w:name w:val="表正文 Char1 Char Char C"/>
    <w:basedOn w:val="1"/>
    <w:qFormat/>
    <w:uiPriority w:val="0"/>
    <w:pPr>
      <w:spacing w:line="500" w:lineRule="exact"/>
      <w:ind w:firstLine="420"/>
      <w:textAlignment w:val="baseline"/>
    </w:pPr>
    <w:rPr>
      <w:rFonts w:cs="Times New Roman"/>
      <w:sz w:val="28"/>
      <w:szCs w:val="20"/>
    </w:rPr>
  </w:style>
  <w:style w:type="paragraph" w:customStyle="1" w:styleId="294">
    <w:name w:val="正文7"/>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295">
    <w:name w:val="表号"/>
    <w:basedOn w:val="296"/>
    <w:next w:val="296"/>
    <w:qFormat/>
    <w:uiPriority w:val="0"/>
    <w:pPr>
      <w:jc w:val="right"/>
    </w:pPr>
    <w:rPr>
      <w:rFonts w:cs="Times New Roman"/>
      <w:szCs w:val="20"/>
    </w:rPr>
  </w:style>
  <w:style w:type="paragraph" w:customStyle="1" w:styleId="296">
    <w:name w:val="表内字"/>
    <w:next w:val="1"/>
    <w:qFormat/>
    <w:uiPriority w:val="99"/>
    <w:pPr>
      <w:spacing w:line="312" w:lineRule="auto"/>
      <w:jc w:val="center"/>
    </w:pPr>
    <w:rPr>
      <w:rFonts w:ascii="Times New Roman" w:hAnsi="Times New Roman" w:eastAsia="宋体" w:cs="Times New Roman"/>
      <w:color w:val="000000"/>
      <w:sz w:val="21"/>
      <w:lang w:val="en-US" w:eastAsia="zh-CN" w:bidi="ar-SA"/>
    </w:rPr>
  </w:style>
  <w:style w:type="paragraph" w:customStyle="1" w:styleId="297">
    <w:name w:val="样式 标题 3标题 33 + 段前: 0.5 行"/>
    <w:basedOn w:val="7"/>
    <w:qFormat/>
    <w:uiPriority w:val="0"/>
    <w:pPr>
      <w:ind w:firstLine="480" w:firstLineChars="200"/>
      <w:jc w:val="both"/>
    </w:pPr>
    <w:rPr>
      <w:rFonts w:ascii="黑体" w:cs="Times New Roman"/>
      <w:b w:val="0"/>
      <w:bCs w:val="0"/>
      <w:snapToGrid w:val="0"/>
      <w:color w:val="000000"/>
      <w:szCs w:val="20"/>
      <w:lang w:val="zh-CN" w:eastAsia="zh-CN"/>
    </w:rPr>
  </w:style>
  <w:style w:type="paragraph" w:customStyle="1" w:styleId="298">
    <w:name w:val="Char Char Char"/>
    <w:basedOn w:val="1"/>
    <w:qFormat/>
    <w:uiPriority w:val="0"/>
    <w:pPr>
      <w:tabs>
        <w:tab w:val="left" w:pos="170"/>
      </w:tabs>
      <w:ind w:left="170" w:hanging="170"/>
    </w:pPr>
    <w:rPr>
      <w:rFonts w:cs="Times New Roman"/>
      <w:szCs w:val="20"/>
    </w:rPr>
  </w:style>
  <w:style w:type="paragraph" w:customStyle="1" w:styleId="299">
    <w:name w:val="正文文本缩进 21"/>
    <w:basedOn w:val="1"/>
    <w:qFormat/>
    <w:uiPriority w:val="0"/>
    <w:pPr>
      <w:ind w:firstLine="510"/>
      <w:textAlignment w:val="baseline"/>
    </w:pPr>
    <w:rPr>
      <w:rFonts w:cs="Times New Roman"/>
      <w:sz w:val="28"/>
      <w:szCs w:val="20"/>
    </w:rPr>
  </w:style>
  <w:style w:type="paragraph" w:customStyle="1" w:styleId="300">
    <w:name w:val="自由格式"/>
    <w:next w:val="1"/>
    <w:qFormat/>
    <w:uiPriority w:val="0"/>
    <w:pPr>
      <w:adjustRightInd w:val="0"/>
      <w:spacing w:before="25" w:after="25" w:line="500" w:lineRule="atLeast"/>
    </w:pPr>
    <w:rPr>
      <w:rFonts w:ascii="Times New Roman" w:hAnsi="Times New Roman" w:eastAsia="宋体" w:cs="Times New Roman"/>
      <w:kern w:val="2"/>
      <w:sz w:val="24"/>
      <w:szCs w:val="20"/>
      <w:lang w:val="en-US" w:eastAsia="zh-CN" w:bidi="ar-SA"/>
    </w:rPr>
  </w:style>
  <w:style w:type="paragraph" w:customStyle="1" w:styleId="301">
    <w:name w:val="表格正文"/>
    <w:basedOn w:val="1"/>
    <w:qFormat/>
    <w:uiPriority w:val="0"/>
    <w:pPr>
      <w:spacing w:line="360" w:lineRule="exact"/>
      <w:jc w:val="center"/>
    </w:pPr>
    <w:rPr>
      <w:rFonts w:cs="Times New Roman"/>
      <w:szCs w:val="20"/>
    </w:rPr>
  </w:style>
  <w:style w:type="paragraph" w:customStyle="1" w:styleId="302">
    <w:name w:val="标题B"/>
    <w:qFormat/>
    <w:uiPriority w:val="0"/>
    <w:pPr>
      <w:adjustRightInd w:val="0"/>
      <w:snapToGrid w:val="0"/>
      <w:spacing w:before="400"/>
      <w:outlineLvl w:val="1"/>
    </w:pPr>
    <w:rPr>
      <w:rFonts w:ascii="Times New Roman" w:hAnsi="Times New Roman" w:eastAsia="宋体" w:cs="Times New Roman"/>
      <w:b/>
      <w:kern w:val="0"/>
      <w:sz w:val="30"/>
      <w:szCs w:val="20"/>
      <w:lang w:val="en-US" w:eastAsia="zh-CN" w:bidi="ar-SA"/>
    </w:rPr>
  </w:style>
  <w:style w:type="paragraph" w:customStyle="1" w:styleId="303">
    <w:name w:val="Char Char Char Char Char Char Char"/>
    <w:basedOn w:val="1"/>
    <w:qFormat/>
    <w:uiPriority w:val="0"/>
    <w:rPr>
      <w:rFonts w:cs="Times New Roman"/>
    </w:rPr>
  </w:style>
  <w:style w:type="paragraph" w:customStyle="1" w:styleId="304">
    <w:name w:val="Char"/>
    <w:basedOn w:val="7"/>
    <w:qFormat/>
    <w:uiPriority w:val="0"/>
    <w:pPr>
      <w:tabs>
        <w:tab w:val="left" w:pos="360"/>
        <w:tab w:val="left" w:pos="900"/>
      </w:tabs>
      <w:spacing w:before="120" w:after="120"/>
      <w:ind w:left="542" w:leftChars="-12" w:firstLine="200" w:firstLineChars="200"/>
    </w:pPr>
    <w:rPr>
      <w:rFonts w:cs="Times New Roman"/>
      <w:b w:val="0"/>
      <w:bCs w:val="0"/>
      <w:snapToGrid w:val="0"/>
      <w:szCs w:val="20"/>
      <w:lang w:val="zh-CN" w:eastAsia="zh-CN"/>
    </w:rPr>
  </w:style>
  <w:style w:type="paragraph" w:customStyle="1" w:styleId="305">
    <w:name w:val="正缩1 Char"/>
    <w:basedOn w:val="1"/>
    <w:qFormat/>
    <w:uiPriority w:val="0"/>
    <w:pPr>
      <w:spacing w:line="500" w:lineRule="exact"/>
      <w:ind w:firstLine="567"/>
    </w:pPr>
    <w:rPr>
      <w:rFonts w:eastAsia="仿宋_GB2312" w:cs="Times New Roman"/>
      <w:snapToGrid w:val="0"/>
      <w:color w:val="000000"/>
      <w:sz w:val="28"/>
      <w:szCs w:val="20"/>
    </w:rPr>
  </w:style>
  <w:style w:type="paragraph" w:customStyle="1" w:styleId="306">
    <w:name w:val="9"/>
    <w:basedOn w:val="1"/>
    <w:qFormat/>
    <w:uiPriority w:val="0"/>
    <w:pPr>
      <w:ind w:firstLine="200"/>
    </w:pPr>
    <w:rPr>
      <w:rFonts w:eastAsia="Times New Roman" w:cs="Times New Roman"/>
      <w:szCs w:val="20"/>
    </w:rPr>
  </w:style>
  <w:style w:type="paragraph" w:customStyle="1" w:styleId="307">
    <w:name w:val="XCHG论文正文"/>
    <w:basedOn w:val="1"/>
    <w:qFormat/>
    <w:uiPriority w:val="0"/>
    <w:pPr>
      <w:spacing w:line="300" w:lineRule="auto"/>
    </w:pPr>
    <w:rPr>
      <w:rFonts w:cs="Times New Roman"/>
      <w:color w:val="000000"/>
      <w:szCs w:val="20"/>
    </w:rPr>
  </w:style>
  <w:style w:type="paragraph" w:customStyle="1" w:styleId="308">
    <w:name w:val="流程图"/>
    <w:basedOn w:val="1"/>
    <w:qFormat/>
    <w:uiPriority w:val="0"/>
    <w:pPr>
      <w:tabs>
        <w:tab w:val="left" w:pos="0"/>
      </w:tabs>
      <w:autoSpaceDE w:val="0"/>
      <w:autoSpaceDN w:val="0"/>
      <w:spacing w:line="240" w:lineRule="atLeast"/>
      <w:jc w:val="center"/>
      <w:textAlignment w:val="bottom"/>
    </w:pPr>
    <w:rPr>
      <w:rFonts w:cs="Times New Roman"/>
      <w:szCs w:val="20"/>
    </w:rPr>
  </w:style>
  <w:style w:type="paragraph" w:customStyle="1" w:styleId="309">
    <w:name w:val="样式2"/>
    <w:basedOn w:val="5"/>
    <w:qFormat/>
    <w:uiPriority w:val="0"/>
    <w:pPr>
      <w:spacing w:line="800" w:lineRule="exact"/>
      <w:outlineLvl w:val="0"/>
    </w:pPr>
    <w:rPr>
      <w:rFonts w:ascii="黑体" w:cs="Times New Roman"/>
      <w:b w:val="0"/>
      <w:lang w:val="zh-CN" w:eastAsia="zh-CN"/>
    </w:rPr>
  </w:style>
  <w:style w:type="paragraph" w:customStyle="1" w:styleId="310">
    <w:name w:val="标题C"/>
    <w:qFormat/>
    <w:uiPriority w:val="0"/>
    <w:pPr>
      <w:tabs>
        <w:tab w:val="left" w:pos="0"/>
      </w:tabs>
      <w:adjustRightInd w:val="0"/>
      <w:snapToGrid w:val="0"/>
      <w:spacing w:before="300"/>
      <w:outlineLvl w:val="2"/>
    </w:pPr>
    <w:rPr>
      <w:rFonts w:ascii="Times New Roman" w:hAnsi="Times New Roman" w:eastAsia="宋体" w:cs="Times New Roman"/>
      <w:b/>
      <w:snapToGrid w:val="0"/>
      <w:kern w:val="0"/>
      <w:sz w:val="28"/>
      <w:szCs w:val="20"/>
      <w:lang w:val="en-US" w:eastAsia="zh-CN" w:bidi="ar-SA"/>
    </w:rPr>
  </w:style>
  <w:style w:type="paragraph" w:customStyle="1" w:styleId="311">
    <w:name w:val="样式 (中文) 黑体 加粗 行距: 固定值 25 磅"/>
    <w:basedOn w:val="1"/>
    <w:qFormat/>
    <w:uiPriority w:val="0"/>
    <w:pPr>
      <w:spacing w:line="500" w:lineRule="exact"/>
      <w:ind w:firstLine="424" w:firstLineChars="201"/>
      <w:textAlignment w:val="baseline"/>
    </w:pPr>
    <w:rPr>
      <w:rFonts w:cs="Times New Roman"/>
      <w:b/>
      <w:sz w:val="28"/>
      <w:szCs w:val="20"/>
    </w:rPr>
  </w:style>
  <w:style w:type="paragraph" w:customStyle="1" w:styleId="312">
    <w:name w:val="中文"/>
    <w:basedOn w:val="25"/>
    <w:qFormat/>
    <w:uiPriority w:val="0"/>
    <w:pPr>
      <w:ind w:firstLine="567"/>
    </w:pPr>
    <w:rPr>
      <w:rFonts w:eastAsia="方正美黑简体"/>
      <w:sz w:val="28"/>
      <w:szCs w:val="28"/>
    </w:rPr>
  </w:style>
  <w:style w:type="paragraph" w:customStyle="1" w:styleId="313">
    <w:name w:val="表格内容小左"/>
    <w:basedOn w:val="235"/>
    <w:qFormat/>
    <w:uiPriority w:val="0"/>
    <w:pPr>
      <w:jc w:val="left"/>
    </w:pPr>
    <w:rPr>
      <w:snapToGrid w:val="0"/>
    </w:rPr>
  </w:style>
  <w:style w:type="paragraph" w:customStyle="1" w:styleId="314">
    <w:name w:val="正文文本最新 Char Char Char Char Char"/>
    <w:basedOn w:val="1"/>
    <w:qFormat/>
    <w:uiPriority w:val="0"/>
    <w:pPr>
      <w:ind w:firstLine="200"/>
    </w:pPr>
    <w:rPr>
      <w:rFonts w:cs="Times New Roman"/>
      <w:sz w:val="28"/>
      <w:szCs w:val="20"/>
    </w:rPr>
  </w:style>
  <w:style w:type="paragraph" w:customStyle="1" w:styleId="315">
    <w:name w:val="_Style 1"/>
    <w:basedOn w:val="1"/>
    <w:qFormat/>
    <w:uiPriority w:val="34"/>
    <w:pPr>
      <w:ind w:firstLine="420"/>
    </w:pPr>
    <w:rPr>
      <w:rFonts w:ascii="Calibri" w:hAnsi="Calibri" w:cs="Times New Roman"/>
      <w:sz w:val="21"/>
    </w:rPr>
  </w:style>
  <w:style w:type="paragraph" w:customStyle="1" w:styleId="316">
    <w:name w:val="Char Char Char1 Char"/>
    <w:basedOn w:val="1"/>
    <w:qFormat/>
    <w:uiPriority w:val="0"/>
    <w:rPr>
      <w:rFonts w:cs="Times New Roman"/>
      <w:szCs w:val="20"/>
    </w:rPr>
  </w:style>
  <w:style w:type="paragraph" w:customStyle="1" w:styleId="317">
    <w:name w:val="3级标题"/>
    <w:basedOn w:val="1"/>
    <w:qFormat/>
    <w:uiPriority w:val="0"/>
    <w:pPr>
      <w:spacing w:before="300" w:line="460" w:lineRule="exact"/>
      <w:outlineLvl w:val="2"/>
    </w:pPr>
    <w:rPr>
      <w:rFonts w:cs="Times New Roman"/>
      <w:b/>
      <w:szCs w:val="20"/>
    </w:rPr>
  </w:style>
  <w:style w:type="paragraph" w:customStyle="1" w:styleId="318">
    <w:name w:val="报告书正文"/>
    <w:basedOn w:val="28"/>
    <w:qFormat/>
    <w:uiPriority w:val="0"/>
    <w:pPr>
      <w:spacing w:line="400" w:lineRule="atLeast"/>
      <w:ind w:firstLine="200"/>
    </w:pPr>
    <w:rPr>
      <w:rFonts w:cs="Times New Roman"/>
      <w:szCs w:val="20"/>
    </w:rPr>
  </w:style>
  <w:style w:type="paragraph" w:customStyle="1" w:styleId="319">
    <w:name w:val="HTML Bottom of Form"/>
    <w:basedOn w:val="1"/>
    <w:next w:val="1"/>
    <w:link w:val="320"/>
    <w:qFormat/>
    <w:uiPriority w:val="0"/>
    <w:pPr>
      <w:pBdr>
        <w:top w:val="single" w:color="auto" w:sz="6" w:space="1"/>
      </w:pBdr>
      <w:jc w:val="center"/>
    </w:pPr>
    <w:rPr>
      <w:rFonts w:ascii="Arial" w:cs="Times New Roman"/>
      <w:vanish/>
      <w:sz w:val="16"/>
      <w:szCs w:val="20"/>
    </w:rPr>
  </w:style>
  <w:style w:type="character" w:customStyle="1" w:styleId="320">
    <w:name w:val="z-窗体底端 字符"/>
    <w:basedOn w:val="50"/>
    <w:link w:val="319"/>
    <w:qFormat/>
    <w:uiPriority w:val="0"/>
    <w:rPr>
      <w:rFonts w:ascii="Arial" w:hAnsi="Times New Roman" w:eastAsia="宋体" w:cs="Times New Roman"/>
      <w:vanish/>
      <w:kern w:val="0"/>
      <w:sz w:val="16"/>
      <w:szCs w:val="20"/>
    </w:rPr>
  </w:style>
  <w:style w:type="paragraph" w:customStyle="1" w:styleId="321">
    <w:name w:val="表标题"/>
    <w:basedOn w:val="1"/>
    <w:qFormat/>
    <w:uiPriority w:val="0"/>
    <w:pPr>
      <w:autoSpaceDE w:val="0"/>
      <w:autoSpaceDN w:val="0"/>
      <w:spacing w:before="156" w:line="500" w:lineRule="exact"/>
      <w:ind w:firstLine="370" w:firstLineChars="147"/>
      <w:outlineLvl w:val="0"/>
    </w:pPr>
    <w:rPr>
      <w:rFonts w:cs="Times New Roman"/>
      <w:spacing w:val="6"/>
      <w:szCs w:val="20"/>
    </w:rPr>
  </w:style>
  <w:style w:type="paragraph" w:customStyle="1" w:styleId="322">
    <w:name w:val="样式 标题 51 + 左"/>
    <w:basedOn w:val="9"/>
    <w:qFormat/>
    <w:uiPriority w:val="0"/>
    <w:pPr>
      <w:keepNext w:val="0"/>
      <w:keepLines w:val="0"/>
      <w:adjustRightInd w:val="0"/>
      <w:spacing w:before="0" w:after="0" w:line="360" w:lineRule="auto"/>
      <w:ind w:left="-420" w:firstLine="284"/>
      <w:textAlignment w:val="baseline"/>
    </w:pPr>
    <w:rPr>
      <w:rFonts w:ascii="楷体_GB2312" w:hAnsi="Arial" w:cs="宋体"/>
      <w:b w:val="0"/>
    </w:rPr>
  </w:style>
  <w:style w:type="paragraph" w:customStyle="1" w:styleId="323">
    <w:name w:val="正文文字 2"/>
    <w:basedOn w:val="1"/>
    <w:qFormat/>
    <w:uiPriority w:val="0"/>
    <w:rPr>
      <w:rFonts w:cs="Times New Roman"/>
      <w:color w:val="000000"/>
      <w:sz w:val="28"/>
      <w:szCs w:val="20"/>
    </w:rPr>
  </w:style>
  <w:style w:type="paragraph" w:customStyle="1" w:styleId="324">
    <w:name w:val="一"/>
    <w:basedOn w:val="46"/>
    <w:qFormat/>
    <w:uiPriority w:val="0"/>
    <w:pPr>
      <w:spacing w:after="0" w:afterLines="0" w:line="360" w:lineRule="auto"/>
      <w:ind w:firstLine="200" w:firstLineChars="200"/>
    </w:pPr>
    <w:rPr>
      <w:rFonts w:eastAsia="仿宋_GB2312"/>
      <w:sz w:val="28"/>
    </w:rPr>
  </w:style>
  <w:style w:type="paragraph" w:customStyle="1" w:styleId="325">
    <w:name w:val="表格内容紧"/>
    <w:basedOn w:val="1"/>
    <w:qFormat/>
    <w:uiPriority w:val="0"/>
    <w:pPr>
      <w:ind w:left="-105" w:leftChars="-50" w:right="-105" w:rightChars="-50"/>
      <w:jc w:val="center"/>
    </w:pPr>
    <w:rPr>
      <w:rFonts w:cs="Arial"/>
      <w:sz w:val="18"/>
      <w:szCs w:val="18"/>
    </w:rPr>
  </w:style>
  <w:style w:type="paragraph" w:customStyle="1" w:styleId="326">
    <w:name w:val="样式 标题3"/>
    <w:basedOn w:val="7"/>
    <w:qFormat/>
    <w:uiPriority w:val="0"/>
    <w:pPr>
      <w:spacing w:before="156" w:after="156"/>
      <w:ind w:firstLine="200"/>
    </w:pPr>
    <w:rPr>
      <w:rFonts w:cs="Times New Roman"/>
      <w:bCs w:val="0"/>
      <w:szCs w:val="20"/>
      <w:lang w:val="zh-CN" w:eastAsia="zh-CN"/>
    </w:rPr>
  </w:style>
  <w:style w:type="paragraph" w:customStyle="1" w:styleId="327">
    <w:name w:val="1"/>
    <w:basedOn w:val="1"/>
    <w:next w:val="35"/>
    <w:qFormat/>
    <w:uiPriority w:val="0"/>
    <w:pPr>
      <w:spacing w:after="120"/>
      <w:ind w:left="420" w:leftChars="200"/>
    </w:pPr>
    <w:rPr>
      <w:rFonts w:cs="Times New Roman"/>
      <w:sz w:val="16"/>
      <w:szCs w:val="20"/>
    </w:rPr>
  </w:style>
  <w:style w:type="paragraph" w:customStyle="1" w:styleId="328">
    <w:name w:val="表格内容右"/>
    <w:basedOn w:val="236"/>
    <w:qFormat/>
    <w:uiPriority w:val="0"/>
    <w:pPr>
      <w:outlineLvl w:val="9"/>
    </w:pPr>
    <w:rPr>
      <w:w w:val="100"/>
      <w:sz w:val="21"/>
    </w:rPr>
  </w:style>
  <w:style w:type="paragraph" w:customStyle="1" w:styleId="329">
    <w:name w:val="列出段落1"/>
    <w:basedOn w:val="1"/>
    <w:qFormat/>
    <w:uiPriority w:val="0"/>
    <w:pPr>
      <w:ind w:firstLine="420"/>
    </w:pPr>
    <w:rPr>
      <w:rFonts w:cs="Times New Roman"/>
      <w:szCs w:val="20"/>
    </w:rPr>
  </w:style>
  <w:style w:type="paragraph" w:customStyle="1" w:styleId="330">
    <w:name w:val="Char Char Char Char Char Char Char Char"/>
    <w:basedOn w:val="1"/>
    <w:qFormat/>
    <w:uiPriority w:val="0"/>
    <w:rPr>
      <w:rFonts w:cs="Times New Roman"/>
      <w:szCs w:val="20"/>
    </w:rPr>
  </w:style>
  <w:style w:type="paragraph" w:customStyle="1" w:styleId="331">
    <w:name w:val="2级标题"/>
    <w:basedOn w:val="1"/>
    <w:qFormat/>
    <w:uiPriority w:val="0"/>
    <w:pPr>
      <w:spacing w:before="60" w:line="460" w:lineRule="exact"/>
      <w:outlineLvl w:val="1"/>
    </w:pPr>
    <w:rPr>
      <w:rFonts w:cs="Times New Roman"/>
      <w:b/>
      <w:sz w:val="28"/>
      <w:szCs w:val="20"/>
    </w:rPr>
  </w:style>
  <w:style w:type="paragraph" w:customStyle="1" w:styleId="332">
    <w:name w:val="样式 样式 标题 3标题 33 + 段前: 0.5 行 + 段前: 0.5 行"/>
    <w:basedOn w:val="297"/>
    <w:qFormat/>
    <w:uiPriority w:val="0"/>
  </w:style>
  <w:style w:type="paragraph" w:customStyle="1" w:styleId="333">
    <w:name w:val="表内文字"/>
    <w:basedOn w:val="1"/>
    <w:next w:val="39"/>
    <w:qFormat/>
    <w:uiPriority w:val="0"/>
    <w:pPr>
      <w:spacing w:after="120" w:line="480" w:lineRule="auto"/>
    </w:pPr>
    <w:rPr>
      <w:rFonts w:cs="Times New Roman"/>
      <w:szCs w:val="20"/>
    </w:rPr>
  </w:style>
  <w:style w:type="paragraph" w:customStyle="1" w:styleId="334">
    <w:name w:val="正文文本缩进1"/>
    <w:basedOn w:val="1"/>
    <w:qFormat/>
    <w:uiPriority w:val="0"/>
    <w:pPr>
      <w:spacing w:after="120"/>
      <w:ind w:left="420" w:leftChars="200"/>
    </w:pPr>
    <w:rPr>
      <w:rFonts w:hint="eastAsia" w:cs="Times New Roman"/>
      <w:szCs w:val="20"/>
    </w:rPr>
  </w:style>
  <w:style w:type="paragraph" w:customStyle="1" w:styleId="335">
    <w:name w:val="表芯"/>
    <w:basedOn w:val="1"/>
    <w:next w:val="1"/>
    <w:qFormat/>
    <w:uiPriority w:val="0"/>
    <w:pPr>
      <w:keepNext/>
      <w:spacing w:before="20" w:line="0" w:lineRule="atLeast"/>
      <w:jc w:val="center"/>
      <w:textAlignment w:val="baseline"/>
    </w:pPr>
    <w:rPr>
      <w:rFonts w:cs="Times New Roman"/>
      <w:kern w:val="21"/>
      <w:szCs w:val="20"/>
    </w:rPr>
  </w:style>
  <w:style w:type="paragraph" w:customStyle="1" w:styleId="336">
    <w:name w:val="样式 标题2　自动设置"/>
    <w:basedOn w:val="5"/>
    <w:qFormat/>
    <w:uiPriority w:val="0"/>
    <w:pPr>
      <w:spacing w:before="120" w:after="60" w:line="500" w:lineRule="exact"/>
      <w:jc w:val="both"/>
    </w:pPr>
    <w:rPr>
      <w:rFonts w:eastAsia="宋体" w:cs="Times New Roman"/>
      <w:bCs w:val="0"/>
      <w:szCs w:val="20"/>
      <w:lang w:val="zh-CN" w:eastAsia="zh-CN"/>
    </w:rPr>
  </w:style>
  <w:style w:type="paragraph" w:customStyle="1" w:styleId="337">
    <w:name w:val="序列样式1"/>
    <w:basedOn w:val="1"/>
    <w:qFormat/>
    <w:uiPriority w:val="0"/>
    <w:pPr>
      <w:tabs>
        <w:tab w:val="left" w:pos="840"/>
      </w:tabs>
      <w:spacing w:after="62" w:line="400" w:lineRule="exact"/>
      <w:ind w:firstLine="397"/>
    </w:pPr>
    <w:rPr>
      <w:rFonts w:cs="Times New Roman"/>
      <w:szCs w:val="20"/>
    </w:rPr>
  </w:style>
  <w:style w:type="paragraph" w:customStyle="1" w:styleId="338">
    <w:name w:val="正文文字一"/>
    <w:basedOn w:val="1"/>
    <w:qFormat/>
    <w:uiPriority w:val="0"/>
    <w:pPr>
      <w:spacing w:line="520" w:lineRule="exact"/>
      <w:ind w:firstLine="567"/>
    </w:pPr>
    <w:rPr>
      <w:rFonts w:cs="Times New Roman"/>
      <w:sz w:val="28"/>
      <w:szCs w:val="20"/>
    </w:rPr>
  </w:style>
  <w:style w:type="paragraph" w:customStyle="1" w:styleId="339">
    <w:name w:val="表文A"/>
    <w:qFormat/>
    <w:uiPriority w:val="0"/>
    <w:pPr>
      <w:tabs>
        <w:tab w:val="left" w:pos="0"/>
      </w:tabs>
      <w:adjustRightInd w:val="0"/>
      <w:snapToGrid w:val="0"/>
      <w:spacing w:line="264" w:lineRule="auto"/>
      <w:jc w:val="center"/>
    </w:pPr>
    <w:rPr>
      <w:rFonts w:ascii="Times New Roman" w:hAnsi="Times New Roman" w:eastAsia="宋体" w:cs="Times New Roman"/>
      <w:snapToGrid w:val="0"/>
      <w:kern w:val="0"/>
      <w:sz w:val="18"/>
      <w:szCs w:val="20"/>
      <w:lang w:val="en-US" w:eastAsia="zh-CN" w:bidi="ar-SA"/>
    </w:rPr>
  </w:style>
  <w:style w:type="paragraph" w:styleId="340">
    <w:name w:val="List Paragraph"/>
    <w:basedOn w:val="1"/>
    <w:qFormat/>
    <w:uiPriority w:val="0"/>
    <w:pPr>
      <w:ind w:firstLine="420"/>
    </w:pPr>
    <w:rPr>
      <w:rFonts w:cs="Times New Roman"/>
      <w:szCs w:val="20"/>
    </w:rPr>
  </w:style>
  <w:style w:type="paragraph" w:customStyle="1" w:styleId="341">
    <w:name w:val="xyb自建表格名称"/>
    <w:basedOn w:val="1"/>
    <w:qFormat/>
    <w:uiPriority w:val="0"/>
    <w:pPr>
      <w:jc w:val="center"/>
    </w:pPr>
    <w:rPr>
      <w:rFonts w:cs="Times New Roman"/>
      <w:szCs w:val="20"/>
    </w:rPr>
  </w:style>
  <w:style w:type="paragraph" w:customStyle="1" w:styleId="342">
    <w:name w:val="普通文字 Char"/>
    <w:basedOn w:val="1"/>
    <w:next w:val="25"/>
    <w:qFormat/>
    <w:uiPriority w:val="0"/>
    <w:pPr>
      <w:tabs>
        <w:tab w:val="left" w:pos="3800"/>
        <w:tab w:val="left" w:pos="5200"/>
      </w:tabs>
      <w:autoSpaceDE w:val="0"/>
      <w:autoSpaceDN w:val="0"/>
      <w:spacing w:line="560" w:lineRule="exact"/>
    </w:pPr>
    <w:rPr>
      <w:rFonts w:hAnsi="Courier New" w:cs="Times New Roman"/>
      <w:color w:val="000000"/>
      <w:szCs w:val="20"/>
    </w:rPr>
  </w:style>
  <w:style w:type="paragraph" w:customStyle="1" w:styleId="343">
    <w:name w:val="表格内容小紧"/>
    <w:basedOn w:val="254"/>
    <w:qFormat/>
    <w:uiPriority w:val="0"/>
    <w:pPr>
      <w:ind w:left="-105" w:leftChars="-50" w:right="-50" w:rightChars="-50"/>
    </w:pPr>
  </w:style>
  <w:style w:type="paragraph" w:customStyle="1" w:styleId="344">
    <w:name w:val="样式 样式 样式 首行缩进:  2 字符 段后: 7.8 磅 Char + 首行缩进:  2 字符 + 左侧:  2 字符 首..."/>
    <w:basedOn w:val="1"/>
    <w:qFormat/>
    <w:uiPriority w:val="0"/>
    <w:pPr>
      <w:ind w:left="200" w:leftChars="200" w:firstLine="200"/>
    </w:pPr>
    <w:rPr>
      <w:color w:val="000000"/>
      <w:szCs w:val="20"/>
    </w:rPr>
  </w:style>
  <w:style w:type="paragraph" w:customStyle="1" w:styleId="345">
    <w:name w:val="纯文本 Char Char Char Char"/>
    <w:basedOn w:val="1"/>
    <w:next w:val="25"/>
    <w:qFormat/>
    <w:uiPriority w:val="0"/>
    <w:rPr>
      <w:rFonts w:hAnsi="Courier New" w:cs="Times New Roman"/>
      <w:szCs w:val="20"/>
    </w:rPr>
  </w:style>
  <w:style w:type="paragraph" w:customStyle="1" w:styleId="346">
    <w:name w:val="纯文本 Char Char Char Char2"/>
    <w:basedOn w:val="1"/>
    <w:next w:val="25"/>
    <w:qFormat/>
    <w:uiPriority w:val="0"/>
    <w:rPr>
      <w:rFonts w:hAnsi="Courier New" w:cs="Times New Roman"/>
      <w:szCs w:val="20"/>
    </w:rPr>
  </w:style>
  <w:style w:type="paragraph" w:customStyle="1" w:styleId="347">
    <w:name w:val="xl58"/>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cs="Times New Roman"/>
      <w:color w:val="000000"/>
      <w:szCs w:val="20"/>
    </w:rPr>
  </w:style>
  <w:style w:type="paragraph" w:customStyle="1" w:styleId="348">
    <w:name w:val="中文报告书样式"/>
    <w:basedOn w:val="1"/>
    <w:qFormat/>
    <w:uiPriority w:val="0"/>
    <w:pPr>
      <w:spacing w:line="500" w:lineRule="atLeast"/>
      <w:textAlignment w:val="baseline"/>
    </w:pPr>
    <w:rPr>
      <w:rFonts w:eastAsia="汉仪仿宋简" w:cs="Times New Roman"/>
      <w:kern w:val="28"/>
      <w:szCs w:val="20"/>
    </w:rPr>
  </w:style>
  <w:style w:type="paragraph" w:customStyle="1" w:styleId="349">
    <w:name w:val="普通(网站)1"/>
    <w:basedOn w:val="1"/>
    <w:qFormat/>
    <w:uiPriority w:val="0"/>
  </w:style>
  <w:style w:type="paragraph" w:customStyle="1" w:styleId="350">
    <w:name w:val="样式 正文首行缩进 + 宋体"/>
    <w:basedOn w:val="112"/>
    <w:qFormat/>
    <w:uiPriority w:val="0"/>
    <w:pPr>
      <w:spacing w:after="0" w:afterLines="0"/>
      <w:ind w:firstLine="498" w:firstLineChars="200"/>
    </w:pPr>
    <w:rPr>
      <w:szCs w:val="20"/>
    </w:rPr>
  </w:style>
  <w:style w:type="paragraph" w:customStyle="1" w:styleId="351">
    <w:name w:val="正文4"/>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352">
    <w:name w:val="标题四"/>
    <w:basedOn w:val="1"/>
    <w:qFormat/>
    <w:uiPriority w:val="0"/>
    <w:pPr>
      <w:spacing w:before="156" w:after="156"/>
    </w:pPr>
    <w:rPr>
      <w:rFonts w:cs="Times New Roman"/>
      <w:b/>
      <w:szCs w:val="20"/>
    </w:rPr>
  </w:style>
  <w:style w:type="paragraph" w:customStyle="1" w:styleId="353">
    <w:name w:val="TOC Heading"/>
    <w:basedOn w:val="4"/>
    <w:next w:val="1"/>
    <w:qFormat/>
    <w:uiPriority w:val="39"/>
    <w:pPr>
      <w:keepNext/>
      <w:keepLines/>
      <w:spacing w:before="480" w:line="276" w:lineRule="auto"/>
      <w:outlineLvl w:val="9"/>
    </w:pPr>
    <w:rPr>
      <w:rFonts w:ascii="Cambria" w:hAnsi="Cambria" w:eastAsia="宋体" w:cs="Times New Roman"/>
      <w:b w:val="0"/>
      <w:bCs/>
      <w:color w:val="365F91"/>
      <w:sz w:val="28"/>
      <w:szCs w:val="28"/>
      <w:lang w:val="zh-CN" w:eastAsia="zh-CN"/>
    </w:rPr>
  </w:style>
  <w:style w:type="paragraph" w:customStyle="1" w:styleId="354">
    <w:name w:val="_Style 5"/>
    <w:basedOn w:val="1"/>
    <w:next w:val="1"/>
    <w:qFormat/>
    <w:uiPriority w:val="0"/>
    <w:pPr>
      <w:pBdr>
        <w:top w:val="single" w:color="auto" w:sz="6" w:space="1"/>
      </w:pBdr>
      <w:jc w:val="center"/>
    </w:pPr>
    <w:rPr>
      <w:rFonts w:ascii="Arial" w:cs="Times New Roman"/>
      <w:vanish/>
      <w:sz w:val="16"/>
      <w:szCs w:val="20"/>
    </w:rPr>
  </w:style>
  <w:style w:type="paragraph" w:customStyle="1" w:styleId="355">
    <w:name w:val="标题D"/>
    <w:qFormat/>
    <w:uiPriority w:val="0"/>
    <w:pPr>
      <w:adjustRightInd w:val="0"/>
      <w:snapToGrid w:val="0"/>
      <w:spacing w:before="240" w:line="360" w:lineRule="auto"/>
      <w:outlineLvl w:val="3"/>
    </w:pPr>
    <w:rPr>
      <w:rFonts w:ascii="Times New Roman" w:hAnsi="Times New Roman" w:eastAsia="宋体" w:cs="Times New Roman"/>
      <w:b/>
      <w:kern w:val="0"/>
      <w:sz w:val="24"/>
      <w:szCs w:val="20"/>
      <w:lang w:val="en-US" w:eastAsia="zh-CN" w:bidi="ar-SA"/>
    </w:rPr>
  </w:style>
  <w:style w:type="paragraph" w:customStyle="1" w:styleId="356">
    <w:name w:val="表格内容 Char Char Char"/>
    <w:basedOn w:val="1"/>
    <w:qFormat/>
    <w:uiPriority w:val="0"/>
    <w:pPr>
      <w:tabs>
        <w:tab w:val="left" w:pos="1535"/>
        <w:tab w:val="left" w:pos="3105"/>
        <w:tab w:val="left" w:pos="4676"/>
        <w:tab w:val="left" w:pos="6247"/>
        <w:tab w:val="left" w:pos="7740"/>
        <w:tab w:val="left" w:pos="9288"/>
      </w:tabs>
      <w:ind w:firstLine="67"/>
      <w:jc w:val="center"/>
      <w:textAlignment w:val="baseline"/>
    </w:pPr>
    <w:rPr>
      <w:rFonts w:cs="Times New Roman"/>
      <w:szCs w:val="20"/>
    </w:rPr>
  </w:style>
  <w:style w:type="paragraph" w:customStyle="1" w:styleId="357">
    <w:name w:val="正文001"/>
    <w:basedOn w:val="1"/>
    <w:qFormat/>
    <w:uiPriority w:val="0"/>
    <w:pPr>
      <w:spacing w:before="60" w:line="460" w:lineRule="exact"/>
      <w:ind w:firstLine="200"/>
    </w:pPr>
    <w:rPr>
      <w:rFonts w:cs="Times New Roman"/>
      <w:szCs w:val="20"/>
    </w:rPr>
  </w:style>
  <w:style w:type="paragraph" w:customStyle="1" w:styleId="358">
    <w:name w:val="xl25"/>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rFonts w:cs="Times New Roman"/>
      <w:szCs w:val="20"/>
    </w:rPr>
  </w:style>
  <w:style w:type="paragraph" w:customStyle="1" w:styleId="359">
    <w:name w:val="表名A"/>
    <w:basedOn w:val="1"/>
    <w:qFormat/>
    <w:uiPriority w:val="0"/>
    <w:pPr>
      <w:tabs>
        <w:tab w:val="left" w:pos="0"/>
      </w:tabs>
      <w:spacing w:before="249" w:after="62"/>
      <w:jc w:val="center"/>
    </w:pPr>
    <w:rPr>
      <w:rFonts w:cs="Times New Roman"/>
      <w:b/>
      <w:snapToGrid w:val="0"/>
      <w:szCs w:val="20"/>
    </w:rPr>
  </w:style>
  <w:style w:type="paragraph" w:customStyle="1" w:styleId="360">
    <w:name w:val="样式 样式 样式 标题 3标题 33 + 段前: 0.5 行 + 段前: 0.5 行 + 段前: 6 磅 段后: 0.5 行"/>
    <w:basedOn w:val="332"/>
    <w:qFormat/>
    <w:uiPriority w:val="0"/>
  </w:style>
  <w:style w:type="paragraph" w:customStyle="1" w:styleId="361">
    <w:name w:val="样式4"/>
    <w:basedOn w:val="8"/>
    <w:next w:val="6"/>
    <w:qFormat/>
    <w:uiPriority w:val="0"/>
    <w:pPr>
      <w:tabs>
        <w:tab w:val="left" w:pos="720"/>
      </w:tabs>
      <w:spacing w:before="120" w:after="156" w:line="240" w:lineRule="auto"/>
      <w:jc w:val="center"/>
    </w:pPr>
    <w:rPr>
      <w:rFonts w:ascii="黑体"/>
      <w:b w:val="0"/>
    </w:rPr>
  </w:style>
  <w:style w:type="paragraph" w:customStyle="1" w:styleId="362">
    <w:name w:val="表格名称"/>
    <w:basedOn w:val="25"/>
    <w:qFormat/>
    <w:uiPriority w:val="0"/>
    <w:pPr>
      <w:tabs>
        <w:tab w:val="left" w:pos="3800"/>
        <w:tab w:val="left" w:pos="5200"/>
      </w:tabs>
      <w:autoSpaceDE w:val="0"/>
      <w:autoSpaceDN w:val="0"/>
      <w:adjustRightInd w:val="0"/>
      <w:spacing w:line="500" w:lineRule="exact"/>
      <w:jc w:val="center"/>
    </w:pPr>
    <w:rPr>
      <w:rFonts w:ascii="黑体" w:hAnsi="宋体" w:eastAsia="黑体"/>
      <w:snapToGrid w:val="0"/>
      <w:color w:val="000000"/>
      <w:kern w:val="28"/>
      <w:sz w:val="24"/>
    </w:rPr>
  </w:style>
  <w:style w:type="paragraph" w:customStyle="1" w:styleId="363">
    <w:name w:val="表文"/>
    <w:basedOn w:val="1"/>
    <w:link w:val="398"/>
    <w:qFormat/>
    <w:uiPriority w:val="0"/>
    <w:pPr>
      <w:jc w:val="center"/>
      <w:textAlignment w:val="center"/>
    </w:pPr>
    <w:rPr>
      <w:bCs/>
      <w:iCs/>
      <w:szCs w:val="21"/>
    </w:rPr>
  </w:style>
  <w:style w:type="paragraph" w:customStyle="1" w:styleId="364">
    <w:name w:val="表"/>
    <w:basedOn w:val="1"/>
    <w:qFormat/>
    <w:uiPriority w:val="0"/>
    <w:pPr>
      <w:jc w:val="center"/>
    </w:pPr>
    <w:rPr>
      <w:rFonts w:cs="Times New Roman"/>
      <w:szCs w:val="20"/>
    </w:rPr>
  </w:style>
  <w:style w:type="paragraph" w:customStyle="1" w:styleId="365">
    <w:name w:val="默认段落字体 Para Char Char Char Char"/>
    <w:basedOn w:val="1"/>
    <w:qFormat/>
    <w:uiPriority w:val="0"/>
    <w:rPr>
      <w:rFonts w:cs="Times New Roman"/>
    </w:rPr>
  </w:style>
  <w:style w:type="paragraph" w:customStyle="1" w:styleId="366">
    <w:name w:val="正文21"/>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367">
    <w:name w:val="表格文字"/>
    <w:basedOn w:val="6"/>
    <w:link w:val="397"/>
    <w:qFormat/>
    <w:uiPriority w:val="0"/>
    <w:pPr>
      <w:tabs>
        <w:tab w:val="left" w:pos="146"/>
      </w:tabs>
      <w:spacing w:line="240" w:lineRule="exact"/>
      <w:ind w:right="-55" w:rightChars="-55"/>
      <w:jc w:val="center"/>
    </w:pPr>
    <w:rPr>
      <w:rFonts w:cs="Times New Roman"/>
      <w:snapToGrid w:val="0"/>
      <w:spacing w:val="6"/>
      <w:szCs w:val="20"/>
    </w:rPr>
  </w:style>
  <w:style w:type="paragraph" w:customStyle="1" w:styleId="368">
    <w:name w:val="表格内容1"/>
    <w:basedOn w:val="1"/>
    <w:qFormat/>
    <w:uiPriority w:val="0"/>
    <w:pPr>
      <w:tabs>
        <w:tab w:val="left" w:pos="1535"/>
        <w:tab w:val="left" w:pos="3105"/>
        <w:tab w:val="left" w:pos="4676"/>
        <w:tab w:val="left" w:pos="6247"/>
        <w:tab w:val="left" w:pos="7740"/>
        <w:tab w:val="left" w:pos="9288"/>
      </w:tabs>
      <w:spacing w:line="300" w:lineRule="atLeast"/>
      <w:jc w:val="center"/>
      <w:textAlignment w:val="baseline"/>
    </w:pPr>
    <w:rPr>
      <w:rFonts w:cs="Times New Roman"/>
      <w:szCs w:val="20"/>
    </w:rPr>
  </w:style>
  <w:style w:type="paragraph" w:customStyle="1" w:styleId="369">
    <w:name w:val="样式 样式 (中文) 黑体 加粗 + 首行缩进:  1.98 字符"/>
    <w:basedOn w:val="1"/>
    <w:qFormat/>
    <w:uiPriority w:val="0"/>
    <w:pPr>
      <w:spacing w:line="500" w:lineRule="exact"/>
      <w:ind w:firstLine="557" w:firstLineChars="198"/>
      <w:textAlignment w:val="baseline"/>
    </w:pPr>
    <w:rPr>
      <w:rFonts w:eastAsia="新宋体" w:cs="Times New Roman"/>
      <w:b/>
      <w:sz w:val="28"/>
      <w:szCs w:val="20"/>
    </w:rPr>
  </w:style>
  <w:style w:type="paragraph" w:customStyle="1" w:styleId="370">
    <w:name w:val="表格内容 Char"/>
    <w:basedOn w:val="1"/>
    <w:qFormat/>
    <w:uiPriority w:val="0"/>
    <w:pPr>
      <w:jc w:val="center"/>
    </w:pPr>
    <w:rPr>
      <w:rFonts w:hAnsi="Arial" w:cs="Times New Roman"/>
      <w:bCs/>
      <w:szCs w:val="21"/>
    </w:rPr>
  </w:style>
  <w:style w:type="paragraph" w:customStyle="1" w:styleId="371">
    <w:name w:val="正文A"/>
    <w:qFormat/>
    <w:uiPriority w:val="0"/>
    <w:pPr>
      <w:tabs>
        <w:tab w:val="left" w:pos="0"/>
      </w:tabs>
      <w:adjustRightInd w:val="0"/>
      <w:spacing w:before="120" w:line="360" w:lineRule="auto"/>
      <w:ind w:firstLine="480"/>
      <w:jc w:val="both"/>
    </w:pPr>
    <w:rPr>
      <w:rFonts w:ascii="Times New Roman" w:hAnsi="Times New Roman" w:eastAsia="宋体" w:cs="Times New Roman"/>
      <w:snapToGrid w:val="0"/>
      <w:kern w:val="0"/>
      <w:sz w:val="24"/>
      <w:szCs w:val="20"/>
      <w:lang w:val="en-US" w:eastAsia="zh-CN" w:bidi="ar-SA"/>
    </w:rPr>
  </w:style>
  <w:style w:type="paragraph" w:customStyle="1" w:styleId="372">
    <w:name w:val="标题1"/>
    <w:basedOn w:val="1"/>
    <w:qFormat/>
    <w:uiPriority w:val="0"/>
    <w:pPr>
      <w:numPr>
        <w:ilvl w:val="0"/>
        <w:numId w:val="2"/>
      </w:numPr>
      <w:ind w:firstLine="0"/>
    </w:pPr>
    <w:rPr>
      <w:rFonts w:cs="Times New Roman"/>
      <w:szCs w:val="20"/>
    </w:rPr>
  </w:style>
  <w:style w:type="paragraph" w:customStyle="1" w:styleId="373">
    <w:name w:val="3"/>
    <w:basedOn w:val="1"/>
    <w:next w:val="42"/>
    <w:qFormat/>
    <w:uiPriority w:val="0"/>
    <w:pPr>
      <w:spacing w:before="100" w:beforeAutospacing="1" w:after="100" w:afterAutospacing="1"/>
    </w:pPr>
    <w:rPr>
      <w:rFonts w:cs="Times New Roman"/>
      <w:szCs w:val="20"/>
    </w:rPr>
  </w:style>
  <w:style w:type="paragraph" w:customStyle="1" w:styleId="374">
    <w:name w:val="注"/>
    <w:basedOn w:val="1"/>
    <w:qFormat/>
    <w:uiPriority w:val="0"/>
    <w:rPr>
      <w:rFonts w:cs="Times New Roman"/>
      <w:szCs w:val="20"/>
    </w:rPr>
  </w:style>
  <w:style w:type="paragraph" w:customStyle="1" w:styleId="375">
    <w:name w:val="表格内容右小"/>
    <w:basedOn w:val="328"/>
    <w:qFormat/>
    <w:uiPriority w:val="0"/>
    <w:rPr>
      <w:sz w:val="18"/>
    </w:rPr>
  </w:style>
  <w:style w:type="paragraph" w:customStyle="1" w:styleId="376">
    <w:name w:val="样式 标题 3样式　标题 3　自动设置标题 3 Char章 + Times New 表题3"/>
    <w:basedOn w:val="7"/>
    <w:qFormat/>
    <w:uiPriority w:val="0"/>
    <w:pPr>
      <w:tabs>
        <w:tab w:val="left" w:pos="3800"/>
        <w:tab w:val="left" w:pos="5200"/>
      </w:tabs>
      <w:autoSpaceDE w:val="0"/>
      <w:autoSpaceDN w:val="0"/>
      <w:spacing w:before="120" w:after="120" w:line="240" w:lineRule="auto"/>
      <w:jc w:val="both"/>
    </w:pPr>
    <w:rPr>
      <w:rFonts w:cs="Times New Roman"/>
      <w:bCs w:val="0"/>
      <w:szCs w:val="20"/>
      <w:lang w:val="zh-CN" w:eastAsia="zh-CN"/>
    </w:rPr>
  </w:style>
  <w:style w:type="paragraph" w:customStyle="1" w:styleId="377">
    <w:name w:val="post_content_p"/>
    <w:basedOn w:val="1"/>
    <w:qFormat/>
    <w:uiPriority w:val="0"/>
    <w:pPr>
      <w:wordWrap w:val="0"/>
      <w:spacing w:before="100" w:beforeAutospacing="1" w:after="100" w:afterAutospacing="1"/>
    </w:pPr>
    <w:rPr>
      <w:b/>
    </w:rPr>
  </w:style>
  <w:style w:type="paragraph" w:customStyle="1" w:styleId="378">
    <w:name w:val="样式 样式 标题 2节广2mystyle2style2H2(C+F2)(F3)Title22nd levelh2... + 段前..."/>
    <w:basedOn w:val="1"/>
    <w:qFormat/>
    <w:uiPriority w:val="0"/>
    <w:pPr>
      <w:numPr>
        <w:ilvl w:val="1"/>
        <w:numId w:val="3"/>
      </w:numPr>
      <w:spacing w:before="140"/>
      <w:ind w:firstLine="0"/>
      <w:jc w:val="center"/>
      <w:outlineLvl w:val="1"/>
    </w:pPr>
    <w:rPr>
      <w:rFonts w:eastAsia="黑体"/>
      <w:b/>
      <w:bCs/>
      <w:color w:val="000000"/>
      <w:sz w:val="28"/>
      <w:szCs w:val="20"/>
    </w:rPr>
  </w:style>
  <w:style w:type="table" w:customStyle="1" w:styleId="379">
    <w:name w:val="网格型3"/>
    <w:basedOn w:val="48"/>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80">
    <w:name w:val="表头 Char"/>
    <w:qFormat/>
    <w:locked/>
    <w:uiPriority w:val="0"/>
    <w:rPr>
      <w:rFonts w:ascii="Times New Roman" w:hAnsi="Times New Roman" w:eastAsia="宋体" w:cs="宋体"/>
      <w:b/>
      <w:bCs/>
      <w:color w:val="000000"/>
      <w:sz w:val="24"/>
      <w:szCs w:val="24"/>
    </w:rPr>
  </w:style>
  <w:style w:type="paragraph" w:customStyle="1" w:styleId="381">
    <w:name w:val="样式 表格标题 + 首行缩进:  0.61 字符"/>
    <w:basedOn w:val="1"/>
    <w:qFormat/>
    <w:uiPriority w:val="0"/>
    <w:pPr>
      <w:wordWrap w:val="0"/>
      <w:spacing w:line="400" w:lineRule="exact"/>
      <w:ind w:left="-143" w:leftChars="-68" w:firstLine="128" w:firstLineChars="61"/>
      <w:jc w:val="center"/>
    </w:pPr>
    <w:rPr>
      <w:rFonts w:eastAsia="Times New Roman"/>
      <w:sz w:val="21"/>
      <w:szCs w:val="20"/>
    </w:rPr>
  </w:style>
  <w:style w:type="character" w:customStyle="1" w:styleId="382">
    <w:name w:val="页眉 Char"/>
    <w:qFormat/>
    <w:uiPriority w:val="0"/>
    <w:rPr>
      <w:sz w:val="18"/>
      <w:szCs w:val="18"/>
    </w:rPr>
  </w:style>
  <w:style w:type="paragraph" w:customStyle="1" w:styleId="383">
    <w:name w:val="正文00"/>
    <w:basedOn w:val="1"/>
    <w:link w:val="384"/>
    <w:qFormat/>
    <w:uiPriority w:val="0"/>
    <w:rPr>
      <w:rFonts w:cs="Times New Roman"/>
      <w:lang w:val="zh-CN" w:eastAsia="zh-CN"/>
    </w:rPr>
  </w:style>
  <w:style w:type="character" w:customStyle="1" w:styleId="384">
    <w:name w:val="正文00 Char"/>
    <w:link w:val="383"/>
    <w:qFormat/>
    <w:uiPriority w:val="0"/>
    <w:rPr>
      <w:rFonts w:ascii="Times New Roman" w:hAnsi="Times New Roman" w:eastAsia="宋体" w:cs="Times New Roman"/>
      <w:sz w:val="24"/>
      <w:szCs w:val="24"/>
      <w:lang w:val="zh-CN" w:eastAsia="zh-CN"/>
    </w:rPr>
  </w:style>
  <w:style w:type="character" w:customStyle="1" w:styleId="385">
    <w:name w:val="正文(首行缩进) Char"/>
    <w:qFormat/>
    <w:locked/>
    <w:uiPriority w:val="99"/>
    <w:rPr>
      <w:rFonts w:ascii="Times New Roman" w:hAnsi="Times New Roman"/>
      <w:color w:val="000000"/>
      <w:sz w:val="24"/>
    </w:rPr>
  </w:style>
  <w:style w:type="character" w:customStyle="1" w:styleId="386">
    <w:name w:val="表头 Char1"/>
    <w:qFormat/>
    <w:uiPriority w:val="0"/>
    <w:rPr>
      <w:rFonts w:ascii="Times New Roman" w:hAnsi="宋体" w:eastAsia="仿宋_GB2312" w:cs="Times New Roman"/>
      <w:b/>
      <w:kern w:val="0"/>
      <w:sz w:val="28"/>
      <w:szCs w:val="28"/>
    </w:rPr>
  </w:style>
  <w:style w:type="character" w:customStyle="1" w:styleId="387">
    <w:name w:val="Normal Char"/>
    <w:link w:val="268"/>
    <w:qFormat/>
    <w:locked/>
    <w:uiPriority w:val="99"/>
    <w:rPr>
      <w:rFonts w:ascii="宋体" w:hAnsi="Times New Roman" w:eastAsia="宋体" w:cs="Times New Roman"/>
      <w:kern w:val="0"/>
      <w:sz w:val="24"/>
      <w:szCs w:val="20"/>
    </w:rPr>
  </w:style>
  <w:style w:type="character" w:customStyle="1" w:styleId="388">
    <w:name w:val="正文缩进 Char"/>
    <w:qFormat/>
    <w:uiPriority w:val="0"/>
    <w:rPr>
      <w:rFonts w:ascii="Times New Roman" w:hAnsi="Times New Roman" w:eastAsia="宋体" w:cs="Times New Roman"/>
      <w:szCs w:val="20"/>
    </w:rPr>
  </w:style>
  <w:style w:type="paragraph" w:customStyle="1" w:styleId="389">
    <w:name w:val="正文2"/>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character" w:customStyle="1" w:styleId="390">
    <w:name w:val="批注文字 Char"/>
    <w:qFormat/>
    <w:uiPriority w:val="99"/>
    <w:rPr>
      <w:rFonts w:ascii="Times New Roman" w:hAnsi="Times New Roman" w:eastAsia="宋体" w:cs="Times New Roman"/>
      <w:szCs w:val="24"/>
    </w:rPr>
  </w:style>
  <w:style w:type="character" w:customStyle="1" w:styleId="391">
    <w:name w:val="纯文本 Char"/>
    <w:qFormat/>
    <w:uiPriority w:val="0"/>
    <w:rPr>
      <w:rFonts w:ascii="宋体" w:hAnsi="Courier New" w:eastAsia="宋体" w:cs="Times New Roman"/>
      <w:szCs w:val="21"/>
    </w:rPr>
  </w:style>
  <w:style w:type="paragraph" w:customStyle="1" w:styleId="392">
    <w:name w:val="样式 正文文字-1 + 首行缩进:  2.1 字符1"/>
    <w:basedOn w:val="1"/>
    <w:qFormat/>
    <w:uiPriority w:val="0"/>
    <w:pPr>
      <w:spacing w:before="120" w:after="120" w:line="440" w:lineRule="exact"/>
      <w:ind w:firstLine="210" w:firstLineChars="210"/>
    </w:pPr>
    <w:rPr>
      <w:szCs w:val="20"/>
    </w:rPr>
  </w:style>
  <w:style w:type="paragraph" w:customStyle="1" w:styleId="393">
    <w:name w:val="纯文本4"/>
    <w:basedOn w:val="1"/>
    <w:qFormat/>
    <w:uiPriority w:val="0"/>
    <w:rPr>
      <w:rFonts w:hAnsi="Courier New" w:eastAsia="Times New Roman" w:cs="Times New Roman"/>
      <w:sz w:val="20"/>
      <w:szCs w:val="21"/>
    </w:rPr>
  </w:style>
  <w:style w:type="paragraph" w:customStyle="1" w:styleId="394">
    <w:name w:val="样式 样式 正文文字-1 + 首行缩进:  2.1 字符1 + 首行缩进:  2.1 字符"/>
    <w:basedOn w:val="1"/>
    <w:qFormat/>
    <w:uiPriority w:val="0"/>
    <w:pPr>
      <w:spacing w:before="120" w:after="120" w:line="400" w:lineRule="exact"/>
      <w:ind w:firstLine="210" w:firstLineChars="210"/>
    </w:pPr>
    <w:rPr>
      <w:szCs w:val="20"/>
    </w:rPr>
  </w:style>
  <w:style w:type="table" w:customStyle="1" w:styleId="395">
    <w:name w:val="[表格样式]"/>
    <w:basedOn w:val="48"/>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396">
    <w:name w:val="reader-word-layer reader-word-s1-7"/>
    <w:basedOn w:val="1"/>
    <w:qFormat/>
    <w:uiPriority w:val="0"/>
    <w:pPr>
      <w:spacing w:before="100" w:beforeAutospacing="1" w:after="100" w:afterAutospacing="1"/>
    </w:pPr>
    <w:rPr>
      <w:rFonts w:eastAsia="Times New Roman"/>
    </w:rPr>
  </w:style>
  <w:style w:type="character" w:customStyle="1" w:styleId="397">
    <w:name w:val="表格文字 Char"/>
    <w:link w:val="367"/>
    <w:qFormat/>
    <w:uiPriority w:val="0"/>
    <w:rPr>
      <w:rFonts w:ascii="宋体" w:hAnsi="宋体" w:eastAsia="宋体" w:cs="Times New Roman"/>
      <w:snapToGrid w:val="0"/>
      <w:spacing w:val="6"/>
      <w:kern w:val="0"/>
      <w:sz w:val="24"/>
      <w:szCs w:val="20"/>
    </w:rPr>
  </w:style>
  <w:style w:type="character" w:customStyle="1" w:styleId="398">
    <w:name w:val="表文 Char"/>
    <w:link w:val="363"/>
    <w:qFormat/>
    <w:uiPriority w:val="0"/>
    <w:rPr>
      <w:rFonts w:ascii="宋体" w:hAnsi="宋体" w:eastAsia="宋体" w:cs="宋体"/>
      <w:bCs/>
      <w:iCs/>
      <w:kern w:val="0"/>
      <w:sz w:val="24"/>
      <w:szCs w:val="21"/>
    </w:rPr>
  </w:style>
  <w:style w:type="character" w:customStyle="1" w:styleId="399">
    <w:name w:val="正 Char1"/>
    <w:link w:val="400"/>
    <w:qFormat/>
    <w:uiPriority w:val="0"/>
    <w:rPr>
      <w:rFonts w:cs="宋体"/>
      <w:sz w:val="24"/>
    </w:rPr>
  </w:style>
  <w:style w:type="paragraph" w:customStyle="1" w:styleId="400">
    <w:name w:val="正"/>
    <w:basedOn w:val="1"/>
    <w:link w:val="399"/>
    <w:qFormat/>
    <w:uiPriority w:val="0"/>
    <w:pPr>
      <w:spacing w:before="78" w:beforeLines="25" w:after="78" w:afterLines="25" w:line="440" w:lineRule="exact"/>
      <w:ind w:firstLine="200"/>
    </w:pPr>
    <w:rPr>
      <w:rFonts w:asciiTheme="minorHAnsi" w:hAnsiTheme="minorHAnsi" w:eastAsiaTheme="minorEastAsia"/>
    </w:rPr>
  </w:style>
  <w:style w:type="paragraph" w:customStyle="1" w:styleId="401">
    <w:name w:val="正文3"/>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402">
    <w:name w:val="正文5"/>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character" w:customStyle="1" w:styleId="403">
    <w:name w:val="正文文本首行缩进 2 字符"/>
    <w:basedOn w:val="226"/>
    <w:link w:val="47"/>
    <w:semiHidden/>
    <w:qFormat/>
    <w:uiPriority w:val="99"/>
    <w:rPr>
      <w:rFonts w:ascii="Times New Roman" w:hAnsi="Times New Roman" w:eastAsia="宋体"/>
      <w:sz w:val="24"/>
    </w:rPr>
  </w:style>
  <w:style w:type="paragraph" w:customStyle="1" w:styleId="404">
    <w:name w:val="Char Char Char Char Char Char Char1"/>
    <w:basedOn w:val="1"/>
    <w:qFormat/>
    <w:uiPriority w:val="0"/>
    <w:pPr>
      <w:ind w:firstLine="200"/>
    </w:pPr>
    <w:rPr>
      <w:szCs w:val="21"/>
    </w:rPr>
  </w:style>
  <w:style w:type="paragraph" w:customStyle="1" w:styleId="405">
    <w:name w:val="正文文字-1"/>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character" w:customStyle="1" w:styleId="406">
    <w:name w:val="表格内正文 Char"/>
    <w:link w:val="407"/>
    <w:qFormat/>
    <w:uiPriority w:val="0"/>
    <w:rPr>
      <w:rFonts w:eastAsia="宋体"/>
      <w:szCs w:val="24"/>
    </w:rPr>
  </w:style>
  <w:style w:type="paragraph" w:customStyle="1" w:styleId="407">
    <w:name w:val="表格内正文"/>
    <w:basedOn w:val="1"/>
    <w:link w:val="406"/>
    <w:qFormat/>
    <w:uiPriority w:val="0"/>
    <w:pPr>
      <w:jc w:val="center"/>
    </w:pPr>
    <w:rPr>
      <w:rFonts w:asciiTheme="minorHAnsi" w:hAnsiTheme="minorHAnsi"/>
      <w:sz w:val="21"/>
    </w:rPr>
  </w:style>
  <w:style w:type="paragraph" w:customStyle="1" w:styleId="408">
    <w:name w:val="正文文字-1 Char"/>
    <w:link w:val="409"/>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character" w:customStyle="1" w:styleId="409">
    <w:name w:val="正文文字-1 Char Char"/>
    <w:link w:val="408"/>
    <w:qFormat/>
    <w:uiPriority w:val="0"/>
    <w:rPr>
      <w:rFonts w:ascii="Times New Roman" w:hAnsi="Times New Roman" w:eastAsia="宋体" w:cs="Times New Roman"/>
      <w:sz w:val="24"/>
      <w:szCs w:val="24"/>
    </w:rPr>
  </w:style>
  <w:style w:type="character" w:customStyle="1" w:styleId="410">
    <w:name w:val="正文首行缩进 2 Char"/>
    <w:qFormat/>
    <w:uiPriority w:val="0"/>
    <w:rPr>
      <w:kern w:val="2"/>
      <w:sz w:val="21"/>
      <w:szCs w:val="21"/>
    </w:rPr>
  </w:style>
  <w:style w:type="paragraph" w:customStyle="1" w:styleId="411">
    <w:name w:val="CM16"/>
    <w:basedOn w:val="1"/>
    <w:next w:val="1"/>
    <w:qFormat/>
    <w:uiPriority w:val="99"/>
    <w:pPr>
      <w:autoSpaceDE w:val="0"/>
      <w:autoSpaceDN w:val="0"/>
      <w:spacing w:line="468" w:lineRule="atLeast"/>
    </w:pPr>
    <w:rPr>
      <w:rFonts w:hAnsi="Calibri"/>
    </w:rPr>
  </w:style>
  <w:style w:type="paragraph" w:customStyle="1" w:styleId="412">
    <w:name w:val="_Style 2"/>
    <w:basedOn w:val="1"/>
    <w:qFormat/>
    <w:uiPriority w:val="0"/>
    <w:pPr>
      <w:ind w:firstLine="420"/>
    </w:pPr>
    <w:rPr>
      <w:rFonts w:ascii="Verdana" w:hAnsi="Verdana"/>
      <w:sz w:val="21"/>
    </w:rPr>
  </w:style>
  <w:style w:type="paragraph" w:customStyle="1" w:styleId="413">
    <w:name w:val="lily 正文"/>
    <w:basedOn w:val="1"/>
    <w:qFormat/>
    <w:uiPriority w:val="0"/>
    <w:pPr>
      <w:spacing w:line="440" w:lineRule="atLeast"/>
    </w:pPr>
    <w:rPr>
      <w:rFonts w:cs="Times New Roman"/>
      <w:szCs w:val="20"/>
    </w:rPr>
  </w:style>
  <w:style w:type="paragraph" w:customStyle="1" w:styleId="414">
    <w:name w:val="Table Paragraph"/>
    <w:basedOn w:val="1"/>
    <w:qFormat/>
    <w:uiPriority w:val="0"/>
    <w:rPr>
      <w:rFonts w:ascii="Calibri" w:hAnsi="Calibri" w:cs="Times New Roman"/>
      <w:sz w:val="22"/>
      <w:lang w:eastAsia="en-US"/>
    </w:rPr>
  </w:style>
  <w:style w:type="paragraph" w:customStyle="1" w:styleId="415">
    <w:name w:val="正文6"/>
    <w:link w:val="418"/>
    <w:qFormat/>
    <w:uiPriority w:val="0"/>
    <w:pPr>
      <w:jc w:val="both"/>
    </w:pPr>
    <w:rPr>
      <w:rFonts w:ascii="Times New Roman" w:hAnsi="Times New Roman" w:eastAsia="宋体" w:cs="Times New Roman"/>
      <w:kern w:val="2"/>
      <w:sz w:val="21"/>
      <w:szCs w:val="21"/>
      <w:lang w:val="en-US" w:eastAsia="zh-CN" w:bidi="ar-SA"/>
    </w:rPr>
  </w:style>
  <w:style w:type="paragraph" w:customStyle="1" w:styleId="416">
    <w:name w:val="样式"/>
    <w:qFormat/>
    <w:uiPriority w:val="0"/>
    <w:pPr>
      <w:widowControl w:val="0"/>
      <w:autoSpaceDE w:val="0"/>
      <w:autoSpaceDN w:val="0"/>
      <w:adjustRightInd w:val="0"/>
    </w:pPr>
    <w:rPr>
      <w:rFonts w:ascii="宋体" w:hAnsi="宋体" w:eastAsia="宋体" w:cs="Times New Roman"/>
      <w:kern w:val="0"/>
      <w:sz w:val="24"/>
      <w:szCs w:val="24"/>
      <w:lang w:val="en-US" w:eastAsia="zh-CN" w:bidi="ar-SA"/>
    </w:rPr>
  </w:style>
  <w:style w:type="character" w:customStyle="1" w:styleId="417">
    <w:name w:val="标题 Char1"/>
    <w:qFormat/>
    <w:uiPriority w:val="0"/>
    <w:rPr>
      <w:rFonts w:eastAsia="黑体"/>
      <w:kern w:val="2"/>
      <w:sz w:val="36"/>
      <w:szCs w:val="36"/>
    </w:rPr>
  </w:style>
  <w:style w:type="character" w:customStyle="1" w:styleId="418">
    <w:name w:val="Normal Char Char"/>
    <w:link w:val="415"/>
    <w:qFormat/>
    <w:uiPriority w:val="0"/>
    <w:rPr>
      <w:rFonts w:ascii="Times New Roman" w:hAnsi="Times New Roman" w:eastAsia="宋体" w:cs="Times New Roman"/>
      <w:szCs w:val="21"/>
    </w:rPr>
  </w:style>
  <w:style w:type="paragraph" w:customStyle="1" w:styleId="419">
    <w:name w:val="样式 正文文字-1 + 首行缩进:  2.1 字符"/>
    <w:basedOn w:val="1"/>
    <w:qFormat/>
    <w:uiPriority w:val="0"/>
    <w:pPr>
      <w:spacing w:before="60" w:after="60" w:line="440" w:lineRule="exact"/>
      <w:ind w:firstLine="210" w:firstLineChars="210"/>
    </w:pPr>
    <w:rPr>
      <w:szCs w:val="20"/>
    </w:rPr>
  </w:style>
  <w:style w:type="character" w:customStyle="1" w:styleId="420">
    <w:name w:val="样式 样式 四号 蓝色 + 自动设置"/>
    <w:qFormat/>
    <w:uiPriority w:val="0"/>
    <w:rPr>
      <w:color w:val="auto"/>
      <w:sz w:val="24"/>
    </w:rPr>
  </w:style>
  <w:style w:type="character" w:customStyle="1" w:styleId="421">
    <w:name w:val="正文文本 Char"/>
    <w:qFormat/>
    <w:uiPriority w:val="0"/>
    <w:rPr>
      <w:rFonts w:ascii="Times New Roman" w:hAnsi="Times New Roman" w:eastAsia="宋体" w:cs="Times New Roman"/>
      <w:szCs w:val="24"/>
    </w:rPr>
  </w:style>
  <w:style w:type="paragraph" w:customStyle="1" w:styleId="422">
    <w:name w:val="Char1 Char Char Char"/>
    <w:basedOn w:val="1"/>
    <w:qFormat/>
    <w:uiPriority w:val="0"/>
    <w:rPr>
      <w:rFonts w:cs="Times New Roman"/>
      <w:sz w:val="28"/>
    </w:rPr>
  </w:style>
  <w:style w:type="character" w:customStyle="1" w:styleId="423">
    <w:name w:val="【表中文字】 Char Char"/>
    <w:qFormat/>
    <w:uiPriority w:val="0"/>
    <w:rPr>
      <w:kern w:val="2"/>
      <w:sz w:val="21"/>
    </w:rPr>
  </w:style>
  <w:style w:type="table" w:customStyle="1" w:styleId="424">
    <w:name w:val="网格型1"/>
    <w:basedOn w:val="48"/>
    <w:qFormat/>
    <w:uiPriority w:val="99"/>
    <w:pPr>
      <w:adjustRightInd w:val="0"/>
      <w:snapToGrid w:val="0"/>
      <w:jc w:val="center"/>
    </w:pPr>
    <w:rPr>
      <w:rFonts w:ascii="Times New Roman" w:hAnsi="Times New Roman" w:eastAsia="宋体"/>
    </w:rPr>
    <w:tblPr>
      <w:jc w:val="center"/>
      <w:tblBorders>
        <w:top w:val="single" w:color="auto" w:sz="4" w:space="0"/>
        <w:bottom w:val="single" w:color="auto" w:sz="4" w:space="0"/>
        <w:insideH w:val="single" w:color="auto" w:sz="4" w:space="0"/>
        <w:insideV w:val="single" w:color="auto" w:sz="4" w:space="0"/>
      </w:tblBorders>
    </w:tblPr>
    <w:trPr>
      <w:jc w:val="center"/>
    </w:trPr>
    <w:tcPr>
      <w:vAlign w:val="center"/>
    </w:tcPr>
  </w:style>
  <w:style w:type="table" w:customStyle="1" w:styleId="425">
    <w:name w:val="网格型31"/>
    <w:basedOn w:val="48"/>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6">
    <w:name w:val="[表格样式]1"/>
    <w:basedOn w:val="48"/>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7">
    <w:name w:val="[表格样式]2"/>
    <w:basedOn w:val="48"/>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8">
    <w:name w:val="[表格样式]3"/>
    <w:basedOn w:val="48"/>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9">
    <w:name w:val="[表格样式]4"/>
    <w:basedOn w:val="48"/>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30">
    <w:name w:val="[表格样式]5"/>
    <w:basedOn w:val="48"/>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431">
    <w:name w:val="【正文】 Char1"/>
    <w:qFormat/>
    <w:locked/>
    <w:uiPriority w:val="0"/>
    <w:rPr>
      <w:rFonts w:ascii="宋体" w:hAnsi="宋体" w:eastAsia="宋体"/>
      <w:sz w:val="24"/>
    </w:rPr>
  </w:style>
  <w:style w:type="character" w:customStyle="1" w:styleId="432">
    <w:name w:val="【正文四号】 Char"/>
    <w:link w:val="433"/>
    <w:qFormat/>
    <w:uiPriority w:val="0"/>
    <w:rPr>
      <w:sz w:val="28"/>
      <w:szCs w:val="24"/>
    </w:rPr>
  </w:style>
  <w:style w:type="paragraph" w:customStyle="1" w:styleId="433">
    <w:name w:val="【正文四号】"/>
    <w:basedOn w:val="1"/>
    <w:link w:val="432"/>
    <w:qFormat/>
    <w:uiPriority w:val="0"/>
    <w:rPr>
      <w:rFonts w:asciiTheme="minorHAnsi" w:hAnsiTheme="minorHAnsi" w:eastAsiaTheme="minorEastAsia"/>
      <w:sz w:val="28"/>
    </w:rPr>
  </w:style>
  <w:style w:type="character" w:customStyle="1" w:styleId="434">
    <w:name w:val="font31"/>
    <w:basedOn w:val="50"/>
    <w:qFormat/>
    <w:uiPriority w:val="0"/>
    <w:rPr>
      <w:rFonts w:hint="eastAsia" w:ascii="宋体" w:hAnsi="宋体" w:eastAsia="宋体" w:cs="宋体"/>
      <w:color w:val="000000"/>
      <w:sz w:val="16"/>
      <w:szCs w:val="16"/>
      <w:u w:val="none"/>
    </w:rPr>
  </w:style>
  <w:style w:type="character" w:customStyle="1" w:styleId="435">
    <w:name w:val="sub_title2"/>
    <w:qFormat/>
    <w:uiPriority w:val="0"/>
    <w:rPr>
      <w:rFonts w:hint="default" w:ascii="Verdana" w:hAnsi="Verdana"/>
      <w:b/>
      <w:bCs/>
      <w:sz w:val="21"/>
      <w:szCs w:val="21"/>
    </w:rPr>
  </w:style>
  <w:style w:type="paragraph" w:customStyle="1" w:styleId="436">
    <w:name w:val="Char Char Char Char"/>
    <w:basedOn w:val="1"/>
    <w:qFormat/>
    <w:uiPriority w:val="0"/>
    <w:rPr>
      <w:rFonts w:ascii="Calibri" w:hAnsi="Calibri" w:cs="Times New Roman"/>
      <w:sz w:val="21"/>
    </w:rPr>
  </w:style>
  <w:style w:type="paragraph" w:customStyle="1" w:styleId="437">
    <w:name w:val="Char Char Char Char1"/>
    <w:basedOn w:val="1"/>
    <w:semiHidden/>
    <w:qFormat/>
    <w:uiPriority w:val="0"/>
    <w:pPr>
      <w:spacing w:after="160" w:line="240" w:lineRule="exact"/>
    </w:pPr>
    <w:rPr>
      <w:rFonts w:ascii="Verdana" w:hAnsi="Verdana" w:cs="Verdana"/>
      <w:sz w:val="20"/>
      <w:szCs w:val="20"/>
      <w:lang w:eastAsia="en-US"/>
    </w:rPr>
  </w:style>
  <w:style w:type="character" w:customStyle="1" w:styleId="438">
    <w:name w:val="未处理的提及1"/>
    <w:basedOn w:val="50"/>
    <w:semiHidden/>
    <w:unhideWhenUsed/>
    <w:qFormat/>
    <w:uiPriority w:val="99"/>
    <w:rPr>
      <w:color w:val="605E5C"/>
      <w:shd w:val="clear" w:color="auto" w:fill="E1DFDD"/>
    </w:rPr>
  </w:style>
  <w:style w:type="paragraph" w:styleId="439">
    <w:name w:val="No Spacing"/>
    <w:link w:val="440"/>
    <w:qFormat/>
    <w:uiPriority w:val="1"/>
    <w:rPr>
      <w:rFonts w:asciiTheme="minorHAnsi" w:hAnsiTheme="minorHAnsi" w:eastAsiaTheme="minorEastAsia" w:cstheme="minorBidi"/>
      <w:kern w:val="0"/>
      <w:sz w:val="22"/>
      <w:szCs w:val="22"/>
      <w:lang w:val="en-US" w:eastAsia="zh-CN" w:bidi="ar-SA"/>
    </w:rPr>
  </w:style>
  <w:style w:type="character" w:customStyle="1" w:styleId="440">
    <w:name w:val="无间隔 字符"/>
    <w:basedOn w:val="50"/>
    <w:link w:val="439"/>
    <w:qFormat/>
    <w:uiPriority w:val="1"/>
    <w:rPr>
      <w:kern w:val="0"/>
      <w:sz w:val="22"/>
    </w:rPr>
  </w:style>
  <w:style w:type="character" w:customStyle="1" w:styleId="441">
    <w:name w:val="未处理的提及2"/>
    <w:basedOn w:val="50"/>
    <w:semiHidden/>
    <w:unhideWhenUsed/>
    <w:qFormat/>
    <w:uiPriority w:val="99"/>
    <w:rPr>
      <w:color w:val="605E5C"/>
      <w:shd w:val="clear" w:color="auto" w:fill="E1DFDD"/>
    </w:rPr>
  </w:style>
  <w:style w:type="character" w:customStyle="1" w:styleId="442">
    <w:name w:val="内容 Char"/>
    <w:link w:val="443"/>
    <w:qFormat/>
    <w:uiPriority w:val="0"/>
    <w:rPr>
      <w:rFonts w:eastAsia="宋体"/>
      <w:color w:val="000000"/>
      <w:sz w:val="24"/>
    </w:rPr>
  </w:style>
  <w:style w:type="paragraph" w:customStyle="1" w:styleId="443">
    <w:name w:val="内容"/>
    <w:basedOn w:val="1"/>
    <w:link w:val="442"/>
    <w:qFormat/>
    <w:uiPriority w:val="0"/>
    <w:pPr>
      <w:spacing w:beforeLines="50" w:afterLines="50"/>
      <w:ind w:firstLine="200"/>
    </w:pPr>
    <w:rPr>
      <w:rFonts w:asciiTheme="minorHAnsi" w:hAnsiTheme="minorHAnsi"/>
      <w:color w:val="000000"/>
    </w:rPr>
  </w:style>
  <w:style w:type="character" w:customStyle="1" w:styleId="444">
    <w:name w:val="无间隔 Char"/>
    <w:link w:val="445"/>
    <w:qFormat/>
    <w:uiPriority w:val="1"/>
    <w:rPr>
      <w:rFonts w:ascii="Calibri" w:hAnsi="Calibri"/>
      <w:sz w:val="22"/>
    </w:rPr>
  </w:style>
  <w:style w:type="paragraph" w:customStyle="1" w:styleId="445">
    <w:name w:val="无间隔1"/>
    <w:link w:val="444"/>
    <w:qFormat/>
    <w:uiPriority w:val="1"/>
    <w:rPr>
      <w:rFonts w:ascii="Calibri" w:hAnsi="Calibri" w:eastAsiaTheme="minorEastAsia" w:cstheme="minorBidi"/>
      <w:kern w:val="2"/>
      <w:sz w:val="22"/>
      <w:szCs w:val="22"/>
      <w:lang w:val="en-US" w:eastAsia="zh-CN" w:bidi="ar-SA"/>
    </w:rPr>
  </w:style>
  <w:style w:type="paragraph" w:customStyle="1" w:styleId="446">
    <w:name w:val="_Style 69"/>
    <w:basedOn w:val="19"/>
    <w:next w:val="46"/>
    <w:qFormat/>
    <w:uiPriority w:val="0"/>
    <w:pPr>
      <w:ind w:firstLine="420" w:firstLineChars="100"/>
    </w:pPr>
    <w:rPr>
      <w:rFonts w:cs="Times New Roman"/>
      <w:sz w:val="21"/>
    </w:rPr>
  </w:style>
  <w:style w:type="character" w:customStyle="1" w:styleId="447">
    <w:name w:val="apple-converted-space"/>
    <w:basedOn w:val="50"/>
    <w:qFormat/>
    <w:uiPriority w:val="0"/>
  </w:style>
  <w:style w:type="paragraph" w:customStyle="1" w:styleId="448">
    <w:name w:val="_Style 4"/>
    <w:basedOn w:val="1"/>
    <w:qFormat/>
    <w:uiPriority w:val="0"/>
    <w:pPr>
      <w:snapToGrid w:val="0"/>
      <w:spacing w:line="360" w:lineRule="auto"/>
      <w:ind w:firstLine="529" w:firstLineChars="200"/>
    </w:pPr>
  </w:style>
  <w:style w:type="paragraph" w:customStyle="1" w:styleId="449">
    <w:name w:val="图注"/>
    <w:basedOn w:val="1"/>
    <w:qFormat/>
    <w:uiPriority w:val="0"/>
    <w:pPr>
      <w:jc w:val="center"/>
    </w:pPr>
    <w:rPr>
      <w:rFonts w:ascii="Times New Roman" w:hAnsi="Times New Roman" w:eastAsia="黑体" w:cs="Times New Roman"/>
    </w:rPr>
  </w:style>
  <w:style w:type="paragraph" w:customStyle="1" w:styleId="450">
    <w:name w:val="首行缩进正文"/>
    <w:basedOn w:val="94"/>
    <w:qFormat/>
    <w:uiPriority w:val="0"/>
    <w:rPr>
      <w:sz w:val="21"/>
    </w:rPr>
  </w:style>
  <w:style w:type="paragraph" w:customStyle="1" w:styleId="451">
    <w:name w:val="样式 正文缩进正文缩进2正文缩进 Char Char正文缩进 Char Char Char Char正文缩进 Char ..."/>
    <w:basedOn w:val="6"/>
    <w:qFormat/>
    <w:uiPriority w:val="0"/>
    <w:rPr>
      <w:rFonts w:ascii="Times New Roman" w:cs="宋体"/>
    </w:rPr>
  </w:style>
  <w:style w:type="paragraph" w:customStyle="1" w:styleId="452">
    <w:name w:val="样式正文 Char"/>
    <w:basedOn w:val="1"/>
    <w:qFormat/>
    <w:uiPriority w:val="99"/>
    <w:pPr>
      <w:adjustRightInd w:val="0"/>
      <w:snapToGrid w:val="0"/>
      <w:spacing w:line="360" w:lineRule="auto"/>
      <w:ind w:firstLine="624"/>
    </w:pPr>
    <w:rPr>
      <w:sz w:val="28"/>
      <w:szCs w:val="20"/>
    </w:rPr>
  </w:style>
  <w:style w:type="paragraph" w:customStyle="1" w:styleId="453">
    <w:name w:val="付正文"/>
    <w:basedOn w:val="1"/>
    <w:semiHidden/>
    <w:qFormat/>
    <w:uiPriority w:val="0"/>
    <w:pPr>
      <w:spacing w:line="360" w:lineRule="auto"/>
      <w:ind w:firstLine="200" w:firstLineChars="200"/>
    </w:pPr>
    <w:rPr>
      <w:rFonts w:ascii="宋体"/>
      <w:color w:val="000000"/>
      <w:sz w:val="24"/>
      <w:szCs w:val="21"/>
    </w:rPr>
  </w:style>
  <w:style w:type="paragraph" w:customStyle="1" w:styleId="454">
    <w:name w:val="正文11"/>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455">
    <w:name w:val=" Char Char Char Char Char Char Char"/>
    <w:basedOn w:val="1"/>
    <w:qFormat/>
    <w:uiPriority w:val="0"/>
    <w:pPr>
      <w:spacing w:line="360" w:lineRule="auto"/>
      <w:ind w:firstLine="200" w:firstLineChars="200"/>
    </w:pPr>
    <w:rPr>
      <w:rFonts w:ascii="宋体" w:hAnsi="宋体"/>
      <w:sz w:val="24"/>
    </w:rPr>
  </w:style>
  <w:style w:type="paragraph" w:customStyle="1" w:styleId="456">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7">
    <w:name w:val="表图头的文字"/>
    <w:basedOn w:val="1"/>
    <w:qFormat/>
    <w:uiPriority w:val="0"/>
    <w:pPr>
      <w:ind w:firstLine="0" w:firstLineChars="0"/>
      <w:jc w:val="center"/>
    </w:pPr>
    <w:rPr>
      <w:bCs/>
      <w:color w:val="000000"/>
      <w:kern w:val="0"/>
      <w:sz w:val="24"/>
      <w:szCs w:val="20"/>
    </w:rPr>
  </w:style>
  <w:style w:type="paragraph" w:customStyle="1" w:styleId="458">
    <w:name w:val="样式 黑体 居中 行距: 1.5 倍行距"/>
    <w:basedOn w:val="1"/>
    <w:qFormat/>
    <w:uiPriority w:val="0"/>
    <w:pPr>
      <w:spacing w:line="360" w:lineRule="auto"/>
      <w:jc w:val="center"/>
    </w:pPr>
    <w:rPr>
      <w:rFonts w:ascii="黑体" w:hAnsi="黑体" w:eastAsia="黑体"/>
      <w:kern w:val="0"/>
      <w:sz w:val="24"/>
      <w:szCs w:val="20"/>
    </w:rPr>
  </w:style>
  <w:style w:type="paragraph" w:customStyle="1" w:styleId="459">
    <w:name w:val="样式 Times New Roman 五号 居中"/>
    <w:basedOn w:val="1"/>
    <w:qFormat/>
    <w:uiPriority w:val="0"/>
    <w:pPr>
      <w:jc w:val="center"/>
    </w:pPr>
    <w:rPr>
      <w:rFonts w:ascii="宋体" w:hAnsi="宋体" w:cs="宋体"/>
      <w:szCs w:val="22"/>
    </w:rPr>
  </w:style>
  <w:style w:type="character" w:customStyle="1" w:styleId="460">
    <w:name w:val="apple-style-span"/>
    <w:qFormat/>
    <w:uiPriority w:val="0"/>
  </w:style>
  <w:style w:type="character" w:customStyle="1" w:styleId="461">
    <w:name w:val="【标题4】 Char"/>
    <w:qFormat/>
    <w:uiPriority w:val="0"/>
    <w:rPr>
      <w:rFonts w:hint="eastAsia" w:ascii="宋体" w:hAnsi="宋体" w:eastAsia="宋体" w:cs="宋体"/>
      <w:b/>
      <w:kern w:val="2"/>
      <w:sz w:val="28"/>
      <w:lang w:val="en-US" w:eastAsia="zh-CN" w:bidi="ar"/>
    </w:rPr>
  </w:style>
  <w:style w:type="paragraph" w:customStyle="1" w:styleId="462">
    <w:name w:val="Normal Indent"/>
    <w:basedOn w:val="1"/>
    <w:qFormat/>
    <w:uiPriority w:val="0"/>
    <w:pPr>
      <w:ind w:firstLine="420" w:firstLineChars="200"/>
    </w:pPr>
    <w:rPr>
      <w:rFonts w:eastAsia="仿宋_GB2312"/>
      <w:sz w:val="30"/>
      <w:szCs w:val="20"/>
    </w:rPr>
  </w:style>
  <w:style w:type="paragraph" w:customStyle="1" w:styleId="463">
    <w:name w:val="样式 样式 标题 3条标题头标题3H3h33rd level第二层条标题 3 Char小标题小节标题标题 3 C...3 + 自..."/>
    <w:basedOn w:val="464"/>
    <w:qFormat/>
    <w:uiPriority w:val="0"/>
    <w:rPr>
      <w:rFonts w:cs="Times New Roman"/>
    </w:rPr>
  </w:style>
  <w:style w:type="paragraph" w:customStyle="1" w:styleId="464">
    <w:name w:val="样式 标题 3条标题头标题3H3h33rd level第二层条标题 3 Char小标题小节标题标题 3 C...3"/>
    <w:basedOn w:val="7"/>
    <w:qFormat/>
    <w:uiPriority w:val="0"/>
  </w:style>
  <w:style w:type="character" w:customStyle="1" w:styleId="465">
    <w:name w:val="NormalCharacter"/>
    <w:qFormat/>
    <w:uiPriority w:val="0"/>
    <w:rPr>
      <w:rFonts w:ascii="宋体" w:hAnsi="宋体" w:eastAsia="宋体"/>
      <w:sz w:val="24"/>
    </w:rPr>
  </w:style>
  <w:style w:type="paragraph" w:customStyle="1" w:styleId="466">
    <w:name w:val="@表格"/>
    <w:basedOn w:val="17"/>
    <w:qFormat/>
    <w:uiPriority w:val="0"/>
    <w:pPr>
      <w:adjustRightInd w:val="0"/>
      <w:snapToGrid w:val="0"/>
      <w:spacing w:line="240" w:lineRule="auto"/>
      <w:ind w:firstLine="0" w:firstLineChars="0"/>
      <w:jc w:val="center"/>
    </w:pPr>
    <w:rPr>
      <w:sz w:val="21"/>
    </w:rPr>
  </w:style>
  <w:style w:type="paragraph" w:customStyle="1" w:styleId="467">
    <w:name w:val="报告样式"/>
    <w:qFormat/>
    <w:uiPriority w:val="0"/>
    <w:pPr>
      <w:widowControl w:val="0"/>
      <w:spacing w:line="460" w:lineRule="exact"/>
      <w:ind w:firstLine="200" w:firstLineChars="200"/>
      <w:jc w:val="left"/>
    </w:pPr>
    <w:rPr>
      <w:rFonts w:ascii="Times New Roman" w:hAnsi="Times New Roman" w:eastAsia="宋体" w:cs="Times New Roman"/>
      <w:spacing w:val="20"/>
      <w:kern w:val="2"/>
      <w:sz w:val="24"/>
      <w:szCs w:val="24"/>
      <w:lang w:val="zh-CN" w:eastAsia="zh-CN" w:bidi="ar-SA"/>
    </w:rPr>
  </w:style>
  <w:style w:type="paragraph" w:customStyle="1" w:styleId="468">
    <w:name w:val="样式 正文首行缩进 + 首行缩进:  2 字符1"/>
    <w:basedOn w:val="46"/>
    <w:next w:val="31"/>
    <w:qFormat/>
    <w:uiPriority w:val="0"/>
    <w:pPr>
      <w:spacing w:after="0" w:afterLines="0" w:line="360" w:lineRule="auto"/>
      <w:ind w:firstLine="480" w:firstLineChars="200"/>
    </w:pPr>
    <w:rPr>
      <w:sz w:val="24"/>
    </w:rPr>
  </w:style>
  <w:style w:type="character" w:customStyle="1" w:styleId="469">
    <w:name w:val="fontstyle01"/>
    <w:qFormat/>
    <w:uiPriority w:val="0"/>
    <w:rPr>
      <w:rFonts w:hint="eastAsia" w:ascii="宋体" w:hAnsi="宋体" w:eastAsia="宋体"/>
      <w:color w:val="000000"/>
      <w:sz w:val="22"/>
      <w:szCs w:val="22"/>
    </w:rPr>
  </w:style>
  <w:style w:type="paragraph" w:customStyle="1" w:styleId="470">
    <w:name w:val="Table Text"/>
    <w:basedOn w:val="1"/>
    <w:semiHidden/>
    <w:qFormat/>
    <w:uiPriority w:val="0"/>
    <w:rPr>
      <w:rFonts w:ascii="宋体" w:hAnsi="宋体" w:eastAsia="宋体" w:cs="宋体"/>
      <w:sz w:val="21"/>
      <w:szCs w:val="21"/>
      <w:lang w:val="en-US" w:eastAsia="en-US" w:bidi="ar-SA"/>
    </w:rPr>
  </w:style>
  <w:style w:type="paragraph" w:customStyle="1" w:styleId="471">
    <w:name w:val="书"/>
    <w:basedOn w:val="472"/>
    <w:qFormat/>
    <w:uiPriority w:val="0"/>
    <w:pPr>
      <w:ind w:firstLine="0"/>
    </w:pPr>
    <w:rPr>
      <w:rFonts w:ascii="楷体_GB2312" w:eastAsia="楷体_GB2312"/>
      <w:b/>
      <w:sz w:val="28"/>
    </w:rPr>
  </w:style>
  <w:style w:type="paragraph" w:customStyle="1" w:styleId="472">
    <w:name w:val="00"/>
    <w:basedOn w:val="1"/>
    <w:qFormat/>
    <w:uiPriority w:val="0"/>
    <w:pPr>
      <w:spacing w:line="520" w:lineRule="exact"/>
      <w:ind w:firstLine="480"/>
    </w:pPr>
    <w:rPr>
      <w:rFonts w:hAnsi="宋体" w:eastAsia="宋体"/>
      <w:kern w:val="2"/>
      <w:sz w:val="24"/>
      <w:szCs w:val="24"/>
      <w:lang w:val="en-US" w:eastAsia="zh-CN" w:bidi="ar-SA"/>
    </w:rPr>
  </w:style>
  <w:style w:type="paragraph" w:customStyle="1" w:styleId="473">
    <w:name w:val="0表格文字"/>
    <w:basedOn w:val="1"/>
    <w:next w:val="1"/>
    <w:qFormat/>
    <w:uiPriority w:val="0"/>
    <w:pPr>
      <w:wordWrap w:val="0"/>
      <w:overflowPunct/>
      <w:topLinePunct/>
      <w:adjustRightInd/>
      <w:snapToGrid/>
      <w:spacing w:line="240" w:lineRule="auto"/>
      <w:ind w:firstLine="0" w:firstLineChars="0"/>
      <w:jc w:val="center"/>
      <w:textAlignment w:val="auto"/>
    </w:pPr>
    <w:rPr>
      <w:rFonts w:cs="宋体"/>
      <w:sz w:val="21"/>
    </w:rPr>
  </w:style>
  <w:style w:type="paragraph" w:customStyle="1" w:styleId="474">
    <w:name w:val="报告书"/>
    <w:basedOn w:val="1"/>
    <w:qFormat/>
    <w:uiPriority w:val="0"/>
    <w:pPr>
      <w:autoSpaceDE w:val="0"/>
      <w:autoSpaceDN w:val="0"/>
      <w:ind w:firstLine="480"/>
      <w:textAlignment w:val="bottom"/>
    </w:pPr>
    <w:rPr>
      <w:rFonts w:ascii="宋体" w:hAnsi="宋体"/>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70.wmf"/><Relationship Id="rId98" Type="http://schemas.openxmlformats.org/officeDocument/2006/relationships/image" Target="media/image69.wmf"/><Relationship Id="rId97" Type="http://schemas.openxmlformats.org/officeDocument/2006/relationships/image" Target="media/image68.wmf"/><Relationship Id="rId96" Type="http://schemas.openxmlformats.org/officeDocument/2006/relationships/image" Target="media/image67.wmf"/><Relationship Id="rId95" Type="http://schemas.openxmlformats.org/officeDocument/2006/relationships/image" Target="media/image66.wmf"/><Relationship Id="rId94" Type="http://schemas.openxmlformats.org/officeDocument/2006/relationships/image" Target="media/image65.wmf"/><Relationship Id="rId93" Type="http://schemas.openxmlformats.org/officeDocument/2006/relationships/image" Target="media/image64.wmf"/><Relationship Id="rId92" Type="http://schemas.openxmlformats.org/officeDocument/2006/relationships/image" Target="media/image63.wmf"/><Relationship Id="rId91" Type="http://schemas.openxmlformats.org/officeDocument/2006/relationships/image" Target="media/image62.wmf"/><Relationship Id="rId90" Type="http://schemas.openxmlformats.org/officeDocument/2006/relationships/image" Target="media/image61.wmf"/><Relationship Id="rId9" Type="http://schemas.openxmlformats.org/officeDocument/2006/relationships/header" Target="header3.xml"/><Relationship Id="rId89" Type="http://schemas.openxmlformats.org/officeDocument/2006/relationships/image" Target="media/image60.wmf"/><Relationship Id="rId88" Type="http://schemas.openxmlformats.org/officeDocument/2006/relationships/image" Target="media/image59.wmf"/><Relationship Id="rId87" Type="http://schemas.openxmlformats.org/officeDocument/2006/relationships/image" Target="media/image58.wmf"/><Relationship Id="rId86" Type="http://schemas.openxmlformats.org/officeDocument/2006/relationships/image" Target="media/image57.png"/><Relationship Id="rId85" Type="http://schemas.openxmlformats.org/officeDocument/2006/relationships/image" Target="media/image56.wmf"/><Relationship Id="rId84" Type="http://schemas.openxmlformats.org/officeDocument/2006/relationships/image" Target="media/image55.png"/><Relationship Id="rId83" Type="http://schemas.openxmlformats.org/officeDocument/2006/relationships/image" Target="media/image54.png"/><Relationship Id="rId82" Type="http://schemas.openxmlformats.org/officeDocument/2006/relationships/image" Target="media/image53.png"/><Relationship Id="rId81" Type="http://schemas.openxmlformats.org/officeDocument/2006/relationships/image" Target="media/image52.png"/><Relationship Id="rId80" Type="http://schemas.openxmlformats.org/officeDocument/2006/relationships/image" Target="media/image51.jpeg"/><Relationship Id="rId8" Type="http://schemas.openxmlformats.org/officeDocument/2006/relationships/footer" Target="footer4.xml"/><Relationship Id="rId79" Type="http://schemas.openxmlformats.org/officeDocument/2006/relationships/image" Target="media/image50.wmf"/><Relationship Id="rId78" Type="http://schemas.openxmlformats.org/officeDocument/2006/relationships/oleObject" Target="embeddings/oleObject4.bin"/><Relationship Id="rId77" Type="http://schemas.openxmlformats.org/officeDocument/2006/relationships/image" Target="media/image49.wmf"/><Relationship Id="rId76" Type="http://schemas.openxmlformats.org/officeDocument/2006/relationships/oleObject" Target="embeddings/oleObject3.bin"/><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wmf"/><Relationship Id="rId70" Type="http://schemas.openxmlformats.org/officeDocument/2006/relationships/oleObject" Target="embeddings/oleObject2.bin"/><Relationship Id="rId7" Type="http://schemas.openxmlformats.org/officeDocument/2006/relationships/footer" Target="footer3.xml"/><Relationship Id="rId69" Type="http://schemas.openxmlformats.org/officeDocument/2006/relationships/image" Target="media/image43.wmf"/><Relationship Id="rId68" Type="http://schemas.openxmlformats.org/officeDocument/2006/relationships/oleObject" Target="embeddings/oleObject1.bin"/><Relationship Id="rId67" Type="http://schemas.openxmlformats.org/officeDocument/2006/relationships/image" Target="media/image42.png"/><Relationship Id="rId66" Type="http://schemas.openxmlformats.org/officeDocument/2006/relationships/image" Target="media/image41.png"/><Relationship Id="rId65" Type="http://schemas.openxmlformats.org/officeDocument/2006/relationships/image" Target="media/image40.jpeg"/><Relationship Id="rId64" Type="http://schemas.openxmlformats.org/officeDocument/2006/relationships/image" Target="media/image39.jpeg"/><Relationship Id="rId63" Type="http://schemas.openxmlformats.org/officeDocument/2006/relationships/image" Target="media/image38.png"/><Relationship Id="rId62" Type="http://schemas.openxmlformats.org/officeDocument/2006/relationships/image" Target="media/image37.jpeg"/><Relationship Id="rId61" Type="http://schemas.openxmlformats.org/officeDocument/2006/relationships/image" Target="media/image36.jpeg"/><Relationship Id="rId60" Type="http://schemas.openxmlformats.org/officeDocument/2006/relationships/image" Target="media/image35.jpeg"/><Relationship Id="rId6" Type="http://schemas.openxmlformats.org/officeDocument/2006/relationships/footer" Target="footer2.xml"/><Relationship Id="rId59" Type="http://schemas.openxmlformats.org/officeDocument/2006/relationships/image" Target="media/image34.png"/><Relationship Id="rId58" Type="http://schemas.openxmlformats.org/officeDocument/2006/relationships/image" Target="media/image33.emf"/><Relationship Id="rId57" Type="http://schemas.openxmlformats.org/officeDocument/2006/relationships/image" Target="media/image32.png"/><Relationship Id="rId56" Type="http://schemas.openxmlformats.org/officeDocument/2006/relationships/image" Target="media/image31.png"/><Relationship Id="rId55" Type="http://schemas.openxmlformats.org/officeDocument/2006/relationships/image" Target="media/image30.png"/><Relationship Id="rId54" Type="http://schemas.openxmlformats.org/officeDocument/2006/relationships/image" Target="media/image29.png"/><Relationship Id="rId53" Type="http://schemas.openxmlformats.org/officeDocument/2006/relationships/image" Target="media/image28.png"/><Relationship Id="rId52" Type="http://schemas.openxmlformats.org/officeDocument/2006/relationships/image" Target="media/image27.png"/><Relationship Id="rId51" Type="http://schemas.openxmlformats.org/officeDocument/2006/relationships/image" Target="media/image26.png"/><Relationship Id="rId50" Type="http://schemas.openxmlformats.org/officeDocument/2006/relationships/image" Target="media/image25.png"/><Relationship Id="rId5" Type="http://schemas.openxmlformats.org/officeDocument/2006/relationships/footer" Target="footer1.xml"/><Relationship Id="rId49" Type="http://schemas.openxmlformats.org/officeDocument/2006/relationships/image" Target="media/image24.jpeg"/><Relationship Id="rId48" Type="http://schemas.openxmlformats.org/officeDocument/2006/relationships/image" Target="media/image23.jpeg"/><Relationship Id="rId47" Type="http://schemas.openxmlformats.org/officeDocument/2006/relationships/image" Target="media/image22.jpeg"/><Relationship Id="rId46" Type="http://schemas.openxmlformats.org/officeDocument/2006/relationships/image" Target="media/image21.jpeg"/><Relationship Id="rId45" Type="http://schemas.openxmlformats.org/officeDocument/2006/relationships/image" Target="media/image20.png"/><Relationship Id="rId44" Type="http://schemas.openxmlformats.org/officeDocument/2006/relationships/image" Target="media/image19.png"/><Relationship Id="rId43" Type="http://schemas.openxmlformats.org/officeDocument/2006/relationships/image" Target="media/image18.png"/><Relationship Id="rId42" Type="http://schemas.openxmlformats.org/officeDocument/2006/relationships/image" Target="media/image17.jpeg"/><Relationship Id="rId41" Type="http://schemas.openxmlformats.org/officeDocument/2006/relationships/image" Target="media/image16.png"/><Relationship Id="rId40" Type="http://schemas.openxmlformats.org/officeDocument/2006/relationships/image" Target="media/image15.png"/><Relationship Id="rId4" Type="http://schemas.openxmlformats.org/officeDocument/2006/relationships/header" Target="header2.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png"/><Relationship Id="rId35" Type="http://schemas.openxmlformats.org/officeDocument/2006/relationships/image" Target="media/image10.png"/><Relationship Id="rId34" Type="http://schemas.openxmlformats.org/officeDocument/2006/relationships/image" Target="media/image9.png"/><Relationship Id="rId33" Type="http://schemas.openxmlformats.org/officeDocument/2006/relationships/image" Target="media/image8.png"/><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image" Target="media/image5.png"/><Relationship Id="rId3" Type="http://schemas.openxmlformats.org/officeDocument/2006/relationships/header" Target="header1.xml"/><Relationship Id="rId29" Type="http://schemas.openxmlformats.org/officeDocument/2006/relationships/image" Target="media/image4.png"/><Relationship Id="rId28" Type="http://schemas.openxmlformats.org/officeDocument/2006/relationships/image" Target="media/image3.jpeg"/><Relationship Id="rId27" Type="http://schemas.openxmlformats.org/officeDocument/2006/relationships/image" Target="media/image2.jpeg"/><Relationship Id="rId26" Type="http://schemas.openxmlformats.org/officeDocument/2006/relationships/image" Target="media/image1.png"/><Relationship Id="rId25" Type="http://schemas.openxmlformats.org/officeDocument/2006/relationships/theme" Target="theme/theme1.xml"/><Relationship Id="rId24" Type="http://schemas.openxmlformats.org/officeDocument/2006/relationships/footer" Target="footer13.xml"/><Relationship Id="rId23" Type="http://schemas.openxmlformats.org/officeDocument/2006/relationships/footer" Target="footer12.xml"/><Relationship Id="rId220" Type="http://schemas.openxmlformats.org/officeDocument/2006/relationships/fontTable" Target="fontTable.xml"/><Relationship Id="rId22" Type="http://schemas.openxmlformats.org/officeDocument/2006/relationships/footer" Target="footer11.xml"/><Relationship Id="rId219" Type="http://schemas.openxmlformats.org/officeDocument/2006/relationships/customXml" Target="../customXml/item2.xml"/><Relationship Id="rId218" Type="http://schemas.openxmlformats.org/officeDocument/2006/relationships/numbering" Target="numbering.xml"/><Relationship Id="rId217" Type="http://schemas.openxmlformats.org/officeDocument/2006/relationships/customXml" Target="../customXml/item1.xml"/><Relationship Id="rId216" Type="http://schemas.openxmlformats.org/officeDocument/2006/relationships/image" Target="media/image187.jpeg"/><Relationship Id="rId215" Type="http://schemas.openxmlformats.org/officeDocument/2006/relationships/image" Target="media/image186.jpeg"/><Relationship Id="rId214" Type="http://schemas.openxmlformats.org/officeDocument/2006/relationships/image" Target="media/image185.jpeg"/><Relationship Id="rId213" Type="http://schemas.openxmlformats.org/officeDocument/2006/relationships/image" Target="media/image184.jpeg"/><Relationship Id="rId212" Type="http://schemas.openxmlformats.org/officeDocument/2006/relationships/image" Target="media/image183.jpeg"/><Relationship Id="rId211" Type="http://schemas.openxmlformats.org/officeDocument/2006/relationships/image" Target="media/image182.jpeg"/><Relationship Id="rId210" Type="http://schemas.openxmlformats.org/officeDocument/2006/relationships/image" Target="media/image181.jpeg"/><Relationship Id="rId21" Type="http://schemas.openxmlformats.org/officeDocument/2006/relationships/header" Target="header9.xml"/><Relationship Id="rId209" Type="http://schemas.openxmlformats.org/officeDocument/2006/relationships/image" Target="media/image180.jpeg"/><Relationship Id="rId208" Type="http://schemas.openxmlformats.org/officeDocument/2006/relationships/image" Target="media/image179.jpeg"/><Relationship Id="rId207" Type="http://schemas.openxmlformats.org/officeDocument/2006/relationships/image" Target="media/image178.jpeg"/><Relationship Id="rId206" Type="http://schemas.openxmlformats.org/officeDocument/2006/relationships/image" Target="media/image177.jpeg"/><Relationship Id="rId205" Type="http://schemas.openxmlformats.org/officeDocument/2006/relationships/image" Target="media/image176.jpeg"/><Relationship Id="rId204" Type="http://schemas.openxmlformats.org/officeDocument/2006/relationships/image" Target="media/image175.jpeg"/><Relationship Id="rId203" Type="http://schemas.openxmlformats.org/officeDocument/2006/relationships/image" Target="media/image174.jpeg"/><Relationship Id="rId202" Type="http://schemas.openxmlformats.org/officeDocument/2006/relationships/image" Target="media/image173.jpeg"/><Relationship Id="rId201" Type="http://schemas.openxmlformats.org/officeDocument/2006/relationships/image" Target="media/image172.jpeg"/><Relationship Id="rId200" Type="http://schemas.openxmlformats.org/officeDocument/2006/relationships/image" Target="media/image171.jpeg"/><Relationship Id="rId20" Type="http://schemas.openxmlformats.org/officeDocument/2006/relationships/header" Target="header8.xml"/><Relationship Id="rId2" Type="http://schemas.openxmlformats.org/officeDocument/2006/relationships/settings" Target="settings.xml"/><Relationship Id="rId199" Type="http://schemas.openxmlformats.org/officeDocument/2006/relationships/image" Target="media/image170.jpeg"/><Relationship Id="rId198" Type="http://schemas.openxmlformats.org/officeDocument/2006/relationships/image" Target="media/image169.jpeg"/><Relationship Id="rId197" Type="http://schemas.openxmlformats.org/officeDocument/2006/relationships/image" Target="media/image168.jpeg"/><Relationship Id="rId196" Type="http://schemas.openxmlformats.org/officeDocument/2006/relationships/image" Target="media/image167.jpeg"/><Relationship Id="rId195" Type="http://schemas.openxmlformats.org/officeDocument/2006/relationships/image" Target="media/image166.jpeg"/><Relationship Id="rId194" Type="http://schemas.openxmlformats.org/officeDocument/2006/relationships/image" Target="media/image165.jpeg"/><Relationship Id="rId193" Type="http://schemas.openxmlformats.org/officeDocument/2006/relationships/image" Target="media/image164.jpeg"/><Relationship Id="rId192" Type="http://schemas.openxmlformats.org/officeDocument/2006/relationships/image" Target="media/image163.jpeg"/><Relationship Id="rId191" Type="http://schemas.openxmlformats.org/officeDocument/2006/relationships/image" Target="media/image162.jpeg"/><Relationship Id="rId190" Type="http://schemas.openxmlformats.org/officeDocument/2006/relationships/image" Target="media/image161.jpeg"/><Relationship Id="rId19" Type="http://schemas.openxmlformats.org/officeDocument/2006/relationships/header" Target="header7.xml"/><Relationship Id="rId189" Type="http://schemas.openxmlformats.org/officeDocument/2006/relationships/image" Target="media/image160.jpeg"/><Relationship Id="rId188" Type="http://schemas.openxmlformats.org/officeDocument/2006/relationships/image" Target="media/image159.jpeg"/><Relationship Id="rId187" Type="http://schemas.openxmlformats.org/officeDocument/2006/relationships/image" Target="media/image158.jpeg"/><Relationship Id="rId186" Type="http://schemas.openxmlformats.org/officeDocument/2006/relationships/image" Target="media/image157.jpeg"/><Relationship Id="rId185" Type="http://schemas.openxmlformats.org/officeDocument/2006/relationships/image" Target="media/image156.jpeg"/><Relationship Id="rId184" Type="http://schemas.openxmlformats.org/officeDocument/2006/relationships/image" Target="media/image155.jpeg"/><Relationship Id="rId183" Type="http://schemas.openxmlformats.org/officeDocument/2006/relationships/image" Target="media/image154.jpeg"/><Relationship Id="rId182" Type="http://schemas.openxmlformats.org/officeDocument/2006/relationships/image" Target="media/image153.jpeg"/><Relationship Id="rId181" Type="http://schemas.openxmlformats.org/officeDocument/2006/relationships/image" Target="media/image152.jpeg"/><Relationship Id="rId180" Type="http://schemas.openxmlformats.org/officeDocument/2006/relationships/image" Target="media/image151.jpeg"/><Relationship Id="rId18" Type="http://schemas.openxmlformats.org/officeDocument/2006/relationships/footer" Target="footer10.xml"/><Relationship Id="rId179" Type="http://schemas.openxmlformats.org/officeDocument/2006/relationships/image" Target="media/image150.jpeg"/><Relationship Id="rId178" Type="http://schemas.openxmlformats.org/officeDocument/2006/relationships/image" Target="media/image149.jpeg"/><Relationship Id="rId177" Type="http://schemas.openxmlformats.org/officeDocument/2006/relationships/image" Target="media/image148.jpeg"/><Relationship Id="rId176" Type="http://schemas.openxmlformats.org/officeDocument/2006/relationships/image" Target="media/image147.jpeg"/><Relationship Id="rId175" Type="http://schemas.openxmlformats.org/officeDocument/2006/relationships/image" Target="media/image146.jpeg"/><Relationship Id="rId174" Type="http://schemas.openxmlformats.org/officeDocument/2006/relationships/image" Target="media/image145.jpeg"/><Relationship Id="rId173" Type="http://schemas.openxmlformats.org/officeDocument/2006/relationships/image" Target="media/image144.jpeg"/><Relationship Id="rId172" Type="http://schemas.openxmlformats.org/officeDocument/2006/relationships/image" Target="media/image143.jpeg"/><Relationship Id="rId171" Type="http://schemas.openxmlformats.org/officeDocument/2006/relationships/image" Target="media/image142.jpeg"/><Relationship Id="rId170" Type="http://schemas.openxmlformats.org/officeDocument/2006/relationships/image" Target="media/image141.png"/><Relationship Id="rId17" Type="http://schemas.openxmlformats.org/officeDocument/2006/relationships/footer" Target="footer9.xml"/><Relationship Id="rId169" Type="http://schemas.openxmlformats.org/officeDocument/2006/relationships/image" Target="media/image140.jpeg"/><Relationship Id="rId168" Type="http://schemas.openxmlformats.org/officeDocument/2006/relationships/image" Target="media/image139.jpeg"/><Relationship Id="rId167" Type="http://schemas.openxmlformats.org/officeDocument/2006/relationships/image" Target="media/image138.png"/><Relationship Id="rId166" Type="http://schemas.openxmlformats.org/officeDocument/2006/relationships/image" Target="media/image137.png"/><Relationship Id="rId165" Type="http://schemas.openxmlformats.org/officeDocument/2006/relationships/image" Target="media/image136.png"/><Relationship Id="rId164" Type="http://schemas.openxmlformats.org/officeDocument/2006/relationships/image" Target="media/image135.png"/><Relationship Id="rId163" Type="http://schemas.openxmlformats.org/officeDocument/2006/relationships/image" Target="media/image134.png"/><Relationship Id="rId162" Type="http://schemas.openxmlformats.org/officeDocument/2006/relationships/image" Target="media/image133.png"/><Relationship Id="rId161" Type="http://schemas.openxmlformats.org/officeDocument/2006/relationships/image" Target="media/image132.png"/><Relationship Id="rId160" Type="http://schemas.openxmlformats.org/officeDocument/2006/relationships/image" Target="media/image131.png"/><Relationship Id="rId16" Type="http://schemas.openxmlformats.org/officeDocument/2006/relationships/footer" Target="footer8.xml"/><Relationship Id="rId159" Type="http://schemas.openxmlformats.org/officeDocument/2006/relationships/image" Target="media/image130.png"/><Relationship Id="rId158" Type="http://schemas.openxmlformats.org/officeDocument/2006/relationships/image" Target="media/image129.png"/><Relationship Id="rId157" Type="http://schemas.openxmlformats.org/officeDocument/2006/relationships/image" Target="media/image128.png"/><Relationship Id="rId156" Type="http://schemas.openxmlformats.org/officeDocument/2006/relationships/image" Target="media/image127.png"/><Relationship Id="rId155" Type="http://schemas.openxmlformats.org/officeDocument/2006/relationships/image" Target="media/image126.jpeg"/><Relationship Id="rId154" Type="http://schemas.openxmlformats.org/officeDocument/2006/relationships/image" Target="media/image125.jpeg"/><Relationship Id="rId153" Type="http://schemas.openxmlformats.org/officeDocument/2006/relationships/image" Target="media/image124.jpeg"/><Relationship Id="rId152" Type="http://schemas.openxmlformats.org/officeDocument/2006/relationships/image" Target="media/image123.jpeg"/><Relationship Id="rId151" Type="http://schemas.openxmlformats.org/officeDocument/2006/relationships/image" Target="media/image122.jpeg"/><Relationship Id="rId150" Type="http://schemas.openxmlformats.org/officeDocument/2006/relationships/image" Target="media/image121.jpeg"/><Relationship Id="rId15" Type="http://schemas.openxmlformats.org/officeDocument/2006/relationships/header" Target="header6.xml"/><Relationship Id="rId149" Type="http://schemas.openxmlformats.org/officeDocument/2006/relationships/image" Target="media/image120.jpeg"/><Relationship Id="rId148" Type="http://schemas.openxmlformats.org/officeDocument/2006/relationships/image" Target="media/image119.jpeg"/><Relationship Id="rId147" Type="http://schemas.openxmlformats.org/officeDocument/2006/relationships/image" Target="media/image118.jpeg"/><Relationship Id="rId146" Type="http://schemas.openxmlformats.org/officeDocument/2006/relationships/image" Target="media/image117.jpeg"/><Relationship Id="rId145" Type="http://schemas.openxmlformats.org/officeDocument/2006/relationships/image" Target="media/image116.jpeg"/><Relationship Id="rId144" Type="http://schemas.openxmlformats.org/officeDocument/2006/relationships/image" Target="media/image115.jpeg"/><Relationship Id="rId143" Type="http://schemas.openxmlformats.org/officeDocument/2006/relationships/image" Target="media/image114.jpeg"/><Relationship Id="rId142" Type="http://schemas.openxmlformats.org/officeDocument/2006/relationships/image" Target="media/image113.jpeg"/><Relationship Id="rId141" Type="http://schemas.openxmlformats.org/officeDocument/2006/relationships/image" Target="media/image112.png"/><Relationship Id="rId140" Type="http://schemas.openxmlformats.org/officeDocument/2006/relationships/image" Target="media/image111.png"/><Relationship Id="rId14" Type="http://schemas.openxmlformats.org/officeDocument/2006/relationships/header" Target="header5.xml"/><Relationship Id="rId139" Type="http://schemas.openxmlformats.org/officeDocument/2006/relationships/image" Target="media/image110.jpeg"/><Relationship Id="rId138" Type="http://schemas.openxmlformats.org/officeDocument/2006/relationships/image" Target="media/image109.jpeg"/><Relationship Id="rId137" Type="http://schemas.openxmlformats.org/officeDocument/2006/relationships/image" Target="media/image108.jpeg"/><Relationship Id="rId136" Type="http://schemas.openxmlformats.org/officeDocument/2006/relationships/image" Target="media/image107.jpeg"/><Relationship Id="rId135" Type="http://schemas.openxmlformats.org/officeDocument/2006/relationships/image" Target="media/image106.jpeg"/><Relationship Id="rId134" Type="http://schemas.openxmlformats.org/officeDocument/2006/relationships/image" Target="media/image105.png"/><Relationship Id="rId133" Type="http://schemas.openxmlformats.org/officeDocument/2006/relationships/image" Target="media/image104.jpeg"/><Relationship Id="rId132" Type="http://schemas.openxmlformats.org/officeDocument/2006/relationships/image" Target="media/image103.png"/><Relationship Id="rId131" Type="http://schemas.openxmlformats.org/officeDocument/2006/relationships/image" Target="media/image102.png"/><Relationship Id="rId130" Type="http://schemas.openxmlformats.org/officeDocument/2006/relationships/image" Target="media/image101.jpeg"/><Relationship Id="rId13" Type="http://schemas.openxmlformats.org/officeDocument/2006/relationships/header" Target="header4.xml"/><Relationship Id="rId129" Type="http://schemas.openxmlformats.org/officeDocument/2006/relationships/image" Target="media/image100.png"/><Relationship Id="rId128" Type="http://schemas.openxmlformats.org/officeDocument/2006/relationships/image" Target="media/image99.png"/><Relationship Id="rId127" Type="http://schemas.openxmlformats.org/officeDocument/2006/relationships/image" Target="media/image98.jpeg"/><Relationship Id="rId126" Type="http://schemas.openxmlformats.org/officeDocument/2006/relationships/image" Target="media/image97.jpeg"/><Relationship Id="rId125" Type="http://schemas.openxmlformats.org/officeDocument/2006/relationships/image" Target="media/image96.jpeg"/><Relationship Id="rId124" Type="http://schemas.openxmlformats.org/officeDocument/2006/relationships/image" Target="media/image95.jpeg"/><Relationship Id="rId123" Type="http://schemas.openxmlformats.org/officeDocument/2006/relationships/image" Target="media/image94.png"/><Relationship Id="rId122" Type="http://schemas.openxmlformats.org/officeDocument/2006/relationships/image" Target="media/image93.png"/><Relationship Id="rId121" Type="http://schemas.openxmlformats.org/officeDocument/2006/relationships/image" Target="media/image92.png"/><Relationship Id="rId120" Type="http://schemas.openxmlformats.org/officeDocument/2006/relationships/image" Target="media/image91.png"/><Relationship Id="rId12" Type="http://schemas.openxmlformats.org/officeDocument/2006/relationships/footer" Target="footer7.xml"/><Relationship Id="rId119" Type="http://schemas.openxmlformats.org/officeDocument/2006/relationships/image" Target="media/image90.png"/><Relationship Id="rId118" Type="http://schemas.openxmlformats.org/officeDocument/2006/relationships/image" Target="media/image89.jpeg"/><Relationship Id="rId117" Type="http://schemas.openxmlformats.org/officeDocument/2006/relationships/image" Target="media/image88.jpeg"/><Relationship Id="rId116" Type="http://schemas.openxmlformats.org/officeDocument/2006/relationships/image" Target="media/image87.jpeg"/><Relationship Id="rId115" Type="http://schemas.openxmlformats.org/officeDocument/2006/relationships/image" Target="media/image86.jpeg"/><Relationship Id="rId114" Type="http://schemas.openxmlformats.org/officeDocument/2006/relationships/image" Target="media/image85.jpeg"/><Relationship Id="rId113" Type="http://schemas.openxmlformats.org/officeDocument/2006/relationships/image" Target="media/image84.jpeg"/><Relationship Id="rId112" Type="http://schemas.openxmlformats.org/officeDocument/2006/relationships/image" Target="media/image83.wmf"/><Relationship Id="rId111" Type="http://schemas.openxmlformats.org/officeDocument/2006/relationships/image" Target="media/image82.png"/><Relationship Id="rId110" Type="http://schemas.openxmlformats.org/officeDocument/2006/relationships/image" Target="media/image81.png"/><Relationship Id="rId11" Type="http://schemas.openxmlformats.org/officeDocument/2006/relationships/footer" Target="footer6.xml"/><Relationship Id="rId109" Type="http://schemas.openxmlformats.org/officeDocument/2006/relationships/image" Target="media/image80.jpeg"/><Relationship Id="rId108" Type="http://schemas.openxmlformats.org/officeDocument/2006/relationships/image" Target="media/image79.png"/><Relationship Id="rId107" Type="http://schemas.openxmlformats.org/officeDocument/2006/relationships/image" Target="media/image78.png"/><Relationship Id="rId106" Type="http://schemas.openxmlformats.org/officeDocument/2006/relationships/image" Target="media/image77.png"/><Relationship Id="rId105" Type="http://schemas.openxmlformats.org/officeDocument/2006/relationships/image" Target="media/image76.png"/><Relationship Id="rId104" Type="http://schemas.openxmlformats.org/officeDocument/2006/relationships/image" Target="media/image75.png"/><Relationship Id="rId103" Type="http://schemas.openxmlformats.org/officeDocument/2006/relationships/image" Target="media/image74.png"/><Relationship Id="rId102" Type="http://schemas.openxmlformats.org/officeDocument/2006/relationships/image" Target="media/image73.wmf"/><Relationship Id="rId101" Type="http://schemas.openxmlformats.org/officeDocument/2006/relationships/image" Target="media/image72.wmf"/><Relationship Id="rId100" Type="http://schemas.openxmlformats.org/officeDocument/2006/relationships/image" Target="media/image71.wmf"/><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M2NjIyNzE2ODM4IiwKCSJHcm91cElkIiA6ICI3MDcwNjc0NTYiLAoJIkltYWdlIiA6ICJpVkJPUncwS0dnb0FBQUFOU1VoRVVnQUFCeUlBQUFNSkNBWUFBQUJQLy9FcEFBQUFBWE5TUjBJQXJzNGM2UUFBSUFCSlJFRlVlSnpzM1h1VUhIV1ovL0hQVTkwejA3a1NNY1NnVVNJR0E1MWtwcXNhRk1UbDdnOFVSRkJCUWNHN29BUlFsQVZGMXl1S0xvcUtLUExEbitpaVhFUkJGeFJYQkZ4RVhhVzdlaWJKa0dDVWdFRXVRb0RjNXRyMS9QNllIbmJvOUV4bUprMTZNbm0venBtVHJ1K3RudXJrbk5UVVU5L3ZWd0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GdLL1J1WlMxQ0doV0ZZUVFBQUFBQkpSVTVFcmtKZ2dnPT0iLAoJIlRoZW1lIiA6ICIiLAoJIlR5cGUiIDogImZsb3ciLAoJIlVzZXJJZCIgOiAiNDYyNDM4NDk1IiwKCSJWZXJzaW9uIiA6ICI4OCIKfQo="/>
    </extobj>
    <extobj name="ECB019B1-382A-4266-B25C-5B523AA43C14-2">
      <extobjdata type="ECB019B1-382A-4266-B25C-5B523AA43C14" data="ewoJIkZpbGVJZCIgOiAiNDY0NzI5NTk4MjI5IiwKCSJHcm91cElkIiA6ICI3MDcwNjc0NTYiLAoJIkltYWdlIiA6ICJpVkJPUncwS0dnb0FBQUFOU1VoRVVnQUFCU0FBQUFLUkNBWUFBQUJFSkFkUEFBQUFBWE5TUjBJQXJzNGM2UUFBSUFCSlJFRlVlSnpzM1hsOFZOWDkvL0gzdVROWkNMdGlzWXFTK2dXa0NNbk1wS0FWbHgvVTVlRUdpb3BLWFZEY0tpcUNWUVFFRnhRckZIZXI0Z3JZdUVFUVhBcTBGVVVSRU1ra0FTTnFpaUNvS0Nsck1PdmM4L3VEWkpvaENRWmt1Q1I1UFIrUFBKeDc3am5uZm1hQUJOK2NlNDhF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d0t2NC9MV0dERTZsajBHQUFBQUFBU1VWT1JLNUNZSUk9IiwKCSJUaGVtZSIgOiAiIiwKCSJUeXBlIiA6ICJmbG93IiwKCSJVc2VySWQiIDogIjQ2MjQzODQ5NSIsCgkiVmVyc2lvbiIgOiAiIgp9Cg=="/>
    </extobj>
    <extobj name="ECB019B1-382A-4266-B25C-5B523AA43C14-3">
      <extobjdata type="ECB019B1-382A-4266-B25C-5B523AA43C14" data="ewoJIkZpbGVJZCIgOiAiNDc4NjczODgzNjEzIiwKCSJHcm91cElkIiA6ICI3MDcwNjc0NTYiLAoJIkltYWdlIiA6ICJpVkJPUncwS0dnb0FBQUFOU1VoRVVnQUFCNllBQUFURENBWUFBQURWeFZzT0FBQUFBWE5TUjBJQXJzNGM2UUFBSUFCSlJFRlVlSnpzM1htVVhWV1pQKzUzMzZyS0JJUXdDSkZCaGs0RUFrbnEzZ1FDc2FIRm9RVms4Q3RnbzZBUmtFRWhwQUVaVkFTWmJCUnN4QWJSbGtGdFpXcEJtV3l3YlFNaWc0R3F5a0FpTVpGNUpvWk1aS3FxdTM5LzVGYjlLa2tscVVDS0d5clBzeGJybm5QMmNONXp5VnFwbFUvdHN5T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bmtVNHpBQUFBWFVsRVFWUUFBQUFBQUFBQUFBQUFBQUFBQUFBQUFBQUFBQUFBQUFBQUFBQUFBQUFBQUFBQUFBQUFBQUFBQUFBQUFBQUFBQUFBQUFBQUFBQUFBQUFBQUFBQUFBQUFBQUFBQUFBQUFBQUFBQUFBQUFBQUFBQUFBQURBNzh6L0J3eXNwWFVjQU54SUFBQUFBRWxGVGtTdVFtQ0MiLAoJIlRoZW1lIiA6ICIiLAoJIlR5cGUiIDogImZsb3ciLAoJIlVzZXJJZCIgOiAiNDYyNDM4NDk1IiwKCSJWZXJzaW9uIiA6ICIxNyIKfQo="/>
    </extobj>
    <extobj name="ECB019B1-382A-4266-B25C-5B523AA43C14-4">
      <extobjdata type="ECB019B1-382A-4266-B25C-5B523AA43C14" data="ewoJIkZpbGVJZCIgOiAiNDM2OTQyNzg1NjY5IiwKCSJHcm91cElkIiA6ICI3MDcwNjc0NTYiLAoJIkltYWdlIiA6ICJpVkJPUncwS0dnb0FBQUFOU1VoRVVnQUFCN0VBQUFOc0NBWUFBQUE5V2x3cUFBQUFBWE5TUjBJQXJzNGM2UUFBSUFCSlJFRlVlSnpzM1h1NFZtV0JOLzd2MmdmWWJEbDRBQ1hEWTVTSml1ekhRNHBqcHBXVk5wYW5Tc2N5dGJSK2VVaTBhZFNjVExORVgzUzB6RTVqbnNZYWF5aDdQYVpaVTVtVGpvQW44SUJLQTU0UkdWSFlidlorMXUrUFlMOXMyWndFZVI0M244OTFjY0Z6My9kYTY3dGcvN0d2L2VWZUt3R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K0RhV1ZRQUFBTFJKUkVGV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HZ2wvZ2Nrb24waXU4WW1tZ0FBQUFCSlJVNUVya0pnZ2c9PSIsCgkiVGhlbWUiIDogIiIsCgkiVHlwZSIgOiAiZmxvdyIsCgkiVXNlcklkIiA6ICI0NjI0Mzg0OTUiLAoJIlZlcnNpb24iIDogIjExMiIKfQo="/>
    </extobj>
    <extobj name="ECB019B1-382A-4266-B25C-5B523AA43C14-5">
      <extobjdata type="ECB019B1-382A-4266-B25C-5B523AA43C14" data="ewoJIkZpbGVJZCIgOiAiNDY1ODU5MjQ4MzM0IiwKCSJHcm91cElkIiA6ICI3MDcwNjc0NTYiLAoJIkltYWdlIiA6ICJpVkJPUncwS0dnb0FBQUFOU1VoRVVnQUFCTUVBQUFJVkNBWUFBQURZcStnT0FBQUFBWE5TUjBJQXJzNGM2UUFBSUFCSlJFRlVlSnpzM1hsOFZOWDVQL0RQYysvTVpBRUNDb2dvMWFCUk1NTGtuanVLTFYxYzBMclV0Vi9yUWkzV3FxMWFyYlV1ZFdtMS9iYlZXclYxYmJYVlZ0VGlDcmpVWW4raVVPdXVjKzhrd1lnYVJTMFdxTWdPMldidTgvdGpadktkSkJPU2tNQ1E1UE4rdmZJYXpybm5udnZjQytIT1BIUE91UUF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hSjMrUDNWdnA2SXV4KzJ1QUFBQUFFbEZUa1N1UW1DQyIsCgkiVGhlbWUiIDogIiIsCgkiVHlwZSIgOiAiZmxvdyIsCgkiVXNlcklkIiA6ICI0NjI0Mzg0OTUiLAoJIlZlcnNpb24iIDogIjM5Igp9Cg=="/>
    </extobj>
    <extobj name="ECB019B1-382A-4266-B25C-5B523AA43C14-6">
      <extobjdata type="ECB019B1-382A-4266-B25C-5B523AA43C14" data="ewoJIkZpbGVJZCIgOiAiNDM2Njc0Mzk3MTMyIiwKCSJHcm91cElkIiA6ICI3MDcwNjc0NTYiLAoJIkltYWdlIiA6ICJpVkJPUncwS0dnb0FBQUFOU1VoRVVnQUFCYmtBQUFLZUNBWUFBQUNJekJhNUFBQUFBWE5TUjBJQXJzNGM2UUFBSUFCSlJFRlVlSnpzM1hsMGsxWCt4L0hQVGRJRktGaEFHTFlCbkdHemFHbkNvdUFHNms5QUJVWjBGQmRHWE1FTlZ4UWR3VkVjRnh5VkdjRUZGSFJRbEJIUUE0cXlDQ0l5eU5LbUxkQ0NvTEt2WlMrMHRNMXpmMytRWmxyYUFtVUxvZS9YT1J5UzU3blB6VGM1aDhmakp6ZmZLd0V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WlHRC9Dd1VuN2xhUUZFWEtBQUFBQUVsRlRrU3VRbUNDIiwKCSJUaGVtZSIgOiAiIiwKCSJUeXBlIiA6ICJmbG93IiwKCSJVc2VySWQiIDogIjQ2MjQzODQ5NSIsCgkiVmVyc2lvbiIgOiAiMzUiCn0K"/>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5CC3FBD-CC43-4A1C-8047-3CB68E4C176B}">
  <ds:schemaRefs/>
</ds:datastoreItem>
</file>

<file path=docProps/app.xml><?xml version="1.0" encoding="utf-8"?>
<Properties xmlns="http://schemas.openxmlformats.org/officeDocument/2006/extended-properties" xmlns:vt="http://schemas.openxmlformats.org/officeDocument/2006/docPropsVTypes">
  <Template>Normal.dotm</Template>
  <Pages>402</Pages>
  <Words>19512</Words>
  <Characters>20818</Characters>
  <Lines>1391</Lines>
  <Paragraphs>391</Paragraphs>
  <TotalTime>1</TotalTime>
  <ScaleCrop>false</ScaleCrop>
  <LinksUpToDate>false</LinksUpToDate>
  <CharactersWithSpaces>20934</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2019-05-08T08:07:00Z</dcterms:created>
  <dc:creator>Administrator</dc:creator>
  <cp:lastModifiedBy>丽</cp:lastModifiedBy>
  <cp:lastPrinted>2019-05-30T07:13:00Z</cp:lastPrinted>
  <dcterms:modified xsi:type="dcterms:W3CDTF">2026-02-04T01:37:00Z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E39188CB12204D0F820F8CDDC1409C70_13</vt:lpwstr>
  </property>
  <property fmtid="{D5CDD505-2E9C-101B-9397-08002B2CF9AE}" pid="4" name="KSOTemplateDocerSaveRecord">
    <vt:lpwstr>eyJoZGlkIjoiNGQ3MzY5MzRiNDZkYjg1ZjZmMmQ4MWIzZGQwN2QwNTQiLCJ1c2VySWQiOiIyNjI1MDkyMzUifQ==</vt:lpwstr>
  </property>
</Properties>
</file>