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8AC7A0C">
      <w:pPr>
        <w:rPr>
          <w:rFonts w:hint="eastAsia" w:ascii="Times New Roman" w:hAnsi="Times New Roman" w:eastAsia="仿宋_GB2312" w:cs="Times New Roman"/>
          <w:color w:val="auto"/>
          <w:sz w:val="36"/>
          <w:szCs w:val="36"/>
          <w:highlight w:val="none"/>
          <w:lang w:val="en-US" w:eastAsia="zh-CN"/>
        </w:rPr>
      </w:pPr>
    </w:p>
    <w:p w14:paraId="0807EC00">
      <w:pPr>
        <w:rPr>
          <w:rFonts w:hint="default" w:ascii="Times New Roman" w:hAnsi="Times New Roman" w:eastAsia="仿宋_GB2312" w:cs="Times New Roman"/>
          <w:color w:val="auto"/>
          <w:sz w:val="36"/>
          <w:szCs w:val="36"/>
          <w:highlight w:val="none"/>
        </w:rPr>
      </w:pPr>
    </w:p>
    <w:p w14:paraId="081C6C05">
      <w:pPr>
        <w:rPr>
          <w:rFonts w:hint="default" w:ascii="Times New Roman" w:hAnsi="Times New Roman" w:eastAsia="仿宋_GB2312" w:cs="Times New Roman"/>
          <w:color w:val="auto"/>
          <w:sz w:val="36"/>
          <w:szCs w:val="36"/>
          <w:highlight w:val="none"/>
        </w:rPr>
      </w:pPr>
    </w:p>
    <w:p w14:paraId="248901B5">
      <w:pPr>
        <w:rPr>
          <w:rFonts w:hint="default" w:ascii="Times New Roman" w:hAnsi="Times New Roman" w:eastAsia="仿宋_GB2312" w:cs="Times New Roman"/>
          <w:color w:val="auto"/>
          <w:sz w:val="36"/>
          <w:szCs w:val="36"/>
          <w:highlight w:val="none"/>
        </w:rPr>
      </w:pPr>
    </w:p>
    <w:p w14:paraId="0B1273FC">
      <w:pPr>
        <w:rPr>
          <w:rFonts w:hint="default" w:ascii="Times New Roman" w:hAnsi="Times New Roman" w:eastAsia="仿宋_GB2312" w:cs="Times New Roman"/>
          <w:color w:val="auto"/>
          <w:sz w:val="36"/>
          <w:szCs w:val="36"/>
          <w:highlight w:val="none"/>
        </w:rPr>
      </w:pPr>
    </w:p>
    <w:p w14:paraId="79F48225">
      <w:pPr>
        <w:adjustRightInd w:val="0"/>
        <w:snapToGrid w:val="0"/>
        <w:jc w:val="center"/>
        <w:outlineLvl w:val="0"/>
        <w:rPr>
          <w:rFonts w:hint="default" w:ascii="Times New Roman" w:hAnsi="Times New Roman" w:eastAsia="方正小标宋_GBK" w:cs="Times New Roman"/>
          <w:bCs/>
          <w:color w:val="auto"/>
          <w:sz w:val="72"/>
          <w:szCs w:val="72"/>
          <w:highlight w:val="none"/>
        </w:rPr>
      </w:pPr>
      <w:bookmarkStart w:id="0" w:name="_Toc18176"/>
      <w:bookmarkStart w:id="1" w:name="_Toc845"/>
      <w:bookmarkStart w:id="2" w:name="_Toc17705"/>
      <w:bookmarkStart w:id="3" w:name="_Toc8828"/>
      <w:bookmarkStart w:id="4" w:name="_Toc15511"/>
      <w:bookmarkStart w:id="5" w:name="_Toc24661"/>
      <w:bookmarkStart w:id="6" w:name="_Toc80034800"/>
      <w:r>
        <w:rPr>
          <w:rFonts w:hint="default" w:ascii="Times New Roman" w:hAnsi="Times New Roman" w:eastAsia="方正小标宋_GBK" w:cs="Times New Roman"/>
          <w:bCs/>
          <w:color w:val="auto"/>
          <w:sz w:val="72"/>
          <w:szCs w:val="72"/>
          <w:highlight w:val="none"/>
        </w:rPr>
        <w:t>建设项目环境影响报告表</w:t>
      </w:r>
      <w:bookmarkEnd w:id="0"/>
      <w:bookmarkEnd w:id="1"/>
      <w:bookmarkEnd w:id="2"/>
      <w:bookmarkEnd w:id="3"/>
      <w:bookmarkEnd w:id="4"/>
      <w:bookmarkEnd w:id="5"/>
      <w:bookmarkEnd w:id="6"/>
    </w:p>
    <w:p w14:paraId="42F80C8B">
      <w:pP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r>
        <w:rPr>
          <w:rFonts w:hint="default" w:ascii="Times New Roman" w:hAnsi="Times New Roman" w:eastAsia="楷体_GB2312" w:cs="Times New Roman"/>
          <w:bCs/>
          <w:color w:val="auto"/>
          <w:sz w:val="48"/>
          <w:szCs w:val="48"/>
          <w:highlight w:val="none"/>
        </w:rPr>
        <w:t>（污染影响类）</w:t>
      </w:r>
    </w:p>
    <w:p w14:paraId="01A27791">
      <w:pP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p>
    <w:p w14:paraId="6BA8AEFC">
      <w:pPr>
        <w:rPr>
          <w:rFonts w:hint="default" w:ascii="Times New Roman" w:hAnsi="Times New Roman" w:cs="Times New Roman"/>
          <w:color w:val="auto"/>
          <w:highlight w:val="none"/>
        </w:rPr>
      </w:pPr>
    </w:p>
    <w:p w14:paraId="34C2914E">
      <w:pPr>
        <w:jc w:val="center"/>
        <w:rPr>
          <w:rFonts w:hint="default" w:ascii="Times New Roman" w:hAnsi="Times New Roman" w:eastAsia="仿宋" w:cs="Times New Roman"/>
          <w:color w:val="auto"/>
          <w:sz w:val="52"/>
          <w:szCs w:val="52"/>
          <w:highlight w:val="none"/>
        </w:rPr>
      </w:pPr>
    </w:p>
    <w:p w14:paraId="3E04AECC">
      <w:pPr>
        <w:ind w:firstLine="1040"/>
        <w:rPr>
          <w:rFonts w:hint="default" w:ascii="Times New Roman" w:hAnsi="Times New Roman" w:eastAsia="仿宋" w:cs="Times New Roman"/>
          <w:color w:val="auto"/>
          <w:sz w:val="44"/>
          <w:szCs w:val="44"/>
          <w:highlight w:val="none"/>
        </w:rPr>
      </w:pPr>
    </w:p>
    <w:p w14:paraId="08421B03">
      <w:pPr>
        <w:ind w:firstLine="1040"/>
        <w:rPr>
          <w:rFonts w:hint="default" w:ascii="Times New Roman" w:hAnsi="Times New Roman" w:eastAsia="仿宋" w:cs="Times New Roman"/>
          <w:color w:val="auto"/>
          <w:sz w:val="44"/>
          <w:szCs w:val="44"/>
          <w:highlight w:val="none"/>
        </w:rPr>
      </w:pPr>
    </w:p>
    <w:p w14:paraId="7ECCFA9A">
      <w:pPr>
        <w:ind w:firstLine="1040"/>
        <w:rPr>
          <w:rFonts w:hint="default" w:ascii="Times New Roman" w:hAnsi="Times New Roman" w:eastAsia="仿宋" w:cs="Times New Roman"/>
          <w:color w:val="auto"/>
          <w:sz w:val="44"/>
          <w:szCs w:val="44"/>
          <w:highlight w:val="none"/>
        </w:rPr>
      </w:pPr>
    </w:p>
    <w:p w14:paraId="1848E8A6">
      <w:pPr>
        <w:ind w:firstLine="1040"/>
        <w:rPr>
          <w:rFonts w:hint="default" w:ascii="Times New Roman" w:hAnsi="Times New Roman" w:eastAsia="仿宋" w:cs="Times New Roman"/>
          <w:color w:val="auto"/>
          <w:sz w:val="44"/>
          <w:szCs w:val="44"/>
          <w:highlight w:val="none"/>
        </w:rPr>
      </w:pPr>
    </w:p>
    <w:p w14:paraId="439D2FF2">
      <w:pPr>
        <w:adjustRightInd w:val="0"/>
        <w:snapToGrid w:val="0"/>
        <w:spacing w:line="560" w:lineRule="exact"/>
        <w:ind w:left="2230" w:leftChars="300" w:hanging="1600" w:hangingChars="500"/>
        <w:rPr>
          <w:rFonts w:hint="default" w:ascii="Times New Roman" w:hAnsi="Times New Roman" w:cs="Times New Roman"/>
          <w:color w:val="auto"/>
          <w:sz w:val="32"/>
          <w:szCs w:val="32"/>
          <w:highlight w:val="none"/>
          <w:u w:val="single"/>
        </w:rPr>
      </w:pPr>
      <w:r>
        <w:rPr>
          <w:rFonts w:hint="default" w:ascii="Times New Roman" w:hAnsi="Times New Roman" w:cs="Times New Roman"/>
          <w:color w:val="auto"/>
          <w:sz w:val="32"/>
          <w:szCs w:val="32"/>
          <w:highlight w:val="none"/>
        </w:rPr>
        <w:t>项目名称：</w:t>
      </w:r>
      <w:r>
        <w:rPr>
          <w:rFonts w:hint="eastAsia" w:cs="Times New Roman"/>
          <w:color w:val="auto"/>
          <w:sz w:val="32"/>
          <w:szCs w:val="32"/>
          <w:highlight w:val="none"/>
          <w:u w:val="single"/>
          <w:lang w:eastAsia="zh-CN"/>
        </w:rPr>
        <w:t>鸡西市城子河区广泰煤炭经销处储煤场建设项目</w:t>
      </w:r>
    </w:p>
    <w:p w14:paraId="7F2AE073">
      <w:pPr>
        <w:adjustRightInd w:val="0"/>
        <w:snapToGrid w:val="0"/>
        <w:spacing w:line="560" w:lineRule="exact"/>
        <w:ind w:left="3510" w:leftChars="300" w:hanging="2880" w:hangingChars="900"/>
        <w:rPr>
          <w:rFonts w:hint="default" w:ascii="Times New Roman" w:hAnsi="Times New Roman" w:eastAsia="宋体" w:cs="Times New Roman"/>
          <w:color w:val="auto"/>
          <w:sz w:val="32"/>
          <w:szCs w:val="32"/>
          <w:highlight w:val="none"/>
          <w:lang w:eastAsia="zh-CN"/>
        </w:rPr>
      </w:pPr>
      <w:r>
        <w:rPr>
          <w:rFonts w:hint="default" w:ascii="Times New Roman" w:hAnsi="Times New Roman" w:cs="Times New Roman"/>
          <w:color w:val="auto"/>
          <w:sz w:val="32"/>
          <w:szCs w:val="32"/>
          <w:highlight w:val="none"/>
        </w:rPr>
        <w:t>建设单位（盖章）：</w:t>
      </w:r>
      <w:r>
        <w:rPr>
          <w:rFonts w:hint="eastAsia" w:cs="Times New Roman"/>
          <w:color w:val="auto"/>
          <w:sz w:val="32"/>
          <w:szCs w:val="32"/>
          <w:highlight w:val="none"/>
          <w:u w:val="single"/>
          <w:lang w:eastAsia="zh-CN"/>
        </w:rPr>
        <w:t>鸡西市城子河区广泰煤炭经销处</w:t>
      </w:r>
    </w:p>
    <w:p w14:paraId="43BAFCFF">
      <w:pPr>
        <w:adjustRightInd w:val="0"/>
        <w:snapToGrid w:val="0"/>
        <w:spacing w:line="560" w:lineRule="exact"/>
        <w:ind w:left="630" w:leftChars="300"/>
        <w:rPr>
          <w:rFonts w:hint="default" w:ascii="Times New Roman" w:hAnsi="Times New Roman" w:cs="Times New Roman"/>
          <w:color w:val="auto"/>
          <w:sz w:val="32"/>
          <w:szCs w:val="32"/>
          <w:highlight w:val="none"/>
          <w:u w:val="single"/>
        </w:rPr>
      </w:pPr>
      <w:r>
        <w:rPr>
          <w:rFonts w:hint="default" w:ascii="Times New Roman" w:hAnsi="Times New Roman" w:cs="Times New Roman"/>
          <w:color w:val="auto"/>
          <w:sz w:val="32"/>
          <w:szCs w:val="32"/>
          <w:highlight w:val="none"/>
        </w:rPr>
        <w:t>编制日期：</w:t>
      </w:r>
      <w:r>
        <w:rPr>
          <w:rFonts w:hint="default" w:ascii="Times New Roman" w:hAnsi="Times New Roman" w:cs="Times New Roman"/>
          <w:color w:val="auto"/>
          <w:sz w:val="32"/>
          <w:szCs w:val="32"/>
          <w:highlight w:val="none"/>
          <w:u w:val="single"/>
        </w:rPr>
        <w:t xml:space="preserve">        202</w:t>
      </w:r>
      <w:r>
        <w:rPr>
          <w:rFonts w:hint="eastAsia" w:cs="Times New Roman"/>
          <w:color w:val="auto"/>
          <w:sz w:val="32"/>
          <w:szCs w:val="32"/>
          <w:highlight w:val="none"/>
          <w:u w:val="single"/>
          <w:lang w:val="en-US" w:eastAsia="zh-CN"/>
        </w:rPr>
        <w:t>6</w:t>
      </w:r>
      <w:r>
        <w:rPr>
          <w:rFonts w:hint="default" w:ascii="Times New Roman" w:hAnsi="Times New Roman" w:cs="Times New Roman"/>
          <w:color w:val="auto"/>
          <w:sz w:val="32"/>
          <w:szCs w:val="32"/>
          <w:highlight w:val="none"/>
          <w:u w:val="single"/>
        </w:rPr>
        <w:t>年</w:t>
      </w:r>
      <w:r>
        <w:rPr>
          <w:rFonts w:hint="eastAsia" w:cs="Times New Roman"/>
          <w:color w:val="auto"/>
          <w:sz w:val="32"/>
          <w:szCs w:val="32"/>
          <w:highlight w:val="none"/>
          <w:u w:val="single"/>
          <w:lang w:val="en-US" w:eastAsia="zh-CN"/>
        </w:rPr>
        <w:t>1</w:t>
      </w:r>
      <w:r>
        <w:rPr>
          <w:rFonts w:hint="default" w:ascii="Times New Roman" w:hAnsi="Times New Roman" w:cs="Times New Roman"/>
          <w:color w:val="auto"/>
          <w:sz w:val="32"/>
          <w:szCs w:val="32"/>
          <w:highlight w:val="none"/>
          <w:u w:val="single"/>
        </w:rPr>
        <w:t xml:space="preserve">月               </w:t>
      </w:r>
    </w:p>
    <w:p w14:paraId="4EBAFCA6">
      <w:pPr>
        <w:adjustRightInd w:val="0"/>
        <w:snapToGrid w:val="0"/>
        <w:spacing w:line="560" w:lineRule="exact"/>
        <w:ind w:firstLine="1040"/>
        <w:rPr>
          <w:rFonts w:hint="default" w:ascii="Times New Roman" w:hAnsi="Times New Roman" w:eastAsia="仿宋_GB2312" w:cs="Times New Roman"/>
          <w:color w:val="auto"/>
          <w:sz w:val="36"/>
          <w:szCs w:val="36"/>
          <w:highlight w:val="none"/>
          <w:u w:val="single"/>
        </w:rPr>
      </w:pPr>
      <w:bookmarkStart w:id="7" w:name="_Hlk57884087"/>
    </w:p>
    <w:p w14:paraId="20DF0204">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bookmarkEnd w:id="7"/>
    <w:p w14:paraId="0752C16F">
      <w:pPr>
        <w:adjustRightInd w:val="0"/>
        <w:snapToGrid w:val="0"/>
        <w:spacing w:line="288" w:lineRule="auto"/>
        <w:jc w:val="center"/>
        <w:rPr>
          <w:rFonts w:hint="default" w:ascii="Times New Roman" w:hAnsi="Times New Roman" w:eastAsia="楷体_GB2312" w:cs="Times New Roman"/>
          <w:color w:val="auto"/>
          <w:sz w:val="36"/>
          <w:szCs w:val="36"/>
          <w:highlight w:val="none"/>
        </w:rPr>
      </w:pPr>
      <w:r>
        <w:rPr>
          <w:rFonts w:hint="default" w:ascii="Times New Roman" w:hAnsi="Times New Roman" w:eastAsia="楷体_GB2312" w:cs="Times New Roman"/>
          <w:color w:val="auto"/>
          <w:sz w:val="36"/>
          <w:szCs w:val="36"/>
          <w:highlight w:val="none"/>
        </w:rPr>
        <w:t>中华人民共和国生态环境部制</w:t>
      </w:r>
    </w:p>
    <w:p w14:paraId="5F5C3EF8">
      <w:pPr>
        <w:adjustRightInd w:val="0"/>
        <w:snapToGrid w:val="0"/>
        <w:spacing w:line="288" w:lineRule="auto"/>
        <w:jc w:val="center"/>
        <w:rPr>
          <w:rFonts w:hint="default" w:ascii="Times New Roman" w:hAnsi="Times New Roman" w:eastAsia="楷体_GB2312" w:cs="Times New Roman"/>
          <w:color w:val="auto"/>
          <w:sz w:val="36"/>
          <w:szCs w:val="36"/>
          <w:highlight w:val="none"/>
        </w:rPr>
      </w:pPr>
    </w:p>
    <w:p w14:paraId="260DB363">
      <w:pPr>
        <w:rPr>
          <w:rFonts w:hint="default" w:ascii="Times New Roman" w:hAnsi="Times New Roman" w:cs="Times New Roman"/>
          <w:color w:val="auto"/>
          <w:kern w:val="0"/>
          <w:sz w:val="48"/>
          <w:szCs w:val="48"/>
          <w:highlight w:val="none"/>
          <w:lang w:bidi="ar"/>
        </w:rPr>
      </w:pPr>
      <w:r>
        <w:rPr>
          <w:rFonts w:hint="default" w:ascii="Times New Roman" w:hAnsi="Times New Roman" w:cs="Times New Roman"/>
          <w:color w:val="auto"/>
          <w:kern w:val="0"/>
          <w:sz w:val="48"/>
          <w:szCs w:val="48"/>
          <w:highlight w:val="none"/>
          <w:lang w:bidi="ar"/>
        </w:rPr>
        <w:br w:type="page"/>
      </w:r>
    </w:p>
    <w:p w14:paraId="68D3A505">
      <w:pPr>
        <w:jc w:val="center"/>
        <w:rPr>
          <w:rFonts w:hint="default" w:ascii="Times New Roman" w:hAnsi="Times New Roman" w:cs="Times New Roman"/>
          <w:color w:val="auto"/>
          <w:kern w:val="0"/>
          <w:sz w:val="48"/>
          <w:szCs w:val="48"/>
          <w:highlight w:val="none"/>
          <w:lang w:bidi="ar"/>
        </w:rPr>
      </w:pPr>
      <w:r>
        <w:rPr>
          <w:color w:val="auto"/>
        </w:rPr>
        <w:drawing>
          <wp:inline distT="0" distB="0" distL="114300" distR="114300">
            <wp:extent cx="5901055" cy="6914515"/>
            <wp:effectExtent l="0" t="0" r="4445" b="63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11"/>
                    <a:stretch>
                      <a:fillRect/>
                    </a:stretch>
                  </pic:blipFill>
                  <pic:spPr>
                    <a:xfrm>
                      <a:off x="0" y="0"/>
                      <a:ext cx="5901055" cy="6914515"/>
                    </a:xfrm>
                    <a:prstGeom prst="rect">
                      <a:avLst/>
                    </a:prstGeom>
                    <a:noFill/>
                    <a:ln>
                      <a:noFill/>
                    </a:ln>
                  </pic:spPr>
                </pic:pic>
              </a:graphicData>
            </a:graphic>
          </wp:inline>
        </w:drawing>
      </w:r>
      <w:r>
        <w:rPr>
          <w:rFonts w:hint="default" w:ascii="Times New Roman" w:hAnsi="Times New Roman" w:cs="Times New Roman"/>
          <w:color w:val="auto"/>
          <w:highlight w:val="none"/>
        </w:rPr>
        <w:br w:type="page"/>
      </w:r>
    </w:p>
    <w:p w14:paraId="5F8A7667">
      <w:pPr>
        <w:widowControl/>
        <w:spacing w:line="360" w:lineRule="auto"/>
        <w:jc w:val="center"/>
        <w:rPr>
          <w:rFonts w:hint="default" w:ascii="Times New Roman" w:hAnsi="Times New Roman" w:cs="Times New Roman"/>
          <w:color w:val="auto"/>
          <w:kern w:val="0"/>
          <w:sz w:val="48"/>
          <w:szCs w:val="48"/>
          <w:highlight w:val="none"/>
          <w:lang w:bidi="ar"/>
        </w:rPr>
      </w:pPr>
      <w:r>
        <w:rPr>
          <w:rFonts w:hint="default" w:ascii="Times New Roman" w:hAnsi="Times New Roman" w:cs="Times New Roman"/>
          <w:color w:val="auto"/>
          <w:kern w:val="0"/>
          <w:sz w:val="48"/>
          <w:szCs w:val="48"/>
          <w:highlight w:val="none"/>
          <w:lang w:bidi="ar"/>
        </w:rPr>
        <w:t>目  录</w:t>
      </w:r>
    </w:p>
    <w:sdt>
      <w:sdtPr>
        <w:rPr>
          <w:rFonts w:hint="default" w:ascii="Times New Roman" w:hAnsi="Times New Roman" w:eastAsia="宋体" w:cs="Times New Roman"/>
          <w:color w:val="auto"/>
          <w:kern w:val="2"/>
          <w:sz w:val="21"/>
          <w:szCs w:val="24"/>
          <w:highlight w:val="none"/>
          <w:lang w:val="zh-CN"/>
        </w:rPr>
        <w:id w:val="272366753"/>
        <w:docPartObj>
          <w:docPartGallery w:val="Table of Contents"/>
          <w:docPartUnique/>
        </w:docPartObj>
      </w:sdtPr>
      <w:sdtEndPr>
        <w:rPr>
          <w:rFonts w:hint="default" w:ascii="Times New Roman" w:hAnsi="Times New Roman" w:eastAsia="宋体" w:cs="Times New Roman"/>
          <w:b/>
          <w:bCs/>
          <w:color w:val="auto"/>
          <w:kern w:val="2"/>
          <w:sz w:val="24"/>
          <w:szCs w:val="24"/>
          <w:highlight w:val="none"/>
          <w:lang w:val="zh-CN"/>
        </w:rPr>
      </w:sdtEndPr>
      <w:sdtContent>
        <w:p w14:paraId="17DA5BE8">
          <w:pPr>
            <w:tabs>
              <w:tab w:val="right" w:leader="dot" w:pos="8844"/>
            </w:tabs>
            <w:rPr>
              <w:rFonts w:hint="default" w:ascii="Times New Roman" w:hAnsi="Times New Roman" w:eastAsia="宋体" w:cs="Times New Roman"/>
              <w:b/>
              <w:bCs/>
              <w:color w:val="auto"/>
              <w:kern w:val="2"/>
              <w:sz w:val="24"/>
              <w:szCs w:val="24"/>
              <w:highlight w:val="none"/>
              <w:lang w:val="zh-CN" w:eastAsia="zh-CN" w:bidi="ar-SA"/>
            </w:rPr>
          </w:pP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TOC \o "1-3" \h \z \u </w:instrText>
          </w:r>
          <w:r>
            <w:rPr>
              <w:rFonts w:hint="default" w:ascii="Times New Roman" w:hAnsi="Times New Roman" w:eastAsia="宋体" w:cs="Times New Roman"/>
              <w:b/>
              <w:bCs/>
              <w:color w:val="auto"/>
              <w:sz w:val="24"/>
              <w:szCs w:val="24"/>
              <w:highlight w:val="none"/>
            </w:rPr>
            <w:fldChar w:fldCharType="separate"/>
          </w:r>
        </w:p>
        <w:p w14:paraId="693644FD">
          <w:pPr>
            <w:pStyle w:val="10"/>
            <w:tabs>
              <w:tab w:val="right" w:leader="dot" w:pos="8844"/>
            </w:tabs>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zh-CN"/>
            </w:rPr>
            <w:fldChar w:fldCharType="begin"/>
          </w:r>
          <w:r>
            <w:rPr>
              <w:rFonts w:hint="default" w:ascii="Times New Roman" w:hAnsi="Times New Roman" w:eastAsia="宋体" w:cs="Times New Roman"/>
              <w:b/>
              <w:bCs/>
              <w:color w:val="auto"/>
              <w:sz w:val="24"/>
              <w:szCs w:val="24"/>
              <w:highlight w:val="none"/>
              <w:lang w:val="zh-CN"/>
            </w:rPr>
            <w:instrText xml:space="preserve"> HYPERLINK \l _Toc10157 </w:instrText>
          </w:r>
          <w:r>
            <w:rPr>
              <w:rFonts w:hint="default" w:ascii="Times New Roman" w:hAnsi="Times New Roman" w:eastAsia="宋体" w:cs="Times New Roman"/>
              <w:b/>
              <w:bCs/>
              <w:color w:val="auto"/>
              <w:sz w:val="24"/>
              <w:szCs w:val="24"/>
              <w:highlight w:val="none"/>
              <w:lang w:val="zh-CN"/>
            </w:rPr>
            <w:fldChar w:fldCharType="separate"/>
          </w:r>
          <w:r>
            <w:rPr>
              <w:rFonts w:hint="default" w:ascii="Times New Roman" w:hAnsi="Times New Roman" w:eastAsia="宋体" w:cs="Times New Roman"/>
              <w:b/>
              <w:bCs/>
              <w:snapToGrid w:val="0"/>
              <w:color w:val="auto"/>
              <w:sz w:val="24"/>
              <w:szCs w:val="24"/>
              <w:highlight w:val="none"/>
            </w:rPr>
            <w:t>一、建设项目基本情况</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_Toc10157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1</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zh-CN"/>
            </w:rPr>
            <w:fldChar w:fldCharType="end"/>
          </w:r>
        </w:p>
        <w:p w14:paraId="5903FB40">
          <w:pPr>
            <w:pStyle w:val="10"/>
            <w:tabs>
              <w:tab w:val="right" w:leader="dot" w:pos="8844"/>
            </w:tabs>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zh-CN"/>
            </w:rPr>
            <w:fldChar w:fldCharType="begin"/>
          </w:r>
          <w:r>
            <w:rPr>
              <w:rFonts w:hint="default" w:ascii="Times New Roman" w:hAnsi="Times New Roman" w:eastAsia="宋体" w:cs="Times New Roman"/>
              <w:b/>
              <w:bCs/>
              <w:color w:val="auto"/>
              <w:sz w:val="24"/>
              <w:szCs w:val="24"/>
              <w:highlight w:val="none"/>
              <w:lang w:val="zh-CN"/>
            </w:rPr>
            <w:instrText xml:space="preserve"> HYPERLINK \l _Toc31626 </w:instrText>
          </w:r>
          <w:r>
            <w:rPr>
              <w:rFonts w:hint="default" w:ascii="Times New Roman" w:hAnsi="Times New Roman" w:eastAsia="宋体" w:cs="Times New Roman"/>
              <w:b/>
              <w:bCs/>
              <w:color w:val="auto"/>
              <w:sz w:val="24"/>
              <w:szCs w:val="24"/>
              <w:highlight w:val="none"/>
              <w:lang w:val="zh-CN"/>
            </w:rPr>
            <w:fldChar w:fldCharType="separate"/>
          </w:r>
          <w:r>
            <w:rPr>
              <w:rFonts w:hint="default" w:ascii="Times New Roman" w:hAnsi="Times New Roman" w:eastAsia="宋体" w:cs="Times New Roman"/>
              <w:b/>
              <w:bCs/>
              <w:snapToGrid w:val="0"/>
              <w:color w:val="auto"/>
              <w:sz w:val="24"/>
              <w:szCs w:val="24"/>
              <w:highlight w:val="none"/>
            </w:rPr>
            <w:t>二、建设项目工程分析</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_Toc31626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15</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zh-CN"/>
            </w:rPr>
            <w:fldChar w:fldCharType="end"/>
          </w:r>
        </w:p>
        <w:p w14:paraId="472D9DAE">
          <w:pPr>
            <w:pStyle w:val="10"/>
            <w:tabs>
              <w:tab w:val="right" w:leader="dot" w:pos="8844"/>
            </w:tabs>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zh-CN"/>
            </w:rPr>
            <w:fldChar w:fldCharType="begin"/>
          </w:r>
          <w:r>
            <w:rPr>
              <w:rFonts w:hint="default" w:ascii="Times New Roman" w:hAnsi="Times New Roman" w:eastAsia="宋体" w:cs="Times New Roman"/>
              <w:b/>
              <w:bCs/>
              <w:color w:val="auto"/>
              <w:sz w:val="24"/>
              <w:szCs w:val="24"/>
              <w:highlight w:val="none"/>
              <w:lang w:val="zh-CN"/>
            </w:rPr>
            <w:instrText xml:space="preserve"> HYPERLINK \l _Toc25562 </w:instrText>
          </w:r>
          <w:r>
            <w:rPr>
              <w:rFonts w:hint="default" w:ascii="Times New Roman" w:hAnsi="Times New Roman" w:eastAsia="宋体" w:cs="Times New Roman"/>
              <w:b/>
              <w:bCs/>
              <w:color w:val="auto"/>
              <w:sz w:val="24"/>
              <w:szCs w:val="24"/>
              <w:highlight w:val="none"/>
              <w:lang w:val="zh-CN"/>
            </w:rPr>
            <w:fldChar w:fldCharType="separate"/>
          </w:r>
          <w:r>
            <w:rPr>
              <w:rFonts w:hint="default" w:ascii="Times New Roman" w:hAnsi="Times New Roman" w:eastAsia="宋体" w:cs="Times New Roman"/>
              <w:b/>
              <w:bCs/>
              <w:snapToGrid w:val="0"/>
              <w:color w:val="auto"/>
              <w:sz w:val="24"/>
              <w:szCs w:val="24"/>
              <w:highlight w:val="none"/>
            </w:rPr>
            <w:t>三、区域环境质量现状、环境保护目标及评价标准</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_Toc25562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21</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zh-CN"/>
            </w:rPr>
            <w:fldChar w:fldCharType="end"/>
          </w:r>
        </w:p>
        <w:p w14:paraId="6464C2F4">
          <w:pPr>
            <w:pStyle w:val="10"/>
            <w:tabs>
              <w:tab w:val="right" w:leader="dot" w:pos="8844"/>
            </w:tabs>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zh-CN"/>
            </w:rPr>
            <w:fldChar w:fldCharType="begin"/>
          </w:r>
          <w:r>
            <w:rPr>
              <w:rFonts w:hint="default" w:ascii="Times New Roman" w:hAnsi="Times New Roman" w:eastAsia="宋体" w:cs="Times New Roman"/>
              <w:b/>
              <w:bCs/>
              <w:color w:val="auto"/>
              <w:sz w:val="24"/>
              <w:szCs w:val="24"/>
              <w:highlight w:val="none"/>
              <w:lang w:val="zh-CN"/>
            </w:rPr>
            <w:instrText xml:space="preserve"> HYPERLINK \l _Toc8382 </w:instrText>
          </w:r>
          <w:r>
            <w:rPr>
              <w:rFonts w:hint="default" w:ascii="Times New Roman" w:hAnsi="Times New Roman" w:eastAsia="宋体" w:cs="Times New Roman"/>
              <w:b/>
              <w:bCs/>
              <w:color w:val="auto"/>
              <w:sz w:val="24"/>
              <w:szCs w:val="24"/>
              <w:highlight w:val="none"/>
              <w:lang w:val="zh-CN"/>
            </w:rPr>
            <w:fldChar w:fldCharType="separate"/>
          </w:r>
          <w:r>
            <w:rPr>
              <w:rFonts w:hint="default" w:ascii="Times New Roman" w:hAnsi="Times New Roman" w:eastAsia="宋体" w:cs="Times New Roman"/>
              <w:b/>
              <w:bCs/>
              <w:snapToGrid w:val="0"/>
              <w:color w:val="auto"/>
              <w:sz w:val="24"/>
              <w:szCs w:val="24"/>
              <w:highlight w:val="none"/>
            </w:rPr>
            <w:t>四、主要环境影响和保护措施</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_Toc8382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25</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zh-CN"/>
            </w:rPr>
            <w:fldChar w:fldCharType="end"/>
          </w:r>
        </w:p>
        <w:p w14:paraId="18AE09CD">
          <w:pPr>
            <w:pStyle w:val="10"/>
            <w:tabs>
              <w:tab w:val="right" w:leader="dot" w:pos="8844"/>
            </w:tabs>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zh-CN"/>
            </w:rPr>
            <w:fldChar w:fldCharType="begin"/>
          </w:r>
          <w:r>
            <w:rPr>
              <w:rFonts w:hint="default" w:ascii="Times New Roman" w:hAnsi="Times New Roman" w:eastAsia="宋体" w:cs="Times New Roman"/>
              <w:b/>
              <w:bCs/>
              <w:color w:val="auto"/>
              <w:sz w:val="24"/>
              <w:szCs w:val="24"/>
              <w:highlight w:val="none"/>
              <w:lang w:val="zh-CN"/>
            </w:rPr>
            <w:instrText xml:space="preserve"> HYPERLINK \l _Toc28681 </w:instrText>
          </w:r>
          <w:r>
            <w:rPr>
              <w:rFonts w:hint="default" w:ascii="Times New Roman" w:hAnsi="Times New Roman" w:eastAsia="宋体" w:cs="Times New Roman"/>
              <w:b/>
              <w:bCs/>
              <w:color w:val="auto"/>
              <w:sz w:val="24"/>
              <w:szCs w:val="24"/>
              <w:highlight w:val="none"/>
              <w:lang w:val="zh-CN"/>
            </w:rPr>
            <w:fldChar w:fldCharType="separate"/>
          </w:r>
          <w:r>
            <w:rPr>
              <w:rFonts w:hint="default" w:ascii="Times New Roman" w:hAnsi="Times New Roman" w:eastAsia="宋体" w:cs="Times New Roman"/>
              <w:b/>
              <w:bCs/>
              <w:snapToGrid w:val="0"/>
              <w:color w:val="auto"/>
              <w:sz w:val="24"/>
              <w:szCs w:val="24"/>
              <w:highlight w:val="none"/>
            </w:rPr>
            <w:t>五、环境保护措施监督检查清单</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_Toc28681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39</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zh-CN"/>
            </w:rPr>
            <w:fldChar w:fldCharType="end"/>
          </w:r>
        </w:p>
        <w:p w14:paraId="0F5CF49D">
          <w:pPr>
            <w:pStyle w:val="10"/>
            <w:tabs>
              <w:tab w:val="right" w:leader="dot" w:pos="8844"/>
            </w:tabs>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zh-CN"/>
            </w:rPr>
            <w:fldChar w:fldCharType="begin"/>
          </w:r>
          <w:r>
            <w:rPr>
              <w:rFonts w:hint="default" w:ascii="Times New Roman" w:hAnsi="Times New Roman" w:eastAsia="宋体" w:cs="Times New Roman"/>
              <w:b/>
              <w:bCs/>
              <w:color w:val="auto"/>
              <w:sz w:val="24"/>
              <w:szCs w:val="24"/>
              <w:highlight w:val="none"/>
              <w:lang w:val="zh-CN"/>
            </w:rPr>
            <w:instrText xml:space="preserve"> HYPERLINK \l _Toc31220 </w:instrText>
          </w:r>
          <w:r>
            <w:rPr>
              <w:rFonts w:hint="default" w:ascii="Times New Roman" w:hAnsi="Times New Roman" w:eastAsia="宋体" w:cs="Times New Roman"/>
              <w:b/>
              <w:bCs/>
              <w:color w:val="auto"/>
              <w:sz w:val="24"/>
              <w:szCs w:val="24"/>
              <w:highlight w:val="none"/>
              <w:lang w:val="zh-CN"/>
            </w:rPr>
            <w:fldChar w:fldCharType="separate"/>
          </w:r>
          <w:r>
            <w:rPr>
              <w:rFonts w:hint="default" w:ascii="Times New Roman" w:hAnsi="Times New Roman" w:eastAsia="宋体" w:cs="Times New Roman"/>
              <w:b/>
              <w:bCs/>
              <w:snapToGrid w:val="0"/>
              <w:color w:val="auto"/>
              <w:sz w:val="24"/>
              <w:szCs w:val="24"/>
              <w:highlight w:val="none"/>
            </w:rPr>
            <w:t>六、结论</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_Toc31220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40</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zh-CN"/>
            </w:rPr>
            <w:fldChar w:fldCharType="end"/>
          </w:r>
        </w:p>
        <w:p w14:paraId="684D17F0">
          <w:pPr>
            <w:pStyle w:val="10"/>
            <w:tabs>
              <w:tab w:val="right" w:leader="dot" w:pos="8844"/>
            </w:tabs>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zh-CN"/>
            </w:rPr>
            <w:fldChar w:fldCharType="begin"/>
          </w:r>
          <w:r>
            <w:rPr>
              <w:rFonts w:hint="default" w:ascii="Times New Roman" w:hAnsi="Times New Roman" w:eastAsia="宋体" w:cs="Times New Roman"/>
              <w:b/>
              <w:bCs/>
              <w:color w:val="auto"/>
              <w:sz w:val="24"/>
              <w:szCs w:val="24"/>
              <w:highlight w:val="none"/>
              <w:lang w:val="zh-CN"/>
            </w:rPr>
            <w:instrText xml:space="preserve"> HYPERLINK \l _Toc25318 </w:instrText>
          </w:r>
          <w:r>
            <w:rPr>
              <w:rFonts w:hint="default" w:ascii="Times New Roman" w:hAnsi="Times New Roman" w:eastAsia="宋体" w:cs="Times New Roman"/>
              <w:b/>
              <w:bCs/>
              <w:color w:val="auto"/>
              <w:sz w:val="24"/>
              <w:szCs w:val="24"/>
              <w:highlight w:val="none"/>
              <w:lang w:val="zh-CN"/>
            </w:rPr>
            <w:fldChar w:fldCharType="separate"/>
          </w:r>
          <w:r>
            <w:rPr>
              <w:rFonts w:hint="default" w:ascii="Times New Roman" w:hAnsi="Times New Roman" w:eastAsia="宋体" w:cs="Times New Roman"/>
              <w:b/>
              <w:bCs/>
              <w:snapToGrid w:val="0"/>
              <w:color w:val="auto"/>
              <w:sz w:val="24"/>
              <w:szCs w:val="24"/>
              <w:highlight w:val="none"/>
            </w:rPr>
            <w:t>建设项目污染物排放量汇总表</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_Toc25318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41</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zh-CN"/>
            </w:rPr>
            <w:fldChar w:fldCharType="end"/>
          </w:r>
        </w:p>
        <w:p w14:paraId="44908D4D">
          <w:pPr>
            <w:pStyle w:val="10"/>
            <w:tabs>
              <w:tab w:val="right" w:leader="dot" w:pos="8844"/>
            </w:tabs>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zh-CN"/>
            </w:rPr>
            <w:fldChar w:fldCharType="begin"/>
          </w:r>
          <w:r>
            <w:rPr>
              <w:rFonts w:hint="default" w:ascii="Times New Roman" w:hAnsi="Times New Roman" w:eastAsia="宋体" w:cs="Times New Roman"/>
              <w:b/>
              <w:bCs/>
              <w:color w:val="auto"/>
              <w:sz w:val="24"/>
              <w:szCs w:val="24"/>
              <w:highlight w:val="none"/>
              <w:lang w:val="zh-CN"/>
            </w:rPr>
            <w:instrText xml:space="preserve"> HYPERLINK \l _Toc20032 </w:instrText>
          </w:r>
          <w:r>
            <w:rPr>
              <w:rFonts w:hint="default" w:ascii="Times New Roman" w:hAnsi="Times New Roman" w:eastAsia="宋体" w:cs="Times New Roman"/>
              <w:b/>
              <w:bCs/>
              <w:color w:val="auto"/>
              <w:sz w:val="24"/>
              <w:szCs w:val="24"/>
              <w:highlight w:val="none"/>
              <w:lang w:val="zh-CN"/>
            </w:rPr>
            <w:fldChar w:fldCharType="separate"/>
          </w:r>
          <w:r>
            <w:rPr>
              <w:rFonts w:hint="default" w:ascii="Times New Roman" w:hAnsi="Times New Roman" w:eastAsia="宋体" w:cs="Times New Roman"/>
              <w:b/>
              <w:bCs/>
              <w:snapToGrid w:val="0"/>
              <w:color w:val="auto"/>
              <w:sz w:val="24"/>
              <w:szCs w:val="24"/>
              <w:highlight w:val="none"/>
            </w:rPr>
            <w:t>附图1 项目地理位置图</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_Toc20032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42</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zh-CN"/>
            </w:rPr>
            <w:fldChar w:fldCharType="end"/>
          </w:r>
        </w:p>
        <w:p w14:paraId="43830817">
          <w:pPr>
            <w:pStyle w:val="10"/>
            <w:tabs>
              <w:tab w:val="right" w:leader="dot" w:pos="8844"/>
            </w:tabs>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zh-CN"/>
            </w:rPr>
            <w:fldChar w:fldCharType="begin"/>
          </w:r>
          <w:r>
            <w:rPr>
              <w:rFonts w:hint="default" w:ascii="Times New Roman" w:hAnsi="Times New Roman" w:eastAsia="宋体" w:cs="Times New Roman"/>
              <w:b/>
              <w:bCs/>
              <w:color w:val="auto"/>
              <w:sz w:val="24"/>
              <w:szCs w:val="24"/>
              <w:highlight w:val="none"/>
              <w:lang w:val="zh-CN"/>
            </w:rPr>
            <w:instrText xml:space="preserve"> HYPERLINK \l _Toc13948 </w:instrText>
          </w:r>
          <w:r>
            <w:rPr>
              <w:rFonts w:hint="default" w:ascii="Times New Roman" w:hAnsi="Times New Roman" w:eastAsia="宋体" w:cs="Times New Roman"/>
              <w:b/>
              <w:bCs/>
              <w:color w:val="auto"/>
              <w:sz w:val="24"/>
              <w:szCs w:val="24"/>
              <w:highlight w:val="none"/>
              <w:lang w:val="zh-CN"/>
            </w:rPr>
            <w:fldChar w:fldCharType="separate"/>
          </w:r>
          <w:r>
            <w:rPr>
              <w:rFonts w:hint="default" w:ascii="Times New Roman" w:hAnsi="Times New Roman" w:eastAsia="宋体" w:cs="Times New Roman"/>
              <w:b/>
              <w:bCs/>
              <w:snapToGrid w:val="0"/>
              <w:color w:val="auto"/>
              <w:kern w:val="0"/>
              <w:sz w:val="24"/>
              <w:szCs w:val="24"/>
              <w:highlight w:val="none"/>
              <w:lang w:val="en-US" w:eastAsia="zh-CN" w:bidi="ar-SA"/>
            </w:rPr>
            <w:t xml:space="preserve">附图2 </w:t>
          </w:r>
          <w:r>
            <w:rPr>
              <w:rFonts w:hint="eastAsia" w:ascii="Times New Roman" w:hAnsi="Times New Roman" w:eastAsia="宋体" w:cs="Times New Roman"/>
              <w:b/>
              <w:bCs/>
              <w:snapToGrid w:val="0"/>
              <w:color w:val="auto"/>
              <w:kern w:val="0"/>
              <w:sz w:val="24"/>
              <w:szCs w:val="24"/>
              <w:highlight w:val="none"/>
              <w:lang w:val="en-US" w:eastAsia="zh-CN" w:bidi="ar-SA"/>
            </w:rPr>
            <w:t>鸡西市管控单元图</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_Toc13948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43</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zh-CN"/>
            </w:rPr>
            <w:fldChar w:fldCharType="end"/>
          </w:r>
        </w:p>
        <w:p w14:paraId="0B2A1EAE">
          <w:pPr>
            <w:pStyle w:val="10"/>
            <w:tabs>
              <w:tab w:val="right" w:leader="dot" w:pos="8844"/>
            </w:tabs>
            <w:rPr>
              <w:rFonts w:hint="eastAsia"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zh-CN"/>
            </w:rPr>
            <w:fldChar w:fldCharType="begin"/>
          </w:r>
          <w:r>
            <w:rPr>
              <w:rFonts w:hint="default" w:ascii="Times New Roman" w:hAnsi="Times New Roman" w:eastAsia="宋体" w:cs="Times New Roman"/>
              <w:b/>
              <w:bCs/>
              <w:color w:val="auto"/>
              <w:sz w:val="24"/>
              <w:szCs w:val="24"/>
              <w:highlight w:val="none"/>
              <w:lang w:val="zh-CN"/>
            </w:rPr>
            <w:instrText xml:space="preserve"> HYPERLINK \l _Toc29382 </w:instrText>
          </w:r>
          <w:r>
            <w:rPr>
              <w:rFonts w:hint="default" w:ascii="Times New Roman" w:hAnsi="Times New Roman" w:eastAsia="宋体" w:cs="Times New Roman"/>
              <w:b/>
              <w:bCs/>
              <w:color w:val="auto"/>
              <w:sz w:val="24"/>
              <w:szCs w:val="24"/>
              <w:highlight w:val="none"/>
              <w:lang w:val="zh-CN"/>
            </w:rPr>
            <w:fldChar w:fldCharType="separate"/>
          </w:r>
          <w:r>
            <w:rPr>
              <w:rFonts w:hint="default" w:ascii="Times New Roman" w:hAnsi="Times New Roman" w:eastAsia="宋体" w:cs="Times New Roman"/>
              <w:b/>
              <w:bCs/>
              <w:snapToGrid w:val="0"/>
              <w:color w:val="auto"/>
              <w:sz w:val="24"/>
              <w:szCs w:val="24"/>
              <w:highlight w:val="none"/>
              <w:lang w:val="en-US" w:eastAsia="zh-CN"/>
            </w:rPr>
            <w:t>附图</w:t>
          </w:r>
          <w:r>
            <w:rPr>
              <w:rFonts w:hint="eastAsia" w:ascii="Times New Roman" w:hAnsi="Times New Roman" w:eastAsia="宋体" w:cs="Times New Roman"/>
              <w:b/>
              <w:bCs/>
              <w:snapToGrid w:val="0"/>
              <w:color w:val="auto"/>
              <w:sz w:val="24"/>
              <w:szCs w:val="24"/>
              <w:highlight w:val="none"/>
              <w:lang w:val="en-US" w:eastAsia="zh-CN"/>
            </w:rPr>
            <w:t>3</w:t>
          </w:r>
          <w:r>
            <w:rPr>
              <w:rFonts w:hint="default" w:ascii="Times New Roman" w:hAnsi="Times New Roman" w:eastAsia="宋体" w:cs="Times New Roman"/>
              <w:b/>
              <w:bCs/>
              <w:snapToGrid w:val="0"/>
              <w:color w:val="auto"/>
              <w:sz w:val="24"/>
              <w:szCs w:val="24"/>
              <w:highlight w:val="none"/>
              <w:lang w:val="en-US" w:eastAsia="zh-CN"/>
            </w:rPr>
            <w:t xml:space="preserve"> 环境保护目标图</w:t>
          </w:r>
          <w:r>
            <w:rPr>
              <w:rFonts w:hint="default" w:ascii="Times New Roman" w:hAnsi="Times New Roman" w:eastAsia="宋体" w:cs="Times New Roman"/>
              <w:b/>
              <w:bCs/>
              <w:color w:val="auto"/>
              <w:sz w:val="24"/>
              <w:szCs w:val="24"/>
              <w:highlight w:val="none"/>
            </w:rPr>
            <w:tab/>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zh-CN"/>
            </w:rPr>
            <w:fldChar w:fldCharType="end"/>
          </w:r>
          <w:r>
            <w:rPr>
              <w:rFonts w:hint="eastAsia" w:ascii="Times New Roman" w:hAnsi="Times New Roman" w:eastAsia="宋体" w:cs="Times New Roman"/>
              <w:b/>
              <w:bCs/>
              <w:color w:val="auto"/>
              <w:sz w:val="24"/>
              <w:szCs w:val="24"/>
              <w:highlight w:val="none"/>
              <w:lang w:val="en-US" w:eastAsia="zh-CN"/>
            </w:rPr>
            <w:t>0</w:t>
          </w:r>
        </w:p>
        <w:p w14:paraId="0864AB3A">
          <w:pPr>
            <w:pStyle w:val="10"/>
            <w:tabs>
              <w:tab w:val="right" w:leader="dot" w:pos="8844"/>
            </w:tabs>
            <w:rPr>
              <w:rFonts w:hint="eastAsia"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zh-CN"/>
            </w:rPr>
            <w:fldChar w:fldCharType="begin"/>
          </w:r>
          <w:r>
            <w:rPr>
              <w:rFonts w:hint="default" w:ascii="Times New Roman" w:hAnsi="Times New Roman" w:eastAsia="宋体" w:cs="Times New Roman"/>
              <w:b/>
              <w:bCs/>
              <w:color w:val="auto"/>
              <w:sz w:val="24"/>
              <w:szCs w:val="24"/>
              <w:highlight w:val="none"/>
              <w:lang w:val="zh-CN"/>
            </w:rPr>
            <w:instrText xml:space="preserve"> HYPERLINK \l _Toc875 </w:instrText>
          </w:r>
          <w:r>
            <w:rPr>
              <w:rFonts w:hint="default" w:ascii="Times New Roman" w:hAnsi="Times New Roman" w:eastAsia="宋体" w:cs="Times New Roman"/>
              <w:b/>
              <w:bCs/>
              <w:color w:val="auto"/>
              <w:sz w:val="24"/>
              <w:szCs w:val="24"/>
              <w:highlight w:val="none"/>
              <w:lang w:val="zh-CN"/>
            </w:rPr>
            <w:fldChar w:fldCharType="separate"/>
          </w:r>
          <w:r>
            <w:rPr>
              <w:rFonts w:hint="default" w:ascii="Times New Roman" w:hAnsi="Times New Roman" w:eastAsia="宋体" w:cs="Times New Roman"/>
              <w:b/>
              <w:bCs/>
              <w:color w:val="auto"/>
              <w:sz w:val="24"/>
              <w:szCs w:val="24"/>
              <w:highlight w:val="none"/>
            </w:rPr>
            <w:t>附图</w:t>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 xml:space="preserve"> 项目平面布置图</w:t>
          </w:r>
          <w:r>
            <w:rPr>
              <w:rFonts w:hint="default" w:ascii="Times New Roman" w:hAnsi="Times New Roman" w:eastAsia="宋体" w:cs="Times New Roman"/>
              <w:b/>
              <w:bCs/>
              <w:color w:val="auto"/>
              <w:sz w:val="24"/>
              <w:szCs w:val="24"/>
              <w:highlight w:val="none"/>
            </w:rPr>
            <w:tab/>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zh-CN"/>
            </w:rPr>
            <w:fldChar w:fldCharType="end"/>
          </w:r>
          <w:r>
            <w:rPr>
              <w:rFonts w:hint="eastAsia" w:ascii="Times New Roman" w:hAnsi="Times New Roman" w:eastAsia="宋体" w:cs="Times New Roman"/>
              <w:b/>
              <w:bCs/>
              <w:color w:val="auto"/>
              <w:sz w:val="24"/>
              <w:szCs w:val="24"/>
              <w:highlight w:val="none"/>
              <w:lang w:val="en-US" w:eastAsia="zh-CN"/>
            </w:rPr>
            <w:t>1</w:t>
          </w:r>
        </w:p>
        <w:p w14:paraId="21852701">
          <w:pPr>
            <w:pStyle w:val="10"/>
            <w:tabs>
              <w:tab w:val="right" w:leader="dot" w:pos="8844"/>
            </w:tabs>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zh-CN"/>
            </w:rPr>
            <w:fldChar w:fldCharType="begin"/>
          </w:r>
          <w:r>
            <w:rPr>
              <w:rFonts w:hint="default" w:ascii="Times New Roman" w:hAnsi="Times New Roman" w:eastAsia="宋体" w:cs="Times New Roman"/>
              <w:b/>
              <w:bCs/>
              <w:color w:val="auto"/>
              <w:sz w:val="24"/>
              <w:szCs w:val="24"/>
              <w:highlight w:val="none"/>
              <w:lang w:val="zh-CN"/>
            </w:rPr>
            <w:instrText xml:space="preserve"> HYPERLINK \l _Toc10000 </w:instrText>
          </w:r>
          <w:r>
            <w:rPr>
              <w:rFonts w:hint="default" w:ascii="Times New Roman" w:hAnsi="Times New Roman" w:eastAsia="宋体" w:cs="Times New Roman"/>
              <w:b/>
              <w:bCs/>
              <w:color w:val="auto"/>
              <w:sz w:val="24"/>
              <w:szCs w:val="24"/>
              <w:highlight w:val="none"/>
              <w:lang w:val="zh-CN"/>
            </w:rPr>
            <w:fldChar w:fldCharType="separate"/>
          </w:r>
          <w:r>
            <w:rPr>
              <w:rFonts w:hint="default" w:ascii="Times New Roman" w:hAnsi="Times New Roman" w:eastAsia="宋体" w:cs="Times New Roman"/>
              <w:b/>
              <w:bCs/>
              <w:snapToGrid w:val="0"/>
              <w:color w:val="auto"/>
              <w:sz w:val="24"/>
              <w:szCs w:val="24"/>
              <w:highlight w:val="none"/>
            </w:rPr>
            <w:t>附件1 营业执照</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_Toc10000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47</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zh-CN"/>
            </w:rPr>
            <w:fldChar w:fldCharType="end"/>
          </w:r>
        </w:p>
        <w:p w14:paraId="4694BEB2">
          <w:pPr>
            <w:pStyle w:val="10"/>
            <w:tabs>
              <w:tab w:val="right" w:leader="dot" w:pos="8844"/>
            </w:tabs>
            <w:rPr>
              <w:rFonts w:hint="eastAsia"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zh-CN"/>
            </w:rPr>
            <w:fldChar w:fldCharType="begin"/>
          </w:r>
          <w:r>
            <w:rPr>
              <w:rFonts w:hint="default" w:ascii="Times New Roman" w:hAnsi="Times New Roman" w:eastAsia="宋体" w:cs="Times New Roman"/>
              <w:b/>
              <w:bCs/>
              <w:color w:val="auto"/>
              <w:sz w:val="24"/>
              <w:szCs w:val="24"/>
              <w:highlight w:val="none"/>
              <w:lang w:val="zh-CN"/>
            </w:rPr>
            <w:instrText xml:space="preserve"> HYPERLINK \l _Toc25406 </w:instrText>
          </w:r>
          <w:r>
            <w:rPr>
              <w:rFonts w:hint="default" w:ascii="Times New Roman" w:hAnsi="Times New Roman" w:eastAsia="宋体" w:cs="Times New Roman"/>
              <w:b/>
              <w:bCs/>
              <w:color w:val="auto"/>
              <w:sz w:val="24"/>
              <w:szCs w:val="24"/>
              <w:highlight w:val="none"/>
              <w:lang w:val="zh-CN"/>
            </w:rPr>
            <w:fldChar w:fldCharType="separate"/>
          </w:r>
          <w:r>
            <w:rPr>
              <w:rFonts w:hint="default" w:ascii="Times New Roman" w:hAnsi="Times New Roman" w:eastAsia="宋体" w:cs="Times New Roman"/>
              <w:b/>
              <w:bCs/>
              <w:snapToGrid w:val="0"/>
              <w:color w:val="auto"/>
              <w:kern w:val="2"/>
              <w:sz w:val="24"/>
              <w:szCs w:val="24"/>
              <w:highlight w:val="none"/>
            </w:rPr>
            <w:t>附件</w:t>
          </w:r>
          <w:r>
            <w:rPr>
              <w:rFonts w:hint="default" w:ascii="Times New Roman" w:hAnsi="Times New Roman" w:eastAsia="宋体" w:cs="Times New Roman"/>
              <w:b/>
              <w:bCs/>
              <w:snapToGrid w:val="0"/>
              <w:color w:val="auto"/>
              <w:kern w:val="2"/>
              <w:sz w:val="24"/>
              <w:szCs w:val="24"/>
              <w:highlight w:val="none"/>
              <w:lang w:val="en-US" w:eastAsia="zh-CN"/>
            </w:rPr>
            <w:t>2</w:t>
          </w:r>
          <w:r>
            <w:rPr>
              <w:rFonts w:hint="default" w:ascii="Times New Roman" w:hAnsi="Times New Roman" w:eastAsia="宋体" w:cs="Times New Roman"/>
              <w:b/>
              <w:bCs/>
              <w:snapToGrid w:val="0"/>
              <w:color w:val="auto"/>
              <w:kern w:val="2"/>
              <w:sz w:val="24"/>
              <w:szCs w:val="24"/>
              <w:highlight w:val="none"/>
            </w:rPr>
            <w:t xml:space="preserve"> </w:t>
          </w:r>
          <w:r>
            <w:rPr>
              <w:rFonts w:hint="eastAsia" w:ascii="Times New Roman" w:hAnsi="Times New Roman" w:eastAsia="宋体" w:cs="Times New Roman"/>
              <w:b/>
              <w:bCs/>
              <w:snapToGrid w:val="0"/>
              <w:color w:val="auto"/>
              <w:kern w:val="2"/>
              <w:sz w:val="24"/>
              <w:szCs w:val="24"/>
              <w:highlight w:val="none"/>
              <w:lang w:val="en-US" w:eastAsia="zh-CN"/>
            </w:rPr>
            <w:t>土地证</w:t>
          </w:r>
          <w:r>
            <w:rPr>
              <w:rFonts w:hint="default" w:ascii="Times New Roman" w:hAnsi="Times New Roman" w:eastAsia="宋体" w:cs="Times New Roman"/>
              <w:b/>
              <w:bCs/>
              <w:color w:val="auto"/>
              <w:sz w:val="24"/>
              <w:szCs w:val="24"/>
              <w:highlight w:val="none"/>
            </w:rPr>
            <w:tab/>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zh-CN"/>
            </w:rPr>
            <w:fldChar w:fldCharType="end"/>
          </w:r>
          <w:r>
            <w:rPr>
              <w:rFonts w:hint="eastAsia" w:ascii="Times New Roman" w:hAnsi="Times New Roman" w:eastAsia="宋体" w:cs="Times New Roman"/>
              <w:b/>
              <w:bCs/>
              <w:color w:val="auto"/>
              <w:sz w:val="24"/>
              <w:szCs w:val="24"/>
              <w:highlight w:val="none"/>
              <w:lang w:val="en-US" w:eastAsia="zh-CN"/>
            </w:rPr>
            <w:t>1</w:t>
          </w:r>
        </w:p>
        <w:p w14:paraId="361D8E50">
          <w:pPr>
            <w:pStyle w:val="10"/>
            <w:tabs>
              <w:tab w:val="right" w:leader="dot" w:pos="8844"/>
            </w:tabs>
            <w:rPr>
              <w:rFonts w:hint="default" w:ascii="Times New Roman" w:hAnsi="Times New Roman" w:eastAsia="宋体" w:cs="Times New Roman"/>
              <w:b/>
              <w:bCs/>
              <w:color w:val="auto"/>
              <w:sz w:val="24"/>
              <w:szCs w:val="24"/>
              <w:highlight w:val="none"/>
              <w:lang w:val="zh-CN"/>
            </w:rPr>
          </w:pPr>
          <w:r>
            <w:rPr>
              <w:rFonts w:hint="default" w:ascii="Times New Roman" w:hAnsi="Times New Roman" w:eastAsia="宋体" w:cs="Times New Roman"/>
              <w:b/>
              <w:bCs/>
              <w:color w:val="auto"/>
              <w:sz w:val="24"/>
              <w:szCs w:val="24"/>
              <w:highlight w:val="none"/>
              <w:lang w:val="zh-CN"/>
            </w:rPr>
            <w:fldChar w:fldCharType="begin"/>
          </w:r>
          <w:r>
            <w:rPr>
              <w:rFonts w:hint="default" w:ascii="Times New Roman" w:hAnsi="Times New Roman" w:eastAsia="宋体" w:cs="Times New Roman"/>
              <w:b/>
              <w:bCs/>
              <w:color w:val="auto"/>
              <w:sz w:val="24"/>
              <w:szCs w:val="24"/>
              <w:highlight w:val="none"/>
              <w:lang w:val="zh-CN"/>
            </w:rPr>
            <w:instrText xml:space="preserve"> HYPERLINK \l _Toc25313 </w:instrText>
          </w:r>
          <w:r>
            <w:rPr>
              <w:rFonts w:hint="default" w:ascii="Times New Roman" w:hAnsi="Times New Roman" w:eastAsia="宋体" w:cs="Times New Roman"/>
              <w:b/>
              <w:bCs/>
              <w:color w:val="auto"/>
              <w:sz w:val="24"/>
              <w:szCs w:val="24"/>
              <w:highlight w:val="none"/>
              <w:lang w:val="zh-CN"/>
            </w:rPr>
            <w:fldChar w:fldCharType="separate"/>
          </w:r>
          <w:r>
            <w:rPr>
              <w:rFonts w:hint="default" w:ascii="Times New Roman" w:hAnsi="Times New Roman" w:eastAsia="宋体" w:cs="Times New Roman"/>
              <w:b/>
              <w:bCs/>
              <w:snapToGrid w:val="0"/>
              <w:color w:val="auto"/>
              <w:kern w:val="2"/>
              <w:sz w:val="24"/>
              <w:szCs w:val="24"/>
              <w:highlight w:val="none"/>
              <w:lang w:val="en-US" w:eastAsia="zh-CN"/>
            </w:rPr>
            <w:t>附件</w:t>
          </w:r>
          <w:r>
            <w:rPr>
              <w:rFonts w:hint="eastAsia" w:ascii="Times New Roman" w:hAnsi="Times New Roman" w:eastAsia="宋体" w:cs="Times New Roman"/>
              <w:b/>
              <w:bCs/>
              <w:snapToGrid w:val="0"/>
              <w:color w:val="auto"/>
              <w:kern w:val="2"/>
              <w:sz w:val="24"/>
              <w:szCs w:val="24"/>
              <w:highlight w:val="none"/>
              <w:lang w:val="en-US" w:eastAsia="zh-CN"/>
            </w:rPr>
            <w:t>3</w:t>
          </w:r>
          <w:r>
            <w:rPr>
              <w:rFonts w:hint="default" w:ascii="Times New Roman" w:hAnsi="Times New Roman" w:eastAsia="宋体" w:cs="Times New Roman"/>
              <w:b/>
              <w:bCs/>
              <w:snapToGrid w:val="0"/>
              <w:color w:val="auto"/>
              <w:kern w:val="2"/>
              <w:sz w:val="24"/>
              <w:szCs w:val="24"/>
              <w:highlight w:val="none"/>
              <w:lang w:val="en-US" w:eastAsia="zh-CN"/>
            </w:rPr>
            <w:t xml:space="preserve"> </w:t>
          </w:r>
          <w:r>
            <w:rPr>
              <w:rFonts w:hint="eastAsia" w:ascii="Times New Roman" w:hAnsi="Times New Roman" w:eastAsia="宋体" w:cs="Times New Roman"/>
              <w:b/>
              <w:bCs/>
              <w:snapToGrid w:val="0"/>
              <w:color w:val="auto"/>
              <w:kern w:val="2"/>
              <w:sz w:val="24"/>
              <w:szCs w:val="24"/>
              <w:highlight w:val="none"/>
              <w:lang w:val="en-US" w:eastAsia="zh-CN"/>
            </w:rPr>
            <w:t>大气现状检测报告</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_Toc25313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48</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zh-CN"/>
            </w:rPr>
            <w:fldChar w:fldCharType="end"/>
          </w:r>
        </w:p>
        <w:p w14:paraId="02A93123">
          <w:pPr>
            <w:pStyle w:val="10"/>
            <w:tabs>
              <w:tab w:val="right" w:leader="dot" w:pos="8844"/>
            </w:tabs>
            <w:rPr>
              <w:rFonts w:hint="eastAsia"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zh-CN"/>
            </w:rPr>
            <w:fldChar w:fldCharType="begin"/>
          </w:r>
          <w:r>
            <w:rPr>
              <w:rFonts w:hint="default" w:ascii="Times New Roman" w:hAnsi="Times New Roman" w:eastAsia="宋体" w:cs="Times New Roman"/>
              <w:b/>
              <w:bCs/>
              <w:color w:val="auto"/>
              <w:sz w:val="24"/>
              <w:szCs w:val="24"/>
              <w:highlight w:val="none"/>
              <w:lang w:val="zh-CN"/>
            </w:rPr>
            <w:instrText xml:space="preserve"> HYPERLINK \l _Toc25313 </w:instrText>
          </w:r>
          <w:r>
            <w:rPr>
              <w:rFonts w:hint="default" w:ascii="Times New Roman" w:hAnsi="Times New Roman" w:eastAsia="宋体" w:cs="Times New Roman"/>
              <w:b/>
              <w:bCs/>
              <w:color w:val="auto"/>
              <w:sz w:val="24"/>
              <w:szCs w:val="24"/>
              <w:highlight w:val="none"/>
              <w:lang w:val="zh-CN"/>
            </w:rPr>
            <w:fldChar w:fldCharType="separate"/>
          </w:r>
          <w:r>
            <w:rPr>
              <w:rFonts w:hint="default" w:ascii="Times New Roman" w:hAnsi="Times New Roman" w:eastAsia="宋体" w:cs="Times New Roman"/>
              <w:b/>
              <w:bCs/>
              <w:snapToGrid w:val="0"/>
              <w:color w:val="auto"/>
              <w:kern w:val="2"/>
              <w:sz w:val="24"/>
              <w:szCs w:val="24"/>
              <w:highlight w:val="none"/>
              <w:lang w:val="en-US" w:eastAsia="zh-CN"/>
            </w:rPr>
            <w:t>附件</w:t>
          </w:r>
          <w:r>
            <w:rPr>
              <w:rFonts w:hint="eastAsia" w:ascii="Times New Roman" w:hAnsi="Times New Roman" w:eastAsia="宋体" w:cs="Times New Roman"/>
              <w:b/>
              <w:bCs/>
              <w:snapToGrid w:val="0"/>
              <w:color w:val="auto"/>
              <w:kern w:val="2"/>
              <w:sz w:val="24"/>
              <w:szCs w:val="24"/>
              <w:highlight w:val="none"/>
              <w:lang w:val="en-US" w:eastAsia="zh-CN"/>
            </w:rPr>
            <w:t>4</w:t>
          </w:r>
          <w:r>
            <w:rPr>
              <w:rFonts w:hint="default" w:ascii="Times New Roman" w:hAnsi="Times New Roman" w:eastAsia="宋体" w:cs="Times New Roman"/>
              <w:b/>
              <w:bCs/>
              <w:snapToGrid w:val="0"/>
              <w:color w:val="auto"/>
              <w:kern w:val="2"/>
              <w:sz w:val="24"/>
              <w:szCs w:val="24"/>
              <w:highlight w:val="none"/>
              <w:lang w:val="en-US" w:eastAsia="zh-CN"/>
            </w:rPr>
            <w:t xml:space="preserve"> </w:t>
          </w:r>
          <w:r>
            <w:rPr>
              <w:rFonts w:hint="eastAsia" w:ascii="Times New Roman" w:hAnsi="Times New Roman" w:eastAsia="宋体" w:cs="Times New Roman"/>
              <w:b/>
              <w:bCs/>
              <w:snapToGrid w:val="0"/>
              <w:color w:val="auto"/>
              <w:kern w:val="2"/>
              <w:sz w:val="24"/>
              <w:szCs w:val="24"/>
              <w:highlight w:val="none"/>
              <w:lang w:eastAsia="zh-CN"/>
            </w:rPr>
            <w:t>鸡西市城子河区广泰煤炭经销处</w:t>
          </w:r>
          <w:r>
            <w:rPr>
              <w:rFonts w:hint="default" w:ascii="Times New Roman" w:hAnsi="Times New Roman" w:eastAsia="宋体" w:cs="Times New Roman"/>
              <w:b/>
              <w:bCs/>
              <w:snapToGrid w:val="0"/>
              <w:color w:val="auto"/>
              <w:kern w:val="2"/>
              <w:sz w:val="24"/>
              <w:szCs w:val="24"/>
              <w:highlight w:val="none"/>
            </w:rPr>
            <w:t>储煤场项目生态环境分区管控分析报告</w:t>
          </w:r>
          <w:r>
            <w:rPr>
              <w:rFonts w:hint="default" w:ascii="Times New Roman" w:hAnsi="Times New Roman" w:eastAsia="宋体" w:cs="Times New Roman"/>
              <w:b/>
              <w:bCs/>
              <w:color w:val="auto"/>
              <w:sz w:val="24"/>
              <w:szCs w:val="24"/>
              <w:highlight w:val="none"/>
            </w:rPr>
            <w:tab/>
          </w:r>
          <w:r>
            <w:rPr>
              <w:rFonts w:hint="eastAsia"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zh-CN"/>
            </w:rPr>
            <w:fldChar w:fldCharType="end"/>
          </w:r>
          <w:r>
            <w:rPr>
              <w:rFonts w:hint="eastAsia" w:ascii="Times New Roman" w:hAnsi="Times New Roman" w:eastAsia="宋体" w:cs="Times New Roman"/>
              <w:b/>
              <w:bCs/>
              <w:color w:val="auto"/>
              <w:sz w:val="24"/>
              <w:szCs w:val="24"/>
              <w:highlight w:val="none"/>
              <w:lang w:val="en-US" w:eastAsia="zh-CN"/>
            </w:rPr>
            <w:t>6</w:t>
          </w:r>
        </w:p>
        <w:p w14:paraId="70C3870A">
          <w:pPr>
            <w:pStyle w:val="10"/>
            <w:tabs>
              <w:tab w:val="right" w:leader="dot" w:pos="8844"/>
            </w:tabs>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zh-CN"/>
            </w:rPr>
            <w:fldChar w:fldCharType="end"/>
          </w:r>
        </w:p>
      </w:sdtContent>
    </w:sdt>
    <w:p w14:paraId="602357E2">
      <w:pPr>
        <w:widowControl/>
        <w:spacing w:line="360" w:lineRule="auto"/>
        <w:jc w:val="center"/>
        <w:rPr>
          <w:rFonts w:hint="default" w:ascii="Times New Roman" w:hAnsi="Times New Roman" w:cs="Times New Roman"/>
          <w:color w:val="auto"/>
          <w:kern w:val="0"/>
          <w:sz w:val="28"/>
          <w:highlight w:val="none"/>
          <w:lang w:bidi="ar"/>
        </w:rPr>
      </w:pPr>
    </w:p>
    <w:p w14:paraId="1F2DDEAD">
      <w:pPr>
        <w:rPr>
          <w:rFonts w:hint="default" w:ascii="Times New Roman" w:hAnsi="Times New Roman" w:eastAsia="仿宋_GB2312" w:cs="Times New Roman"/>
          <w:color w:val="auto"/>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77D5518C">
      <w:pPr>
        <w:pStyle w:val="14"/>
        <w:jc w:val="center"/>
        <w:outlineLvl w:val="0"/>
        <w:rPr>
          <w:rFonts w:hint="default" w:ascii="Times New Roman" w:hAnsi="Times New Roman" w:eastAsia="黑体" w:cs="Times New Roman"/>
          <w:snapToGrid w:val="0"/>
          <w:color w:val="auto"/>
          <w:sz w:val="30"/>
          <w:szCs w:val="30"/>
          <w:highlight w:val="none"/>
        </w:rPr>
      </w:pPr>
      <w:bookmarkStart w:id="8" w:name="_Toc10157"/>
      <w:r>
        <w:rPr>
          <w:rFonts w:hint="default" w:ascii="Times New Roman" w:hAnsi="Times New Roman" w:eastAsia="黑体" w:cs="Times New Roman"/>
          <w:snapToGrid w:val="0"/>
          <w:color w:val="auto"/>
          <w:sz w:val="30"/>
          <w:szCs w:val="30"/>
          <w:highlight w:val="none"/>
        </w:rPr>
        <w:t>一、建设项目基本情况</w:t>
      </w:r>
      <w:bookmarkEnd w:id="8"/>
    </w:p>
    <w:tbl>
      <w:tblPr>
        <w:tblStyle w:val="17"/>
        <w:tblW w:w="98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97"/>
        <w:gridCol w:w="1732"/>
        <w:gridCol w:w="2207"/>
        <w:gridCol w:w="4072"/>
      </w:tblGrid>
      <w:tr w14:paraId="3EE079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97" w:type="dxa"/>
            <w:tcMar>
              <w:top w:w="16" w:type="dxa"/>
              <w:left w:w="16" w:type="dxa"/>
              <w:right w:w="16" w:type="dxa"/>
            </w:tcMar>
            <w:vAlign w:val="center"/>
          </w:tcPr>
          <w:p w14:paraId="24C83CDD">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建设项目名称</w:t>
            </w:r>
          </w:p>
        </w:tc>
        <w:tc>
          <w:tcPr>
            <w:tcW w:w="8011" w:type="dxa"/>
            <w:gridSpan w:val="3"/>
            <w:vAlign w:val="center"/>
          </w:tcPr>
          <w:p w14:paraId="475D16AF">
            <w:pPr>
              <w:adjustRightInd w:val="0"/>
              <w:snapToGrid w:val="0"/>
              <w:spacing w:line="340" w:lineRule="exact"/>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eastAsia="zh-CN"/>
              </w:rPr>
              <w:t>鸡西市城子河区广泰煤炭经销处储煤场建设项目</w:t>
            </w:r>
          </w:p>
        </w:tc>
      </w:tr>
      <w:tr w14:paraId="5391D9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97" w:type="dxa"/>
            <w:tcMar>
              <w:top w:w="16" w:type="dxa"/>
              <w:left w:w="16" w:type="dxa"/>
              <w:right w:w="16" w:type="dxa"/>
            </w:tcMar>
            <w:vAlign w:val="center"/>
          </w:tcPr>
          <w:p w14:paraId="4D92D3F7">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项目代码</w:t>
            </w:r>
          </w:p>
        </w:tc>
        <w:tc>
          <w:tcPr>
            <w:tcW w:w="8011" w:type="dxa"/>
            <w:gridSpan w:val="3"/>
            <w:vAlign w:val="center"/>
          </w:tcPr>
          <w:p w14:paraId="754F40A6">
            <w:pPr>
              <w:pStyle w:val="6"/>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无</w:t>
            </w:r>
          </w:p>
        </w:tc>
      </w:tr>
      <w:tr w14:paraId="3873FD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97" w:type="dxa"/>
            <w:tcMar>
              <w:top w:w="16" w:type="dxa"/>
              <w:left w:w="16" w:type="dxa"/>
              <w:right w:w="16" w:type="dxa"/>
            </w:tcMar>
            <w:vAlign w:val="center"/>
          </w:tcPr>
          <w:p w14:paraId="63C78E3B">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建设单位联系人</w:t>
            </w:r>
          </w:p>
        </w:tc>
        <w:tc>
          <w:tcPr>
            <w:tcW w:w="1732" w:type="dxa"/>
            <w:vAlign w:val="center"/>
          </w:tcPr>
          <w:p w14:paraId="3B291FE1">
            <w:pPr>
              <w:adjustRightInd w:val="0"/>
              <w:snapToGrid w:val="0"/>
              <w:spacing w:line="340" w:lineRule="exact"/>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邸朝勇</w:t>
            </w:r>
          </w:p>
        </w:tc>
        <w:tc>
          <w:tcPr>
            <w:tcW w:w="2207" w:type="dxa"/>
            <w:vAlign w:val="center"/>
          </w:tcPr>
          <w:p w14:paraId="073626D3">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联系方式</w:t>
            </w:r>
          </w:p>
        </w:tc>
        <w:tc>
          <w:tcPr>
            <w:tcW w:w="4072" w:type="dxa"/>
            <w:vAlign w:val="center"/>
          </w:tcPr>
          <w:p w14:paraId="7185CA50">
            <w:pPr>
              <w:adjustRightInd w:val="0"/>
              <w:snapToGrid w:val="0"/>
              <w:spacing w:line="340" w:lineRule="exact"/>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18504622333</w:t>
            </w:r>
          </w:p>
        </w:tc>
      </w:tr>
      <w:tr w14:paraId="5F7BD0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97" w:type="dxa"/>
            <w:tcMar>
              <w:top w:w="16" w:type="dxa"/>
              <w:left w:w="16" w:type="dxa"/>
              <w:right w:w="16" w:type="dxa"/>
            </w:tcMar>
            <w:vAlign w:val="center"/>
          </w:tcPr>
          <w:p w14:paraId="5B764EB1">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建设地点</w:t>
            </w:r>
          </w:p>
        </w:tc>
        <w:tc>
          <w:tcPr>
            <w:tcW w:w="8011" w:type="dxa"/>
            <w:gridSpan w:val="3"/>
            <w:vAlign w:val="center"/>
          </w:tcPr>
          <w:p w14:paraId="449F9A60">
            <w:pPr>
              <w:adjustRightInd w:val="0"/>
              <w:snapToGrid w:val="0"/>
              <w:spacing w:line="340" w:lineRule="exact"/>
              <w:jc w:val="center"/>
              <w:rPr>
                <w:rFonts w:hint="default" w:ascii="Times New Roman" w:hAnsi="Times New Roman" w:cs="Times New Roman"/>
                <w:color w:val="auto"/>
                <w:sz w:val="24"/>
                <w:highlight w:val="none"/>
                <w:lang w:val="en-US"/>
              </w:rPr>
            </w:pPr>
            <w:r>
              <w:rPr>
                <w:rFonts w:hint="eastAsia" w:cs="Times New Roman"/>
                <w:color w:val="auto"/>
                <w:sz w:val="24"/>
                <w:highlight w:val="none"/>
                <w:lang w:val="en-US" w:eastAsia="zh-CN"/>
              </w:rPr>
              <w:t>鸡西市城子河区城西办事处建新委3组</w:t>
            </w:r>
          </w:p>
        </w:tc>
      </w:tr>
      <w:tr w14:paraId="466BBB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97" w:type="dxa"/>
            <w:tcMar>
              <w:top w:w="16" w:type="dxa"/>
              <w:left w:w="16" w:type="dxa"/>
              <w:right w:w="16" w:type="dxa"/>
            </w:tcMar>
            <w:vAlign w:val="center"/>
          </w:tcPr>
          <w:p w14:paraId="2A36BE70">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地理坐标</w:t>
            </w:r>
          </w:p>
        </w:tc>
        <w:tc>
          <w:tcPr>
            <w:tcW w:w="8011" w:type="dxa"/>
            <w:gridSpan w:val="3"/>
            <w:vAlign w:val="center"/>
          </w:tcPr>
          <w:p w14:paraId="6EFE4AF7">
            <w:pPr>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u w:val="single"/>
              </w:rPr>
              <w:t>1</w:t>
            </w:r>
            <w:r>
              <w:rPr>
                <w:rFonts w:hint="eastAsia" w:cs="Times New Roman"/>
                <w:color w:val="auto"/>
                <w:sz w:val="24"/>
                <w:highlight w:val="none"/>
                <w:u w:val="single"/>
                <w:lang w:val="en-US" w:eastAsia="zh-CN"/>
              </w:rPr>
              <w:t>31</w:t>
            </w:r>
            <w:r>
              <w:rPr>
                <w:rFonts w:hint="default" w:ascii="Times New Roman" w:hAnsi="Times New Roman" w:cs="Times New Roman"/>
                <w:color w:val="auto"/>
                <w:sz w:val="24"/>
                <w:highlight w:val="none"/>
              </w:rPr>
              <w:t>度</w:t>
            </w:r>
            <w:r>
              <w:rPr>
                <w:rFonts w:hint="eastAsia" w:cs="Times New Roman"/>
                <w:color w:val="auto"/>
                <w:sz w:val="24"/>
                <w:highlight w:val="none"/>
                <w:u w:val="single"/>
                <w:lang w:val="en-US" w:eastAsia="zh-CN"/>
              </w:rPr>
              <w:t>59</w:t>
            </w:r>
            <w:r>
              <w:rPr>
                <w:rFonts w:hint="default" w:ascii="Times New Roman" w:hAnsi="Times New Roman" w:cs="Times New Roman"/>
                <w:color w:val="auto"/>
                <w:sz w:val="24"/>
                <w:highlight w:val="none"/>
              </w:rPr>
              <w:t>分</w:t>
            </w:r>
            <w:r>
              <w:rPr>
                <w:rFonts w:hint="eastAsia" w:cs="Times New Roman"/>
                <w:color w:val="auto"/>
                <w:sz w:val="24"/>
                <w:highlight w:val="none"/>
                <w:u w:val="single"/>
                <w:lang w:val="en-US" w:eastAsia="zh-CN"/>
              </w:rPr>
              <w:t>43.442</w:t>
            </w:r>
            <w:r>
              <w:rPr>
                <w:rFonts w:hint="default" w:ascii="Times New Roman" w:hAnsi="Times New Roman" w:cs="Times New Roman"/>
                <w:color w:val="auto"/>
                <w:sz w:val="24"/>
                <w:highlight w:val="none"/>
              </w:rPr>
              <w:t>秒，</w:t>
            </w:r>
            <w:r>
              <w:rPr>
                <w:rFonts w:hint="default" w:ascii="Times New Roman" w:hAnsi="Times New Roman" w:cs="Times New Roman"/>
                <w:color w:val="auto"/>
                <w:sz w:val="24"/>
                <w:highlight w:val="none"/>
                <w:u w:val="single"/>
              </w:rPr>
              <w:t>4</w:t>
            </w:r>
            <w:r>
              <w:rPr>
                <w:rFonts w:hint="default" w:ascii="Times New Roman" w:hAnsi="Times New Roman" w:cs="Times New Roman"/>
                <w:color w:val="auto"/>
                <w:sz w:val="24"/>
                <w:highlight w:val="none"/>
                <w:u w:val="single"/>
                <w:lang w:val="en-US" w:eastAsia="zh-CN"/>
              </w:rPr>
              <w:t>5</w:t>
            </w:r>
            <w:r>
              <w:rPr>
                <w:rFonts w:hint="default" w:ascii="Times New Roman" w:hAnsi="Times New Roman" w:cs="Times New Roman"/>
                <w:color w:val="auto"/>
                <w:sz w:val="24"/>
                <w:highlight w:val="none"/>
              </w:rPr>
              <w:t>度</w:t>
            </w:r>
            <w:r>
              <w:rPr>
                <w:rFonts w:hint="eastAsia" w:cs="Times New Roman"/>
                <w:color w:val="auto"/>
                <w:sz w:val="24"/>
                <w:highlight w:val="none"/>
                <w:u w:val="single"/>
                <w:lang w:val="en-US" w:eastAsia="zh-CN"/>
              </w:rPr>
              <w:t>20</w:t>
            </w:r>
            <w:r>
              <w:rPr>
                <w:rFonts w:hint="default" w:ascii="Times New Roman" w:hAnsi="Times New Roman" w:cs="Times New Roman"/>
                <w:color w:val="auto"/>
                <w:sz w:val="24"/>
                <w:highlight w:val="none"/>
              </w:rPr>
              <w:t>分</w:t>
            </w:r>
            <w:r>
              <w:rPr>
                <w:rFonts w:hint="eastAsia" w:cs="Times New Roman"/>
                <w:color w:val="auto"/>
                <w:sz w:val="24"/>
                <w:highlight w:val="none"/>
                <w:u w:val="single"/>
                <w:lang w:val="en-US" w:eastAsia="zh-CN"/>
              </w:rPr>
              <w:t>32.103</w:t>
            </w:r>
            <w:r>
              <w:rPr>
                <w:rFonts w:hint="default" w:ascii="Times New Roman" w:hAnsi="Times New Roman" w:cs="Times New Roman"/>
                <w:color w:val="auto"/>
                <w:sz w:val="24"/>
                <w:highlight w:val="none"/>
              </w:rPr>
              <w:t>秒）</w:t>
            </w:r>
          </w:p>
        </w:tc>
      </w:tr>
      <w:tr w14:paraId="22FCFB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797" w:type="dxa"/>
            <w:tcMar>
              <w:top w:w="16" w:type="dxa"/>
              <w:left w:w="16" w:type="dxa"/>
              <w:right w:w="16" w:type="dxa"/>
            </w:tcMar>
            <w:vAlign w:val="center"/>
          </w:tcPr>
          <w:p w14:paraId="0CE986D3">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国民经济</w:t>
            </w:r>
          </w:p>
          <w:p w14:paraId="2D6E995D">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行业类别</w:t>
            </w:r>
          </w:p>
        </w:tc>
        <w:tc>
          <w:tcPr>
            <w:tcW w:w="1732" w:type="dxa"/>
            <w:vAlign w:val="center"/>
          </w:tcPr>
          <w:p w14:paraId="62B92218">
            <w:pPr>
              <w:adjustRightInd w:val="0"/>
              <w:snapToGrid w:val="0"/>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B0690 其他煤炭采选</w:t>
            </w:r>
          </w:p>
        </w:tc>
        <w:tc>
          <w:tcPr>
            <w:tcW w:w="2207" w:type="dxa"/>
            <w:vAlign w:val="center"/>
          </w:tcPr>
          <w:p w14:paraId="4D41EEC2">
            <w:pPr>
              <w:adjustRightInd w:val="0"/>
              <w:snapToGrid w:val="0"/>
              <w:spacing w:line="340" w:lineRule="exact"/>
              <w:jc w:val="center"/>
              <w:rPr>
                <w:rFonts w:hint="default" w:ascii="Times New Roman" w:hAnsi="Times New Roman" w:cs="Times New Roman"/>
                <w:color w:val="auto"/>
                <w:sz w:val="24"/>
                <w:highlight w:val="none"/>
              </w:rPr>
            </w:pPr>
            <w:bookmarkStart w:id="9" w:name="_Hlk49843745"/>
            <w:r>
              <w:rPr>
                <w:rFonts w:hint="default" w:ascii="Times New Roman" w:hAnsi="Times New Roman" w:cs="Times New Roman"/>
                <w:color w:val="auto"/>
                <w:sz w:val="24"/>
                <w:highlight w:val="none"/>
              </w:rPr>
              <w:t>建设项目</w:t>
            </w:r>
          </w:p>
          <w:p w14:paraId="19AAB1BE">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行业类别</w:t>
            </w:r>
            <w:bookmarkEnd w:id="9"/>
          </w:p>
        </w:tc>
        <w:tc>
          <w:tcPr>
            <w:tcW w:w="4072" w:type="dxa"/>
            <w:vAlign w:val="center"/>
          </w:tcPr>
          <w:p w14:paraId="440D0D99">
            <w:pPr>
              <w:pStyle w:val="2"/>
              <w:spacing w:before="0" w:after="0" w:line="240" w:lineRule="auto"/>
              <w:ind w:left="0" w:firstLine="0"/>
              <w:rPr>
                <w:rFonts w:hint="default" w:ascii="Times New Roman" w:hAnsi="Times New Roman" w:cs="Times New Roman"/>
                <w:color w:val="auto"/>
                <w:highlight w:val="none"/>
                <w:lang w:val="en-US"/>
              </w:rPr>
            </w:pPr>
            <w:bookmarkStart w:id="10" w:name="_Toc16339"/>
            <w:r>
              <w:rPr>
                <w:rFonts w:hint="eastAsia" w:eastAsia="宋体" w:cs="Times New Roman"/>
                <w:b w:val="0"/>
                <w:bCs w:val="0"/>
                <w:color w:val="auto"/>
                <w:kern w:val="2"/>
                <w:sz w:val="24"/>
                <w:szCs w:val="24"/>
                <w:highlight w:val="none"/>
                <w:lang w:val="en-US" w:eastAsia="zh-CN" w:bidi="ar-SA"/>
              </w:rPr>
              <w:t>四</w:t>
            </w:r>
            <w:r>
              <w:rPr>
                <w:rFonts w:hint="default" w:ascii="Times New Roman" w:hAnsi="Times New Roman" w:eastAsia="宋体" w:cs="Times New Roman"/>
                <w:b w:val="0"/>
                <w:bCs w:val="0"/>
                <w:color w:val="auto"/>
                <w:kern w:val="2"/>
                <w:sz w:val="24"/>
                <w:szCs w:val="24"/>
                <w:highlight w:val="none"/>
                <w:lang w:val="en-US" w:eastAsia="zh-CN" w:bidi="ar-SA"/>
              </w:rPr>
              <w:t>、</w:t>
            </w:r>
            <w:r>
              <w:rPr>
                <w:rFonts w:hint="eastAsia" w:eastAsia="宋体" w:cs="Times New Roman"/>
                <w:b w:val="0"/>
                <w:bCs w:val="0"/>
                <w:color w:val="auto"/>
                <w:kern w:val="2"/>
                <w:sz w:val="24"/>
                <w:szCs w:val="24"/>
                <w:highlight w:val="none"/>
                <w:lang w:val="en-US" w:eastAsia="zh-CN" w:bidi="ar-SA"/>
              </w:rPr>
              <w:t>煤炭洗选</w:t>
            </w:r>
            <w:r>
              <w:rPr>
                <w:rFonts w:hint="default" w:ascii="Times New Roman" w:hAnsi="Times New Roman" w:eastAsia="宋体" w:cs="Times New Roman"/>
                <w:b w:val="0"/>
                <w:bCs w:val="0"/>
                <w:color w:val="auto"/>
                <w:kern w:val="2"/>
                <w:sz w:val="24"/>
                <w:szCs w:val="24"/>
                <w:highlight w:val="none"/>
                <w:lang w:val="en-US" w:eastAsia="zh-CN" w:bidi="ar-SA"/>
              </w:rPr>
              <w:t>业0</w:t>
            </w:r>
            <w:r>
              <w:rPr>
                <w:rFonts w:hint="eastAsia" w:eastAsia="宋体" w:cs="Times New Roman"/>
                <w:b w:val="0"/>
                <w:bCs w:val="0"/>
                <w:color w:val="auto"/>
                <w:kern w:val="2"/>
                <w:sz w:val="24"/>
                <w:szCs w:val="24"/>
                <w:highlight w:val="none"/>
                <w:lang w:val="en-US" w:eastAsia="zh-CN" w:bidi="ar-SA"/>
              </w:rPr>
              <w:t>6</w:t>
            </w:r>
            <w:bookmarkEnd w:id="10"/>
            <w:r>
              <w:rPr>
                <w:rFonts w:hint="eastAsia" w:eastAsia="宋体" w:cs="Times New Roman"/>
                <w:b w:val="0"/>
                <w:bCs w:val="0"/>
                <w:color w:val="auto"/>
                <w:kern w:val="2"/>
                <w:sz w:val="24"/>
                <w:szCs w:val="24"/>
                <w:highlight w:val="none"/>
                <w:lang w:val="en-US" w:eastAsia="zh-CN" w:bidi="ar-SA"/>
              </w:rPr>
              <w:t>煤炭洗选、配煤；煤炭储存、集运；风井场地、瓦斯抽放站；矿区修复治理工程</w:t>
            </w:r>
          </w:p>
        </w:tc>
      </w:tr>
      <w:tr w14:paraId="2FC8D9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797" w:type="dxa"/>
            <w:tcMar>
              <w:top w:w="16" w:type="dxa"/>
              <w:left w:w="16" w:type="dxa"/>
              <w:right w:w="16" w:type="dxa"/>
            </w:tcMar>
            <w:vAlign w:val="center"/>
          </w:tcPr>
          <w:p w14:paraId="60CAF34D">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建设性质</w:t>
            </w:r>
          </w:p>
        </w:tc>
        <w:tc>
          <w:tcPr>
            <w:tcW w:w="1732" w:type="dxa"/>
            <w:vAlign w:val="center"/>
          </w:tcPr>
          <w:p w14:paraId="5557655A">
            <w:pPr>
              <w:spacing w:line="340" w:lineRule="exact"/>
              <w:jc w:val="left"/>
              <w:rPr>
                <w:rFonts w:hint="default" w:ascii="Times New Roman" w:hAnsi="Times New Roman" w:cs="Times New Roman"/>
                <w:color w:val="auto"/>
                <w:sz w:val="24"/>
                <w:highlight w:val="none"/>
              </w:rPr>
            </w:pPr>
            <w:r>
              <w:rPr>
                <w:rFonts w:hint="eastAsia" w:cs="Times New Roman"/>
                <w:color w:val="auto"/>
                <w:sz w:val="24"/>
                <w:highlight w:val="none"/>
                <w:lang w:eastAsia="zh-CN"/>
              </w:rPr>
              <w:t>☑</w:t>
            </w:r>
            <w:r>
              <w:rPr>
                <w:rFonts w:hint="default" w:ascii="Times New Roman" w:hAnsi="Times New Roman" w:cs="Times New Roman"/>
                <w:color w:val="auto"/>
                <w:sz w:val="24"/>
                <w:highlight w:val="none"/>
              </w:rPr>
              <w:t>新建（迁建）</w:t>
            </w:r>
          </w:p>
          <w:p w14:paraId="2BBD3713">
            <w:pPr>
              <w:spacing w:line="340" w:lineRule="exact"/>
              <w:jc w:val="left"/>
              <w:rPr>
                <w:rFonts w:hint="default" w:ascii="Times New Roman" w:hAnsi="Times New Roman" w:cs="Times New Roman"/>
                <w:color w:val="auto"/>
                <w:sz w:val="24"/>
                <w:highlight w:val="none"/>
              </w:rPr>
            </w:pPr>
            <w:r>
              <w:rPr>
                <w:rFonts w:hint="eastAsia" w:cs="Times New Roman"/>
                <w:color w:val="auto"/>
                <w:sz w:val="24"/>
                <w:highlight w:val="none"/>
                <w:lang w:eastAsia="zh-CN"/>
              </w:rPr>
              <w:t>□</w:t>
            </w:r>
            <w:r>
              <w:rPr>
                <w:rFonts w:hint="default" w:ascii="Times New Roman" w:hAnsi="Times New Roman" w:cs="Times New Roman"/>
                <w:color w:val="auto"/>
                <w:sz w:val="24"/>
                <w:highlight w:val="none"/>
              </w:rPr>
              <w:t>改建</w:t>
            </w:r>
          </w:p>
          <w:p w14:paraId="5A370AC3">
            <w:pPr>
              <w:spacing w:line="340" w:lineRule="exact"/>
              <w:jc w:val="left"/>
              <w:rPr>
                <w:rFonts w:hint="default" w:ascii="Times New Roman" w:hAnsi="Times New Roman" w:cs="Times New Roman"/>
                <w:color w:val="auto"/>
                <w:sz w:val="24"/>
                <w:highlight w:val="none"/>
              </w:rPr>
            </w:pPr>
            <w:r>
              <w:rPr>
                <w:rFonts w:hint="eastAsia" w:cs="Times New Roman"/>
                <w:color w:val="auto"/>
                <w:sz w:val="24"/>
                <w:highlight w:val="none"/>
                <w:lang w:eastAsia="zh-CN"/>
              </w:rPr>
              <w:t>□</w:t>
            </w:r>
            <w:r>
              <w:rPr>
                <w:rFonts w:hint="default" w:ascii="Times New Roman" w:hAnsi="Times New Roman" w:cs="Times New Roman"/>
                <w:color w:val="auto"/>
                <w:sz w:val="24"/>
                <w:highlight w:val="none"/>
              </w:rPr>
              <w:t>扩建</w:t>
            </w:r>
          </w:p>
          <w:p w14:paraId="21B66D03">
            <w:pPr>
              <w:spacing w:line="340" w:lineRule="exact"/>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□技术改造</w:t>
            </w:r>
          </w:p>
        </w:tc>
        <w:tc>
          <w:tcPr>
            <w:tcW w:w="2207" w:type="dxa"/>
            <w:vAlign w:val="center"/>
          </w:tcPr>
          <w:p w14:paraId="561283C5">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w:t>
            </w:r>
          </w:p>
          <w:p w14:paraId="14161862">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申报情形</w:t>
            </w:r>
          </w:p>
        </w:tc>
        <w:tc>
          <w:tcPr>
            <w:tcW w:w="4072" w:type="dxa"/>
            <w:vAlign w:val="center"/>
          </w:tcPr>
          <w:p w14:paraId="1FD90291">
            <w:pPr>
              <w:spacing w:line="340" w:lineRule="exact"/>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☑首次申报项目             </w:t>
            </w:r>
          </w:p>
          <w:p w14:paraId="1B15DB74">
            <w:pPr>
              <w:spacing w:line="340" w:lineRule="exact"/>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□不予批准后再次申报项目</w:t>
            </w:r>
          </w:p>
          <w:p w14:paraId="4D577C88">
            <w:pPr>
              <w:spacing w:line="340" w:lineRule="exact"/>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□超五年重新审核项目     </w:t>
            </w:r>
          </w:p>
          <w:p w14:paraId="5C8A26A9">
            <w:pPr>
              <w:spacing w:line="340" w:lineRule="exact"/>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□重大变动重新报批项目</w:t>
            </w:r>
          </w:p>
        </w:tc>
      </w:tr>
      <w:tr w14:paraId="3B2C1C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797" w:type="dxa"/>
            <w:tcMar>
              <w:top w:w="16" w:type="dxa"/>
              <w:left w:w="16" w:type="dxa"/>
              <w:right w:w="16" w:type="dxa"/>
            </w:tcMar>
            <w:vAlign w:val="center"/>
          </w:tcPr>
          <w:p w14:paraId="72FA197B">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w:t>
            </w:r>
          </w:p>
          <w:p w14:paraId="282FAF3E">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备案）部门（选填）</w:t>
            </w:r>
          </w:p>
        </w:tc>
        <w:tc>
          <w:tcPr>
            <w:tcW w:w="1732" w:type="dxa"/>
            <w:vAlign w:val="center"/>
          </w:tcPr>
          <w:p w14:paraId="7EF18B93">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c>
          <w:tcPr>
            <w:tcW w:w="2207" w:type="dxa"/>
            <w:vAlign w:val="center"/>
          </w:tcPr>
          <w:p w14:paraId="7EF57B3A">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w:t>
            </w:r>
          </w:p>
          <w:p w14:paraId="7D2BE708">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备案）文号（选填）</w:t>
            </w:r>
          </w:p>
        </w:tc>
        <w:tc>
          <w:tcPr>
            <w:tcW w:w="4072" w:type="dxa"/>
            <w:vAlign w:val="center"/>
          </w:tcPr>
          <w:p w14:paraId="31A4FB5C">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r>
      <w:tr w14:paraId="129439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97" w:type="dxa"/>
            <w:tcMar>
              <w:top w:w="16" w:type="dxa"/>
              <w:left w:w="16" w:type="dxa"/>
              <w:right w:w="16" w:type="dxa"/>
            </w:tcMar>
            <w:vAlign w:val="center"/>
          </w:tcPr>
          <w:p w14:paraId="751722E8">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总投资（万元）</w:t>
            </w:r>
          </w:p>
        </w:tc>
        <w:tc>
          <w:tcPr>
            <w:tcW w:w="1732" w:type="dxa"/>
            <w:vAlign w:val="center"/>
          </w:tcPr>
          <w:p w14:paraId="6BE4C735">
            <w:pPr>
              <w:adjustRightInd w:val="0"/>
              <w:snapToGrid w:val="0"/>
              <w:spacing w:line="340" w:lineRule="exact"/>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60</w:t>
            </w:r>
          </w:p>
        </w:tc>
        <w:tc>
          <w:tcPr>
            <w:tcW w:w="2207" w:type="dxa"/>
            <w:tcMar>
              <w:top w:w="16" w:type="dxa"/>
              <w:left w:w="16" w:type="dxa"/>
              <w:right w:w="16" w:type="dxa"/>
            </w:tcMar>
            <w:vAlign w:val="center"/>
          </w:tcPr>
          <w:p w14:paraId="6234F097">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环保投资（万元）</w:t>
            </w:r>
          </w:p>
        </w:tc>
        <w:tc>
          <w:tcPr>
            <w:tcW w:w="4072" w:type="dxa"/>
            <w:vAlign w:val="center"/>
          </w:tcPr>
          <w:p w14:paraId="4A445BE8">
            <w:pPr>
              <w:adjustRightInd w:val="0"/>
              <w:snapToGrid w:val="0"/>
              <w:spacing w:line="340" w:lineRule="exact"/>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19.5</w:t>
            </w:r>
          </w:p>
        </w:tc>
      </w:tr>
      <w:tr w14:paraId="4524E8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97" w:type="dxa"/>
            <w:tcMar>
              <w:top w:w="16" w:type="dxa"/>
              <w:left w:w="16" w:type="dxa"/>
              <w:right w:w="16" w:type="dxa"/>
            </w:tcMar>
            <w:vAlign w:val="center"/>
          </w:tcPr>
          <w:p w14:paraId="1D62EA95">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环保投资占比（%）</w:t>
            </w:r>
          </w:p>
        </w:tc>
        <w:tc>
          <w:tcPr>
            <w:tcW w:w="1732" w:type="dxa"/>
            <w:vAlign w:val="center"/>
          </w:tcPr>
          <w:p w14:paraId="0BFEAB6D">
            <w:pPr>
              <w:adjustRightInd w:val="0"/>
              <w:snapToGrid w:val="0"/>
              <w:spacing w:line="340" w:lineRule="exact"/>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32.5</w:t>
            </w:r>
          </w:p>
        </w:tc>
        <w:tc>
          <w:tcPr>
            <w:tcW w:w="2207" w:type="dxa"/>
            <w:tcMar>
              <w:top w:w="16" w:type="dxa"/>
              <w:left w:w="16" w:type="dxa"/>
              <w:right w:w="16" w:type="dxa"/>
            </w:tcMar>
            <w:vAlign w:val="center"/>
          </w:tcPr>
          <w:p w14:paraId="78F0C191">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施工工期</w:t>
            </w:r>
          </w:p>
        </w:tc>
        <w:tc>
          <w:tcPr>
            <w:tcW w:w="4072" w:type="dxa"/>
            <w:vAlign w:val="center"/>
          </w:tcPr>
          <w:p w14:paraId="5CDCD794">
            <w:pPr>
              <w:adjustRightInd w:val="0"/>
              <w:snapToGrid w:val="0"/>
              <w:spacing w:line="340" w:lineRule="exact"/>
              <w:jc w:val="center"/>
              <w:rPr>
                <w:rFonts w:hint="default" w:ascii="Times New Roman" w:hAnsi="Times New Roman" w:eastAsia="宋体" w:cs="Times New Roman"/>
                <w:b/>
                <w:bCs/>
                <w:color w:val="auto"/>
                <w:sz w:val="24"/>
                <w:highlight w:val="none"/>
                <w:lang w:val="en-US" w:eastAsia="zh-CN"/>
              </w:rPr>
            </w:pPr>
            <w:r>
              <w:rPr>
                <w:rFonts w:hint="eastAsia" w:cs="Times New Roman"/>
                <w:color w:val="auto"/>
                <w:sz w:val="24"/>
                <w:highlight w:val="none"/>
                <w:lang w:val="en-US" w:eastAsia="zh-CN"/>
              </w:rPr>
              <w:t xml:space="preserve">2026.3-2026.4  </w:t>
            </w:r>
          </w:p>
        </w:tc>
      </w:tr>
      <w:tr w14:paraId="5BBFD5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1797" w:type="dxa"/>
            <w:tcMar>
              <w:top w:w="16" w:type="dxa"/>
              <w:left w:w="16" w:type="dxa"/>
              <w:right w:w="16" w:type="dxa"/>
            </w:tcMar>
            <w:vAlign w:val="center"/>
          </w:tcPr>
          <w:p w14:paraId="649E38B1">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是否开工建设</w:t>
            </w:r>
          </w:p>
        </w:tc>
        <w:tc>
          <w:tcPr>
            <w:tcW w:w="1732" w:type="dxa"/>
            <w:vAlign w:val="center"/>
          </w:tcPr>
          <w:p w14:paraId="626862D9">
            <w:pPr>
              <w:adjustRightInd w:val="0"/>
              <w:snapToGrid w:val="0"/>
              <w:spacing w:line="340" w:lineRule="exact"/>
              <w:rPr>
                <w:rFonts w:hint="default" w:ascii="Times New Roman" w:hAnsi="Times New Roman" w:cs="Times New Roman"/>
                <w:color w:val="auto"/>
                <w:sz w:val="24"/>
                <w:highlight w:val="none"/>
                <w:u w:val="single"/>
              </w:rPr>
            </w:pPr>
            <w:r>
              <w:rPr>
                <w:rFonts w:hint="default" w:ascii="Times New Roman" w:hAnsi="Times New Roman" w:cs="Times New Roman"/>
                <w:color w:val="auto"/>
                <w:sz w:val="24"/>
                <w:highlight w:val="none"/>
              </w:rPr>
              <w:sym w:font="Wingdings 2" w:char="0052"/>
            </w:r>
            <w:r>
              <w:rPr>
                <w:rFonts w:hint="default" w:ascii="Times New Roman" w:hAnsi="Times New Roman" w:cs="Times New Roman"/>
                <w:color w:val="auto"/>
                <w:sz w:val="24"/>
                <w:highlight w:val="none"/>
              </w:rPr>
              <w:t xml:space="preserve"> 否：</w:t>
            </w:r>
            <w:r>
              <w:rPr>
                <w:rFonts w:hint="default" w:ascii="Times New Roman" w:hAnsi="Times New Roman" w:cs="Times New Roman"/>
                <w:color w:val="auto"/>
                <w:sz w:val="24"/>
                <w:highlight w:val="none"/>
                <w:u w:val="single"/>
              </w:rPr>
              <w:t xml:space="preserve">         </w:t>
            </w:r>
          </w:p>
          <w:p w14:paraId="66939E36">
            <w:pPr>
              <w:adjustRightInd w:val="0"/>
              <w:snapToGrid w:val="0"/>
              <w:spacing w:line="340" w:lineRule="exact"/>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A3"/>
            </w:r>
            <w:r>
              <w:rPr>
                <w:rFonts w:hint="default" w:ascii="Times New Roman" w:hAnsi="Times New Roman" w:cs="Times New Roman"/>
                <w:color w:val="auto"/>
                <w:sz w:val="24"/>
                <w:highlight w:val="none"/>
              </w:rPr>
              <w:t>是：</w:t>
            </w:r>
            <w:r>
              <w:rPr>
                <w:rFonts w:hint="default" w:ascii="Times New Roman" w:hAnsi="Times New Roman" w:cs="Times New Roman"/>
                <w:color w:val="auto"/>
                <w:sz w:val="24"/>
                <w:highlight w:val="none"/>
                <w:u w:val="single"/>
              </w:rPr>
              <w:t xml:space="preserve"> </w:t>
            </w:r>
            <w:r>
              <w:rPr>
                <w:rFonts w:hint="eastAsia" w:cs="Times New Roman"/>
                <w:color w:val="auto"/>
                <w:sz w:val="24"/>
                <w:highlight w:val="none"/>
                <w:u w:val="single"/>
                <w:lang w:val="en-US" w:eastAsia="zh-CN"/>
              </w:rPr>
              <w:t xml:space="preserve"> </w:t>
            </w:r>
            <w:r>
              <w:rPr>
                <w:rFonts w:hint="default" w:ascii="Times New Roman" w:hAnsi="Times New Roman" w:cs="Times New Roman"/>
                <w:color w:val="auto"/>
                <w:sz w:val="24"/>
                <w:highlight w:val="none"/>
                <w:u w:val="single"/>
              </w:rPr>
              <w:t xml:space="preserve">        </w:t>
            </w:r>
          </w:p>
        </w:tc>
        <w:tc>
          <w:tcPr>
            <w:tcW w:w="2207" w:type="dxa"/>
            <w:tcMar>
              <w:top w:w="16" w:type="dxa"/>
              <w:left w:w="16" w:type="dxa"/>
              <w:right w:w="16" w:type="dxa"/>
            </w:tcMar>
            <w:vAlign w:val="center"/>
          </w:tcPr>
          <w:p w14:paraId="0533FDD1">
            <w:pPr>
              <w:adjustRightInd w:val="0"/>
              <w:snapToGrid w:val="0"/>
              <w:spacing w:line="340" w:lineRule="exact"/>
              <w:jc w:val="center"/>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用地（用海）</w:t>
            </w:r>
          </w:p>
          <w:p w14:paraId="5B1D7D8B">
            <w:pPr>
              <w:adjustRightInd w:val="0"/>
              <w:snapToGrid w:val="0"/>
              <w:spacing w:line="34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pacing w:val="-6"/>
                <w:sz w:val="24"/>
                <w:highlight w:val="none"/>
              </w:rPr>
              <w:t>面积（m</w:t>
            </w:r>
            <w:r>
              <w:rPr>
                <w:rFonts w:hint="default" w:ascii="Times New Roman" w:hAnsi="Times New Roman" w:cs="Times New Roman"/>
                <w:color w:val="auto"/>
                <w:spacing w:val="-6"/>
                <w:sz w:val="24"/>
                <w:highlight w:val="none"/>
                <w:vertAlign w:val="superscript"/>
              </w:rPr>
              <w:t>2</w:t>
            </w:r>
            <w:r>
              <w:rPr>
                <w:rFonts w:hint="default" w:ascii="Times New Roman" w:hAnsi="Times New Roman" w:cs="Times New Roman"/>
                <w:color w:val="auto"/>
                <w:spacing w:val="-6"/>
                <w:sz w:val="24"/>
                <w:highlight w:val="none"/>
              </w:rPr>
              <w:t>）</w:t>
            </w:r>
          </w:p>
        </w:tc>
        <w:tc>
          <w:tcPr>
            <w:tcW w:w="4072" w:type="dxa"/>
            <w:vAlign w:val="center"/>
          </w:tcPr>
          <w:p w14:paraId="4F7E8732">
            <w:pPr>
              <w:adjustRightInd w:val="0"/>
              <w:snapToGrid w:val="0"/>
              <w:spacing w:line="340" w:lineRule="exact"/>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9407</w:t>
            </w:r>
          </w:p>
        </w:tc>
      </w:tr>
      <w:tr w14:paraId="481A88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1797" w:type="dxa"/>
            <w:vAlign w:val="center"/>
          </w:tcPr>
          <w:p w14:paraId="58DAE5F9">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专项评价设置情况</w:t>
            </w:r>
          </w:p>
        </w:tc>
        <w:tc>
          <w:tcPr>
            <w:tcW w:w="8011" w:type="dxa"/>
            <w:gridSpan w:val="3"/>
            <w:vAlign w:val="center"/>
          </w:tcPr>
          <w:tbl>
            <w:tblPr>
              <w:tblStyle w:val="17"/>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091"/>
              <w:gridCol w:w="3515"/>
              <w:gridCol w:w="3186"/>
            </w:tblGrid>
            <w:tr w14:paraId="4323DA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2ACEFD7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21"/>
                      <w:szCs w:val="21"/>
                      <w:highlight w:val="none"/>
                    </w:rPr>
                  </w:pPr>
                  <w:r>
                    <w:rPr>
                      <w:rFonts w:ascii="Times New Roman" w:hAnsi="Times New Roman" w:eastAsia="宋体" w:cs="Times New Roman"/>
                      <w:color w:val="auto"/>
                      <w:spacing w:val="0"/>
                      <w:kern w:val="21"/>
                      <w:sz w:val="21"/>
                      <w:szCs w:val="21"/>
                      <w:highlight w:val="none"/>
                    </w:rPr>
                    <w:t>专项评价的类别</w:t>
                  </w:r>
                </w:p>
              </w:tc>
              <w:tc>
                <w:tcPr>
                  <w:tcW w:w="2255" w:type="pct"/>
                  <w:noWrap w:val="0"/>
                  <w:vAlign w:val="center"/>
                </w:tcPr>
                <w:p w14:paraId="4F1D545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21"/>
                      <w:szCs w:val="21"/>
                      <w:highlight w:val="none"/>
                    </w:rPr>
                  </w:pPr>
                  <w:r>
                    <w:rPr>
                      <w:rFonts w:ascii="Times New Roman" w:hAnsi="Times New Roman" w:eastAsia="宋体" w:cs="Times New Roman"/>
                      <w:color w:val="auto"/>
                      <w:spacing w:val="0"/>
                      <w:kern w:val="21"/>
                      <w:sz w:val="21"/>
                      <w:szCs w:val="21"/>
                      <w:highlight w:val="none"/>
                    </w:rPr>
                    <w:t>设置原则</w:t>
                  </w:r>
                </w:p>
              </w:tc>
              <w:tc>
                <w:tcPr>
                  <w:tcW w:w="2044" w:type="pct"/>
                  <w:noWrap w:val="0"/>
                  <w:vAlign w:val="center"/>
                </w:tcPr>
                <w:p w14:paraId="129F660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spacing w:val="0"/>
                      <w:kern w:val="21"/>
                      <w:sz w:val="21"/>
                      <w:szCs w:val="21"/>
                      <w:highlight w:val="none"/>
                    </w:rPr>
                  </w:pPr>
                  <w:r>
                    <w:rPr>
                      <w:rFonts w:hint="eastAsia" w:ascii="Times New Roman" w:hAnsi="Times New Roman" w:eastAsia="宋体" w:cs="Times New Roman"/>
                      <w:color w:val="auto"/>
                      <w:spacing w:val="0"/>
                      <w:kern w:val="21"/>
                      <w:sz w:val="21"/>
                      <w:szCs w:val="21"/>
                      <w:highlight w:val="none"/>
                    </w:rPr>
                    <w:t>是</w:t>
                  </w:r>
                  <w:r>
                    <w:rPr>
                      <w:rFonts w:ascii="Times New Roman" w:hAnsi="Times New Roman" w:eastAsia="宋体" w:cs="Times New Roman"/>
                      <w:color w:val="auto"/>
                      <w:spacing w:val="0"/>
                      <w:kern w:val="21"/>
                      <w:sz w:val="21"/>
                      <w:szCs w:val="21"/>
                      <w:highlight w:val="none"/>
                    </w:rPr>
                    <w:t>否设置</w:t>
                  </w:r>
                </w:p>
              </w:tc>
            </w:tr>
            <w:tr w14:paraId="165D85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6F743FA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21"/>
                      <w:szCs w:val="21"/>
                      <w:highlight w:val="none"/>
                    </w:rPr>
                  </w:pPr>
                  <w:r>
                    <w:rPr>
                      <w:rFonts w:ascii="Times New Roman" w:hAnsi="Times New Roman" w:eastAsia="宋体" w:cs="Times New Roman"/>
                      <w:color w:val="auto"/>
                      <w:spacing w:val="0"/>
                      <w:kern w:val="21"/>
                      <w:sz w:val="21"/>
                      <w:szCs w:val="21"/>
                      <w:highlight w:val="none"/>
                    </w:rPr>
                    <w:t>大气</w:t>
                  </w:r>
                </w:p>
              </w:tc>
              <w:tc>
                <w:tcPr>
                  <w:tcW w:w="2255" w:type="pct"/>
                  <w:noWrap w:val="0"/>
                  <w:vAlign w:val="center"/>
                </w:tcPr>
                <w:p w14:paraId="5B30AF21">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ascii="Times New Roman" w:hAnsi="Times New Roman" w:eastAsia="宋体" w:cs="Times New Roman"/>
                      <w:color w:val="auto"/>
                      <w:spacing w:val="0"/>
                      <w:kern w:val="21"/>
                      <w:sz w:val="21"/>
                      <w:szCs w:val="21"/>
                      <w:highlight w:val="none"/>
                    </w:rPr>
                  </w:pPr>
                  <w:r>
                    <w:rPr>
                      <w:rFonts w:ascii="Times New Roman" w:hAnsi="Times New Roman" w:eastAsia="宋体" w:cs="Times New Roman"/>
                      <w:color w:val="auto"/>
                      <w:spacing w:val="0"/>
                      <w:kern w:val="21"/>
                      <w:sz w:val="21"/>
                      <w:szCs w:val="21"/>
                      <w:highlight w:val="none"/>
                    </w:rPr>
                    <w:t>排放废气含有毒有害污染物、</w:t>
                  </w:r>
                  <w:r>
                    <w:rPr>
                      <w:rFonts w:hint="eastAsia" w:cs="Times New Roman"/>
                      <w:color w:val="auto"/>
                      <w:spacing w:val="0"/>
                      <w:kern w:val="21"/>
                      <w:sz w:val="21"/>
                      <w:szCs w:val="21"/>
                      <w:highlight w:val="none"/>
                      <w:lang w:eastAsia="zh-CN"/>
                    </w:rPr>
                    <w:t>二噁英</w:t>
                  </w:r>
                  <w:r>
                    <w:rPr>
                      <w:rFonts w:ascii="Times New Roman" w:hAnsi="Times New Roman" w:eastAsia="宋体" w:cs="Times New Roman"/>
                      <w:color w:val="auto"/>
                      <w:spacing w:val="0"/>
                      <w:kern w:val="21"/>
                      <w:sz w:val="21"/>
                      <w:szCs w:val="21"/>
                      <w:highlight w:val="none"/>
                    </w:rPr>
                    <w:t>苯并[</w:t>
                  </w:r>
                  <w:r>
                    <w:rPr>
                      <w:rFonts w:ascii="Times New Roman" w:hAnsi="Times New Roman" w:eastAsia="宋体" w:cs="Times New Roman"/>
                      <w:i/>
                      <w:iCs/>
                      <w:color w:val="auto"/>
                      <w:spacing w:val="0"/>
                      <w:kern w:val="21"/>
                      <w:sz w:val="21"/>
                      <w:szCs w:val="21"/>
                      <w:highlight w:val="none"/>
                    </w:rPr>
                    <w:t>a</w:t>
                  </w:r>
                  <w:r>
                    <w:rPr>
                      <w:rFonts w:ascii="Times New Roman" w:hAnsi="Times New Roman" w:eastAsia="宋体" w:cs="Times New Roman"/>
                      <w:color w:val="auto"/>
                      <w:spacing w:val="0"/>
                      <w:kern w:val="21"/>
                      <w:sz w:val="21"/>
                      <w:szCs w:val="21"/>
                      <w:highlight w:val="none"/>
                    </w:rPr>
                    <w:t>]芘、氰化物、氯气且厂界外500米范围内有环境空气保护目标的建设项目</w:t>
                  </w:r>
                </w:p>
              </w:tc>
              <w:tc>
                <w:tcPr>
                  <w:tcW w:w="2044" w:type="pct"/>
                  <w:noWrap w:val="0"/>
                  <w:vAlign w:val="center"/>
                </w:tcPr>
                <w:p w14:paraId="4AB0671B">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eastAsia" w:ascii="Times New Roman" w:hAnsi="Times New Roman" w:eastAsia="宋体" w:cs="Times New Roman"/>
                      <w:color w:val="auto"/>
                      <w:spacing w:val="0"/>
                      <w:kern w:val="21"/>
                      <w:sz w:val="21"/>
                      <w:szCs w:val="21"/>
                      <w:highlight w:val="none"/>
                    </w:rPr>
                  </w:pPr>
                  <w:r>
                    <w:rPr>
                      <w:rFonts w:hint="eastAsia" w:ascii="Times New Roman" w:hAnsi="Times New Roman" w:eastAsia="宋体" w:cs="Times New Roman"/>
                      <w:color w:val="auto"/>
                      <w:spacing w:val="0"/>
                      <w:kern w:val="21"/>
                      <w:sz w:val="21"/>
                      <w:szCs w:val="21"/>
                      <w:highlight w:val="none"/>
                    </w:rPr>
                    <w:t>不</w:t>
                  </w:r>
                  <w:r>
                    <w:rPr>
                      <w:rFonts w:ascii="Times New Roman" w:hAnsi="Times New Roman" w:eastAsia="宋体" w:cs="Times New Roman"/>
                      <w:color w:val="auto"/>
                      <w:spacing w:val="0"/>
                      <w:kern w:val="21"/>
                      <w:sz w:val="21"/>
                      <w:szCs w:val="21"/>
                      <w:highlight w:val="none"/>
                    </w:rPr>
                    <w:t>设置</w:t>
                  </w:r>
                  <w:r>
                    <w:rPr>
                      <w:rFonts w:hint="eastAsia" w:ascii="Times New Roman" w:hAnsi="Times New Roman" w:eastAsia="宋体" w:cs="Times New Roman"/>
                      <w:color w:val="auto"/>
                      <w:spacing w:val="0"/>
                      <w:kern w:val="21"/>
                      <w:sz w:val="21"/>
                      <w:szCs w:val="21"/>
                      <w:highlight w:val="none"/>
                      <w:lang w:eastAsia="zh-CN"/>
                    </w:rPr>
                    <w:t>，</w:t>
                  </w:r>
                  <w:r>
                    <w:rPr>
                      <w:rFonts w:ascii="Times New Roman" w:hAnsi="Times New Roman" w:eastAsia="宋体" w:cs="Times New Roman"/>
                      <w:color w:val="auto"/>
                      <w:spacing w:val="0"/>
                      <w:kern w:val="21"/>
                      <w:sz w:val="21"/>
                      <w:szCs w:val="21"/>
                      <w:highlight w:val="none"/>
                    </w:rPr>
                    <w:t>项目排放废气</w:t>
                  </w:r>
                  <w:r>
                    <w:rPr>
                      <w:rFonts w:hint="eastAsia" w:ascii="Times New Roman" w:hAnsi="Times New Roman" w:eastAsia="宋体" w:cs="Times New Roman"/>
                      <w:color w:val="auto"/>
                      <w:spacing w:val="0"/>
                      <w:kern w:val="21"/>
                      <w:sz w:val="21"/>
                      <w:szCs w:val="21"/>
                      <w:highlight w:val="none"/>
                      <w:lang w:val="en-US" w:eastAsia="zh-CN"/>
                    </w:rPr>
                    <w:t>不</w:t>
                  </w:r>
                  <w:r>
                    <w:rPr>
                      <w:rFonts w:ascii="Times New Roman" w:hAnsi="Times New Roman" w:eastAsia="宋体" w:cs="Times New Roman"/>
                      <w:color w:val="auto"/>
                      <w:spacing w:val="0"/>
                      <w:kern w:val="21"/>
                      <w:sz w:val="21"/>
                      <w:szCs w:val="21"/>
                      <w:highlight w:val="none"/>
                    </w:rPr>
                    <w:t>含有毒有害污染物</w:t>
                  </w:r>
                </w:p>
              </w:tc>
            </w:tr>
            <w:tr w14:paraId="60B3B0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23BD960F">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21"/>
                      <w:szCs w:val="21"/>
                      <w:highlight w:val="none"/>
                    </w:rPr>
                  </w:pPr>
                  <w:r>
                    <w:rPr>
                      <w:rFonts w:ascii="Times New Roman" w:hAnsi="Times New Roman" w:eastAsia="宋体" w:cs="Times New Roman"/>
                      <w:color w:val="auto"/>
                      <w:spacing w:val="0"/>
                      <w:kern w:val="21"/>
                      <w:sz w:val="21"/>
                      <w:szCs w:val="21"/>
                      <w:highlight w:val="none"/>
                    </w:rPr>
                    <w:t>地表水</w:t>
                  </w:r>
                </w:p>
              </w:tc>
              <w:tc>
                <w:tcPr>
                  <w:tcW w:w="2255" w:type="pct"/>
                  <w:noWrap w:val="0"/>
                  <w:vAlign w:val="center"/>
                </w:tcPr>
                <w:p w14:paraId="59213190">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ascii="Times New Roman" w:hAnsi="Times New Roman" w:eastAsia="宋体" w:cs="Times New Roman"/>
                      <w:color w:val="auto"/>
                      <w:spacing w:val="0"/>
                      <w:kern w:val="21"/>
                      <w:sz w:val="21"/>
                      <w:szCs w:val="21"/>
                      <w:highlight w:val="none"/>
                    </w:rPr>
                  </w:pPr>
                  <w:r>
                    <w:rPr>
                      <w:rFonts w:ascii="Times New Roman" w:hAnsi="Times New Roman" w:eastAsia="宋体" w:cs="Times New Roman"/>
                      <w:color w:val="auto"/>
                      <w:spacing w:val="0"/>
                      <w:kern w:val="21"/>
                      <w:sz w:val="21"/>
                      <w:szCs w:val="21"/>
                      <w:highlight w:val="none"/>
                    </w:rPr>
                    <w:t>新增工业废水直排建设项目（槽罐车外送污水处理厂的除外）；新增废水直排的污水集中处理厂</w:t>
                  </w:r>
                </w:p>
              </w:tc>
              <w:tc>
                <w:tcPr>
                  <w:tcW w:w="2044" w:type="pct"/>
                  <w:noWrap w:val="0"/>
                  <w:vAlign w:val="center"/>
                </w:tcPr>
                <w:p w14:paraId="7A2984AD">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eastAsia" w:ascii="Times New Roman" w:hAnsi="Times New Roman" w:eastAsia="宋体" w:cs="Times New Roman"/>
                      <w:color w:val="auto"/>
                      <w:spacing w:val="0"/>
                      <w:kern w:val="21"/>
                      <w:sz w:val="21"/>
                      <w:szCs w:val="21"/>
                      <w:highlight w:val="none"/>
                    </w:rPr>
                  </w:pPr>
                  <w:r>
                    <w:rPr>
                      <w:rFonts w:hint="eastAsia" w:ascii="Times New Roman" w:hAnsi="Times New Roman" w:eastAsia="宋体" w:cs="Times New Roman"/>
                      <w:color w:val="auto"/>
                      <w:spacing w:val="0"/>
                      <w:kern w:val="21"/>
                      <w:sz w:val="21"/>
                      <w:szCs w:val="21"/>
                      <w:highlight w:val="none"/>
                    </w:rPr>
                    <w:t>不</w:t>
                  </w:r>
                  <w:r>
                    <w:rPr>
                      <w:rFonts w:ascii="Times New Roman" w:hAnsi="Times New Roman" w:eastAsia="宋体" w:cs="Times New Roman"/>
                      <w:color w:val="auto"/>
                      <w:spacing w:val="0"/>
                      <w:kern w:val="21"/>
                      <w:sz w:val="21"/>
                      <w:szCs w:val="21"/>
                      <w:highlight w:val="none"/>
                    </w:rPr>
                    <w:t>设置</w:t>
                  </w:r>
                  <w:r>
                    <w:rPr>
                      <w:rFonts w:hint="eastAsia" w:ascii="Times New Roman" w:hAnsi="Times New Roman" w:eastAsia="宋体" w:cs="Times New Roman"/>
                      <w:color w:val="auto"/>
                      <w:spacing w:val="0"/>
                      <w:kern w:val="21"/>
                      <w:sz w:val="21"/>
                      <w:szCs w:val="21"/>
                      <w:highlight w:val="none"/>
                      <w:lang w:eastAsia="zh-CN"/>
                    </w:rPr>
                    <w:t>，</w:t>
                  </w:r>
                  <w:r>
                    <w:rPr>
                      <w:rFonts w:hint="eastAsia" w:ascii="Times New Roman" w:hAnsi="Times New Roman" w:eastAsia="宋体" w:cs="Times New Roman"/>
                      <w:color w:val="auto"/>
                      <w:spacing w:val="0"/>
                      <w:kern w:val="21"/>
                      <w:sz w:val="21"/>
                      <w:szCs w:val="21"/>
                      <w:highlight w:val="none"/>
                      <w:lang w:val="en-US" w:eastAsia="zh-CN"/>
                    </w:rPr>
                    <w:t>项目不</w:t>
                  </w:r>
                  <w:r>
                    <w:rPr>
                      <w:rFonts w:ascii="Times New Roman" w:hAnsi="Times New Roman" w:eastAsia="宋体" w:cs="Times New Roman"/>
                      <w:color w:val="auto"/>
                      <w:spacing w:val="0"/>
                      <w:kern w:val="21"/>
                      <w:sz w:val="21"/>
                      <w:szCs w:val="21"/>
                      <w:highlight w:val="none"/>
                    </w:rPr>
                    <w:t>新增工业废水直排</w:t>
                  </w:r>
                </w:p>
              </w:tc>
            </w:tr>
            <w:tr w14:paraId="1920B3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6C7CA04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21"/>
                      <w:szCs w:val="21"/>
                      <w:highlight w:val="none"/>
                    </w:rPr>
                  </w:pPr>
                  <w:r>
                    <w:rPr>
                      <w:rFonts w:ascii="Times New Roman" w:hAnsi="Times New Roman" w:eastAsia="宋体" w:cs="Times New Roman"/>
                      <w:color w:val="auto"/>
                      <w:spacing w:val="0"/>
                      <w:kern w:val="21"/>
                      <w:sz w:val="21"/>
                      <w:szCs w:val="21"/>
                      <w:highlight w:val="none"/>
                    </w:rPr>
                    <w:t>环境风险</w:t>
                  </w:r>
                </w:p>
              </w:tc>
              <w:tc>
                <w:tcPr>
                  <w:tcW w:w="2255" w:type="pct"/>
                  <w:noWrap w:val="0"/>
                  <w:vAlign w:val="center"/>
                </w:tcPr>
                <w:p w14:paraId="3B847B07">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ascii="Times New Roman" w:hAnsi="Times New Roman" w:eastAsia="宋体" w:cs="Times New Roman"/>
                      <w:color w:val="auto"/>
                      <w:spacing w:val="0"/>
                      <w:kern w:val="21"/>
                      <w:sz w:val="21"/>
                      <w:szCs w:val="21"/>
                      <w:highlight w:val="none"/>
                    </w:rPr>
                  </w:pPr>
                  <w:r>
                    <w:rPr>
                      <w:rFonts w:ascii="Times New Roman" w:hAnsi="Times New Roman" w:eastAsia="宋体" w:cs="Times New Roman"/>
                      <w:color w:val="auto"/>
                      <w:spacing w:val="0"/>
                      <w:kern w:val="21"/>
                      <w:sz w:val="21"/>
                      <w:szCs w:val="21"/>
                      <w:highlight w:val="none"/>
                    </w:rPr>
                    <w:t>有毒有害和易燃易爆危险物质存储量超过临界量的建设项目</w:t>
                  </w:r>
                </w:p>
              </w:tc>
              <w:tc>
                <w:tcPr>
                  <w:tcW w:w="2044" w:type="pct"/>
                  <w:noWrap w:val="0"/>
                  <w:vAlign w:val="center"/>
                </w:tcPr>
                <w:p w14:paraId="42C5D696">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eastAsia" w:ascii="Times New Roman" w:hAnsi="Times New Roman" w:eastAsia="宋体" w:cs="Times New Roman"/>
                      <w:color w:val="auto"/>
                      <w:spacing w:val="0"/>
                      <w:kern w:val="21"/>
                      <w:sz w:val="21"/>
                      <w:szCs w:val="21"/>
                      <w:highlight w:val="none"/>
                    </w:rPr>
                  </w:pPr>
                  <w:r>
                    <w:rPr>
                      <w:rFonts w:hint="eastAsia" w:ascii="Times New Roman" w:hAnsi="Times New Roman" w:eastAsia="宋体" w:cs="Times New Roman"/>
                      <w:color w:val="auto"/>
                      <w:spacing w:val="0"/>
                      <w:kern w:val="21"/>
                      <w:sz w:val="21"/>
                      <w:szCs w:val="21"/>
                      <w:highlight w:val="none"/>
                    </w:rPr>
                    <w:t>不</w:t>
                  </w:r>
                  <w:r>
                    <w:rPr>
                      <w:rFonts w:ascii="Times New Roman" w:hAnsi="Times New Roman" w:eastAsia="宋体" w:cs="Times New Roman"/>
                      <w:color w:val="auto"/>
                      <w:spacing w:val="0"/>
                      <w:kern w:val="21"/>
                      <w:sz w:val="21"/>
                      <w:szCs w:val="21"/>
                      <w:highlight w:val="none"/>
                    </w:rPr>
                    <w:t>设置</w:t>
                  </w:r>
                  <w:r>
                    <w:rPr>
                      <w:rFonts w:hint="eastAsia" w:ascii="Times New Roman" w:hAnsi="Times New Roman" w:eastAsia="宋体" w:cs="Times New Roman"/>
                      <w:color w:val="auto"/>
                      <w:spacing w:val="0"/>
                      <w:kern w:val="21"/>
                      <w:sz w:val="21"/>
                      <w:szCs w:val="21"/>
                      <w:highlight w:val="none"/>
                      <w:lang w:eastAsia="zh-CN"/>
                    </w:rPr>
                    <w:t>，</w:t>
                  </w:r>
                  <w:r>
                    <w:rPr>
                      <w:rFonts w:hint="eastAsia" w:cs="Times New Roman"/>
                      <w:color w:val="auto"/>
                      <w:spacing w:val="0"/>
                      <w:kern w:val="21"/>
                      <w:sz w:val="21"/>
                      <w:szCs w:val="21"/>
                      <w:highlight w:val="none"/>
                      <w:lang w:val="en-US" w:eastAsia="zh-CN"/>
                    </w:rPr>
                    <w:t>本项目</w:t>
                  </w:r>
                  <w:r>
                    <w:rPr>
                      <w:rFonts w:hint="eastAsia" w:ascii="Times New Roman" w:hAnsi="Times New Roman" w:cs="Times New Roman"/>
                      <w:color w:val="auto"/>
                      <w:spacing w:val="0"/>
                      <w:kern w:val="21"/>
                      <w:sz w:val="21"/>
                      <w:szCs w:val="21"/>
                      <w:highlight w:val="none"/>
                      <w:lang w:val="en-US" w:eastAsia="zh-CN"/>
                    </w:rPr>
                    <w:t>无</w:t>
                  </w:r>
                  <w:r>
                    <w:rPr>
                      <w:rFonts w:ascii="Times New Roman" w:hAnsi="Times New Roman" w:eastAsia="宋体" w:cs="Times New Roman"/>
                      <w:color w:val="auto"/>
                      <w:spacing w:val="0"/>
                      <w:kern w:val="21"/>
                      <w:sz w:val="21"/>
                      <w:szCs w:val="21"/>
                      <w:highlight w:val="none"/>
                    </w:rPr>
                    <w:t>有毒有害和易燃易爆</w:t>
                  </w:r>
                  <w:r>
                    <w:rPr>
                      <w:rFonts w:hint="eastAsia" w:cs="Times New Roman"/>
                      <w:color w:val="auto"/>
                      <w:spacing w:val="0"/>
                      <w:kern w:val="21"/>
                      <w:sz w:val="21"/>
                      <w:szCs w:val="21"/>
                      <w:highlight w:val="none"/>
                      <w:lang w:val="en-US" w:eastAsia="zh-CN"/>
                    </w:rPr>
                    <w:t>的</w:t>
                  </w:r>
                  <w:r>
                    <w:rPr>
                      <w:rFonts w:ascii="Times New Roman" w:hAnsi="Times New Roman" w:eastAsia="宋体" w:cs="Times New Roman"/>
                      <w:color w:val="auto"/>
                      <w:spacing w:val="0"/>
                      <w:kern w:val="21"/>
                      <w:sz w:val="21"/>
                      <w:szCs w:val="21"/>
                      <w:highlight w:val="none"/>
                    </w:rPr>
                    <w:t>危险物质</w:t>
                  </w:r>
                </w:p>
              </w:tc>
            </w:tr>
            <w:tr w14:paraId="3B8C9D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2F294AD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21"/>
                      <w:szCs w:val="21"/>
                      <w:highlight w:val="none"/>
                    </w:rPr>
                  </w:pPr>
                  <w:r>
                    <w:rPr>
                      <w:rFonts w:ascii="Times New Roman" w:hAnsi="Times New Roman" w:eastAsia="宋体" w:cs="Times New Roman"/>
                      <w:color w:val="auto"/>
                      <w:spacing w:val="0"/>
                      <w:kern w:val="21"/>
                      <w:sz w:val="21"/>
                      <w:szCs w:val="21"/>
                      <w:highlight w:val="none"/>
                    </w:rPr>
                    <w:t>生态</w:t>
                  </w:r>
                </w:p>
              </w:tc>
              <w:tc>
                <w:tcPr>
                  <w:tcW w:w="2255" w:type="pct"/>
                  <w:noWrap w:val="0"/>
                  <w:vAlign w:val="center"/>
                </w:tcPr>
                <w:p w14:paraId="709AC875">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ascii="Times New Roman" w:hAnsi="Times New Roman" w:eastAsia="宋体" w:cs="Times New Roman"/>
                      <w:color w:val="auto"/>
                      <w:spacing w:val="0"/>
                      <w:kern w:val="21"/>
                      <w:sz w:val="21"/>
                      <w:szCs w:val="21"/>
                      <w:highlight w:val="none"/>
                    </w:rPr>
                  </w:pPr>
                  <w:r>
                    <w:rPr>
                      <w:rFonts w:ascii="Times New Roman" w:hAnsi="Times New Roman" w:eastAsia="宋体" w:cs="Times New Roman"/>
                      <w:color w:val="auto"/>
                      <w:spacing w:val="0"/>
                      <w:kern w:val="21"/>
                      <w:sz w:val="21"/>
                      <w:szCs w:val="21"/>
                      <w:highlight w:val="none"/>
                    </w:rPr>
                    <w:t>取水口下游500米范围内有重要水生生物的自然产卵场、索饵场、越冬场和洄游通道的新增河道取水的污染类建设项目</w:t>
                  </w:r>
                </w:p>
              </w:tc>
              <w:tc>
                <w:tcPr>
                  <w:tcW w:w="2044" w:type="pct"/>
                  <w:noWrap w:val="0"/>
                  <w:vAlign w:val="center"/>
                </w:tcPr>
                <w:p w14:paraId="1DAD703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spacing w:val="0"/>
                      <w:kern w:val="21"/>
                      <w:sz w:val="21"/>
                      <w:szCs w:val="21"/>
                      <w:highlight w:val="none"/>
                    </w:rPr>
                  </w:pPr>
                  <w:r>
                    <w:rPr>
                      <w:rFonts w:hint="eastAsia" w:ascii="Times New Roman" w:hAnsi="Times New Roman" w:eastAsia="宋体" w:cs="Times New Roman"/>
                      <w:color w:val="auto"/>
                      <w:spacing w:val="0"/>
                      <w:kern w:val="21"/>
                      <w:sz w:val="21"/>
                      <w:szCs w:val="21"/>
                      <w:highlight w:val="none"/>
                      <w:lang w:eastAsia="zh-CN"/>
                    </w:rPr>
                    <w:t>不设置</w:t>
                  </w:r>
                </w:p>
              </w:tc>
            </w:tr>
            <w:tr w14:paraId="15E98F4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7CED40FD">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21"/>
                      <w:szCs w:val="21"/>
                      <w:highlight w:val="none"/>
                    </w:rPr>
                  </w:pPr>
                  <w:r>
                    <w:rPr>
                      <w:rFonts w:ascii="Times New Roman" w:hAnsi="Times New Roman" w:eastAsia="宋体" w:cs="Times New Roman"/>
                      <w:color w:val="auto"/>
                      <w:spacing w:val="0"/>
                      <w:kern w:val="21"/>
                      <w:sz w:val="21"/>
                      <w:szCs w:val="21"/>
                      <w:highlight w:val="none"/>
                    </w:rPr>
                    <w:t>海洋</w:t>
                  </w:r>
                </w:p>
              </w:tc>
              <w:tc>
                <w:tcPr>
                  <w:tcW w:w="2255" w:type="pct"/>
                  <w:noWrap w:val="0"/>
                  <w:vAlign w:val="center"/>
                </w:tcPr>
                <w:p w14:paraId="2A00DD27">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ascii="Times New Roman" w:hAnsi="Times New Roman" w:eastAsia="宋体" w:cs="Times New Roman"/>
                      <w:color w:val="auto"/>
                      <w:spacing w:val="0"/>
                      <w:kern w:val="21"/>
                      <w:sz w:val="21"/>
                      <w:szCs w:val="21"/>
                      <w:highlight w:val="none"/>
                    </w:rPr>
                  </w:pPr>
                  <w:r>
                    <w:rPr>
                      <w:rFonts w:ascii="Times New Roman" w:hAnsi="Times New Roman" w:eastAsia="宋体" w:cs="Times New Roman"/>
                      <w:color w:val="auto"/>
                      <w:spacing w:val="0"/>
                      <w:kern w:val="21"/>
                      <w:sz w:val="21"/>
                      <w:szCs w:val="21"/>
                      <w:highlight w:val="none"/>
                    </w:rPr>
                    <w:t>直接向海排放污染物的海洋工程建设项目</w:t>
                  </w:r>
                </w:p>
              </w:tc>
              <w:tc>
                <w:tcPr>
                  <w:tcW w:w="2044" w:type="pct"/>
                  <w:noWrap w:val="0"/>
                  <w:vAlign w:val="center"/>
                </w:tcPr>
                <w:p w14:paraId="5EB34C8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spacing w:val="0"/>
                      <w:kern w:val="21"/>
                      <w:sz w:val="21"/>
                      <w:szCs w:val="21"/>
                      <w:highlight w:val="none"/>
                    </w:rPr>
                  </w:pPr>
                  <w:r>
                    <w:rPr>
                      <w:rFonts w:hint="eastAsia" w:ascii="Times New Roman" w:hAnsi="Times New Roman" w:eastAsia="宋体" w:cs="Times New Roman"/>
                      <w:color w:val="auto"/>
                      <w:spacing w:val="0"/>
                      <w:kern w:val="21"/>
                      <w:sz w:val="21"/>
                      <w:szCs w:val="21"/>
                      <w:highlight w:val="none"/>
                      <w:lang w:eastAsia="zh-CN"/>
                    </w:rPr>
                    <w:t>不设置</w:t>
                  </w:r>
                </w:p>
              </w:tc>
            </w:tr>
            <w:tr w14:paraId="10574D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398487A4">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spacing w:val="0"/>
                      <w:kern w:val="21"/>
                      <w:sz w:val="21"/>
                      <w:szCs w:val="21"/>
                      <w:highlight w:val="none"/>
                      <w:lang w:eastAsia="zh-CN"/>
                    </w:rPr>
                  </w:pPr>
                  <w:r>
                    <w:rPr>
                      <w:rFonts w:hint="eastAsia" w:ascii="Times New Roman" w:hAnsi="Times New Roman" w:eastAsia="宋体" w:cs="Times New Roman"/>
                      <w:color w:val="auto"/>
                      <w:spacing w:val="0"/>
                      <w:kern w:val="21"/>
                      <w:sz w:val="21"/>
                      <w:szCs w:val="21"/>
                      <w:highlight w:val="none"/>
                      <w:lang w:eastAsia="zh-CN"/>
                    </w:rPr>
                    <w:t>地下水</w:t>
                  </w:r>
                </w:p>
              </w:tc>
              <w:tc>
                <w:tcPr>
                  <w:tcW w:w="2255" w:type="pct"/>
                  <w:noWrap w:val="0"/>
                  <w:vAlign w:val="center"/>
                </w:tcPr>
                <w:p w14:paraId="4E856488">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ascii="Times New Roman" w:hAnsi="Times New Roman" w:eastAsia="宋体" w:cs="Times New Roman"/>
                      <w:color w:val="auto"/>
                      <w:spacing w:val="0"/>
                      <w:kern w:val="21"/>
                      <w:sz w:val="21"/>
                      <w:szCs w:val="21"/>
                      <w:highlight w:val="none"/>
                    </w:rPr>
                  </w:pPr>
                  <w:r>
                    <w:rPr>
                      <w:rFonts w:hint="eastAsia" w:ascii="Times New Roman" w:hAnsi="Times New Roman" w:eastAsia="宋体" w:cs="Times New Roman"/>
                      <w:color w:val="auto"/>
                      <w:spacing w:val="0"/>
                      <w:kern w:val="21"/>
                      <w:sz w:val="21"/>
                      <w:szCs w:val="21"/>
                      <w:highlight w:val="none"/>
                      <w:lang w:eastAsia="zh-CN"/>
                    </w:rPr>
                    <w:t>地下水原则上不开展专项评价，涉及集中式饮用水水源和热水、矿泉水、温泉等特殊地下水资源保护区的开展地下水专项评价工作</w:t>
                  </w:r>
                </w:p>
              </w:tc>
              <w:tc>
                <w:tcPr>
                  <w:tcW w:w="2044" w:type="pct"/>
                  <w:noWrap w:val="0"/>
                  <w:vAlign w:val="center"/>
                </w:tcPr>
                <w:p w14:paraId="71806D58">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spacing w:val="0"/>
                      <w:kern w:val="21"/>
                      <w:sz w:val="21"/>
                      <w:szCs w:val="21"/>
                      <w:highlight w:val="none"/>
                      <w:lang w:eastAsia="zh-CN"/>
                    </w:rPr>
                  </w:pPr>
                  <w:r>
                    <w:rPr>
                      <w:rFonts w:hint="eastAsia" w:ascii="Times New Roman" w:hAnsi="Times New Roman" w:eastAsia="宋体" w:cs="Times New Roman"/>
                      <w:color w:val="auto"/>
                      <w:spacing w:val="0"/>
                      <w:kern w:val="21"/>
                      <w:sz w:val="21"/>
                      <w:szCs w:val="21"/>
                      <w:highlight w:val="none"/>
                      <w:lang w:eastAsia="zh-CN"/>
                    </w:rPr>
                    <w:t>不设置</w:t>
                  </w:r>
                </w:p>
              </w:tc>
            </w:tr>
            <w:tr w14:paraId="315C2C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51292B06">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spacing w:val="0"/>
                      <w:kern w:val="21"/>
                      <w:sz w:val="21"/>
                      <w:szCs w:val="21"/>
                      <w:highlight w:val="none"/>
                      <w:lang w:eastAsia="zh-CN"/>
                    </w:rPr>
                  </w:pPr>
                  <w:r>
                    <w:rPr>
                      <w:rFonts w:hint="eastAsia" w:ascii="Times New Roman" w:hAnsi="Times New Roman" w:eastAsia="宋体" w:cs="Times New Roman"/>
                      <w:color w:val="auto"/>
                      <w:spacing w:val="0"/>
                      <w:kern w:val="21"/>
                      <w:sz w:val="21"/>
                      <w:szCs w:val="21"/>
                      <w:highlight w:val="none"/>
                      <w:lang w:eastAsia="zh-CN"/>
                    </w:rPr>
                    <w:t>土壤</w:t>
                  </w:r>
                </w:p>
              </w:tc>
              <w:tc>
                <w:tcPr>
                  <w:tcW w:w="2255" w:type="pct"/>
                  <w:vMerge w:val="restart"/>
                  <w:noWrap w:val="0"/>
                  <w:vAlign w:val="center"/>
                </w:tcPr>
                <w:p w14:paraId="30D5C985">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21"/>
                      <w:szCs w:val="21"/>
                      <w:highlight w:val="none"/>
                    </w:rPr>
                  </w:pPr>
                  <w:r>
                    <w:rPr>
                      <w:rFonts w:hint="eastAsia" w:ascii="Times New Roman" w:hAnsi="Times New Roman" w:eastAsia="宋体" w:cs="宋体"/>
                      <w:color w:val="auto"/>
                      <w:spacing w:val="0"/>
                      <w:kern w:val="21"/>
                      <w:sz w:val="21"/>
                      <w:szCs w:val="21"/>
                      <w:highlight w:val="none"/>
                    </w:rPr>
                    <w:t>土壤、声环境不开展专项评价</w:t>
                  </w:r>
                </w:p>
              </w:tc>
              <w:tc>
                <w:tcPr>
                  <w:tcW w:w="2044" w:type="pct"/>
                  <w:noWrap w:val="0"/>
                  <w:vAlign w:val="center"/>
                </w:tcPr>
                <w:p w14:paraId="57DCC90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spacing w:val="0"/>
                      <w:kern w:val="21"/>
                      <w:sz w:val="21"/>
                      <w:szCs w:val="21"/>
                      <w:highlight w:val="none"/>
                      <w:lang w:eastAsia="zh-CN"/>
                    </w:rPr>
                  </w:pPr>
                  <w:r>
                    <w:rPr>
                      <w:rFonts w:hint="eastAsia" w:ascii="Times New Roman" w:hAnsi="Times New Roman" w:eastAsia="宋体" w:cs="Times New Roman"/>
                      <w:color w:val="auto"/>
                      <w:spacing w:val="0"/>
                      <w:kern w:val="21"/>
                      <w:sz w:val="21"/>
                      <w:szCs w:val="21"/>
                      <w:highlight w:val="none"/>
                      <w:lang w:eastAsia="zh-CN"/>
                    </w:rPr>
                    <w:t>不设置</w:t>
                  </w:r>
                </w:p>
              </w:tc>
            </w:tr>
            <w:tr w14:paraId="4982C2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0" w:type="pct"/>
                  <w:noWrap w:val="0"/>
                  <w:vAlign w:val="center"/>
                </w:tcPr>
                <w:p w14:paraId="3401EBB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21"/>
                      <w:szCs w:val="21"/>
                      <w:highlight w:val="none"/>
                    </w:rPr>
                  </w:pPr>
                  <w:r>
                    <w:rPr>
                      <w:rFonts w:hint="eastAsia" w:ascii="Times New Roman" w:hAnsi="Times New Roman" w:eastAsia="宋体" w:cs="Times New Roman"/>
                      <w:color w:val="auto"/>
                      <w:spacing w:val="0"/>
                      <w:kern w:val="21"/>
                      <w:sz w:val="21"/>
                      <w:szCs w:val="21"/>
                      <w:highlight w:val="none"/>
                      <w:lang w:eastAsia="zh-CN"/>
                    </w:rPr>
                    <w:t>声环境</w:t>
                  </w:r>
                </w:p>
              </w:tc>
              <w:tc>
                <w:tcPr>
                  <w:tcW w:w="2255" w:type="pct"/>
                  <w:vMerge w:val="continue"/>
                  <w:noWrap w:val="0"/>
                  <w:vAlign w:val="center"/>
                </w:tcPr>
                <w:p w14:paraId="33AA504E">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ascii="Times New Roman" w:hAnsi="Times New Roman" w:eastAsia="宋体" w:cs="Times New Roman"/>
                      <w:color w:val="auto"/>
                      <w:spacing w:val="0"/>
                      <w:kern w:val="21"/>
                      <w:sz w:val="21"/>
                      <w:szCs w:val="21"/>
                      <w:highlight w:val="none"/>
                    </w:rPr>
                  </w:pPr>
                </w:p>
              </w:tc>
              <w:tc>
                <w:tcPr>
                  <w:tcW w:w="2044" w:type="pct"/>
                  <w:noWrap w:val="0"/>
                  <w:vAlign w:val="center"/>
                </w:tcPr>
                <w:p w14:paraId="218E8693">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spacing w:val="0"/>
                      <w:kern w:val="21"/>
                      <w:sz w:val="21"/>
                      <w:szCs w:val="21"/>
                      <w:highlight w:val="none"/>
                      <w:lang w:eastAsia="zh-CN"/>
                    </w:rPr>
                  </w:pPr>
                  <w:r>
                    <w:rPr>
                      <w:rFonts w:hint="eastAsia" w:ascii="Times New Roman" w:hAnsi="Times New Roman" w:eastAsia="宋体" w:cs="Times New Roman"/>
                      <w:color w:val="auto"/>
                      <w:spacing w:val="0"/>
                      <w:kern w:val="21"/>
                      <w:sz w:val="21"/>
                      <w:szCs w:val="21"/>
                      <w:highlight w:val="none"/>
                      <w:lang w:eastAsia="zh-CN"/>
                    </w:rPr>
                    <w:t>不设置</w:t>
                  </w:r>
                </w:p>
              </w:tc>
            </w:tr>
          </w:tbl>
          <w:p w14:paraId="7ED321E5">
            <w:pPr>
              <w:autoSpaceDE w:val="0"/>
              <w:autoSpaceDN w:val="0"/>
              <w:adjustRightInd w:val="0"/>
              <w:snapToGrid w:val="0"/>
              <w:spacing w:line="340" w:lineRule="exact"/>
              <w:jc w:val="center"/>
              <w:rPr>
                <w:rFonts w:hint="default" w:ascii="Times New Roman" w:hAnsi="Times New Roman" w:eastAsia="宋体" w:cs="Times New Roman"/>
                <w:color w:val="auto"/>
                <w:kern w:val="0"/>
                <w:sz w:val="24"/>
                <w:highlight w:val="none"/>
                <w:lang w:val="en-US" w:eastAsia="zh-CN"/>
              </w:rPr>
            </w:pPr>
          </w:p>
        </w:tc>
      </w:tr>
      <w:tr w14:paraId="289DE1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797" w:type="dxa"/>
            <w:vAlign w:val="center"/>
          </w:tcPr>
          <w:p w14:paraId="1C6C37BE">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规划情况</w:t>
            </w:r>
          </w:p>
        </w:tc>
        <w:tc>
          <w:tcPr>
            <w:tcW w:w="8011" w:type="dxa"/>
            <w:gridSpan w:val="3"/>
            <w:vAlign w:val="center"/>
          </w:tcPr>
          <w:p w14:paraId="457D6436">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无</w:t>
            </w:r>
          </w:p>
        </w:tc>
      </w:tr>
      <w:tr w14:paraId="6EF16E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97" w:type="dxa"/>
            <w:vAlign w:val="center"/>
          </w:tcPr>
          <w:p w14:paraId="18D6797F">
            <w:pPr>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规划环境影响评价情况</w:t>
            </w:r>
          </w:p>
        </w:tc>
        <w:tc>
          <w:tcPr>
            <w:tcW w:w="8011" w:type="dxa"/>
            <w:gridSpan w:val="3"/>
            <w:vAlign w:val="center"/>
          </w:tcPr>
          <w:p w14:paraId="34A7E4CD">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无</w:t>
            </w:r>
          </w:p>
        </w:tc>
      </w:tr>
      <w:tr w14:paraId="1DA1C3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97" w:type="dxa"/>
            <w:vAlign w:val="center"/>
          </w:tcPr>
          <w:p w14:paraId="0AD5A028">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规划及规划环境影响评价符合性分析</w:t>
            </w:r>
          </w:p>
        </w:tc>
        <w:tc>
          <w:tcPr>
            <w:tcW w:w="8011" w:type="dxa"/>
            <w:gridSpan w:val="3"/>
            <w:vAlign w:val="center"/>
          </w:tcPr>
          <w:p w14:paraId="36192E57">
            <w:pPr>
              <w:autoSpaceDE w:val="0"/>
              <w:autoSpaceDN w:val="0"/>
              <w:adjustRightInd w:val="0"/>
              <w:snapToGrid w:val="0"/>
              <w:spacing w:line="340" w:lineRule="exact"/>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w:t>
            </w:r>
          </w:p>
        </w:tc>
      </w:tr>
      <w:tr w14:paraId="148656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97" w:type="dxa"/>
            <w:vAlign w:val="center"/>
          </w:tcPr>
          <w:p w14:paraId="2383A32D">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其他符合性分析</w:t>
            </w:r>
          </w:p>
        </w:tc>
        <w:tc>
          <w:tcPr>
            <w:tcW w:w="8011" w:type="dxa"/>
            <w:gridSpan w:val="3"/>
            <w:vAlign w:val="center"/>
          </w:tcPr>
          <w:p w14:paraId="593BD35A">
            <w:pPr>
              <w:pStyle w:val="24"/>
              <w:spacing w:line="360" w:lineRule="auto"/>
              <w:jc w:val="both"/>
              <w:rPr>
                <w:rFonts w:hint="default" w:ascii="Times New Roman" w:hAnsi="Times New Roman" w:cs="Times New Roman"/>
                <w:b/>
                <w:color w:val="auto"/>
                <w:highlight w:val="none"/>
              </w:rPr>
            </w:pPr>
            <w:r>
              <w:rPr>
                <w:rFonts w:hint="default" w:ascii="Times New Roman" w:hAnsi="Times New Roman" w:cs="Times New Roman"/>
                <w:b/>
                <w:color w:val="auto"/>
                <w:highlight w:val="none"/>
              </w:rPr>
              <w:t>1、产业政策符合性分析</w:t>
            </w:r>
          </w:p>
          <w:p w14:paraId="60441C31">
            <w:pPr>
              <w:widowControl/>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根据《产业结构调整指导目录（</w:t>
            </w:r>
            <w:r>
              <w:rPr>
                <w:rFonts w:hint="default" w:ascii="Times New Roman" w:hAnsi="Times New Roman" w:eastAsia="宋体" w:cs="Times New Roman"/>
                <w:color w:val="auto"/>
                <w:sz w:val="24"/>
                <w:highlight w:val="none"/>
              </w:rPr>
              <w:t>20</w:t>
            </w:r>
            <w:r>
              <w:rPr>
                <w:rFonts w:hint="default" w:ascii="Times New Roman" w:hAnsi="Times New Roman" w:eastAsia="宋体" w:cs="Times New Roman"/>
                <w:color w:val="auto"/>
                <w:sz w:val="24"/>
                <w:highlight w:val="none"/>
                <w:lang w:val="en-US" w:eastAsia="zh-CN"/>
              </w:rPr>
              <w:t>24</w:t>
            </w:r>
            <w:r>
              <w:rPr>
                <w:rFonts w:hint="default" w:ascii="Times New Roman" w:hAnsi="Times New Roman" w:cs="Times New Roman"/>
                <w:color w:val="auto"/>
                <w:sz w:val="24"/>
                <w:highlight w:val="none"/>
              </w:rPr>
              <w:t>年</w:t>
            </w:r>
            <w:r>
              <w:rPr>
                <w:rFonts w:hint="default" w:ascii="Times New Roman" w:hAnsi="Times New Roman" w:cs="Times New Roman"/>
                <w:color w:val="auto"/>
                <w:sz w:val="24"/>
                <w:highlight w:val="none"/>
                <w:lang w:val="en-US" w:eastAsia="zh-CN"/>
              </w:rPr>
              <w:t>本</w:t>
            </w:r>
            <w:r>
              <w:rPr>
                <w:rFonts w:hint="default" w:ascii="Times New Roman" w:hAnsi="Times New Roman" w:cs="Times New Roman"/>
                <w:color w:val="auto"/>
                <w:sz w:val="24"/>
                <w:highlight w:val="none"/>
              </w:rPr>
              <w:t>）》，本项目属于</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三</w:t>
            </w:r>
            <w:r>
              <w:rPr>
                <w:rFonts w:hint="eastAsia"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煤炭第一条：储煤设施建设</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属于鼓励类项目</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项目生产过程中</w:t>
            </w:r>
            <w:r>
              <w:rPr>
                <w:rFonts w:hint="default" w:ascii="Times New Roman" w:hAnsi="Times New Roman" w:cs="Times New Roman"/>
                <w:color w:val="auto"/>
                <w:sz w:val="24"/>
                <w:highlight w:val="none"/>
                <w:lang w:val="en-US" w:eastAsia="zh-CN"/>
              </w:rPr>
              <w:t>不使用</w:t>
            </w:r>
            <w:r>
              <w:rPr>
                <w:rFonts w:hint="default" w:ascii="Times New Roman" w:hAnsi="Times New Roman" w:eastAsia="宋体" w:cs="Times New Roman"/>
                <w:color w:val="auto"/>
                <w:sz w:val="24"/>
                <w:highlight w:val="none"/>
                <w:lang w:val="en-US" w:eastAsia="zh-CN"/>
              </w:rPr>
              <w:t>国家明令禁止的淘汰类和限制类的工艺和设备，符合国家的产业政策和环保政策</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因此本项目的建设符合国家产业政策要求。</w:t>
            </w:r>
          </w:p>
          <w:p w14:paraId="3246A774">
            <w:pPr>
              <w:pStyle w:val="24"/>
              <w:spacing w:line="360" w:lineRule="auto"/>
              <w:jc w:val="both"/>
              <w:rPr>
                <w:rFonts w:hint="default" w:ascii="Times New Roman" w:hAnsi="Times New Roman" w:eastAsia="宋体" w:cs="Times New Roman"/>
                <w:b/>
                <w:color w:val="auto"/>
                <w:highlight w:val="none"/>
                <w:lang w:val="en-US"/>
              </w:rPr>
            </w:pPr>
            <w:r>
              <w:rPr>
                <w:rFonts w:hint="default" w:ascii="Times New Roman" w:hAnsi="Times New Roman" w:eastAsia="宋体" w:cs="Times New Roman"/>
                <w:b/>
                <w:color w:val="auto"/>
                <w:highlight w:val="none"/>
              </w:rPr>
              <w:t>2、</w:t>
            </w:r>
            <w:r>
              <w:rPr>
                <w:rFonts w:hint="eastAsia" w:ascii="Times New Roman" w:hAnsi="Times New Roman" w:eastAsia="宋体" w:cs="Times New Roman"/>
                <w:b/>
                <w:color w:val="auto"/>
                <w:highlight w:val="none"/>
                <w:lang w:val="en-US" w:eastAsia="zh-CN"/>
              </w:rPr>
              <w:t>环境影响评价技术文件类型的符合性分析</w:t>
            </w:r>
          </w:p>
          <w:p w14:paraId="1A069CC5">
            <w:pPr>
              <w:pStyle w:val="26"/>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w:t>
            </w:r>
            <w:r>
              <w:rPr>
                <w:rFonts w:hint="default" w:ascii="Times New Roman" w:hAnsi="Times New Roman" w:eastAsia="宋体" w:cs="Times New Roman"/>
                <w:color w:val="auto"/>
                <w:sz w:val="24"/>
                <w:highlight w:val="none"/>
                <w:lang w:val="en-US" w:eastAsia="zh-CN"/>
              </w:rPr>
              <w:t>《建设项目环境影响评价分类管理名录》（</w:t>
            </w:r>
            <w:r>
              <w:rPr>
                <w:rFonts w:hint="eastAsia" w:ascii="Times New Roman" w:hAnsi="Times New Roman" w:eastAsia="宋体" w:cs="Times New Roman"/>
                <w:color w:val="auto"/>
                <w:sz w:val="24"/>
                <w:highlight w:val="none"/>
                <w:lang w:val="en-US" w:eastAsia="zh-CN"/>
              </w:rPr>
              <w:t>2021年版）</w:t>
            </w:r>
            <w:r>
              <w:rPr>
                <w:rFonts w:hint="eastAsia" w:cs="Times New Roman"/>
                <w:color w:val="auto"/>
                <w:sz w:val="24"/>
                <w:highlight w:val="none"/>
                <w:lang w:val="en-US" w:eastAsia="zh-CN"/>
              </w:rPr>
              <w:t>“四、煤炭开采和洗选”</w:t>
            </w:r>
            <w:r>
              <w:rPr>
                <w:rFonts w:hint="eastAsia" w:ascii="Times New Roman" w:hAnsi="Times New Roman" w:eastAsia="宋体" w:cs="Times New Roman"/>
                <w:color w:val="auto"/>
                <w:sz w:val="24"/>
                <w:highlight w:val="none"/>
                <w:lang w:val="en-US" w:eastAsia="zh-CN"/>
              </w:rPr>
              <w:t>中煤炭储存、集运项目应当编制环境影响评价报告表，详见表1-1。</w:t>
            </w:r>
          </w:p>
          <w:p w14:paraId="7CBB020C">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表1-1 建设项目环境影响评价分类管理名录</w:t>
            </w:r>
          </w:p>
          <w:tbl>
            <w:tblPr>
              <w:tblStyle w:val="18"/>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9"/>
              <w:gridCol w:w="2265"/>
              <w:gridCol w:w="900"/>
              <w:gridCol w:w="2885"/>
              <w:gridCol w:w="1300"/>
            </w:tblGrid>
            <w:tr w14:paraId="22ED02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84" w:type="dxa"/>
                  <w:gridSpan w:val="2"/>
                  <w:tcBorders>
                    <w:tl2br w:val="nil"/>
                    <w:tr2bl w:val="nil"/>
                  </w:tcBorders>
                </w:tcPr>
                <w:p w14:paraId="60E6B31D">
                  <w:pPr>
                    <w:adjustRightInd w:val="0"/>
                    <w:snapToGrid w:val="0"/>
                    <w:jc w:val="right"/>
                    <w:rPr>
                      <w:rFonts w:hint="eastAsia" w:ascii="Times New Roman" w:hAnsi="Times New Roman" w:eastAsia="宋体" w:cs="Times New Roman"/>
                      <w:color w:val="auto"/>
                      <w:kern w:val="21"/>
                      <w:sz w:val="21"/>
                      <w:szCs w:val="21"/>
                      <w:highlight w:val="none"/>
                      <w:lang w:val="en-US" w:eastAsia="zh-CN"/>
                    </w:rPr>
                  </w:pPr>
                  <w:r>
                    <w:rPr>
                      <w:color w:val="auto"/>
                      <w:sz w:val="21"/>
                      <w:highlight w:val="none"/>
                    </w:rPr>
                    <mc:AlternateContent>
                      <mc:Choice Requires="wps">
                        <w:drawing>
                          <wp:anchor distT="0" distB="0" distL="114300" distR="114300" simplePos="0" relativeHeight="251667456" behindDoc="0" locked="0" layoutInCell="1" allowOverlap="1">
                            <wp:simplePos x="0" y="0"/>
                            <wp:positionH relativeFrom="column">
                              <wp:posOffset>-56515</wp:posOffset>
                            </wp:positionH>
                            <wp:positionV relativeFrom="paragraph">
                              <wp:posOffset>-4445</wp:posOffset>
                            </wp:positionV>
                            <wp:extent cx="1609725" cy="323850"/>
                            <wp:effectExtent l="1270" t="6350" r="8255" b="12700"/>
                            <wp:wrapNone/>
                            <wp:docPr id="39" name="直接连接符 39"/>
                            <wp:cNvGraphicFramePr/>
                            <a:graphic xmlns:a="http://schemas.openxmlformats.org/drawingml/2006/main">
                              <a:graphicData uri="http://schemas.microsoft.com/office/word/2010/wordprocessingShape">
                                <wps:wsp>
                                  <wps:cNvCnPr/>
                                  <wps:spPr>
                                    <a:xfrm>
                                      <a:off x="2342515" y="6812915"/>
                                      <a:ext cx="1609725" cy="32385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45pt;margin-top:-0.35pt;height:25.5pt;width:126.75pt;z-index:251667456;mso-width-relative:page;mso-height-relative:page;" filled="f" stroked="t" coordsize="21600,21600" o:gfxdata="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svvordgAAAAHAQAADwAAAAAAAAABACAAAAAiAAAAZHJzL2Rvd25yZXYueG1s&#10;UEsBAhQAFAAAAAgAh07iQEmu3tj4AQAAxQMAAA4AAAAAAAAAAQAgAAAAJwEAAGRycy9lMm9Eb2Mu&#10;eG1sUEsFBgAAAAAGAAYAWQEAAJEFAAAAAA==&#10;">
                            <v:fill on="f" focussize="0,0"/>
                            <v:stroke weight="1pt" color="#000000 [3213]" miterlimit="8" joinstyle="miter"/>
                            <v:imagedata o:title=""/>
                            <o:lock v:ext="edit" aspectratio="f"/>
                          </v:line>
                        </w:pict>
                      </mc:Fallback>
                    </mc:AlternateContent>
                  </w:r>
                  <w:r>
                    <w:rPr>
                      <w:rFonts w:hint="eastAsia" w:ascii="Times New Roman" w:hAnsi="Times New Roman" w:eastAsia="宋体" w:cs="Times New Roman"/>
                      <w:color w:val="auto"/>
                      <w:kern w:val="21"/>
                      <w:sz w:val="21"/>
                      <w:szCs w:val="21"/>
                      <w:highlight w:val="none"/>
                      <w:lang w:val="en-US" w:eastAsia="zh-CN"/>
                    </w:rPr>
                    <w:t>环评类别</w:t>
                  </w:r>
                </w:p>
                <w:p w14:paraId="7F944C06">
                  <w:pPr>
                    <w:adjustRightInd w:val="0"/>
                    <w:snapToGrid w:val="0"/>
                    <w:jc w:val="left"/>
                    <w:rPr>
                      <w:rFonts w:hint="eastAsia" w:ascii="Times New Roman" w:hAnsi="Times New Roman" w:eastAsia="宋体" w:cs="Times New Roman"/>
                      <w:color w:val="auto"/>
                      <w:kern w:val="21"/>
                      <w:sz w:val="21"/>
                      <w:szCs w:val="21"/>
                      <w:highlight w:val="none"/>
                      <w:lang w:val="en-US" w:eastAsia="zh-CN"/>
                    </w:rPr>
                  </w:pPr>
                  <w:r>
                    <w:rPr>
                      <w:rFonts w:hint="eastAsia" w:ascii="Times New Roman" w:hAnsi="Times New Roman" w:eastAsia="宋体" w:cs="Times New Roman"/>
                      <w:color w:val="auto"/>
                      <w:kern w:val="21"/>
                      <w:sz w:val="21"/>
                      <w:szCs w:val="21"/>
                      <w:highlight w:val="none"/>
                      <w:lang w:val="en-US" w:eastAsia="zh-CN"/>
                    </w:rPr>
                    <w:t>项目类别</w:t>
                  </w:r>
                </w:p>
              </w:tc>
              <w:tc>
                <w:tcPr>
                  <w:tcW w:w="900" w:type="dxa"/>
                  <w:tcBorders>
                    <w:tl2br w:val="nil"/>
                    <w:tr2bl w:val="nil"/>
                  </w:tcBorders>
                  <w:vAlign w:val="center"/>
                </w:tcPr>
                <w:p w14:paraId="5323673E">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eastAsia" w:ascii="Times New Roman" w:hAnsi="Times New Roman" w:eastAsia="宋体" w:cs="Times New Roman"/>
                      <w:color w:val="auto"/>
                      <w:kern w:val="21"/>
                      <w:sz w:val="21"/>
                      <w:szCs w:val="21"/>
                      <w:highlight w:val="none"/>
                      <w:lang w:val="en-US" w:eastAsia="zh-CN"/>
                    </w:rPr>
                    <w:t>报告书</w:t>
                  </w:r>
                </w:p>
              </w:tc>
              <w:tc>
                <w:tcPr>
                  <w:tcW w:w="2885" w:type="dxa"/>
                  <w:tcBorders>
                    <w:tl2br w:val="nil"/>
                    <w:tr2bl w:val="nil"/>
                  </w:tcBorders>
                  <w:vAlign w:val="center"/>
                </w:tcPr>
                <w:p w14:paraId="2D15057B">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eastAsia" w:ascii="Times New Roman" w:hAnsi="Times New Roman" w:eastAsia="宋体" w:cs="Times New Roman"/>
                      <w:color w:val="auto"/>
                      <w:kern w:val="21"/>
                      <w:sz w:val="21"/>
                      <w:szCs w:val="21"/>
                      <w:highlight w:val="none"/>
                      <w:lang w:val="en-US" w:eastAsia="zh-CN"/>
                    </w:rPr>
                    <w:t>报告表</w:t>
                  </w:r>
                </w:p>
              </w:tc>
              <w:tc>
                <w:tcPr>
                  <w:tcW w:w="1300" w:type="dxa"/>
                  <w:tcBorders>
                    <w:tl2br w:val="nil"/>
                    <w:tr2bl w:val="nil"/>
                  </w:tcBorders>
                  <w:vAlign w:val="center"/>
                </w:tcPr>
                <w:p w14:paraId="0063F064">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eastAsia" w:ascii="Times New Roman" w:hAnsi="Times New Roman" w:eastAsia="宋体" w:cs="Times New Roman"/>
                      <w:color w:val="auto"/>
                      <w:kern w:val="21"/>
                      <w:sz w:val="21"/>
                      <w:szCs w:val="21"/>
                      <w:highlight w:val="none"/>
                      <w:lang w:val="en-US" w:eastAsia="zh-CN"/>
                    </w:rPr>
                    <w:t>登记表</w:t>
                  </w:r>
                </w:p>
              </w:tc>
            </w:tr>
            <w:tr w14:paraId="3E082C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7669" w:type="dxa"/>
                  <w:gridSpan w:val="5"/>
                  <w:tcBorders>
                    <w:tl2br w:val="nil"/>
                    <w:tr2bl w:val="nil"/>
                  </w:tcBorders>
                </w:tcPr>
                <w:p w14:paraId="638E3F8C">
                  <w:pPr>
                    <w:adjustRightInd w:val="0"/>
                    <w:snapToGrid w:val="0"/>
                    <w:jc w:val="left"/>
                    <w:rPr>
                      <w:rFonts w:hint="eastAsia" w:ascii="Times New Roman" w:hAnsi="Times New Roman" w:eastAsia="宋体" w:cs="Times New Roman"/>
                      <w:color w:val="auto"/>
                      <w:kern w:val="21"/>
                      <w:sz w:val="21"/>
                      <w:szCs w:val="21"/>
                      <w:highlight w:val="none"/>
                      <w:lang w:val="en-US" w:eastAsia="zh-CN"/>
                    </w:rPr>
                  </w:pPr>
                  <w:r>
                    <w:rPr>
                      <w:rFonts w:hint="eastAsia" w:ascii="Times New Roman" w:hAnsi="Times New Roman" w:eastAsia="宋体" w:cs="Times New Roman"/>
                      <w:color w:val="auto"/>
                      <w:kern w:val="21"/>
                      <w:sz w:val="21"/>
                      <w:szCs w:val="21"/>
                      <w:highlight w:val="none"/>
                      <w:lang w:val="en-US" w:eastAsia="zh-CN"/>
                    </w:rPr>
                    <w:t>四、煤炭开采和洗选</w:t>
                  </w:r>
                </w:p>
              </w:tc>
            </w:tr>
            <w:tr w14:paraId="791D34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9" w:type="dxa"/>
                  <w:tcBorders>
                    <w:tl2br w:val="nil"/>
                    <w:tr2bl w:val="nil"/>
                  </w:tcBorders>
                  <w:vAlign w:val="center"/>
                </w:tcPr>
                <w:p w14:paraId="5E4724D4">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eastAsia" w:ascii="Times New Roman" w:hAnsi="Times New Roman" w:eastAsia="宋体" w:cs="Times New Roman"/>
                      <w:color w:val="auto"/>
                      <w:kern w:val="21"/>
                      <w:sz w:val="21"/>
                      <w:szCs w:val="21"/>
                      <w:highlight w:val="none"/>
                      <w:lang w:val="en-US" w:eastAsia="zh-CN"/>
                    </w:rPr>
                    <w:t>6</w:t>
                  </w:r>
                </w:p>
              </w:tc>
              <w:tc>
                <w:tcPr>
                  <w:tcW w:w="2265" w:type="dxa"/>
                  <w:tcBorders>
                    <w:tl2br w:val="nil"/>
                    <w:tr2bl w:val="nil"/>
                  </w:tcBorders>
                  <w:vAlign w:val="center"/>
                </w:tcPr>
                <w:p w14:paraId="65F1A28C">
                  <w:pPr>
                    <w:adjustRightInd w:val="0"/>
                    <w:snapToGrid w:val="0"/>
                    <w:jc w:val="center"/>
                    <w:rPr>
                      <w:rFonts w:hint="eastAsia" w:ascii="Times New Roman" w:hAnsi="Times New Roman" w:eastAsia="宋体" w:cs="Times New Roman"/>
                      <w:color w:val="auto"/>
                      <w:kern w:val="21"/>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烟煤和无烟煤开采洗选061；褐煤开采洗选062；其他煤炭采选069</w:t>
                  </w:r>
                </w:p>
              </w:tc>
              <w:tc>
                <w:tcPr>
                  <w:tcW w:w="900" w:type="dxa"/>
                  <w:tcBorders>
                    <w:tl2br w:val="nil"/>
                    <w:tr2bl w:val="nil"/>
                  </w:tcBorders>
                  <w:vAlign w:val="center"/>
                </w:tcPr>
                <w:p w14:paraId="62020B26">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eastAsia" w:ascii="Times New Roman" w:hAnsi="Times New Roman" w:eastAsia="宋体" w:cs="Times New Roman"/>
                      <w:color w:val="auto"/>
                      <w:kern w:val="21"/>
                      <w:sz w:val="21"/>
                      <w:szCs w:val="21"/>
                      <w:highlight w:val="none"/>
                      <w:lang w:val="en-US" w:eastAsia="zh-CN"/>
                    </w:rPr>
                    <w:t>煤炭开采</w:t>
                  </w:r>
                </w:p>
              </w:tc>
              <w:tc>
                <w:tcPr>
                  <w:tcW w:w="2885" w:type="dxa"/>
                  <w:tcBorders>
                    <w:tl2br w:val="nil"/>
                    <w:tr2bl w:val="nil"/>
                  </w:tcBorders>
                  <w:vAlign w:val="center"/>
                </w:tcPr>
                <w:p w14:paraId="40BB4266">
                  <w:pPr>
                    <w:adjustRightInd w:val="0"/>
                    <w:snapToGrid w:val="0"/>
                    <w:jc w:val="center"/>
                    <w:rPr>
                      <w:rFonts w:hint="eastAsia" w:ascii="Times New Roman" w:hAnsi="Times New Roman" w:eastAsia="宋体" w:cs="Times New Roman"/>
                      <w:color w:val="auto"/>
                      <w:kern w:val="21"/>
                      <w:sz w:val="21"/>
                      <w:szCs w:val="21"/>
                      <w:highlight w:val="none"/>
                      <w:lang w:val="en-US" w:eastAsia="zh-CN"/>
                    </w:rPr>
                  </w:pPr>
                  <w:r>
                    <w:rPr>
                      <w:rFonts w:hint="eastAsia" w:eastAsia="宋体" w:cs="Times New Roman"/>
                      <w:b w:val="0"/>
                      <w:bCs w:val="0"/>
                      <w:color w:val="auto"/>
                      <w:kern w:val="2"/>
                      <w:sz w:val="21"/>
                      <w:szCs w:val="21"/>
                      <w:highlight w:val="none"/>
                      <w:lang w:val="en-US" w:eastAsia="zh-CN" w:bidi="ar-SA"/>
                    </w:rPr>
                    <w:t>煤炭洗选、配煤；煤炭储存、集运；风井场地、瓦斯抽放站；矿区修复治理工程</w:t>
                  </w:r>
                </w:p>
              </w:tc>
              <w:tc>
                <w:tcPr>
                  <w:tcW w:w="1300" w:type="dxa"/>
                  <w:tcBorders>
                    <w:tl2br w:val="nil"/>
                    <w:tr2bl w:val="nil"/>
                  </w:tcBorders>
                  <w:vAlign w:val="center"/>
                </w:tcPr>
                <w:p w14:paraId="4AB84CFF">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eastAsia" w:ascii="Times New Roman" w:hAnsi="Times New Roman" w:eastAsia="宋体" w:cs="Times New Roman"/>
                      <w:color w:val="auto"/>
                      <w:kern w:val="21"/>
                      <w:sz w:val="21"/>
                      <w:szCs w:val="21"/>
                      <w:highlight w:val="none"/>
                      <w:lang w:val="en-US" w:eastAsia="zh-CN"/>
                    </w:rPr>
                    <w:t>/</w:t>
                  </w:r>
                </w:p>
              </w:tc>
            </w:tr>
          </w:tbl>
          <w:p w14:paraId="4D58034E">
            <w:pPr>
              <w:pStyle w:val="26"/>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本项目为储煤场建设项目，属于</w:t>
            </w:r>
            <w:r>
              <w:rPr>
                <w:rFonts w:hint="eastAsia" w:ascii="Times New Roman" w:hAnsi="Times New Roman" w:eastAsia="宋体" w:cs="Times New Roman"/>
                <w:color w:val="auto"/>
                <w:highlight w:val="none"/>
                <w:lang w:val="en-US" w:eastAsia="zh-CN"/>
              </w:rPr>
              <w:t>利用固定场所进行煤炭储存和销售，根据上表可知，项目应编制环境影响评价技术文件类型为环境影响评价报告表。</w:t>
            </w:r>
          </w:p>
          <w:p w14:paraId="017862E9">
            <w:pPr>
              <w:pStyle w:val="26"/>
              <w:spacing w:line="360" w:lineRule="auto"/>
              <w:ind w:firstLine="0"/>
              <w:rPr>
                <w:rFonts w:hint="default" w:ascii="Times New Roman" w:hAnsi="Times New Roman" w:cs="Times New Roman"/>
                <w:b/>
                <w:color w:val="auto"/>
                <w:highlight w:val="none"/>
              </w:rPr>
            </w:pPr>
            <w:r>
              <w:rPr>
                <w:rFonts w:hint="eastAsia" w:cs="Times New Roman"/>
                <w:b/>
                <w:color w:val="auto"/>
                <w:highlight w:val="none"/>
                <w:lang w:val="en-US" w:eastAsia="zh-CN"/>
              </w:rPr>
              <w:t>3、</w:t>
            </w:r>
            <w:r>
              <w:rPr>
                <w:rFonts w:hint="default" w:ascii="Times New Roman" w:hAnsi="Times New Roman" w:cs="Times New Roman"/>
                <w:b/>
                <w:color w:val="auto"/>
                <w:highlight w:val="none"/>
              </w:rPr>
              <w:t>选址合理性分析</w:t>
            </w:r>
          </w:p>
          <w:p w14:paraId="01B06A2C">
            <w:pPr>
              <w:autoSpaceDE w:val="0"/>
              <w:autoSpaceDN w:val="0"/>
              <w:adjustRightInd w:val="0"/>
              <w:snapToGrid w:val="0"/>
              <w:spacing w:line="360" w:lineRule="auto"/>
              <w:ind w:firstLine="480" w:firstLineChars="200"/>
              <w:rPr>
                <w:color w:val="auto"/>
                <w:kern w:val="0"/>
                <w:sz w:val="24"/>
                <w:highlight w:val="none"/>
              </w:rPr>
            </w:pPr>
            <w:r>
              <w:rPr>
                <w:rFonts w:hint="eastAsia"/>
                <w:color w:val="auto"/>
                <w:kern w:val="0"/>
                <w:sz w:val="24"/>
                <w:highlight w:val="none"/>
              </w:rPr>
              <w:t>项目</w:t>
            </w:r>
            <w:r>
              <w:rPr>
                <w:color w:val="auto"/>
                <w:kern w:val="0"/>
                <w:sz w:val="24"/>
                <w:highlight w:val="none"/>
              </w:rPr>
              <w:t>位于</w:t>
            </w:r>
            <w:r>
              <w:rPr>
                <w:rFonts w:hint="eastAsia"/>
                <w:color w:val="auto"/>
                <w:kern w:val="0"/>
                <w:sz w:val="24"/>
                <w:highlight w:val="none"/>
              </w:rPr>
              <w:t>黑龙江省鸡西市</w:t>
            </w:r>
            <w:r>
              <w:rPr>
                <w:rFonts w:hint="eastAsia"/>
                <w:color w:val="auto"/>
                <w:kern w:val="0"/>
                <w:sz w:val="24"/>
                <w:highlight w:val="none"/>
                <w:lang w:val="en-US" w:eastAsia="zh-CN"/>
              </w:rPr>
              <w:t>城子河区，该地块占地为工业用地（土地证见附件2），本项目行业类别属于国民经济B0690其他煤炭采选，符合土地利用规划要求</w:t>
            </w:r>
            <w:r>
              <w:rPr>
                <w:color w:val="auto"/>
                <w:kern w:val="0"/>
                <w:sz w:val="24"/>
                <w:highlight w:val="none"/>
              </w:rPr>
              <w:t>。项目区及周围无自然保护区，无风景名胜区，也未发现珍稀保护动植物，属一般区域。本项目所在地地势平坦，厂区地理位置交通便利，基础设施齐全，与周边环境协调。</w:t>
            </w:r>
            <w:r>
              <w:rPr>
                <w:rFonts w:hint="eastAsia"/>
                <w:color w:val="auto"/>
                <w:kern w:val="0"/>
                <w:sz w:val="24"/>
                <w:highlight w:val="none"/>
                <w:lang w:val="en-US" w:eastAsia="zh-CN"/>
              </w:rPr>
              <w:t>项目北侧为储煤场企业，西侧为废品回收站，南侧为国道201，东侧为空地</w:t>
            </w:r>
            <w:r>
              <w:rPr>
                <w:rFonts w:hint="eastAsia"/>
                <w:color w:val="auto"/>
                <w:kern w:val="0"/>
                <w:sz w:val="24"/>
                <w:highlight w:val="none"/>
                <w:lang w:eastAsia="zh-CN"/>
              </w:rPr>
              <w:t>。</w:t>
            </w:r>
            <w:r>
              <w:rPr>
                <w:rFonts w:hint="eastAsia"/>
                <w:color w:val="auto"/>
                <w:kern w:val="0"/>
                <w:sz w:val="24"/>
                <w:highlight w:val="none"/>
                <w:lang w:val="en-US" w:eastAsia="zh-CN"/>
              </w:rPr>
              <w:t>当地主导风向为西风，项目周边大气保护目标均位于主导风向的上风向或侧风向，影响较小。</w:t>
            </w:r>
            <w:r>
              <w:rPr>
                <w:color w:val="auto"/>
                <w:kern w:val="0"/>
                <w:sz w:val="24"/>
                <w:highlight w:val="none"/>
              </w:rPr>
              <w:t>项目不在风景名胜区、自然保护区、水源保护区及其他需要特别保护的区域内，没有明显的环境制约因素</w:t>
            </w:r>
            <w:r>
              <w:rPr>
                <w:rFonts w:hint="eastAsia"/>
                <w:color w:val="auto"/>
                <w:kern w:val="0"/>
                <w:sz w:val="24"/>
                <w:highlight w:val="none"/>
              </w:rPr>
              <w:t>。</w:t>
            </w:r>
          </w:p>
          <w:p w14:paraId="05F64419">
            <w:pPr>
              <w:autoSpaceDE w:val="0"/>
              <w:autoSpaceDN w:val="0"/>
              <w:adjustRightInd w:val="0"/>
              <w:snapToGrid w:val="0"/>
              <w:spacing w:line="360" w:lineRule="auto"/>
              <w:ind w:firstLine="480" w:firstLineChars="200"/>
              <w:rPr>
                <w:rFonts w:hint="default"/>
                <w:color w:val="auto"/>
                <w:kern w:val="0"/>
                <w:sz w:val="24"/>
                <w:highlight w:val="none"/>
              </w:rPr>
            </w:pPr>
            <w:r>
              <w:rPr>
                <w:rFonts w:hint="default" w:ascii="Times New Roman" w:hAnsi="Times New Roman" w:eastAsia="宋体" w:cs="Times New Roman"/>
                <w:color w:val="auto"/>
                <w:kern w:val="0"/>
                <w:sz w:val="24"/>
                <w:highlight w:val="none"/>
                <w:lang w:val="en-US" w:eastAsia="zh-CN"/>
              </w:rPr>
              <w:t>本项目不属于高污染高耗能项目，项目仅用于贮存和销售周边其他煤矿生产的煤炭；</w:t>
            </w:r>
            <w:r>
              <w:rPr>
                <w:rFonts w:hint="default" w:ascii="Times New Roman" w:hAnsi="Times New Roman" w:eastAsia="宋体" w:cs="Times New Roman"/>
                <w:color w:val="auto"/>
                <w:kern w:val="0"/>
                <w:sz w:val="24"/>
                <w:szCs w:val="24"/>
                <w:highlight w:val="none"/>
                <w:lang w:val="en-US" w:eastAsia="zh-CN"/>
              </w:rPr>
              <w:t>项目生产中有无组织粉尘产生，在采用堆场及道路洒水、苫盖等措施后，粉尘产生能够满足</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煤炭工业污染物</w:t>
            </w:r>
            <w:r>
              <w:rPr>
                <w:rFonts w:hint="default" w:ascii="Times New Roman" w:hAnsi="Times New Roman" w:cs="Times New Roman"/>
                <w:color w:val="auto"/>
                <w:kern w:val="0"/>
                <w:sz w:val="24"/>
                <w:highlight w:val="none"/>
              </w:rPr>
              <w:t>排放标准》（GB</w:t>
            </w:r>
            <w:r>
              <w:rPr>
                <w:rFonts w:hint="default" w:ascii="Times New Roman" w:hAnsi="Times New Roman" w:cs="Times New Roman"/>
                <w:color w:val="auto"/>
                <w:kern w:val="0"/>
                <w:sz w:val="24"/>
                <w:highlight w:val="none"/>
                <w:lang w:val="en-US" w:eastAsia="zh-CN"/>
              </w:rPr>
              <w:t>20426</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200</w:t>
            </w:r>
            <w:r>
              <w:rPr>
                <w:rFonts w:hint="default" w:ascii="Times New Roman" w:hAnsi="Times New Roman" w:cs="Times New Roman"/>
                <w:color w:val="auto"/>
                <w:kern w:val="0"/>
                <w:sz w:val="24"/>
                <w:highlight w:val="none"/>
              </w:rPr>
              <w:t>6）</w:t>
            </w:r>
            <w:r>
              <w:rPr>
                <w:rFonts w:hint="default" w:ascii="Times New Roman" w:hAnsi="Times New Roman" w:eastAsia="宋体" w:cs="Times New Roman"/>
                <w:color w:val="auto"/>
                <w:kern w:val="0"/>
                <w:sz w:val="24"/>
                <w:szCs w:val="24"/>
                <w:highlight w:val="none"/>
                <w:lang w:val="en-US" w:eastAsia="zh-CN"/>
              </w:rPr>
              <w:t>中的无组织排放限值；项目无生产废水产生，生活废水排入防渗旱厕，定期外运堆肥；</w:t>
            </w:r>
            <w:r>
              <w:rPr>
                <w:rFonts w:hint="default" w:ascii="Times New Roman" w:hAnsi="Times New Roman" w:cs="Times New Roman"/>
                <w:color w:val="auto"/>
                <w:sz w:val="24"/>
                <w:highlight w:val="none"/>
              </w:rPr>
              <w:t>生产设备选用低噪声设备，采取隔声、降噪等措施，厂界噪声满足《工业企业厂界环境噪声排放标准》（GB12348-2008）表1中2类标准要求；生活垃圾由市政部门统一处理；</w:t>
            </w:r>
            <w:r>
              <w:rPr>
                <w:rFonts w:hint="default" w:ascii="Times New Roman" w:hAnsi="Times New Roman" w:cs="Times New Roman"/>
                <w:color w:val="auto"/>
                <w:sz w:val="24"/>
                <w:highlight w:val="none"/>
                <w:lang w:val="en-US" w:eastAsia="zh-CN"/>
              </w:rPr>
              <w:t>雨水收集池沉渣</w:t>
            </w:r>
            <w:r>
              <w:rPr>
                <w:rFonts w:hint="default" w:ascii="Times New Roman" w:hAnsi="Times New Roman" w:cs="Times New Roman"/>
                <w:color w:val="auto"/>
                <w:sz w:val="24"/>
                <w:highlight w:val="none"/>
              </w:rPr>
              <w:t>进行资源化利用，定期清运</w:t>
            </w:r>
            <w:r>
              <w:rPr>
                <w:rFonts w:hint="default" w:ascii="Times New Roman" w:hAnsi="Times New Roman" w:cs="Times New Roman"/>
                <w:color w:val="auto"/>
                <w:sz w:val="24"/>
                <w:highlight w:val="none"/>
                <w:lang w:eastAsia="zh-CN"/>
              </w:rPr>
              <w:t>；废机油、含油抹布</w:t>
            </w:r>
            <w:r>
              <w:rPr>
                <w:rFonts w:hint="default" w:ascii="Times New Roman" w:hAnsi="Times New Roman" w:cs="Times New Roman"/>
                <w:color w:val="auto"/>
                <w:sz w:val="24"/>
                <w:highlight w:val="none"/>
                <w:lang w:val="en-US" w:eastAsia="zh-CN"/>
              </w:rPr>
              <w:t>等危险废物，</w:t>
            </w:r>
            <w:r>
              <w:rPr>
                <w:rFonts w:hint="default" w:ascii="Times New Roman" w:hAnsi="Times New Roman" w:cs="Times New Roman"/>
                <w:color w:val="auto"/>
                <w:sz w:val="24"/>
                <w:highlight w:val="none"/>
                <w:lang w:eastAsia="zh-CN"/>
              </w:rPr>
              <w:t>统一暂存于</w:t>
            </w:r>
            <w:r>
              <w:rPr>
                <w:rFonts w:hint="eastAsia" w:cs="Times New Roman"/>
                <w:color w:val="auto"/>
                <w:sz w:val="24"/>
                <w:highlight w:val="none"/>
                <w:lang w:eastAsia="zh-CN"/>
              </w:rPr>
              <w:t>危险废物贮存点</w:t>
            </w:r>
            <w:r>
              <w:rPr>
                <w:rFonts w:hint="default" w:ascii="Times New Roman" w:hAnsi="Times New Roman" w:cs="Times New Roman"/>
                <w:color w:val="auto"/>
                <w:sz w:val="24"/>
                <w:highlight w:val="none"/>
                <w:lang w:eastAsia="zh-CN"/>
              </w:rPr>
              <w:t>，委托有资质单位处置</w:t>
            </w:r>
            <w:r>
              <w:rPr>
                <w:rFonts w:hint="default" w:ascii="Times New Roman" w:hAnsi="Times New Roman" w:cs="Times New Roman"/>
                <w:color w:val="auto"/>
                <w:sz w:val="24"/>
                <w:highlight w:val="none"/>
              </w:rPr>
              <w:t>固体废物贮存、处置符合《一般工业固体废物贮存</w:t>
            </w:r>
            <w:r>
              <w:rPr>
                <w:rFonts w:hint="eastAsia" w:cs="Times New Roman"/>
                <w:color w:val="auto"/>
                <w:sz w:val="24"/>
                <w:highlight w:val="none"/>
                <w:lang w:val="en-US" w:eastAsia="zh-CN"/>
              </w:rPr>
              <w:t>和填埋</w:t>
            </w:r>
            <w:r>
              <w:rPr>
                <w:rFonts w:hint="default" w:ascii="Times New Roman" w:hAnsi="Times New Roman" w:cs="Times New Roman"/>
                <w:color w:val="auto"/>
                <w:sz w:val="24"/>
                <w:highlight w:val="none"/>
              </w:rPr>
              <w:t>污染控制标准》(GB 18599-2020)和《危险废物贮存污染控制标准》（GB18597-20</w:t>
            </w:r>
            <w:r>
              <w:rPr>
                <w:rFonts w:hint="default" w:ascii="Times New Roman" w:hAnsi="Times New Roman" w:cs="Times New Roman"/>
                <w:color w:val="auto"/>
                <w:sz w:val="24"/>
                <w:highlight w:val="none"/>
                <w:lang w:val="en-US" w:eastAsia="zh-CN"/>
              </w:rPr>
              <w:t>23</w:t>
            </w:r>
            <w:r>
              <w:rPr>
                <w:rFonts w:hint="default" w:ascii="Times New Roman" w:hAnsi="Times New Roman" w:cs="Times New Roman"/>
                <w:color w:val="auto"/>
                <w:sz w:val="24"/>
                <w:highlight w:val="none"/>
              </w:rPr>
              <w:t>）。本项目各项污染物经过有效的污染治理措施后对环境影响较小</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从环保的角度分析本项目的选址是合理的</w:t>
            </w:r>
            <w:r>
              <w:rPr>
                <w:rFonts w:hint="default"/>
                <w:color w:val="auto"/>
                <w:kern w:val="0"/>
                <w:sz w:val="24"/>
                <w:highlight w:val="none"/>
              </w:rPr>
              <w:t>。</w:t>
            </w:r>
          </w:p>
          <w:p w14:paraId="61F0AF27">
            <w:pPr>
              <w:spacing w:line="360" w:lineRule="auto"/>
              <w:jc w:val="left"/>
              <w:rPr>
                <w:rFonts w:hint="default" w:ascii="Times New Roman" w:hAnsi="Times New Roman" w:cs="Times New Roman"/>
                <w:b/>
                <w:color w:val="auto"/>
                <w:sz w:val="24"/>
                <w:highlight w:val="none"/>
              </w:rPr>
            </w:pPr>
            <w:r>
              <w:rPr>
                <w:rFonts w:hint="eastAsia" w:cs="Times New Roman"/>
                <w:b/>
                <w:color w:val="auto"/>
                <w:sz w:val="24"/>
                <w:highlight w:val="none"/>
                <w:lang w:val="en-US" w:eastAsia="zh-CN"/>
              </w:rPr>
              <w:t>4</w:t>
            </w:r>
            <w:r>
              <w:rPr>
                <w:rFonts w:hint="default" w:ascii="Times New Roman" w:hAnsi="Times New Roman" w:cs="Times New Roman"/>
                <w:b/>
                <w:color w:val="auto"/>
                <w:sz w:val="24"/>
                <w:highlight w:val="none"/>
              </w:rPr>
              <w:t>、生态环境分区管控符合性分析</w:t>
            </w:r>
          </w:p>
          <w:p w14:paraId="16B602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b/>
                <w:bCs/>
                <w:color w:val="auto"/>
                <w:kern w:val="0"/>
                <w:sz w:val="24"/>
                <w:highlight w:val="none"/>
              </w:rPr>
            </w:pPr>
            <w:r>
              <w:rPr>
                <w:rFonts w:hint="eastAsia"/>
                <w:color w:val="auto"/>
                <w:kern w:val="0"/>
                <w:sz w:val="24"/>
                <w:highlight w:val="none"/>
              </w:rPr>
              <w:t>本项目位于黑龙江省</w:t>
            </w:r>
            <w:r>
              <w:rPr>
                <w:rFonts w:hint="eastAsia"/>
                <w:color w:val="auto"/>
                <w:kern w:val="0"/>
                <w:sz w:val="24"/>
                <w:highlight w:val="none"/>
                <w:lang w:eastAsia="zh-CN"/>
              </w:rPr>
              <w:t>鸡西市城子河区城西办事处建新委3组</w:t>
            </w:r>
            <w:r>
              <w:rPr>
                <w:rFonts w:hint="eastAsia"/>
                <w:color w:val="auto"/>
                <w:kern w:val="0"/>
                <w:sz w:val="24"/>
                <w:highlight w:val="none"/>
              </w:rPr>
              <w:t>，</w:t>
            </w:r>
            <w:r>
              <w:rPr>
                <w:rFonts w:hint="default" w:ascii="Times New Roman" w:hAnsi="Times New Roman" w:cs="Times New Roman"/>
                <w:color w:val="auto"/>
                <w:sz w:val="24"/>
                <w:szCs w:val="24"/>
                <w:highlight w:val="none"/>
              </w:rPr>
              <w:t>根据</w:t>
            </w:r>
            <w:r>
              <w:rPr>
                <w:rFonts w:hint="default" w:ascii="Times New Roman" w:hAnsi="Times New Roman" w:cs="Times New Roman"/>
                <w:color w:val="auto"/>
                <w:kern w:val="0"/>
                <w:sz w:val="24"/>
                <w:szCs w:val="24"/>
                <w:highlight w:val="none"/>
                <w:lang w:bidi="ar"/>
              </w:rPr>
              <w:t>《黑龙江省人民政府关于实施</w:t>
            </w:r>
            <w:r>
              <w:rPr>
                <w:rFonts w:hint="default" w:ascii="Times New Roman" w:hAnsi="Times New Roman" w:eastAsia="宋体" w:cs="Times New Roman"/>
                <w:color w:val="auto"/>
                <w:kern w:val="0"/>
                <w:sz w:val="24"/>
                <w:szCs w:val="24"/>
                <w:highlight w:val="none"/>
                <w:lang w:bidi="ar"/>
              </w:rPr>
              <w:t>“三线一单”生</w:t>
            </w:r>
            <w:r>
              <w:rPr>
                <w:rFonts w:hint="default" w:ascii="Times New Roman" w:hAnsi="Times New Roman" w:cs="Times New Roman"/>
                <w:color w:val="auto"/>
                <w:kern w:val="0"/>
                <w:sz w:val="24"/>
                <w:szCs w:val="24"/>
                <w:highlight w:val="none"/>
                <w:lang w:bidi="ar"/>
              </w:rPr>
              <w:t>态环境分区管控的意见》（黑政发〔2020〕14号）、《</w:t>
            </w:r>
            <w:r>
              <w:rPr>
                <w:rFonts w:hint="default" w:ascii="Times New Roman" w:hAnsi="Times New Roman" w:cs="Times New Roman"/>
                <w:color w:val="auto"/>
                <w:kern w:val="0"/>
                <w:sz w:val="24"/>
                <w:szCs w:val="24"/>
                <w:highlight w:val="none"/>
                <w:lang w:eastAsia="zh-CN" w:bidi="ar"/>
              </w:rPr>
              <w:t>鸡西</w:t>
            </w:r>
            <w:r>
              <w:rPr>
                <w:rFonts w:hint="default" w:ascii="Times New Roman" w:hAnsi="Times New Roman" w:cs="Times New Roman"/>
                <w:color w:val="auto"/>
                <w:kern w:val="0"/>
                <w:sz w:val="24"/>
                <w:szCs w:val="24"/>
                <w:highlight w:val="none"/>
                <w:lang w:bidi="ar"/>
              </w:rPr>
              <w:t>市人民政府关于实施</w:t>
            </w:r>
            <w:r>
              <w:rPr>
                <w:rFonts w:hint="eastAsia" w:cs="Times New Roman"/>
                <w:color w:val="auto"/>
                <w:kern w:val="0"/>
                <w:sz w:val="24"/>
                <w:szCs w:val="24"/>
                <w:highlight w:val="none"/>
                <w:lang w:eastAsia="zh-CN" w:bidi="ar"/>
              </w:rPr>
              <w:t>“</w:t>
            </w:r>
            <w:r>
              <w:rPr>
                <w:rFonts w:hint="default" w:ascii="Times New Roman" w:hAnsi="Times New Roman" w:eastAsia="宋体" w:cs="Times New Roman"/>
                <w:color w:val="auto"/>
                <w:kern w:val="0"/>
                <w:sz w:val="24"/>
                <w:szCs w:val="24"/>
                <w:highlight w:val="none"/>
                <w:lang w:bidi="ar"/>
              </w:rPr>
              <w:t>三线一单</w:t>
            </w:r>
            <w:r>
              <w:rPr>
                <w:rFonts w:hint="eastAsia" w:cs="Times New Roman"/>
                <w:color w:val="auto"/>
                <w:kern w:val="0"/>
                <w:sz w:val="24"/>
                <w:szCs w:val="24"/>
                <w:highlight w:val="none"/>
                <w:lang w:eastAsia="zh-CN" w:bidi="ar"/>
              </w:rPr>
              <w:t>”</w:t>
            </w:r>
            <w:r>
              <w:rPr>
                <w:rFonts w:hint="default" w:ascii="Times New Roman" w:hAnsi="Times New Roman" w:cs="Times New Roman"/>
                <w:color w:val="auto"/>
                <w:kern w:val="0"/>
                <w:sz w:val="24"/>
                <w:szCs w:val="24"/>
                <w:highlight w:val="none"/>
                <w:lang w:bidi="ar"/>
              </w:rPr>
              <w:t>生态环境分区管控的意见》（</w:t>
            </w:r>
            <w:r>
              <w:rPr>
                <w:rFonts w:hint="default" w:ascii="Times New Roman" w:hAnsi="Times New Roman" w:cs="Times New Roman"/>
                <w:color w:val="auto"/>
                <w:kern w:val="0"/>
                <w:sz w:val="24"/>
                <w:szCs w:val="24"/>
                <w:highlight w:val="none"/>
                <w:lang w:eastAsia="zh-CN" w:bidi="ar"/>
              </w:rPr>
              <w:t>鸡</w:t>
            </w:r>
            <w:r>
              <w:rPr>
                <w:rFonts w:hint="default" w:ascii="Times New Roman" w:hAnsi="Times New Roman" w:cs="Times New Roman"/>
                <w:color w:val="auto"/>
                <w:kern w:val="0"/>
                <w:sz w:val="24"/>
                <w:szCs w:val="24"/>
                <w:highlight w:val="none"/>
                <w:lang w:bidi="ar"/>
              </w:rPr>
              <w:t>政发〔2021〕</w:t>
            </w:r>
            <w:r>
              <w:rPr>
                <w:rFonts w:hint="default" w:ascii="Times New Roman" w:hAnsi="Times New Roman" w:cs="Times New Roman"/>
                <w:color w:val="auto"/>
                <w:kern w:val="0"/>
                <w:sz w:val="24"/>
                <w:szCs w:val="24"/>
                <w:highlight w:val="none"/>
                <w:lang w:val="en-US" w:eastAsia="zh-CN" w:bidi="ar"/>
              </w:rPr>
              <w:t>7</w:t>
            </w:r>
            <w:r>
              <w:rPr>
                <w:rFonts w:hint="default" w:ascii="Times New Roman" w:hAnsi="Times New Roman" w:cs="Times New Roman"/>
                <w:color w:val="auto"/>
                <w:kern w:val="0"/>
                <w:sz w:val="24"/>
                <w:szCs w:val="24"/>
                <w:highlight w:val="none"/>
                <w:lang w:bidi="ar"/>
              </w:rPr>
              <w:t>号）</w:t>
            </w:r>
            <w:r>
              <w:rPr>
                <w:rFonts w:hint="default" w:ascii="Times New Roman" w:hAnsi="Times New Roman" w:cs="Times New Roman"/>
                <w:color w:val="auto"/>
                <w:kern w:val="0"/>
                <w:sz w:val="24"/>
                <w:szCs w:val="24"/>
                <w:highlight w:val="none"/>
                <w:lang w:eastAsia="zh-CN" w:bidi="ar"/>
              </w:rPr>
              <w:t>、</w:t>
            </w:r>
            <w:r>
              <w:rPr>
                <w:rFonts w:hint="default" w:ascii="Times New Roman" w:hAnsi="Times New Roman" w:cs="Times New Roman"/>
                <w:color w:val="auto"/>
                <w:sz w:val="24"/>
              </w:rPr>
              <w:t>《鸡西市生态环境准入清单》（2023年版）</w:t>
            </w:r>
            <w:r>
              <w:rPr>
                <w:rFonts w:hint="default" w:ascii="Times New Roman" w:hAnsi="Times New Roman" w:cs="Times New Roman"/>
                <w:color w:val="auto"/>
                <w:kern w:val="0"/>
                <w:sz w:val="24"/>
                <w:szCs w:val="24"/>
                <w:highlight w:val="none"/>
                <w:lang w:eastAsia="zh-CN" w:bidi="ar"/>
              </w:rPr>
              <w:t>和《</w:t>
            </w:r>
            <w:r>
              <w:rPr>
                <w:rFonts w:hint="eastAsia" w:cs="Times New Roman"/>
                <w:color w:val="auto"/>
                <w:kern w:val="0"/>
                <w:sz w:val="24"/>
                <w:szCs w:val="24"/>
                <w:highlight w:val="none"/>
                <w:lang w:eastAsia="zh-CN" w:bidi="ar"/>
              </w:rPr>
              <w:t>鸡西市城子河区广泰煤炭经销处储煤场建设项目</w:t>
            </w:r>
            <w:r>
              <w:rPr>
                <w:rFonts w:hint="default" w:ascii="Times New Roman" w:hAnsi="Times New Roman" w:cs="Times New Roman"/>
                <w:color w:val="auto"/>
                <w:kern w:val="0"/>
                <w:sz w:val="24"/>
                <w:szCs w:val="24"/>
                <w:highlight w:val="none"/>
                <w:lang w:eastAsia="zh-CN" w:bidi="ar"/>
              </w:rPr>
              <w:t>生态环境分区管控分析报告》（见附件）</w:t>
            </w:r>
            <w:r>
              <w:rPr>
                <w:rFonts w:hint="default" w:ascii="Times New Roman" w:hAnsi="Times New Roman" w:cs="Times New Roman"/>
                <w:color w:val="auto"/>
                <w:kern w:val="0"/>
                <w:sz w:val="24"/>
                <w:szCs w:val="24"/>
                <w:highlight w:val="none"/>
                <w:lang w:bidi="ar"/>
              </w:rPr>
              <w:t>，</w:t>
            </w:r>
            <w:r>
              <w:rPr>
                <w:rFonts w:hint="default" w:ascii="Times New Roman" w:hAnsi="Times New Roman" w:cs="Times New Roman"/>
                <w:color w:val="auto"/>
                <w:kern w:val="0"/>
                <w:sz w:val="24"/>
                <w:szCs w:val="24"/>
                <w:highlight w:val="none"/>
                <w:lang w:eastAsia="zh-CN" w:bidi="ar"/>
              </w:rPr>
              <w:t>本项目与“生态环境分区管控”符合性如下：</w:t>
            </w:r>
          </w:p>
          <w:p w14:paraId="45BA23DF">
            <w:pPr>
              <w:pStyle w:val="12"/>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leftChars="0" w:right="0" w:firstLine="480" w:firstLineChars="200"/>
              <w:textAlignment w:val="auto"/>
              <w:rPr>
                <w:rFonts w:hint="default" w:ascii="Times New Roman" w:hAnsi="Times New Roman" w:cs="Times New Roman"/>
                <w:color w:val="auto"/>
                <w:sz w:val="24"/>
                <w:szCs w:val="24"/>
                <w:lang w:eastAsia="zh-CN"/>
              </w:rPr>
            </w:pPr>
            <w:r>
              <w:rPr>
                <w:rFonts w:hint="default" w:ascii="Times New Roman" w:hAnsi="Times New Roman" w:eastAsia="宋体" w:cs="Times New Roman"/>
                <w:color w:val="auto"/>
                <w:kern w:val="2"/>
                <w:sz w:val="24"/>
                <w:szCs w:val="24"/>
                <w:lang w:val="en-US" w:eastAsia="zh-CN" w:bidi="ar-SA"/>
              </w:rPr>
              <w:t>（1）</w:t>
            </w:r>
            <w:r>
              <w:rPr>
                <w:rFonts w:hint="eastAsia" w:cs="Times New Roman"/>
                <w:color w:val="auto"/>
                <w:sz w:val="24"/>
                <w:szCs w:val="24"/>
                <w:lang w:eastAsia="zh-CN"/>
              </w:rPr>
              <w:t>“</w:t>
            </w:r>
            <w:r>
              <w:rPr>
                <w:rFonts w:hint="default" w:ascii="Times New Roman" w:hAnsi="Times New Roman" w:cs="Times New Roman"/>
                <w:color w:val="auto"/>
                <w:sz w:val="24"/>
                <w:szCs w:val="24"/>
                <w:lang w:eastAsia="zh-CN"/>
              </w:rPr>
              <w:t>一图</w:t>
            </w:r>
            <w:r>
              <w:rPr>
                <w:rFonts w:hint="eastAsia" w:cs="Times New Roman"/>
                <w:color w:val="auto"/>
                <w:sz w:val="24"/>
                <w:szCs w:val="24"/>
                <w:lang w:eastAsia="zh-CN"/>
              </w:rPr>
              <w:t>”</w:t>
            </w:r>
          </w:p>
          <w:p w14:paraId="0E17FB87">
            <w:pPr>
              <w:keepNext w:val="0"/>
              <w:keepLines w:val="0"/>
              <w:pageBreakBefore w:val="0"/>
              <w:numPr>
                <w:ilvl w:val="0"/>
                <w:numId w:val="0"/>
              </w:numPr>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sz w:val="24"/>
                <w:szCs w:val="24"/>
                <w:lang w:eastAsia="zh-CN"/>
              </w:rPr>
              <w:t>根据</w:t>
            </w:r>
            <w:r>
              <w:rPr>
                <w:rFonts w:hint="default" w:ascii="Times New Roman" w:hAnsi="Times New Roman" w:cs="Times New Roman"/>
                <w:color w:val="auto"/>
                <w:kern w:val="0"/>
                <w:sz w:val="24"/>
                <w:szCs w:val="24"/>
                <w:highlight w:val="none"/>
                <w:lang w:eastAsia="zh-CN" w:bidi="ar"/>
              </w:rPr>
              <w:t>《</w:t>
            </w:r>
            <w:r>
              <w:rPr>
                <w:rFonts w:hint="eastAsia" w:cs="Times New Roman"/>
                <w:color w:val="auto"/>
                <w:kern w:val="0"/>
                <w:sz w:val="24"/>
                <w:szCs w:val="24"/>
                <w:highlight w:val="none"/>
                <w:lang w:eastAsia="zh-CN" w:bidi="ar"/>
              </w:rPr>
              <w:t>鸡西市城子河区广泰煤炭经销处储煤场建设项目</w:t>
            </w:r>
            <w:r>
              <w:rPr>
                <w:rFonts w:hint="default" w:ascii="Times New Roman" w:hAnsi="Times New Roman" w:cs="Times New Roman"/>
                <w:color w:val="auto"/>
                <w:kern w:val="0"/>
                <w:sz w:val="24"/>
                <w:szCs w:val="24"/>
                <w:highlight w:val="none"/>
                <w:lang w:eastAsia="zh-CN" w:bidi="ar"/>
              </w:rPr>
              <w:t>生态环境分区管控分析报告》，项目与环境管控单元叠加图见图</w:t>
            </w:r>
            <w:r>
              <w:rPr>
                <w:rFonts w:hint="default" w:ascii="Times New Roman" w:hAnsi="Times New Roman" w:cs="Times New Roman"/>
                <w:color w:val="auto"/>
                <w:kern w:val="0"/>
                <w:sz w:val="24"/>
                <w:szCs w:val="24"/>
                <w:highlight w:val="none"/>
                <w:lang w:val="en-US" w:eastAsia="zh-CN" w:bidi="ar"/>
              </w:rPr>
              <w:t>1-1。</w:t>
            </w:r>
          </w:p>
          <w:p w14:paraId="569142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color w:val="auto"/>
                <w:kern w:val="0"/>
                <w:sz w:val="24"/>
                <w:szCs w:val="24"/>
                <w:highlight w:val="none"/>
              </w:rPr>
            </w:pPr>
            <w:r>
              <w:rPr>
                <w:color w:val="auto"/>
              </w:rPr>
              <w:drawing>
                <wp:inline distT="0" distB="0" distL="114300" distR="114300">
                  <wp:extent cx="3810000" cy="2857500"/>
                  <wp:effectExtent l="0" t="0" r="0" b="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12"/>
                          <a:stretch>
                            <a:fillRect/>
                          </a:stretch>
                        </pic:blipFill>
                        <pic:spPr>
                          <a:xfrm>
                            <a:off x="0" y="0"/>
                            <a:ext cx="3810000" cy="2857500"/>
                          </a:xfrm>
                          <a:prstGeom prst="rect">
                            <a:avLst/>
                          </a:prstGeom>
                          <a:noFill/>
                          <a:ln>
                            <a:noFill/>
                          </a:ln>
                        </pic:spPr>
                      </pic:pic>
                    </a:graphicData>
                  </a:graphic>
                </wp:inline>
              </w:drawing>
            </w:r>
          </w:p>
          <w:p w14:paraId="1E05D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auto"/>
                <w:kern w:val="0"/>
                <w:sz w:val="24"/>
                <w:szCs w:val="24"/>
                <w:highlight w:val="none"/>
                <w:lang w:val="en-US" w:eastAsia="zh-CN"/>
              </w:rPr>
            </w:pPr>
            <w:r>
              <w:rPr>
                <w:rFonts w:hint="default" w:ascii="Times New Roman" w:hAnsi="Times New Roman" w:eastAsia="宋体" w:cs="Times New Roman"/>
                <w:b/>
                <w:bCs/>
                <w:color w:val="auto"/>
                <w:kern w:val="0"/>
                <w:sz w:val="24"/>
                <w:szCs w:val="24"/>
                <w:highlight w:val="none"/>
                <w:lang w:eastAsia="zh-CN"/>
              </w:rPr>
              <w:t>图</w:t>
            </w:r>
            <w:r>
              <w:rPr>
                <w:rFonts w:hint="default" w:ascii="Times New Roman" w:hAnsi="Times New Roman" w:eastAsia="宋体" w:cs="Times New Roman"/>
                <w:b/>
                <w:bCs/>
                <w:color w:val="auto"/>
                <w:kern w:val="0"/>
                <w:sz w:val="24"/>
                <w:szCs w:val="24"/>
                <w:highlight w:val="none"/>
                <w:lang w:val="en-US" w:eastAsia="zh-CN"/>
              </w:rPr>
              <w:t>1-1与生态环境分区管控叠加图</w:t>
            </w:r>
          </w:p>
          <w:p w14:paraId="07F4930B">
            <w:pPr>
              <w:pStyle w:val="40"/>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val="en-US" w:eastAsia="zh-CN"/>
              </w:rPr>
              <w:t>一表</w:t>
            </w:r>
            <w:r>
              <w:rPr>
                <w:rFonts w:hint="eastAsia" w:cs="Times New Roman"/>
                <w:color w:val="auto"/>
                <w:sz w:val="24"/>
                <w:szCs w:val="24"/>
                <w:lang w:val="en-US" w:eastAsia="zh-CN"/>
              </w:rPr>
              <w:t>”</w:t>
            </w:r>
          </w:p>
          <w:p w14:paraId="346552CF">
            <w:pPr>
              <w:pStyle w:val="40"/>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本项目与生态环境准入清单符合性情况见表1-</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w:t>
            </w:r>
          </w:p>
          <w:p w14:paraId="30B4B2A4">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表1-</w:t>
            </w:r>
            <w:r>
              <w:rPr>
                <w:rFonts w:hint="eastAsia"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lang w:val="en-US" w:eastAsia="zh-CN"/>
              </w:rPr>
              <w:t xml:space="preserve"> </w:t>
            </w:r>
            <w:r>
              <w:rPr>
                <w:rFonts w:hint="default" w:ascii="Times New Roman" w:hAnsi="Times New Roman" w:cs="Times New Roman"/>
                <w:b/>
                <w:bCs/>
                <w:color w:val="auto"/>
                <w:sz w:val="24"/>
                <w:szCs w:val="24"/>
                <w:highlight w:val="none"/>
              </w:rPr>
              <w:t>生态环境准入清单符合性分析</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2"/>
              <w:gridCol w:w="4779"/>
              <w:gridCol w:w="1714"/>
            </w:tblGrid>
            <w:tr w14:paraId="1D97E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bottom w:val="single" w:color="auto" w:sz="4" w:space="0"/>
                  </w:tcBorders>
                  <w:noWrap w:val="0"/>
                  <w:vAlign w:val="center"/>
                </w:tcPr>
                <w:p w14:paraId="00BD186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一、生态保护红线</w:t>
                  </w:r>
                </w:p>
              </w:tc>
            </w:tr>
            <w:tr w14:paraId="1CAD59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132C3D2D">
                  <w:pPr>
                    <w:pStyle w:val="4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lang w:val="en-US" w:eastAsia="zh-CN"/>
                    </w:rPr>
                    <w:t>根据《</w:t>
                  </w:r>
                  <w:r>
                    <w:rPr>
                      <w:rFonts w:hint="eastAsia" w:cs="Times New Roman"/>
                      <w:color w:val="auto"/>
                      <w:kern w:val="0"/>
                      <w:sz w:val="21"/>
                      <w:szCs w:val="21"/>
                      <w:highlight w:val="none"/>
                      <w:lang w:eastAsia="zh-CN" w:bidi="ar"/>
                    </w:rPr>
                    <w:t>鸡西市城子河区广泰煤炭经销处储煤场建设项目</w:t>
                  </w:r>
                  <w:r>
                    <w:rPr>
                      <w:rFonts w:hint="default" w:ascii="Times New Roman" w:hAnsi="Times New Roman" w:cs="Times New Roman"/>
                      <w:color w:val="auto"/>
                      <w:kern w:val="0"/>
                      <w:sz w:val="21"/>
                      <w:szCs w:val="21"/>
                      <w:highlight w:val="none"/>
                      <w:lang w:eastAsia="zh-CN" w:bidi="ar"/>
                    </w:rPr>
                    <w:t>生态环境分区管控分析报告</w:t>
                  </w:r>
                  <w:r>
                    <w:rPr>
                      <w:rFonts w:hint="default" w:ascii="Times New Roman" w:hAnsi="Times New Roman" w:cs="Times New Roman"/>
                      <w:color w:val="auto"/>
                      <w:sz w:val="21"/>
                      <w:szCs w:val="21"/>
                      <w:lang w:val="en-US" w:eastAsia="zh-CN"/>
                    </w:rPr>
                    <w:t>》，本项目不涉及生态保护红线。</w:t>
                  </w:r>
                </w:p>
              </w:tc>
            </w:tr>
            <w:tr w14:paraId="095A44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6F5BC94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二、环境质量底线</w:t>
                  </w:r>
                </w:p>
              </w:tc>
            </w:tr>
            <w:tr w14:paraId="09AF0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30A370CA">
                  <w:pPr>
                    <w:pStyle w:val="43"/>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环境质量底线是国家和地方设置的大气、水和土壤环境质量目标，也是改善环境质量的基准线。项目环境影响评价应对照区域环境质量目标，深入分析预测项目建设对环境质量的影响，强化污染防治措施和污染物排放控制要求。</w:t>
                  </w:r>
                </w:p>
                <w:p w14:paraId="5F59A4C8">
                  <w:pPr>
                    <w:pStyle w:val="43"/>
                    <w:keepNext w:val="0"/>
                    <w:keepLines w:val="0"/>
                    <w:suppressLineNumbers w:val="0"/>
                    <w:spacing w:before="0" w:beforeAutospacing="0" w:after="0" w:afterAutospacing="0"/>
                    <w:ind w:left="0" w:right="0" w:firstLine="482"/>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1、大气环境</w:t>
                  </w:r>
                </w:p>
                <w:p w14:paraId="5A69AAD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根据《202</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年黑龙江省生态环境</w:t>
                  </w:r>
                  <w:r>
                    <w:rPr>
                      <w:rFonts w:hint="default" w:ascii="Times New Roman" w:hAnsi="Times New Roman" w:cs="Times New Roman"/>
                      <w:color w:val="auto"/>
                      <w:sz w:val="21"/>
                      <w:szCs w:val="21"/>
                      <w:highlight w:val="none"/>
                      <w:lang w:val="en-US" w:eastAsia="zh-CN"/>
                    </w:rPr>
                    <w:t>质量</w:t>
                  </w:r>
                  <w:r>
                    <w:rPr>
                      <w:rFonts w:hint="default" w:ascii="Times New Roman" w:hAnsi="Times New Roman" w:cs="Times New Roman"/>
                      <w:color w:val="auto"/>
                      <w:sz w:val="21"/>
                      <w:szCs w:val="21"/>
                      <w:highlight w:val="none"/>
                    </w:rPr>
                    <w:t>状况》（202</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年</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月），</w:t>
                  </w:r>
                  <w:r>
                    <w:rPr>
                      <w:rFonts w:hint="default" w:ascii="Times New Roman" w:hAnsi="Times New Roman" w:cs="Times New Roman"/>
                      <w:color w:val="auto"/>
                      <w:sz w:val="21"/>
                      <w:szCs w:val="21"/>
                      <w:highlight w:val="none"/>
                      <w:lang w:val="en-US" w:eastAsia="zh-CN"/>
                    </w:rPr>
                    <w:t>鸡西市空气质量级别达二级标准，PM</w:t>
                  </w:r>
                  <w:r>
                    <w:rPr>
                      <w:rFonts w:hint="default"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lang w:val="en-US" w:eastAsia="zh-CN"/>
                    </w:rPr>
                    <w:t>、PM</w:t>
                  </w:r>
                  <w:r>
                    <w:rPr>
                      <w:rFonts w:hint="default" w:ascii="Times New Roman" w:hAnsi="Times New Roman" w:cs="Times New Roman"/>
                      <w:color w:val="auto"/>
                      <w:sz w:val="21"/>
                      <w:szCs w:val="21"/>
                      <w:highlight w:val="none"/>
                      <w:vertAlign w:val="subscript"/>
                      <w:lang w:val="en-US" w:eastAsia="zh-CN"/>
                    </w:rPr>
                    <w:t>10</w:t>
                  </w:r>
                  <w:r>
                    <w:rPr>
                      <w:rFonts w:hint="default" w:ascii="Times New Roman" w:hAnsi="Times New Roman" w:cs="Times New Roman"/>
                      <w:color w:val="auto"/>
                      <w:sz w:val="21"/>
                      <w:szCs w:val="21"/>
                      <w:highlight w:val="none"/>
                      <w:lang w:val="en-US" w:eastAsia="zh-CN"/>
                    </w:rPr>
                    <w:t>、SO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、NO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、CO-95per、O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-8h-90per年均浓度分别为27</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lang w:val="en-US" w:eastAsia="zh-CN"/>
                    </w:rPr>
                    <w:t>46</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、8</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、1</w:t>
                  </w:r>
                  <w:r>
                    <w:rPr>
                      <w:rFonts w:hint="default" w:ascii="Times New Roman" w:hAnsi="Times New Roman"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、1.0</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和90</w:t>
                  </w:r>
                  <w:r>
                    <w:rPr>
                      <w:rFonts w:hint="default" w:ascii="Times New Roman" w:hAnsi="Times New Roman" w:eastAsia="宋体" w:cs="Times New Roman"/>
                      <w:color w:val="auto"/>
                      <w:sz w:val="21"/>
                      <w:szCs w:val="21"/>
                      <w:highlight w:val="none"/>
                      <w:lang w:val="en-US" w:eastAsia="zh-CN"/>
                    </w:rPr>
                    <w:t>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eastAsia="宋体" w:cs="Times New Roman"/>
                      <w:color w:val="auto"/>
                      <w:kern w:val="21"/>
                      <w:sz w:val="21"/>
                      <w:szCs w:val="21"/>
                      <w:highlight w:val="none"/>
                      <w:lang w:val="en-US" w:eastAsia="zh-CN"/>
                    </w:rPr>
                    <w:t>均满足</w:t>
                  </w:r>
                  <w:r>
                    <w:rPr>
                      <w:rFonts w:hint="default" w:ascii="Times New Roman" w:hAnsi="Times New Roman" w:eastAsia="宋体" w:cs="Times New Roman"/>
                      <w:color w:val="auto"/>
                      <w:kern w:val="21"/>
                      <w:sz w:val="21"/>
                      <w:szCs w:val="21"/>
                      <w:highlight w:val="none"/>
                    </w:rPr>
                    <w:t>《环境空气质量标准》（GB3095-2012）中的二级标准</w:t>
                  </w:r>
                  <w:r>
                    <w:rPr>
                      <w:rFonts w:hint="default" w:ascii="Times New Roman" w:hAnsi="Times New Roman" w:eastAsia="宋体" w:cs="Times New Roman"/>
                      <w:color w:val="auto"/>
                      <w:kern w:val="21"/>
                      <w:sz w:val="21"/>
                      <w:szCs w:val="21"/>
                      <w:highlight w:val="none"/>
                      <w:lang w:eastAsia="zh-CN"/>
                    </w:rPr>
                    <w:t>，</w:t>
                  </w:r>
                  <w:r>
                    <w:rPr>
                      <w:rFonts w:hint="default" w:ascii="Times New Roman" w:hAnsi="Times New Roman" w:eastAsia="宋体" w:cs="Times New Roman"/>
                      <w:color w:val="auto"/>
                      <w:kern w:val="21"/>
                      <w:sz w:val="21"/>
                      <w:szCs w:val="21"/>
                      <w:highlight w:val="none"/>
                    </w:rPr>
                    <w:t>项目所在区域为达标区。</w:t>
                  </w:r>
                </w:p>
                <w:p w14:paraId="14A3FDF4">
                  <w:pPr>
                    <w:keepNext w:val="0"/>
                    <w:keepLines w:val="0"/>
                    <w:widowControl/>
                    <w:suppressLineNumbers w:val="0"/>
                    <w:spacing w:before="0" w:beforeAutospacing="0" w:after="0" w:afterAutospacing="0" w:line="360" w:lineRule="auto"/>
                    <w:ind w:left="0" w:right="0" w:firstLine="420" w:firstLineChars="200"/>
                    <w:jc w:val="left"/>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本项目为储煤场项目，日常生产中有无组织颗粒物产生，在采用防风抑尘网、堆场及道路洒水、苫盖等措施后，颗粒物产生能够满足</w:t>
                  </w:r>
                  <w:r>
                    <w:rPr>
                      <w:rFonts w:hint="default" w:ascii="Times New Roman" w:hAnsi="Times New Roman" w:cs="Times New Roman"/>
                      <w:color w:val="auto"/>
                      <w:kern w:val="0"/>
                      <w:sz w:val="21"/>
                      <w:szCs w:val="21"/>
                      <w:highlight w:val="none"/>
                      <w:lang w:eastAsia="zh-CN"/>
                    </w:rPr>
                    <w:t>《煤炭工业污染物排放标准》（GB20426-2006）中表5无组织限制排放标准</w:t>
                  </w:r>
                  <w:r>
                    <w:rPr>
                      <w:rFonts w:hint="default" w:ascii="Times New Roman" w:hAnsi="Times New Roman" w:cs="Times New Roman"/>
                      <w:color w:val="auto"/>
                      <w:kern w:val="0"/>
                      <w:sz w:val="21"/>
                      <w:szCs w:val="21"/>
                      <w:highlight w:val="none"/>
                      <w:lang w:val="en-US" w:eastAsia="zh-CN"/>
                    </w:rPr>
                    <w:t>。</w:t>
                  </w:r>
                </w:p>
                <w:p w14:paraId="41732AC3">
                  <w:pPr>
                    <w:pStyle w:val="43"/>
                    <w:keepNext w:val="0"/>
                    <w:keepLines w:val="0"/>
                    <w:suppressLineNumbers w:val="0"/>
                    <w:spacing w:before="0" w:beforeAutospacing="0" w:after="0" w:afterAutospacing="0"/>
                    <w:ind w:left="0" w:right="0" w:firstLine="482"/>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2、水环境</w:t>
                  </w:r>
                </w:p>
                <w:p w14:paraId="325C684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kern w:val="0"/>
                      <w:sz w:val="21"/>
                      <w:szCs w:val="21"/>
                      <w:highlight w:val="none"/>
                    </w:rPr>
                    <w:t>本项目</w:t>
                  </w:r>
                  <w:r>
                    <w:rPr>
                      <w:rFonts w:hint="default" w:ascii="Times New Roman" w:hAnsi="Times New Roman" w:cs="Times New Roman"/>
                      <w:color w:val="auto"/>
                      <w:kern w:val="0"/>
                      <w:sz w:val="21"/>
                      <w:szCs w:val="21"/>
                      <w:highlight w:val="none"/>
                      <w:lang w:val="en-US" w:eastAsia="zh-CN"/>
                    </w:rPr>
                    <w:t>最近</w:t>
                  </w:r>
                  <w:r>
                    <w:rPr>
                      <w:rFonts w:hint="default" w:ascii="Times New Roman" w:hAnsi="Times New Roman" w:cs="Times New Roman"/>
                      <w:color w:val="auto"/>
                      <w:kern w:val="0"/>
                      <w:sz w:val="21"/>
                      <w:szCs w:val="21"/>
                      <w:highlight w:val="none"/>
                    </w:rPr>
                    <w:t>水体为</w:t>
                  </w:r>
                  <w:r>
                    <w:rPr>
                      <w:rFonts w:hint="default" w:ascii="Times New Roman" w:hAnsi="Times New Roman" w:cs="Times New Roman"/>
                      <w:color w:val="auto"/>
                      <w:kern w:val="0"/>
                      <w:sz w:val="21"/>
                      <w:szCs w:val="21"/>
                      <w:highlight w:val="none"/>
                      <w:lang w:val="en-US" w:eastAsia="zh-CN"/>
                    </w:rPr>
                    <w:t>穆棱河</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根据《全国重要江河湖泊水功能区划（2011-2030）》（黑龙江省）可知，本项目涉及地表水体为穆棱河（碱场煤矿铁路大桥至206省道公路桥），属穆棱河饮用区，水质目标为Ⅱ~Ⅲ类。根据鸡西市人民政府发布的《2024年1</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12月地表水国控考核断面水质信息公开》，穆棱河达到</w:t>
                  </w:r>
                  <w:r>
                    <w:rPr>
                      <w:rFonts w:hint="default" w:ascii="Times New Roman" w:hAnsi="Times New Roman" w:cs="Times New Roman"/>
                      <w:color w:val="auto"/>
                      <w:sz w:val="21"/>
                      <w:szCs w:val="21"/>
                      <w:highlight w:val="none"/>
                      <w:lang w:val="en-US" w:eastAsia="zh-CN"/>
                    </w:rPr>
                    <w:t>Ⅲ</w:t>
                  </w:r>
                  <w:r>
                    <w:rPr>
                      <w:rFonts w:hint="default" w:ascii="Times New Roman" w:hAnsi="Times New Roman" w:eastAsia="宋体" w:cs="Times New Roman"/>
                      <w:color w:val="auto"/>
                      <w:sz w:val="21"/>
                      <w:szCs w:val="21"/>
                      <w:highlight w:val="none"/>
                      <w:lang w:val="en-US" w:eastAsia="zh-CN"/>
                    </w:rPr>
                    <w:t>类水质类别标准，因此，本项目所在河段符合《地表水环境质量标准》（GB3838-2002）Ⅲ类标准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项目生活污水排入防渗旱厕，</w:t>
                  </w:r>
                  <w:r>
                    <w:rPr>
                      <w:rFonts w:hint="default" w:ascii="Times New Roman" w:hAnsi="Times New Roman" w:cs="Times New Roman"/>
                      <w:color w:val="auto"/>
                      <w:sz w:val="21"/>
                      <w:szCs w:val="21"/>
                      <w:highlight w:val="none"/>
                      <w:lang w:val="en-US" w:eastAsia="zh-CN"/>
                    </w:rPr>
                    <w:t>初期</w:t>
                  </w:r>
                  <w:r>
                    <w:rPr>
                      <w:rFonts w:hint="default" w:ascii="Times New Roman" w:hAnsi="Times New Roman" w:eastAsia="宋体" w:cs="Times New Roman"/>
                      <w:color w:val="auto"/>
                      <w:sz w:val="21"/>
                      <w:szCs w:val="21"/>
                      <w:highlight w:val="none"/>
                      <w:lang w:val="en-US" w:eastAsia="zh-CN"/>
                    </w:rPr>
                    <w:t>雨水进入</w:t>
                  </w:r>
                  <w:r>
                    <w:rPr>
                      <w:rFonts w:hint="default" w:ascii="Times New Roman" w:hAnsi="Times New Roman" w:cs="Times New Roman"/>
                      <w:color w:val="auto"/>
                      <w:sz w:val="21"/>
                      <w:szCs w:val="21"/>
                      <w:highlight w:val="none"/>
                      <w:lang w:val="en-US" w:eastAsia="zh-CN"/>
                    </w:rPr>
                    <w:t>初期</w:t>
                  </w:r>
                  <w:r>
                    <w:rPr>
                      <w:rFonts w:hint="default" w:ascii="Times New Roman" w:hAnsi="Times New Roman" w:eastAsia="宋体" w:cs="Times New Roman"/>
                      <w:color w:val="auto"/>
                      <w:sz w:val="21"/>
                      <w:szCs w:val="21"/>
                      <w:highlight w:val="none"/>
                      <w:lang w:val="en-US" w:eastAsia="zh-CN"/>
                    </w:rPr>
                    <w:t>雨水收集池沉淀后回用，项目无废水排放。</w:t>
                  </w:r>
                </w:p>
                <w:p w14:paraId="43B2AA5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3、声环境</w:t>
                  </w:r>
                </w:p>
                <w:p w14:paraId="77547ED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sz w:val="21"/>
                      <w:szCs w:val="21"/>
                      <w:highlight w:val="none"/>
                      <w:lang w:val="en-US" w:eastAsia="zh-CN"/>
                    </w:rPr>
                    <w:t>根据《</w:t>
                  </w:r>
                  <w:r>
                    <w:rPr>
                      <w:rFonts w:hint="default" w:ascii="Times New Roman" w:hAnsi="Times New Roman" w:cs="Times New Roman"/>
                      <w:color w:val="auto"/>
                      <w:sz w:val="21"/>
                      <w:szCs w:val="21"/>
                      <w:highlight w:val="none"/>
                    </w:rPr>
                    <w:t>202</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年黑龙江省生态环境</w:t>
                  </w:r>
                  <w:r>
                    <w:rPr>
                      <w:rFonts w:hint="default" w:ascii="Times New Roman" w:hAnsi="Times New Roman" w:cs="Times New Roman"/>
                      <w:color w:val="auto"/>
                      <w:sz w:val="21"/>
                      <w:szCs w:val="21"/>
                      <w:highlight w:val="none"/>
                      <w:lang w:val="en-US" w:eastAsia="zh-CN"/>
                    </w:rPr>
                    <w:t>质量</w:t>
                  </w:r>
                  <w:r>
                    <w:rPr>
                      <w:rFonts w:hint="default" w:ascii="Times New Roman" w:hAnsi="Times New Roman" w:cs="Times New Roman"/>
                      <w:color w:val="auto"/>
                      <w:sz w:val="21"/>
                      <w:szCs w:val="21"/>
                      <w:highlight w:val="none"/>
                    </w:rPr>
                    <w:t>状况》（202</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年</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月）</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鸡西市区域昼间声环境质量为二级，等效声级为53.6dB（A），道路交通昼间声环境质量为一级，等效声级为65.8dB（A），功能区昼间达标率100%，功能区夜间达标率100%。</w:t>
                  </w:r>
                  <w:r>
                    <w:rPr>
                      <w:rFonts w:hint="default" w:ascii="Times New Roman" w:hAnsi="Times New Roman" w:eastAsia="宋体" w:cs="Times New Roman"/>
                      <w:color w:val="auto"/>
                      <w:sz w:val="21"/>
                      <w:szCs w:val="21"/>
                      <w:highlight w:val="none"/>
                      <w:lang w:val="en-US" w:eastAsia="zh-CN"/>
                    </w:rPr>
                    <w:t>区域声环境</w:t>
                  </w:r>
                  <w:r>
                    <w:rPr>
                      <w:rFonts w:hint="default" w:ascii="Times New Roman" w:hAnsi="Times New Roman" w:cs="Times New Roman"/>
                      <w:color w:val="auto"/>
                      <w:sz w:val="21"/>
                      <w:szCs w:val="21"/>
                      <w:highlight w:val="none"/>
                      <w:lang w:val="en-US" w:eastAsia="zh-CN"/>
                    </w:rPr>
                    <w:t>满足</w:t>
                  </w:r>
                  <w:r>
                    <w:rPr>
                      <w:rFonts w:hint="default" w:ascii="Times New Roman" w:hAnsi="Times New Roman" w:eastAsia="宋体" w:cs="Times New Roman"/>
                      <w:color w:val="auto"/>
                      <w:sz w:val="21"/>
                      <w:szCs w:val="21"/>
                      <w:highlight w:val="none"/>
                      <w:lang w:val="en-US" w:eastAsia="zh-CN"/>
                    </w:rPr>
                    <w:t>《声环境质量标准》（GB3096-2008）2类标准</w:t>
                  </w:r>
                  <w:r>
                    <w:rPr>
                      <w:rFonts w:hint="default" w:ascii="Times New Roman" w:hAnsi="Times New Roman" w:eastAsia="宋体" w:cs="Times New Roman"/>
                      <w:color w:val="auto"/>
                      <w:kern w:val="0"/>
                      <w:sz w:val="21"/>
                      <w:szCs w:val="21"/>
                      <w:highlight w:val="none"/>
                    </w:rPr>
                    <w:t>。</w:t>
                  </w:r>
                  <w:r>
                    <w:rPr>
                      <w:rFonts w:hint="default" w:ascii="Times New Roman" w:hAnsi="Times New Roman" w:cs="Times New Roman"/>
                      <w:color w:val="auto"/>
                      <w:kern w:val="0"/>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选取低噪声设备，采取减振、隔声等措施</w:t>
                  </w:r>
                  <w:r>
                    <w:rPr>
                      <w:rFonts w:hint="default"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val="en-US" w:eastAsia="zh-CN"/>
                    </w:rPr>
                    <w:t>厂界噪声满足</w:t>
                  </w:r>
                  <w:r>
                    <w:rPr>
                      <w:rFonts w:hint="default" w:ascii="Times New Roman" w:hAnsi="Times New Roman" w:cs="Times New Roman"/>
                      <w:color w:val="auto"/>
                      <w:kern w:val="0"/>
                      <w:sz w:val="21"/>
                      <w:szCs w:val="21"/>
                      <w:highlight w:val="none"/>
                      <w:lang w:eastAsia="zh-CN"/>
                    </w:rPr>
                    <w:t>《工业企业厂界环境噪声排放标准》</w:t>
                  </w:r>
                  <w:r>
                    <w:rPr>
                      <w:rFonts w:hint="eastAsia"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eastAsia="zh-CN"/>
                    </w:rPr>
                    <w:t>GB12348-2008）表1中</w:t>
                  </w:r>
                  <w:r>
                    <w:rPr>
                      <w:rFonts w:hint="default" w:ascii="Times New Roman" w:hAnsi="Times New Roman" w:cs="Times New Roman"/>
                      <w:color w:val="auto"/>
                      <w:kern w:val="0"/>
                      <w:sz w:val="21"/>
                      <w:szCs w:val="21"/>
                      <w:highlight w:val="none"/>
                      <w:lang w:val="en-US" w:eastAsia="zh-CN"/>
                    </w:rPr>
                    <w:t>2</w:t>
                  </w:r>
                  <w:r>
                    <w:rPr>
                      <w:rFonts w:hint="default" w:ascii="Times New Roman" w:hAnsi="Times New Roman" w:cs="Times New Roman"/>
                      <w:color w:val="auto"/>
                      <w:kern w:val="0"/>
                      <w:sz w:val="21"/>
                      <w:szCs w:val="21"/>
                      <w:highlight w:val="none"/>
                      <w:lang w:eastAsia="zh-CN"/>
                    </w:rPr>
                    <w:t>类标准。</w:t>
                  </w:r>
                </w:p>
                <w:p w14:paraId="121E22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本项目运营期各类污染物经环境保护措施治理后均可达标排放，对区域环境造成的不利影响较小，不会改变区域环境质量现状，因此，</w:t>
                  </w:r>
                  <w:r>
                    <w:rPr>
                      <w:rFonts w:hint="default" w:ascii="Times New Roman" w:hAnsi="Times New Roman" w:cs="Times New Roman"/>
                      <w:color w:val="auto"/>
                      <w:kern w:val="0"/>
                      <w:sz w:val="21"/>
                      <w:szCs w:val="21"/>
                      <w:highlight w:val="none"/>
                      <w:lang w:val="en-US" w:eastAsia="zh-CN"/>
                    </w:rPr>
                    <w:t>本项目</w:t>
                  </w:r>
                  <w:r>
                    <w:rPr>
                      <w:rFonts w:hint="default" w:ascii="Times New Roman" w:hAnsi="Times New Roman" w:cs="Times New Roman"/>
                      <w:color w:val="auto"/>
                      <w:kern w:val="0"/>
                      <w:sz w:val="21"/>
                      <w:szCs w:val="21"/>
                      <w:highlight w:val="none"/>
                    </w:rPr>
                    <w:t>符合环境质量底线要求。</w:t>
                  </w:r>
                </w:p>
              </w:tc>
            </w:tr>
            <w:tr w14:paraId="203BF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09074620">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三、资源利用上线</w:t>
                  </w:r>
                </w:p>
              </w:tc>
            </w:tr>
            <w:tr w14:paraId="35804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26A8FAAB">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lang w:val="en-US" w:eastAsia="zh-CN" w:bidi="ar-SA"/>
                    </w:rPr>
                    <w:t>本项目生活用水外购桶装水，生产用水由厂区内雨水收集和外购水源提供；本项目用地性质为</w:t>
                  </w:r>
                  <w:r>
                    <w:rPr>
                      <w:rFonts w:hint="eastAsia" w:cs="Times New Roman"/>
                      <w:color w:val="auto"/>
                      <w:kern w:val="0"/>
                      <w:sz w:val="21"/>
                      <w:szCs w:val="21"/>
                      <w:lang w:val="en-US" w:eastAsia="zh-CN" w:bidi="ar-SA"/>
                    </w:rPr>
                    <w:t>工业用地</w:t>
                  </w:r>
                  <w:r>
                    <w:rPr>
                      <w:rFonts w:hint="default" w:ascii="Times New Roman" w:hAnsi="Times New Roman" w:eastAsia="宋体" w:cs="Times New Roman"/>
                      <w:color w:val="auto"/>
                      <w:kern w:val="0"/>
                      <w:sz w:val="21"/>
                      <w:szCs w:val="21"/>
                      <w:lang w:val="en-US" w:eastAsia="zh-CN" w:bidi="ar-SA"/>
                    </w:rPr>
                    <w:t>，不占用基本农田；电源依托市政设施。综上，本项目不会突破资源利用上线。</w:t>
                  </w:r>
                </w:p>
              </w:tc>
            </w:tr>
            <w:tr w14:paraId="71B057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3"/>
                  <w:tcBorders>
                    <w:top w:val="single" w:color="auto" w:sz="4" w:space="0"/>
                    <w:bottom w:val="single" w:color="auto" w:sz="4" w:space="0"/>
                  </w:tcBorders>
                  <w:noWrap w:val="0"/>
                  <w:vAlign w:val="center"/>
                </w:tcPr>
                <w:p w14:paraId="2D732A3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四、环境准入清单</w:t>
                  </w:r>
                </w:p>
              </w:tc>
            </w:tr>
            <w:tr w14:paraId="2AD1EF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42D57838">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环境管控单元名称</w:t>
                  </w:r>
                </w:p>
              </w:tc>
              <w:tc>
                <w:tcPr>
                  <w:tcW w:w="4164" w:type="pct"/>
                  <w:gridSpan w:val="2"/>
                  <w:tcBorders>
                    <w:top w:val="single" w:color="auto" w:sz="4" w:space="0"/>
                    <w:left w:val="single" w:color="auto" w:sz="4" w:space="0"/>
                    <w:bottom w:val="single" w:color="auto" w:sz="4" w:space="0"/>
                  </w:tcBorders>
                  <w:noWrap w:val="0"/>
                  <w:vAlign w:val="center"/>
                </w:tcPr>
                <w:p w14:paraId="376FA482">
                  <w:pPr>
                    <w:keepNext w:val="0"/>
                    <w:keepLines w:val="0"/>
                    <w:widowControl/>
                    <w:suppressLineNumbers w:val="0"/>
                    <w:jc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color w:val="auto"/>
                      <w:kern w:val="0"/>
                      <w:sz w:val="21"/>
                      <w:szCs w:val="21"/>
                      <w:lang w:val="en-US" w:eastAsia="zh-CN" w:bidi="ar"/>
                    </w:rPr>
                    <w:t>城子河区城镇空间</w:t>
                  </w:r>
                </w:p>
              </w:tc>
            </w:tr>
            <w:tr w14:paraId="5CC80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3F1AA66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环境管控单元编码</w:t>
                  </w:r>
                </w:p>
              </w:tc>
              <w:tc>
                <w:tcPr>
                  <w:tcW w:w="4164" w:type="pct"/>
                  <w:gridSpan w:val="2"/>
                  <w:tcBorders>
                    <w:top w:val="single" w:color="auto" w:sz="4" w:space="0"/>
                    <w:left w:val="single" w:color="auto" w:sz="4" w:space="0"/>
                    <w:bottom w:val="single" w:color="auto" w:sz="4" w:space="0"/>
                  </w:tcBorders>
                  <w:noWrap w:val="0"/>
                  <w:vAlign w:val="center"/>
                </w:tcPr>
                <w:p w14:paraId="59DB8232">
                  <w:pPr>
                    <w:keepNext w:val="0"/>
                    <w:keepLines w:val="0"/>
                    <w:widowControl/>
                    <w:suppressLineNumbers w:val="0"/>
                    <w:jc w:val="center"/>
                    <w:rPr>
                      <w:rFonts w:hint="default" w:ascii="Times New Roman" w:hAnsi="Times New Roman" w:cs="Times New Roman"/>
                      <w:color w:val="auto"/>
                      <w:sz w:val="21"/>
                      <w:szCs w:val="21"/>
                      <w:highlight w:val="none"/>
                      <w:lang w:val="en-US" w:eastAsia="zh-CN"/>
                    </w:rPr>
                  </w:pPr>
                  <w:r>
                    <w:rPr>
                      <w:rFonts w:hint="eastAsia" w:ascii="宋体" w:hAnsi="宋体" w:eastAsia="宋体" w:cs="宋体"/>
                      <w:color w:val="auto"/>
                      <w:kern w:val="0"/>
                      <w:sz w:val="21"/>
                      <w:szCs w:val="21"/>
                      <w:lang w:val="en-US" w:eastAsia="zh-CN" w:bidi="ar"/>
                    </w:rPr>
                    <w:t>ZH23030620003</w:t>
                  </w:r>
                </w:p>
              </w:tc>
            </w:tr>
            <w:tr w14:paraId="39D429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0CCF947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管控单元类别</w:t>
                  </w:r>
                </w:p>
              </w:tc>
              <w:tc>
                <w:tcPr>
                  <w:tcW w:w="4164" w:type="pct"/>
                  <w:gridSpan w:val="2"/>
                  <w:tcBorders>
                    <w:top w:val="single" w:color="auto" w:sz="4" w:space="0"/>
                    <w:left w:val="single" w:color="auto" w:sz="4" w:space="0"/>
                    <w:bottom w:val="single" w:color="auto" w:sz="4" w:space="0"/>
                  </w:tcBorders>
                  <w:noWrap w:val="0"/>
                  <w:vAlign w:val="center"/>
                </w:tcPr>
                <w:p w14:paraId="17AB862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重点管控</w:t>
                  </w:r>
                  <w:r>
                    <w:rPr>
                      <w:rFonts w:hint="default" w:ascii="Times New Roman" w:hAnsi="Times New Roman" w:cs="Times New Roman"/>
                      <w:color w:val="auto"/>
                      <w:sz w:val="21"/>
                      <w:szCs w:val="21"/>
                      <w:highlight w:val="none"/>
                    </w:rPr>
                    <w:t>单元</w:t>
                  </w:r>
                </w:p>
              </w:tc>
            </w:tr>
            <w:tr w14:paraId="21530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noWrap w:val="0"/>
                  <w:vAlign w:val="center"/>
                </w:tcPr>
                <w:p w14:paraId="4822EF9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管控要求</w:t>
                  </w:r>
                </w:p>
              </w:tc>
              <w:tc>
                <w:tcPr>
                  <w:tcW w:w="1099" w:type="pct"/>
                  <w:tcBorders>
                    <w:top w:val="single" w:color="auto" w:sz="4" w:space="0"/>
                    <w:left w:val="single" w:color="auto" w:sz="4" w:space="0"/>
                    <w:bottom w:val="single" w:color="auto" w:sz="4" w:space="0"/>
                  </w:tcBorders>
                  <w:noWrap w:val="0"/>
                  <w:vAlign w:val="center"/>
                </w:tcPr>
                <w:p w14:paraId="4F240D2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项目符合性分析</w:t>
                  </w:r>
                </w:p>
              </w:tc>
            </w:tr>
            <w:tr w14:paraId="16E9F6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396E3E20">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空间布局约束</w:t>
                  </w:r>
                </w:p>
              </w:tc>
              <w:tc>
                <w:tcPr>
                  <w:tcW w:w="306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69C4371">
                  <w:pPr>
                    <w:keepNext w:val="0"/>
                    <w:keepLines w:val="0"/>
                    <w:widowControl/>
                    <w:suppressLineNumbers w:val="0"/>
                    <w:jc w:val="left"/>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 xml:space="preserve">1.同时执行：（1）严禁在人口密集区新建危险化学品生产项目，城镇人口密集区危险化学品生产企业应搬迁改造。（2）禁止在城镇居民区、文化教育科学研究区等人口集中区域建设畜禽养殖场、养殖小区。 </w:t>
                  </w:r>
                </w:p>
                <w:p w14:paraId="77060D5C">
                  <w:pPr>
                    <w:keepNext w:val="0"/>
                    <w:keepLines w:val="0"/>
                    <w:widowControl/>
                    <w:suppressLineNumbers w:val="0"/>
                    <w:jc w:val="left"/>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 xml:space="preserve">2.水环境农业污染重点管控区同时执行（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 </w:t>
                  </w:r>
                </w:p>
                <w:p w14:paraId="78AFF4CB">
                  <w:pPr>
                    <w:keepNext w:val="0"/>
                    <w:keepLines w:val="0"/>
                    <w:widowControl/>
                    <w:suppressLineNumbers w:val="0"/>
                    <w:jc w:val="left"/>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lang w:val="en-US" w:eastAsia="zh-CN" w:bidi="ar"/>
                    </w:rPr>
                    <w:t>3.水环境城镇生活污染重点管控区同时执行除干旱地区外，新建城区应全面实行雨污分流，鼓励对初期雨水进行收集、处理和资源化利用。 4.大气环境布局敏感重点管控区同时执行（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099" w:type="pct"/>
                  <w:tcBorders>
                    <w:top w:val="single" w:color="auto" w:sz="4" w:space="0"/>
                    <w:left w:val="single" w:color="auto" w:sz="4" w:space="0"/>
                    <w:bottom w:val="single" w:color="auto" w:sz="4" w:space="0"/>
                  </w:tcBorders>
                  <w:noWrap w:val="0"/>
                  <w:vAlign w:val="center"/>
                </w:tcPr>
                <w:p w14:paraId="277E66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sz w:val="21"/>
                      <w:szCs w:val="21"/>
                      <w:highlight w:val="none"/>
                      <w:lang w:val="en-US" w:eastAsia="zh-CN"/>
                    </w:rPr>
                  </w:pPr>
                  <w:r>
                    <w:rPr>
                      <w:rFonts w:hint="eastAsia" w:cs="Times New Roman"/>
                      <w:snapToGrid w:val="0"/>
                      <w:color w:val="auto"/>
                      <w:kern w:val="0"/>
                      <w:sz w:val="21"/>
                      <w:szCs w:val="21"/>
                      <w:highlight w:val="none"/>
                      <w:lang w:val="en-US" w:eastAsia="zh-CN"/>
                    </w:rPr>
                    <w:t>本项目为储煤场项目，仅用于煤炭储存，不属于“两高”行业，不属于钢铁、水泥、平板玻璃等行业，不涉及危险化学品，不属于畜禽养殖项目。项目设置排水沟将初期雨水进行收集，回用于厂区洒水</w:t>
                  </w:r>
                  <w:r>
                    <w:rPr>
                      <w:rFonts w:hint="default" w:ascii="Times New Roman" w:hAnsi="Times New Roman" w:cs="Times New Roman"/>
                      <w:b w:val="0"/>
                      <w:bCs w:val="0"/>
                      <w:color w:val="auto"/>
                      <w:sz w:val="21"/>
                      <w:szCs w:val="21"/>
                      <w:highlight w:val="none"/>
                      <w:lang w:val="en-US" w:eastAsia="zh-CN"/>
                    </w:rPr>
                    <w:t>。</w:t>
                  </w:r>
                </w:p>
              </w:tc>
            </w:tr>
            <w:tr w14:paraId="4E8731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529A4DE9">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污染物排放管控</w:t>
                  </w:r>
                </w:p>
              </w:tc>
              <w:tc>
                <w:tcPr>
                  <w:tcW w:w="3065" w:type="pct"/>
                  <w:tcBorders>
                    <w:top w:val="single" w:color="auto" w:sz="4" w:space="0"/>
                    <w:left w:val="single" w:color="auto" w:sz="4" w:space="0"/>
                    <w:bottom w:val="single" w:color="auto" w:sz="4" w:space="0"/>
                    <w:right w:val="single" w:color="auto" w:sz="4" w:space="0"/>
                  </w:tcBorders>
                  <w:noWrap w:val="0"/>
                  <w:vAlign w:val="center"/>
                </w:tcPr>
                <w:p w14:paraId="2A9D98E0">
                  <w:pPr>
                    <w:keepNext w:val="0"/>
                    <w:keepLines w:val="0"/>
                    <w:widowControl/>
                    <w:suppressLineNumbers w:val="0"/>
                    <w:jc w:val="left"/>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1.同时执行：加快65t／h以上燃煤锅炉（含电力）超低排放改造。</w:t>
                  </w:r>
                </w:p>
                <w:p w14:paraId="7B2251BC">
                  <w:pPr>
                    <w:keepNext w:val="0"/>
                    <w:keepLines w:val="0"/>
                    <w:widowControl/>
                    <w:suppressLineNumbers w:val="0"/>
                    <w:jc w:val="left"/>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2.水环境农业污染重点管控区同时执行（1）支持规模化畜禽养殖场（小区）开展标准化改造和建设，提高畜禽粪污收集和处理机械化水平，实施雨污分流、粪污资源化利用，控制畜禽养殖污染排放。（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3）全面加强农业面源污染防控，科学合理使用农业投入品，提高使用效率，减少农业内源性污染。</w:t>
                  </w:r>
                </w:p>
                <w:p w14:paraId="22C405DE">
                  <w:pPr>
                    <w:keepNext w:val="0"/>
                    <w:keepLines w:val="0"/>
                    <w:widowControl/>
                    <w:suppressLineNumbers w:val="0"/>
                    <w:jc w:val="left"/>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3.水环境城镇生活污染重点管控区同时执行（1）新区污水管网规划建设应当与城市开发同步推进，除干旱地区外均实行雨污分流。（2）强化城中村、老旧城区和城乡结合部污水截流、收集。（3）推进合流制排水系统雨污分流改造，难以改造的，应采取截流、调蓄和治理等措施；推进现有污水处理设施配套管网建设；进一步提高城市、县城生活污水收集处理效能。（4）县级以上人民政府应当合理确定城镇排水与污水处理设施建设标准，统筹安排管网、泵站、污水处理厂以及污泥处理处置、再生水利用、雨水调蓄和排放等排水与污水处理设施建设和改造，提高城镇污水收集率和处理率。</w:t>
                  </w:r>
                </w:p>
                <w:p w14:paraId="5A0DE061">
                  <w:pPr>
                    <w:keepNext w:val="0"/>
                    <w:keepLines w:val="0"/>
                    <w:widowControl/>
                    <w:suppressLineNumbers w:val="0"/>
                    <w:jc w:val="left"/>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kern w:val="0"/>
                      <w:sz w:val="21"/>
                      <w:szCs w:val="21"/>
                      <w:lang w:val="en-US" w:eastAsia="zh-CN" w:bidi="ar"/>
                    </w:rPr>
                    <w:t>4.大气环境布局敏感重点管控区同时执行（1）对以煤、石焦油、渣油、重油等为燃料的锅炉和工业炉窑，加快使用清洁低碳能源以及工厂余热、电力热力等进行替代。（2）到 2025年，在用65蒸吨/小时以上的燃煤锅炉（含电力）实现超低排放，钢铁企业基本实现超低排放。</w:t>
                  </w:r>
                </w:p>
              </w:tc>
              <w:tc>
                <w:tcPr>
                  <w:tcW w:w="1099" w:type="pct"/>
                  <w:tcBorders>
                    <w:top w:val="single" w:color="auto" w:sz="4" w:space="0"/>
                    <w:left w:val="single" w:color="auto" w:sz="4" w:space="0"/>
                    <w:bottom w:val="single" w:color="auto" w:sz="4" w:space="0"/>
                  </w:tcBorders>
                  <w:noWrap w:val="0"/>
                  <w:vAlign w:val="center"/>
                </w:tcPr>
                <w:p w14:paraId="4109BD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snapToGrid w:val="0"/>
                      <w:color w:val="auto"/>
                      <w:kern w:val="0"/>
                      <w:sz w:val="21"/>
                      <w:szCs w:val="21"/>
                      <w:highlight w:val="none"/>
                      <w:lang w:val="en-US" w:eastAsia="zh-CN"/>
                    </w:rPr>
                    <w:t>本项目为储煤场项目，冬季供暖采用电取暖；不涉及燃料使用。项目不涉及畜禽养殖，项目无生产废水产生，储煤场设置排水沟将初期雨水进行收集，回用于厂区洒水。项目无废水外排。</w:t>
                  </w:r>
                </w:p>
              </w:tc>
            </w:tr>
            <w:tr w14:paraId="64BEAC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noWrap w:val="0"/>
                  <w:vAlign w:val="center"/>
                </w:tcPr>
                <w:p w14:paraId="262425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bidi="ar"/>
                    </w:rPr>
                    <w:t xml:space="preserve">环境风险 </w:t>
                  </w:r>
                </w:p>
                <w:p w14:paraId="0E741CFA">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kern w:val="0"/>
                      <w:sz w:val="21"/>
                      <w:szCs w:val="21"/>
                      <w:lang w:val="en-US" w:eastAsia="zh-CN" w:bidi="ar"/>
                    </w:rPr>
                    <w:t>防控</w:t>
                  </w:r>
                </w:p>
              </w:tc>
              <w:tc>
                <w:tcPr>
                  <w:tcW w:w="306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888827B">
                  <w:pPr>
                    <w:keepNext w:val="0"/>
                    <w:keepLines w:val="0"/>
                    <w:widowControl/>
                    <w:suppressLineNumbers w:val="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w:t>
                  </w:r>
                </w:p>
                <w:p w14:paraId="2C898AA8">
                  <w:pPr>
                    <w:keepNext w:val="0"/>
                    <w:keepLines w:val="0"/>
                    <w:widowControl/>
                    <w:suppressLineNumbers w:val="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lang w:val="en-US" w:eastAsia="zh-CN" w:bidi="ar"/>
                    </w:rPr>
                    <w:t>2.大气环境布局敏感重点管控区同时执行本清单禁止在居民区、学校、医疗和养老机构等周边新建有色金属冶炼、焦化等行业企业</w:t>
                  </w:r>
                </w:p>
              </w:tc>
              <w:tc>
                <w:tcPr>
                  <w:tcW w:w="1099" w:type="pct"/>
                  <w:tcBorders>
                    <w:top w:val="single" w:color="auto" w:sz="4" w:space="0"/>
                    <w:left w:val="single" w:color="auto" w:sz="4" w:space="0"/>
                    <w:bottom w:val="single" w:color="auto" w:sz="4" w:space="0"/>
                  </w:tcBorders>
                  <w:noWrap w:val="0"/>
                  <w:vAlign w:val="center"/>
                </w:tcPr>
                <w:p w14:paraId="5E9D48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snapToGrid w:val="0"/>
                      <w:color w:val="auto"/>
                      <w:kern w:val="0"/>
                      <w:sz w:val="21"/>
                      <w:szCs w:val="21"/>
                      <w:highlight w:val="none"/>
                    </w:rPr>
                    <w:t>本项目为储煤场项目，仅用于煤场储存。不属于有色金属冶炼、焦化等行业企业</w:t>
                  </w:r>
                </w:p>
              </w:tc>
            </w:tr>
            <w:tr w14:paraId="66FCA6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69" w:type="dxa"/>
                  <w:tcBorders>
                    <w:top w:val="single" w:color="auto" w:sz="4" w:space="0"/>
                    <w:bottom w:val="single" w:color="auto" w:sz="4" w:space="0"/>
                    <w:right w:val="single" w:color="auto" w:sz="4" w:space="0"/>
                  </w:tcBorders>
                  <w:noWrap w:val="0"/>
                  <w:vAlign w:val="center"/>
                </w:tcPr>
                <w:p w14:paraId="7C243C21">
                  <w:pPr>
                    <w:adjustRightInd w:val="0"/>
                    <w:snapToGrid w:val="0"/>
                    <w:spacing w:line="240" w:lineRule="auto"/>
                    <w:jc w:val="center"/>
                    <w:rPr>
                      <w:rFonts w:hint="default" w:ascii="Times New Roman" w:hAnsi="Times New Roman" w:eastAsia="宋体" w:cs="Times New Roman"/>
                      <w:color w:val="auto"/>
                      <w:kern w:val="0"/>
                      <w:sz w:val="21"/>
                      <w:szCs w:val="21"/>
                      <w:lang w:val="en-US" w:eastAsia="zh-CN" w:bidi="ar"/>
                    </w:rPr>
                  </w:pPr>
                  <w:r>
                    <w:rPr>
                      <w:rFonts w:hint="eastAsia" w:cs="Times New Roman"/>
                      <w:snapToGrid w:val="0"/>
                      <w:color w:val="auto"/>
                      <w:kern w:val="0"/>
                      <w:sz w:val="21"/>
                      <w:szCs w:val="21"/>
                      <w:highlight w:val="none"/>
                      <w:lang w:val="en-US" w:eastAsia="zh-CN"/>
                    </w:rPr>
                    <w:t>资源开发效率要求</w:t>
                  </w:r>
                </w:p>
              </w:tc>
              <w:tc>
                <w:tcPr>
                  <w:tcW w:w="4291"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EDF369E">
                  <w:pPr>
                    <w:numPr>
                      <w:ilvl w:val="0"/>
                      <w:numId w:val="2"/>
                    </w:numPr>
                    <w:adjustRightInd w:val="0"/>
                    <w:snapToGrid w:val="0"/>
                    <w:spacing w:line="240" w:lineRule="auto"/>
                    <w:jc w:val="left"/>
                    <w:rPr>
                      <w:rFonts w:hint="eastAsia" w:ascii="宋体" w:hAnsi="宋体" w:cs="宋体"/>
                      <w:b w:val="0"/>
                      <w:bCs w:val="0"/>
                      <w:snapToGrid w:val="0"/>
                      <w:color w:val="auto"/>
                      <w:kern w:val="0"/>
                      <w:sz w:val="21"/>
                      <w:szCs w:val="21"/>
                      <w:highlight w:val="none"/>
                      <w:lang w:val="en-US" w:eastAsia="zh-CN"/>
                    </w:rPr>
                  </w:pPr>
                  <w:r>
                    <w:rPr>
                      <w:rFonts w:hint="eastAsia" w:ascii="宋体" w:hAnsi="宋体" w:cs="宋体"/>
                      <w:b w:val="0"/>
                      <w:bCs w:val="0"/>
                      <w:snapToGrid w:val="0"/>
                      <w:color w:val="auto"/>
                      <w:kern w:val="0"/>
                      <w:sz w:val="21"/>
                      <w:szCs w:val="21"/>
                      <w:highlight w:val="none"/>
                      <w:lang w:val="en-US" w:eastAsia="zh-CN"/>
                    </w:rPr>
                    <w:t>同时执行:(1)推进污水再生利用设施建设。(2)公共建筑必须采用节水器具，限期淘汰公共建筑中不符合节水标准的水嘴、便器水箱等生活用水器具。</w:t>
                  </w:r>
                </w:p>
                <w:p w14:paraId="5B3279B3">
                  <w:pPr>
                    <w:numPr>
                      <w:ilvl w:val="0"/>
                      <w:numId w:val="0"/>
                    </w:numPr>
                    <w:adjustRightInd w:val="0"/>
                    <w:snapToGrid w:val="0"/>
                    <w:spacing w:line="240" w:lineRule="auto"/>
                    <w:jc w:val="left"/>
                    <w:rPr>
                      <w:rFonts w:hint="default" w:ascii="Times New Roman" w:hAnsi="Times New Roman" w:eastAsia="宋体" w:cs="Times New Roman"/>
                      <w:color w:val="auto"/>
                      <w:kern w:val="0"/>
                      <w:sz w:val="21"/>
                      <w:szCs w:val="21"/>
                      <w:lang w:val="en-US" w:eastAsia="zh-CN" w:bidi="ar"/>
                    </w:rPr>
                  </w:pPr>
                  <w:r>
                    <w:rPr>
                      <w:rFonts w:hint="eastAsia" w:ascii="宋体" w:hAnsi="宋体" w:cs="宋体"/>
                      <w:b w:val="0"/>
                      <w:bCs w:val="0"/>
                      <w:snapToGrid w:val="0"/>
                      <w:color w:val="auto"/>
                      <w:kern w:val="0"/>
                      <w:sz w:val="21"/>
                      <w:szCs w:val="21"/>
                      <w:highlight w:val="none"/>
                      <w:lang w:val="en-US" w:eastAsia="zh-CN"/>
                    </w:rPr>
                    <w:t>2.高污染燃料禁燃区执行(1)在禁燃区内，禁止销售、燃用高污染燃料:禁止新建、扩建燃用高污染燃料的设施，已建成的，应当在城市人民政府规定的期限内改用天然气、页岩气、液化石油气、电或者其他清洁能源。(2)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1539" w:type="dxa"/>
                  <w:tcBorders>
                    <w:top w:val="single" w:color="auto" w:sz="4" w:space="0"/>
                    <w:left w:val="single" w:color="auto" w:sz="4" w:space="0"/>
                    <w:bottom w:val="single" w:color="auto" w:sz="4" w:space="0"/>
                  </w:tcBorders>
                  <w:noWrap w:val="0"/>
                  <w:vAlign w:val="center"/>
                </w:tcPr>
                <w:p w14:paraId="3B2C8B30">
                  <w:pPr>
                    <w:adjustRightInd w:val="0"/>
                    <w:snapToGrid w:val="0"/>
                    <w:spacing w:line="240" w:lineRule="auto"/>
                    <w:jc w:val="center"/>
                    <w:rPr>
                      <w:rFonts w:hint="default" w:ascii="Times New Roman" w:hAnsi="Times New Roman" w:eastAsia="宋体" w:cs="Times New Roman"/>
                      <w:b w:val="0"/>
                      <w:bCs w:val="0"/>
                      <w:snapToGrid w:val="0"/>
                      <w:color w:val="auto"/>
                      <w:kern w:val="0"/>
                      <w:sz w:val="21"/>
                      <w:szCs w:val="21"/>
                      <w:highlight w:val="none"/>
                    </w:rPr>
                  </w:pPr>
                  <w:r>
                    <w:rPr>
                      <w:rFonts w:hint="eastAsia" w:ascii="宋体" w:hAnsi="宋体" w:cs="宋体"/>
                      <w:b w:val="0"/>
                      <w:bCs w:val="0"/>
                      <w:snapToGrid w:val="0"/>
                      <w:color w:val="auto"/>
                      <w:kern w:val="0"/>
                      <w:sz w:val="21"/>
                      <w:szCs w:val="21"/>
                      <w:highlight w:val="none"/>
                      <w:lang w:val="en-US" w:eastAsia="zh-CN"/>
                    </w:rPr>
                    <w:t>本项目设置雨水收集池，将初期雨水收集后回用于厂区洒水降尘，项目位于城子河区城西办事处建新委3组不属于鸡西市高污染燃料禁燃区范围划定范围内</w:t>
                  </w:r>
                </w:p>
              </w:tc>
            </w:tr>
            <w:tr w14:paraId="4D9C88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shd w:val="clear" w:color="auto" w:fill="auto"/>
                  <w:noWrap w:val="0"/>
                  <w:vAlign w:val="center"/>
                </w:tcPr>
                <w:p w14:paraId="389D830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环境管控区名称</w:t>
                  </w:r>
                </w:p>
              </w:tc>
              <w:tc>
                <w:tcPr>
                  <w:tcW w:w="4164" w:type="pct"/>
                  <w:gridSpan w:val="2"/>
                  <w:tcBorders>
                    <w:top w:val="single" w:color="auto" w:sz="4" w:space="0"/>
                    <w:bottom w:val="single" w:color="auto" w:sz="4" w:space="0"/>
                  </w:tcBorders>
                  <w:shd w:val="clear" w:color="auto" w:fill="auto"/>
                  <w:noWrap w:val="0"/>
                  <w:vAlign w:val="center"/>
                </w:tcPr>
                <w:p w14:paraId="778EF899">
                  <w:pPr>
                    <w:keepNext w:val="0"/>
                    <w:keepLines w:val="0"/>
                    <w:widowControl/>
                    <w:suppressLineNumbers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kern w:val="0"/>
                      <w:sz w:val="21"/>
                      <w:szCs w:val="21"/>
                      <w:lang w:val="en-US" w:eastAsia="zh-CN" w:bidi="ar"/>
                    </w:rPr>
                    <w:t>城子河区地下水环境一般管控区</w:t>
                  </w:r>
                </w:p>
              </w:tc>
            </w:tr>
            <w:tr w14:paraId="4CB3C4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shd w:val="clear" w:color="auto" w:fill="auto"/>
                  <w:noWrap w:val="0"/>
                  <w:vAlign w:val="center"/>
                </w:tcPr>
                <w:p w14:paraId="1EA8888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环境管控区编码</w:t>
                  </w:r>
                </w:p>
              </w:tc>
              <w:tc>
                <w:tcPr>
                  <w:tcW w:w="4164" w:type="pct"/>
                  <w:gridSpan w:val="2"/>
                  <w:tcBorders>
                    <w:top w:val="single" w:color="auto" w:sz="4" w:space="0"/>
                    <w:bottom w:val="single" w:color="auto" w:sz="4" w:space="0"/>
                  </w:tcBorders>
                  <w:shd w:val="clear" w:color="auto" w:fill="auto"/>
                  <w:noWrap w:val="0"/>
                  <w:vAlign w:val="center"/>
                </w:tcPr>
                <w:p w14:paraId="7C5B576D">
                  <w:pPr>
                    <w:keepNext w:val="0"/>
                    <w:keepLines w:val="0"/>
                    <w:widowControl/>
                    <w:suppressLineNumbers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kern w:val="0"/>
                      <w:sz w:val="21"/>
                      <w:szCs w:val="21"/>
                      <w:lang w:val="en-US" w:eastAsia="zh-CN" w:bidi="ar"/>
                    </w:rPr>
                    <w:t>YS2303066310001</w:t>
                  </w:r>
                </w:p>
              </w:tc>
            </w:tr>
            <w:tr w14:paraId="23CBCD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5" w:type="pct"/>
                  <w:tcBorders>
                    <w:top w:val="single" w:color="auto" w:sz="4" w:space="0"/>
                    <w:bottom w:val="single" w:color="auto" w:sz="4" w:space="0"/>
                    <w:right w:val="single" w:color="auto" w:sz="4" w:space="0"/>
                  </w:tcBorders>
                  <w:shd w:val="clear" w:color="auto" w:fill="auto"/>
                  <w:noWrap w:val="0"/>
                  <w:vAlign w:val="center"/>
                </w:tcPr>
                <w:p w14:paraId="2014170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管控区类型</w:t>
                  </w:r>
                </w:p>
              </w:tc>
              <w:tc>
                <w:tcPr>
                  <w:tcW w:w="4164" w:type="pct"/>
                  <w:gridSpan w:val="2"/>
                  <w:tcBorders>
                    <w:top w:val="single" w:color="auto" w:sz="4" w:space="0"/>
                    <w:bottom w:val="single" w:color="auto" w:sz="4" w:space="0"/>
                  </w:tcBorders>
                  <w:shd w:val="clear" w:color="auto" w:fill="auto"/>
                  <w:noWrap w:val="0"/>
                  <w:vAlign w:val="center"/>
                </w:tcPr>
                <w:p w14:paraId="3A6E5EF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一般管控区</w:t>
                  </w:r>
                </w:p>
              </w:tc>
            </w:tr>
            <w:tr w14:paraId="49558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shd w:val="clear" w:color="auto" w:fill="auto"/>
                  <w:noWrap w:val="0"/>
                  <w:vAlign w:val="center"/>
                </w:tcPr>
                <w:p w14:paraId="634789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管控要求</w:t>
                  </w:r>
                </w:p>
              </w:tc>
              <w:tc>
                <w:tcPr>
                  <w:tcW w:w="1099" w:type="pct"/>
                  <w:tcBorders>
                    <w:top w:val="single" w:color="auto" w:sz="4" w:space="0"/>
                    <w:left w:val="single" w:color="auto" w:sz="4" w:space="0"/>
                    <w:bottom w:val="single" w:color="auto" w:sz="4" w:space="0"/>
                  </w:tcBorders>
                  <w:shd w:val="clear" w:color="auto" w:fill="auto"/>
                  <w:noWrap w:val="0"/>
                  <w:vAlign w:val="center"/>
                </w:tcPr>
                <w:p w14:paraId="4EE7E0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符合性分析</w:t>
                  </w:r>
                </w:p>
              </w:tc>
            </w:tr>
            <w:tr w14:paraId="51B0E1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900" w:type="pct"/>
                  <w:gridSpan w:val="2"/>
                  <w:tcBorders>
                    <w:top w:val="single" w:color="auto" w:sz="4" w:space="0"/>
                    <w:bottom w:val="single" w:color="auto" w:sz="4" w:space="0"/>
                    <w:right w:val="single" w:color="auto" w:sz="4" w:space="0"/>
                  </w:tcBorders>
                  <w:shd w:val="clear" w:color="auto" w:fill="auto"/>
                  <w:noWrap w:val="0"/>
                  <w:vAlign w:val="center"/>
                </w:tcPr>
                <w:p w14:paraId="3C752FA3">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环境风险管控</w:t>
                  </w:r>
                </w:p>
                <w:p w14:paraId="65DB03B8">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2.重点单位新、改、扩建项目地下储罐储存有毒有害物质的，应当在项目投入生产或者使用之前，将地下储罐的信息报所在地设区的市级生态环境主管部门备案。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099" w:type="pct"/>
                  <w:tcBorders>
                    <w:top w:val="single" w:color="auto" w:sz="4" w:space="0"/>
                    <w:left w:val="single" w:color="auto" w:sz="4" w:space="0"/>
                    <w:bottom w:val="single" w:color="auto" w:sz="4" w:space="0"/>
                  </w:tcBorders>
                  <w:shd w:val="clear" w:color="auto" w:fill="auto"/>
                  <w:noWrap w:val="0"/>
                  <w:vAlign w:val="center"/>
                </w:tcPr>
                <w:p w14:paraId="3907C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本项目不属于土壤污染重点监管单位。</w:t>
                  </w:r>
                </w:p>
              </w:tc>
            </w:tr>
          </w:tbl>
          <w:p w14:paraId="4F7FF270">
            <w:pPr>
              <w:pStyle w:val="4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3）</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一说明</w:t>
            </w:r>
            <w:r>
              <w:rPr>
                <w:rFonts w:hint="eastAsia" w:cs="Times New Roman"/>
                <w:color w:val="auto"/>
                <w:kern w:val="2"/>
                <w:sz w:val="24"/>
                <w:szCs w:val="24"/>
                <w:highlight w:val="none"/>
                <w:lang w:val="en-US" w:eastAsia="zh-CN" w:bidi="ar-SA"/>
              </w:rPr>
              <w:t>”</w:t>
            </w:r>
          </w:p>
          <w:p w14:paraId="15E403DE">
            <w:pPr>
              <w:pStyle w:val="4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由上述分析可知，本项目的建设符合</w:t>
            </w:r>
            <w:r>
              <w:rPr>
                <w:rFonts w:hint="default" w:ascii="Times New Roman" w:hAnsi="Times New Roman" w:cs="Times New Roman"/>
                <w:color w:val="auto"/>
                <w:sz w:val="24"/>
              </w:rPr>
              <w:t>《鸡西市生态环境准入清单》（2023年版）</w:t>
            </w:r>
            <w:r>
              <w:rPr>
                <w:rFonts w:hint="default" w:ascii="Times New Roman" w:hAnsi="Times New Roman" w:cs="Times New Roman"/>
                <w:color w:val="auto"/>
                <w:sz w:val="24"/>
                <w:lang w:eastAsia="zh-CN"/>
              </w:rPr>
              <w:t>和</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鸡西市城子河区广泰煤炭经销处储煤场建设项目</w:t>
            </w:r>
            <w:r>
              <w:rPr>
                <w:rFonts w:hint="default" w:ascii="Times New Roman" w:hAnsi="Times New Roman" w:eastAsia="宋体" w:cs="Times New Roman"/>
                <w:color w:val="auto"/>
                <w:kern w:val="2"/>
                <w:sz w:val="24"/>
                <w:szCs w:val="24"/>
                <w:highlight w:val="none"/>
                <w:lang w:val="en-US" w:eastAsia="zh-CN" w:bidi="ar-SA"/>
              </w:rPr>
              <w:t>生态环境分区管控分析报告》中的要求。</w:t>
            </w:r>
          </w:p>
          <w:p w14:paraId="7921DFF0">
            <w:pPr>
              <w:pStyle w:val="4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根据黑龙江省生态环境分区管控数据应用平台查询的《生态环境分区管控分析报告》（分析报告见附件）：</w:t>
            </w:r>
          </w:p>
          <w:p w14:paraId="6E55E07A">
            <w:pPr>
              <w:pStyle w:val="4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本项目与生态保护红线交集面积为0.00平方公里，占项目占地面积的0.00%。</w:t>
            </w:r>
          </w:p>
          <w:p w14:paraId="44C6DA80">
            <w:pPr>
              <w:pStyle w:val="4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与自然保护地整合优化方案数据交集面积为0.00平方公里，占项目占地面积的0.00%。保护地涉及等类型。与自然保护地</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现状管理数据</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交集面积为0.00平方公里，占项目占地面积的0.00%。保护地涉及等类型。</w:t>
            </w:r>
          </w:p>
          <w:p w14:paraId="31366073">
            <w:pPr>
              <w:pStyle w:val="4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与饮用水水源保护区交集面积为0.00平方公里，占项目占地面积的0.00%。与国家级水产种质资源保护区交集面积为0.00平方公里，占项目占地面积的0.00%。</w:t>
            </w:r>
          </w:p>
          <w:p w14:paraId="6EE3A27A">
            <w:pPr>
              <w:pStyle w:val="4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与环境管控单元优先保护单元交集面积为0.00平方公里，占项目占地面积的0.00%；与重点管控单元交集面积为</w:t>
            </w:r>
            <w:r>
              <w:rPr>
                <w:rFonts w:hint="eastAsia" w:cs="Times New Roman"/>
                <w:color w:val="auto"/>
                <w:kern w:val="2"/>
                <w:sz w:val="24"/>
                <w:szCs w:val="24"/>
                <w:highlight w:val="none"/>
                <w:lang w:val="en-US" w:eastAsia="zh-CN" w:bidi="ar-SA"/>
              </w:rPr>
              <w:t>小于</w:t>
            </w:r>
            <w:r>
              <w:rPr>
                <w:rFonts w:hint="default" w:ascii="Times New Roman" w:hAnsi="Times New Roman" w:eastAsia="宋体" w:cs="Times New Roman"/>
                <w:color w:val="auto"/>
                <w:kern w:val="2"/>
                <w:sz w:val="24"/>
                <w:szCs w:val="24"/>
                <w:highlight w:val="none"/>
                <w:lang w:val="en-US" w:eastAsia="zh-CN" w:bidi="ar-SA"/>
              </w:rPr>
              <w:t>0.</w:t>
            </w:r>
            <w:r>
              <w:rPr>
                <w:rFonts w:hint="default" w:ascii="Times New Roman" w:hAnsi="Times New Roman" w:cs="Times New Roman"/>
                <w:color w:val="auto"/>
                <w:kern w:val="2"/>
                <w:sz w:val="24"/>
                <w:szCs w:val="24"/>
                <w:highlight w:val="none"/>
                <w:lang w:val="en-US" w:eastAsia="zh-CN" w:bidi="ar-SA"/>
              </w:rPr>
              <w:t>0</w:t>
            </w:r>
            <w:r>
              <w:rPr>
                <w:rFonts w:hint="eastAsia"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平方公里，占项目占地面积的100.00%；一般管控单元交集面积为0.00平方公里，占项目占地面积的0.00%。</w:t>
            </w:r>
          </w:p>
          <w:p w14:paraId="26B37EC7">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lang w:eastAsia="zh-CN"/>
              </w:rPr>
            </w:pPr>
            <w:r>
              <w:rPr>
                <w:rFonts w:hint="default" w:ascii="Times New Roman" w:hAnsi="Times New Roman" w:eastAsia="宋体" w:cs="Times New Roman"/>
                <w:color w:val="auto"/>
                <w:kern w:val="2"/>
                <w:sz w:val="24"/>
                <w:szCs w:val="24"/>
                <w:highlight w:val="none"/>
                <w:lang w:val="en-US" w:eastAsia="zh-CN" w:bidi="ar-SA"/>
              </w:rPr>
              <w:t>与地下水环境优先保护区交集面积为0.00平方公里，占项目占地面积的0.00%；与地下水环境重点管控区交集面积为0.00平方公里，占项目占地面积的0.00%，与地下水环境一般管控区交集面积为0.</w:t>
            </w:r>
            <w:r>
              <w:rPr>
                <w:rFonts w:hint="default" w:ascii="Times New Roman" w:hAnsi="Times New Roman" w:cs="Times New Roman"/>
                <w:color w:val="auto"/>
                <w:kern w:val="2"/>
                <w:sz w:val="24"/>
                <w:szCs w:val="24"/>
                <w:highlight w:val="none"/>
                <w:lang w:val="en-US" w:eastAsia="zh-CN" w:bidi="ar-SA"/>
              </w:rPr>
              <w:t>0</w:t>
            </w:r>
            <w:r>
              <w:rPr>
                <w:rFonts w:hint="eastAsia"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平方公里，占项目占地面积的100.00%</w:t>
            </w:r>
            <w:r>
              <w:rPr>
                <w:rFonts w:hint="default" w:ascii="Times New Roman" w:hAnsi="Times New Roman" w:cs="Times New Roman"/>
                <w:color w:val="auto"/>
                <w:sz w:val="24"/>
                <w:szCs w:val="24"/>
                <w:highlight w:val="none"/>
                <w:lang w:eastAsia="zh-CN"/>
              </w:rPr>
              <w:t>。</w:t>
            </w:r>
          </w:p>
          <w:p w14:paraId="388E44C8">
            <w:pPr>
              <w:spacing w:line="360" w:lineRule="auto"/>
              <w:jc w:val="left"/>
              <w:rPr>
                <w:rFonts w:hint="default" w:ascii="Times New Roman" w:hAnsi="Times New Roman" w:cs="Times New Roman"/>
                <w:b/>
                <w:color w:val="auto"/>
                <w:sz w:val="24"/>
                <w:highlight w:val="none"/>
                <w:lang w:val="en-US"/>
              </w:rPr>
            </w:pPr>
            <w:r>
              <w:rPr>
                <w:rFonts w:hint="eastAsia" w:cs="Times New Roman"/>
                <w:b/>
                <w:color w:val="auto"/>
                <w:sz w:val="24"/>
                <w:highlight w:val="none"/>
                <w:lang w:val="en-US" w:eastAsia="zh-CN"/>
              </w:rPr>
              <w:t>5</w:t>
            </w:r>
            <w:r>
              <w:rPr>
                <w:rFonts w:hint="default" w:ascii="Times New Roman" w:hAnsi="Times New Roman" w:cs="Times New Roman"/>
                <w:b/>
                <w:color w:val="auto"/>
                <w:sz w:val="24"/>
                <w:highlight w:val="none"/>
              </w:rPr>
              <w:t>、</w:t>
            </w:r>
            <w:r>
              <w:rPr>
                <w:rFonts w:hint="eastAsia" w:cs="Times New Roman"/>
                <w:b/>
                <w:color w:val="auto"/>
                <w:sz w:val="24"/>
                <w:highlight w:val="none"/>
                <w:lang w:val="en-US" w:eastAsia="zh-CN"/>
              </w:rPr>
              <w:t>与</w:t>
            </w:r>
            <w:r>
              <w:rPr>
                <w:rFonts w:hint="eastAsia" w:cs="Times New Roman"/>
                <w:b/>
                <w:color w:val="auto"/>
                <w:sz w:val="24"/>
                <w:highlight w:val="none"/>
                <w:lang w:eastAsia="zh-CN"/>
              </w:rPr>
              <w:t>《</w:t>
            </w:r>
            <w:r>
              <w:rPr>
                <w:rFonts w:hint="default" w:ascii="Times New Roman" w:hAnsi="Times New Roman" w:cs="Times New Roman"/>
                <w:b/>
                <w:color w:val="auto"/>
                <w:sz w:val="24"/>
                <w:highlight w:val="none"/>
              </w:rPr>
              <w:t>鸡西市洗煤厂、储煤厂排查整治工作方案</w:t>
            </w:r>
            <w:r>
              <w:rPr>
                <w:rFonts w:hint="eastAsia" w:cs="Times New Roman"/>
                <w:b/>
                <w:color w:val="auto"/>
                <w:sz w:val="24"/>
                <w:highlight w:val="none"/>
                <w:lang w:eastAsia="zh-CN"/>
              </w:rPr>
              <w:t>》、《</w:t>
            </w:r>
            <w:r>
              <w:rPr>
                <w:rFonts w:hint="eastAsia" w:cs="Times New Roman"/>
                <w:b/>
                <w:color w:val="auto"/>
                <w:sz w:val="24"/>
                <w:highlight w:val="none"/>
                <w:lang w:val="en-US" w:eastAsia="zh-CN"/>
              </w:rPr>
              <w:t>鸡西市洗煤厂、储煤场环境综合整治标准</w:t>
            </w:r>
            <w:r>
              <w:rPr>
                <w:rFonts w:hint="eastAsia" w:cs="Times New Roman"/>
                <w:b/>
                <w:color w:val="auto"/>
                <w:sz w:val="24"/>
                <w:highlight w:val="none"/>
                <w:lang w:eastAsia="zh-CN"/>
              </w:rPr>
              <w:t>》</w:t>
            </w:r>
            <w:r>
              <w:rPr>
                <w:rFonts w:hint="eastAsia" w:cs="Times New Roman"/>
                <w:b/>
                <w:color w:val="auto"/>
                <w:sz w:val="24"/>
                <w:highlight w:val="none"/>
                <w:lang w:val="en-US" w:eastAsia="zh-CN"/>
              </w:rPr>
              <w:t>的符合性分析</w:t>
            </w:r>
          </w:p>
          <w:p w14:paraId="5BFBCD97">
            <w:pPr>
              <w:pStyle w:val="27"/>
              <w:spacing w:before="0" w:beforeLines="0" w:after="0" w:afterLines="0" w:line="360" w:lineRule="auto"/>
              <w:ind w:firstLine="480"/>
              <w:textAlignment w:val="baseline"/>
              <w:rPr>
                <w:rFonts w:hint="default" w:cs="Times New Roman"/>
                <w:color w:val="auto"/>
                <w:highlight w:val="none"/>
                <w:lang w:val="en-US" w:eastAsia="zh-CN"/>
              </w:rPr>
            </w:pPr>
            <w:r>
              <w:rPr>
                <w:rFonts w:hint="eastAsia" w:cs="Times New Roman"/>
                <w:color w:val="auto"/>
                <w:highlight w:val="none"/>
                <w:lang w:val="en-US" w:eastAsia="zh-CN"/>
              </w:rPr>
              <w:t>2023年6月，鸡西市生态环境保护综合执法局发布了《鸡西市洗煤厂、储煤厂排查整治工作方案》及《鸡西市洗煤厂、储煤场环境综合整治标准》，本项目与《鸡西市洗煤厂、储煤厂排查整治工作方案》及《鸡西市洗煤厂、储煤场环境综合整治标准》符合性分析详见下表。</w:t>
            </w:r>
          </w:p>
          <w:p w14:paraId="5F7AF23E">
            <w:pPr>
              <w:pStyle w:val="27"/>
              <w:spacing w:before="0" w:beforeLines="0" w:after="0" w:afterLines="0" w:line="360" w:lineRule="auto"/>
              <w:ind w:firstLine="480"/>
              <w:textAlignment w:val="baseline"/>
              <w:rPr>
                <w:rFonts w:hint="eastAsia" w:cs="Times New Roman"/>
                <w:color w:val="auto"/>
                <w:highlight w:val="none"/>
                <w:lang w:val="en-US" w:eastAsia="zh-CN"/>
              </w:rPr>
            </w:pPr>
            <w:r>
              <w:rPr>
                <w:rFonts w:hint="default" w:ascii="Times New Roman" w:hAnsi="Times New Roman" w:eastAsia="宋体" w:cs="Times New Roman"/>
                <w:b/>
                <w:bCs/>
                <w:color w:val="auto"/>
                <w:kern w:val="2"/>
                <w:sz w:val="24"/>
                <w:szCs w:val="24"/>
                <w:highlight w:val="none"/>
                <w:lang w:val="en-US" w:eastAsia="zh-CN" w:bidi="ar-SA"/>
              </w:rPr>
              <w:t>表1-</w:t>
            </w:r>
            <w:r>
              <w:rPr>
                <w:rFonts w:hint="eastAsia" w:cs="Times New Roman"/>
                <w:b/>
                <w:bCs/>
                <w:color w:val="auto"/>
                <w:kern w:val="2"/>
                <w:sz w:val="24"/>
                <w:szCs w:val="24"/>
                <w:highlight w:val="none"/>
                <w:lang w:val="en-US" w:eastAsia="zh-CN" w:bidi="ar-SA"/>
              </w:rPr>
              <w:t>3</w:t>
            </w:r>
            <w:r>
              <w:rPr>
                <w:rFonts w:hint="eastAsia" w:ascii="Times New Roman" w:hAnsi="Times New Roman" w:eastAsia="宋体" w:cs="Times New Roman"/>
                <w:b/>
                <w:bCs/>
                <w:color w:val="auto"/>
                <w:kern w:val="2"/>
                <w:sz w:val="24"/>
                <w:szCs w:val="24"/>
                <w:highlight w:val="none"/>
                <w:lang w:val="en-US" w:eastAsia="zh-CN" w:bidi="ar-SA"/>
              </w:rPr>
              <w:t xml:space="preserve"> </w:t>
            </w:r>
            <w:r>
              <w:rPr>
                <w:rFonts w:hint="eastAsia" w:cs="Times New Roman"/>
                <w:b/>
                <w:color w:val="auto"/>
                <w:sz w:val="24"/>
                <w:highlight w:val="none"/>
                <w:lang w:eastAsia="zh-CN"/>
              </w:rPr>
              <w:t>《</w:t>
            </w:r>
            <w:r>
              <w:rPr>
                <w:rFonts w:hint="default" w:ascii="Times New Roman" w:hAnsi="Times New Roman" w:cs="Times New Roman"/>
                <w:b/>
                <w:color w:val="auto"/>
                <w:sz w:val="24"/>
                <w:highlight w:val="none"/>
              </w:rPr>
              <w:t>鸡西市洗煤厂、储煤厂排查整治工作方案</w:t>
            </w:r>
            <w:r>
              <w:rPr>
                <w:rFonts w:hint="eastAsia" w:cs="Times New Roman"/>
                <w:b/>
                <w:color w:val="auto"/>
                <w:sz w:val="24"/>
                <w:highlight w:val="none"/>
                <w:lang w:eastAsia="zh-CN"/>
              </w:rPr>
              <w:t>》、</w:t>
            </w:r>
            <w:r>
              <w:rPr>
                <w:rFonts w:hint="eastAsia" w:cs="Times New Roman"/>
                <w:b/>
                <w:bCs/>
                <w:color w:val="auto"/>
                <w:kern w:val="2"/>
                <w:sz w:val="24"/>
                <w:szCs w:val="24"/>
                <w:highlight w:val="none"/>
                <w:lang w:val="en-US" w:eastAsia="zh-CN" w:bidi="ar-SA"/>
              </w:rPr>
              <w:t>《</w:t>
            </w:r>
            <w:r>
              <w:rPr>
                <w:rFonts w:hint="default" w:ascii="Times New Roman" w:hAnsi="Times New Roman" w:eastAsia="宋体" w:cs="Times New Roman"/>
                <w:b/>
                <w:bCs/>
                <w:color w:val="auto"/>
                <w:kern w:val="2"/>
                <w:sz w:val="24"/>
                <w:szCs w:val="24"/>
                <w:highlight w:val="none"/>
                <w:lang w:val="en-US" w:eastAsia="zh-CN" w:bidi="ar-SA"/>
              </w:rPr>
              <w:t>鸡西市洗煤厂、储煤场环境综合整治标准</w:t>
            </w:r>
            <w:r>
              <w:rPr>
                <w:rFonts w:hint="eastAsia" w:cs="Times New Roman"/>
                <w:b/>
                <w:bCs/>
                <w:color w:val="auto"/>
                <w:kern w:val="2"/>
                <w:sz w:val="24"/>
                <w:szCs w:val="24"/>
                <w:highlight w:val="none"/>
                <w:lang w:val="en-US" w:eastAsia="zh-CN" w:bidi="ar-SA"/>
              </w:rPr>
              <w:t>》</w:t>
            </w:r>
            <w:r>
              <w:rPr>
                <w:rFonts w:hint="default" w:ascii="Times New Roman" w:hAnsi="Times New Roman" w:eastAsia="宋体" w:cs="Times New Roman"/>
                <w:b/>
                <w:bCs/>
                <w:color w:val="auto"/>
                <w:kern w:val="2"/>
                <w:sz w:val="24"/>
                <w:szCs w:val="24"/>
                <w:highlight w:val="none"/>
                <w:lang w:val="en-US" w:eastAsia="zh-CN" w:bidi="ar-SA"/>
              </w:rPr>
              <w:t>符合性分析</w:t>
            </w:r>
          </w:p>
          <w:tbl>
            <w:tblPr>
              <w:tblStyle w:val="17"/>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7"/>
              <w:gridCol w:w="660"/>
              <w:gridCol w:w="3649"/>
              <w:gridCol w:w="2040"/>
              <w:gridCol w:w="663"/>
            </w:tblGrid>
            <w:tr w14:paraId="5F36B0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noWrap w:val="0"/>
                  <w:vAlign w:val="center"/>
                </w:tcPr>
                <w:p w14:paraId="1F41BA68">
                  <w:pPr>
                    <w:jc w:val="center"/>
                    <w:rPr>
                      <w:color w:val="auto"/>
                      <w:szCs w:val="21"/>
                      <w:highlight w:val="none"/>
                    </w:rPr>
                  </w:pPr>
                  <w:r>
                    <w:rPr>
                      <w:color w:val="auto"/>
                      <w:szCs w:val="21"/>
                      <w:highlight w:val="none"/>
                    </w:rPr>
                    <w:t>文号</w:t>
                  </w:r>
                </w:p>
              </w:tc>
              <w:tc>
                <w:tcPr>
                  <w:tcW w:w="2766" w:type="pct"/>
                  <w:gridSpan w:val="2"/>
                  <w:noWrap w:val="0"/>
                  <w:vAlign w:val="center"/>
                </w:tcPr>
                <w:p w14:paraId="2FA6F15B">
                  <w:pPr>
                    <w:jc w:val="center"/>
                    <w:rPr>
                      <w:rFonts w:hint="default" w:eastAsia="宋体"/>
                      <w:color w:val="auto"/>
                      <w:szCs w:val="21"/>
                      <w:highlight w:val="none"/>
                      <w:lang w:val="en-US" w:eastAsia="zh-CN"/>
                    </w:rPr>
                  </w:pPr>
                  <w:r>
                    <w:rPr>
                      <w:rFonts w:hint="eastAsia"/>
                      <w:color w:val="auto"/>
                      <w:szCs w:val="21"/>
                      <w:highlight w:val="none"/>
                      <w:lang w:val="en-US" w:eastAsia="zh-CN"/>
                    </w:rPr>
                    <w:t>文件要求</w:t>
                  </w:r>
                </w:p>
              </w:tc>
              <w:tc>
                <w:tcPr>
                  <w:tcW w:w="1309" w:type="pct"/>
                  <w:noWrap w:val="0"/>
                  <w:vAlign w:val="center"/>
                </w:tcPr>
                <w:p w14:paraId="22F180B7">
                  <w:pPr>
                    <w:jc w:val="center"/>
                    <w:rPr>
                      <w:color w:val="auto"/>
                      <w:szCs w:val="21"/>
                      <w:highlight w:val="none"/>
                    </w:rPr>
                  </w:pPr>
                  <w:r>
                    <w:rPr>
                      <w:color w:val="auto"/>
                      <w:szCs w:val="21"/>
                      <w:highlight w:val="none"/>
                    </w:rPr>
                    <w:t>本项目建设情况</w:t>
                  </w:r>
                </w:p>
              </w:tc>
              <w:tc>
                <w:tcPr>
                  <w:tcW w:w="425" w:type="pct"/>
                  <w:noWrap w:val="0"/>
                  <w:vAlign w:val="center"/>
                </w:tcPr>
                <w:p w14:paraId="3A706ED6">
                  <w:pPr>
                    <w:jc w:val="center"/>
                    <w:rPr>
                      <w:color w:val="auto"/>
                      <w:szCs w:val="21"/>
                      <w:highlight w:val="none"/>
                    </w:rPr>
                  </w:pPr>
                  <w:r>
                    <w:rPr>
                      <w:color w:val="auto"/>
                      <w:szCs w:val="21"/>
                      <w:highlight w:val="none"/>
                    </w:rPr>
                    <w:t>符合性</w:t>
                  </w:r>
                </w:p>
              </w:tc>
            </w:tr>
            <w:tr w14:paraId="4160B1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Merge w:val="restart"/>
                  <w:noWrap w:val="0"/>
                  <w:vAlign w:val="center"/>
                </w:tcPr>
                <w:p w14:paraId="47CCCDD5">
                  <w:pPr>
                    <w:jc w:val="center"/>
                    <w:rPr>
                      <w:rFonts w:hint="eastAsia" w:eastAsia="宋体"/>
                      <w:color w:val="auto"/>
                      <w:szCs w:val="21"/>
                      <w:highlight w:val="none"/>
                      <w:lang w:eastAsia="zh-CN"/>
                    </w:rPr>
                  </w:pPr>
                  <w:r>
                    <w:rPr>
                      <w:rFonts w:hint="eastAsia"/>
                      <w:color w:val="auto"/>
                      <w:szCs w:val="21"/>
                      <w:highlight w:val="none"/>
                    </w:rPr>
                    <w:t>鸡西市洗煤厂、储煤厂排查整治工作方案</w:t>
                  </w:r>
                  <w:r>
                    <w:rPr>
                      <w:color w:val="auto"/>
                      <w:szCs w:val="21"/>
                      <w:highlight w:val="none"/>
                    </w:rPr>
                    <w:t>（</w:t>
                  </w:r>
                  <w:r>
                    <w:rPr>
                      <w:rFonts w:hint="eastAsia"/>
                      <w:color w:val="auto"/>
                      <w:szCs w:val="21"/>
                      <w:highlight w:val="none"/>
                      <w:lang w:val="en-US" w:eastAsia="zh-CN"/>
                    </w:rPr>
                    <w:t>鸡环执法</w:t>
                  </w:r>
                  <w:r>
                    <w:rPr>
                      <w:color w:val="auto"/>
                      <w:szCs w:val="21"/>
                      <w:highlight w:val="none"/>
                    </w:rPr>
                    <w:t>〔20</w:t>
                  </w:r>
                  <w:r>
                    <w:rPr>
                      <w:rFonts w:hint="eastAsia"/>
                      <w:color w:val="auto"/>
                      <w:szCs w:val="21"/>
                      <w:highlight w:val="none"/>
                      <w:lang w:val="en-US" w:eastAsia="zh-CN"/>
                    </w:rPr>
                    <w:t>23</w:t>
                  </w:r>
                  <w:r>
                    <w:rPr>
                      <w:color w:val="auto"/>
                      <w:szCs w:val="21"/>
                      <w:highlight w:val="none"/>
                    </w:rPr>
                    <w:t>〕</w:t>
                  </w:r>
                  <w:r>
                    <w:rPr>
                      <w:rFonts w:hint="eastAsia"/>
                      <w:color w:val="auto"/>
                      <w:szCs w:val="21"/>
                      <w:highlight w:val="none"/>
                      <w:lang w:val="en-US" w:eastAsia="zh-CN"/>
                    </w:rPr>
                    <w:t>7</w:t>
                  </w:r>
                  <w:r>
                    <w:rPr>
                      <w:color w:val="auto"/>
                      <w:szCs w:val="21"/>
                      <w:highlight w:val="none"/>
                    </w:rPr>
                    <w:t>号）</w:t>
                  </w:r>
                  <w:r>
                    <w:rPr>
                      <w:rFonts w:hint="eastAsia"/>
                      <w:color w:val="auto"/>
                      <w:szCs w:val="21"/>
                      <w:highlight w:val="none"/>
                      <w:lang w:eastAsia="zh-CN"/>
                    </w:rPr>
                    <w:t>，</w:t>
                  </w:r>
                  <w:r>
                    <w:rPr>
                      <w:rFonts w:hint="eastAsia"/>
                      <w:color w:val="auto"/>
                      <w:szCs w:val="21"/>
                      <w:highlight w:val="none"/>
                    </w:rPr>
                    <w:t>鸡西市洗煤厂、储煤场环境综合整治标准</w:t>
                  </w:r>
                  <w:r>
                    <w:rPr>
                      <w:color w:val="auto"/>
                      <w:szCs w:val="21"/>
                      <w:highlight w:val="none"/>
                    </w:rPr>
                    <w:t>（</w:t>
                  </w:r>
                  <w:r>
                    <w:rPr>
                      <w:rFonts w:hint="eastAsia"/>
                      <w:color w:val="auto"/>
                      <w:szCs w:val="21"/>
                      <w:highlight w:val="none"/>
                      <w:lang w:val="en-US" w:eastAsia="zh-CN"/>
                    </w:rPr>
                    <w:t>鸡政保委办发</w:t>
                  </w:r>
                  <w:r>
                    <w:rPr>
                      <w:color w:val="auto"/>
                      <w:szCs w:val="21"/>
                      <w:highlight w:val="none"/>
                    </w:rPr>
                    <w:t>〔20</w:t>
                  </w:r>
                  <w:r>
                    <w:rPr>
                      <w:rFonts w:hint="eastAsia"/>
                      <w:color w:val="auto"/>
                      <w:szCs w:val="21"/>
                      <w:highlight w:val="none"/>
                      <w:lang w:val="en-US" w:eastAsia="zh-CN"/>
                    </w:rPr>
                    <w:t>23</w:t>
                  </w:r>
                  <w:r>
                    <w:rPr>
                      <w:color w:val="auto"/>
                      <w:szCs w:val="21"/>
                      <w:highlight w:val="none"/>
                    </w:rPr>
                    <w:t>〕1</w:t>
                  </w:r>
                  <w:r>
                    <w:rPr>
                      <w:rFonts w:hint="eastAsia"/>
                      <w:color w:val="auto"/>
                      <w:szCs w:val="21"/>
                      <w:highlight w:val="none"/>
                      <w:lang w:val="en-US" w:eastAsia="zh-CN"/>
                    </w:rPr>
                    <w:t>6</w:t>
                  </w:r>
                  <w:r>
                    <w:rPr>
                      <w:color w:val="auto"/>
                      <w:szCs w:val="21"/>
                      <w:highlight w:val="none"/>
                    </w:rPr>
                    <w:t>号）</w:t>
                  </w:r>
                </w:p>
              </w:tc>
              <w:tc>
                <w:tcPr>
                  <w:tcW w:w="423" w:type="pct"/>
                  <w:vMerge w:val="restart"/>
                  <w:noWrap w:val="0"/>
                  <w:vAlign w:val="center"/>
                </w:tcPr>
                <w:p w14:paraId="07BB7F17">
                  <w:pPr>
                    <w:rPr>
                      <w:rFonts w:hint="default" w:eastAsia="宋体"/>
                      <w:color w:val="auto"/>
                      <w:szCs w:val="21"/>
                      <w:highlight w:val="none"/>
                      <w:lang w:val="en-US" w:eastAsia="zh-CN"/>
                    </w:rPr>
                  </w:pPr>
                  <w:r>
                    <w:rPr>
                      <w:rFonts w:hint="eastAsia"/>
                      <w:color w:val="auto"/>
                      <w:szCs w:val="21"/>
                      <w:highlight w:val="none"/>
                      <w:lang w:val="en-US" w:eastAsia="zh-CN"/>
                    </w:rPr>
                    <w:t>大气污染防治措施</w:t>
                  </w:r>
                </w:p>
              </w:tc>
              <w:tc>
                <w:tcPr>
                  <w:tcW w:w="2342" w:type="pct"/>
                  <w:noWrap w:val="0"/>
                  <w:vAlign w:val="center"/>
                </w:tcPr>
                <w:p w14:paraId="7A037382">
                  <w:pPr>
                    <w:rPr>
                      <w:color w:val="auto"/>
                      <w:szCs w:val="21"/>
                      <w:highlight w:val="none"/>
                    </w:rPr>
                  </w:pPr>
                  <w:r>
                    <w:rPr>
                      <w:rFonts w:hint="eastAsia"/>
                      <w:color w:val="auto"/>
                      <w:szCs w:val="21"/>
                      <w:highlight w:val="none"/>
                    </w:rPr>
                    <w:t>储煤厂四周应当建设闭合的防风抑尘网。防风抑尘网高度不得低于物料堆高度，遇到高压线等高空障碍物可适当调整高度。储煤厂堆存物应当使用绿网进行苫盖</w:t>
                  </w:r>
                  <w:r>
                    <w:rPr>
                      <w:color w:val="auto"/>
                      <w:szCs w:val="21"/>
                      <w:highlight w:val="none"/>
                    </w:rPr>
                    <w:t>。</w:t>
                  </w:r>
                </w:p>
              </w:tc>
              <w:tc>
                <w:tcPr>
                  <w:tcW w:w="1309" w:type="pct"/>
                  <w:noWrap w:val="0"/>
                  <w:vAlign w:val="center"/>
                </w:tcPr>
                <w:p w14:paraId="6656F426">
                  <w:pPr>
                    <w:jc w:val="center"/>
                    <w:rPr>
                      <w:rFonts w:hint="default" w:eastAsia="宋体"/>
                      <w:color w:val="auto"/>
                      <w:szCs w:val="21"/>
                      <w:highlight w:val="none"/>
                      <w:lang w:val="en-US" w:eastAsia="zh-CN"/>
                    </w:rPr>
                  </w:pPr>
                  <w:r>
                    <w:rPr>
                      <w:rFonts w:hint="eastAsia" w:cs="Times New Roman"/>
                      <w:color w:val="auto"/>
                      <w:highlight w:val="none"/>
                      <w:lang w:val="en-US" w:eastAsia="zh-CN"/>
                    </w:rPr>
                    <w:t>煤</w:t>
                  </w:r>
                  <w:r>
                    <w:rPr>
                      <w:rFonts w:hint="default" w:ascii="Times New Roman" w:hAnsi="Times New Roman" w:cs="Times New Roman"/>
                      <w:color w:val="auto"/>
                      <w:highlight w:val="none"/>
                      <w:lang w:val="en-US" w:eastAsia="zh-CN"/>
                    </w:rPr>
                    <w:t>炭堆场</w:t>
                  </w:r>
                  <w:r>
                    <w:rPr>
                      <w:rFonts w:hint="eastAsia" w:cs="Times New Roman"/>
                      <w:color w:val="auto"/>
                      <w:highlight w:val="none"/>
                      <w:lang w:val="en-US" w:eastAsia="zh-CN"/>
                    </w:rPr>
                    <w:t>区域</w:t>
                  </w:r>
                  <w:r>
                    <w:rPr>
                      <w:rFonts w:hint="eastAsia" w:cs="Times New Roman"/>
                      <w:color w:val="auto"/>
                      <w:szCs w:val="21"/>
                      <w:highlight w:val="none"/>
                      <w:lang w:val="en-US" w:eastAsia="zh-CN"/>
                    </w:rPr>
                    <w:t>建设闭合防风抑尘网高3m、长120m，孔隙率50%与围墙形成闭合区域</w:t>
                  </w:r>
                  <w:r>
                    <w:rPr>
                      <w:rFonts w:hint="eastAsia"/>
                      <w:color w:val="auto"/>
                      <w:szCs w:val="21"/>
                      <w:highlight w:val="none"/>
                      <w:lang w:val="en-US" w:eastAsia="zh-CN"/>
                    </w:rPr>
                    <w:t>，储煤场内储存煤炭使用绿网苫盖</w:t>
                  </w:r>
                </w:p>
              </w:tc>
              <w:tc>
                <w:tcPr>
                  <w:tcW w:w="425" w:type="pct"/>
                  <w:noWrap w:val="0"/>
                  <w:vAlign w:val="center"/>
                </w:tcPr>
                <w:p w14:paraId="6C26F04A">
                  <w:pPr>
                    <w:jc w:val="center"/>
                    <w:rPr>
                      <w:color w:val="auto"/>
                      <w:szCs w:val="21"/>
                      <w:highlight w:val="none"/>
                    </w:rPr>
                  </w:pPr>
                  <w:r>
                    <w:rPr>
                      <w:color w:val="auto"/>
                      <w:szCs w:val="21"/>
                      <w:highlight w:val="none"/>
                    </w:rPr>
                    <w:t>符合</w:t>
                  </w:r>
                </w:p>
              </w:tc>
            </w:tr>
            <w:tr w14:paraId="67F6B4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Merge w:val="continue"/>
                  <w:noWrap w:val="0"/>
                  <w:vAlign w:val="center"/>
                </w:tcPr>
                <w:p w14:paraId="3A98697E">
                  <w:pPr>
                    <w:jc w:val="center"/>
                    <w:rPr>
                      <w:rFonts w:hint="eastAsia"/>
                      <w:color w:val="auto"/>
                      <w:szCs w:val="21"/>
                      <w:highlight w:val="none"/>
                    </w:rPr>
                  </w:pPr>
                </w:p>
              </w:tc>
              <w:tc>
                <w:tcPr>
                  <w:tcW w:w="423" w:type="pct"/>
                  <w:vMerge w:val="continue"/>
                  <w:noWrap w:val="0"/>
                  <w:vAlign w:val="center"/>
                </w:tcPr>
                <w:p w14:paraId="076DD6F6">
                  <w:pPr>
                    <w:rPr>
                      <w:rFonts w:hint="eastAsia"/>
                      <w:color w:val="auto"/>
                      <w:szCs w:val="21"/>
                      <w:highlight w:val="none"/>
                    </w:rPr>
                  </w:pPr>
                </w:p>
              </w:tc>
              <w:tc>
                <w:tcPr>
                  <w:tcW w:w="2342" w:type="pct"/>
                  <w:noWrap w:val="0"/>
                  <w:vAlign w:val="center"/>
                </w:tcPr>
                <w:p w14:paraId="35BAAFD7">
                  <w:pPr>
                    <w:rPr>
                      <w:rFonts w:hint="eastAsia"/>
                      <w:color w:val="auto"/>
                      <w:szCs w:val="21"/>
                      <w:highlight w:val="none"/>
                    </w:rPr>
                  </w:pPr>
                  <w:r>
                    <w:rPr>
                      <w:rFonts w:hint="eastAsia"/>
                      <w:color w:val="auto"/>
                      <w:szCs w:val="21"/>
                      <w:highlight w:val="none"/>
                    </w:rPr>
                    <w:t>储煤厂在日常作业中应当采取喷淋、洒水等方式进行降尘，并且严禁在重污染天气期间、大风天气时生产作业，以避免造成扬尘污染</w:t>
                  </w:r>
                </w:p>
              </w:tc>
              <w:tc>
                <w:tcPr>
                  <w:tcW w:w="1309" w:type="pct"/>
                  <w:noWrap w:val="0"/>
                  <w:vAlign w:val="center"/>
                </w:tcPr>
                <w:p w14:paraId="3B6CBEDE">
                  <w:pPr>
                    <w:jc w:val="center"/>
                    <w:rPr>
                      <w:rFonts w:hint="default" w:eastAsia="宋体"/>
                      <w:color w:val="auto"/>
                      <w:szCs w:val="21"/>
                      <w:highlight w:val="none"/>
                      <w:lang w:val="en-US" w:eastAsia="zh-CN"/>
                    </w:rPr>
                  </w:pPr>
                  <w:r>
                    <w:rPr>
                      <w:rFonts w:hint="eastAsia"/>
                      <w:color w:val="auto"/>
                      <w:szCs w:val="21"/>
                      <w:highlight w:val="none"/>
                      <w:lang w:val="en-US" w:eastAsia="zh-CN"/>
                    </w:rPr>
                    <w:t>储煤场日常进行洒水降尘，禁止在</w:t>
                  </w:r>
                  <w:r>
                    <w:rPr>
                      <w:rFonts w:hint="eastAsia"/>
                      <w:color w:val="auto"/>
                      <w:szCs w:val="21"/>
                      <w:highlight w:val="none"/>
                    </w:rPr>
                    <w:t>重污染天气期间、大风天气</w:t>
                  </w:r>
                  <w:r>
                    <w:rPr>
                      <w:rFonts w:hint="eastAsia"/>
                      <w:color w:val="auto"/>
                      <w:szCs w:val="21"/>
                      <w:highlight w:val="none"/>
                      <w:lang w:val="en-US" w:eastAsia="zh-CN"/>
                    </w:rPr>
                    <w:t>时生产</w:t>
                  </w:r>
                </w:p>
              </w:tc>
              <w:tc>
                <w:tcPr>
                  <w:tcW w:w="425" w:type="pct"/>
                  <w:noWrap w:val="0"/>
                  <w:vAlign w:val="center"/>
                </w:tcPr>
                <w:p w14:paraId="4B7157B8">
                  <w:pPr>
                    <w:jc w:val="center"/>
                    <w:rPr>
                      <w:rFonts w:hint="eastAsia" w:eastAsia="宋体"/>
                      <w:color w:val="auto"/>
                      <w:szCs w:val="21"/>
                      <w:highlight w:val="none"/>
                      <w:lang w:val="en-US" w:eastAsia="zh-CN"/>
                    </w:rPr>
                  </w:pPr>
                  <w:r>
                    <w:rPr>
                      <w:rFonts w:hint="eastAsia"/>
                      <w:color w:val="auto"/>
                      <w:szCs w:val="21"/>
                      <w:highlight w:val="none"/>
                      <w:lang w:val="en-US" w:eastAsia="zh-CN"/>
                    </w:rPr>
                    <w:t>符合</w:t>
                  </w:r>
                </w:p>
              </w:tc>
            </w:tr>
            <w:tr w14:paraId="609A8D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Merge w:val="continue"/>
                  <w:noWrap w:val="0"/>
                  <w:vAlign w:val="center"/>
                </w:tcPr>
                <w:p w14:paraId="21903281">
                  <w:pPr>
                    <w:jc w:val="center"/>
                    <w:rPr>
                      <w:rFonts w:hint="eastAsia"/>
                      <w:color w:val="auto"/>
                      <w:szCs w:val="21"/>
                      <w:highlight w:val="none"/>
                    </w:rPr>
                  </w:pPr>
                </w:p>
              </w:tc>
              <w:tc>
                <w:tcPr>
                  <w:tcW w:w="423" w:type="pct"/>
                  <w:vMerge w:val="continue"/>
                  <w:noWrap w:val="0"/>
                  <w:vAlign w:val="center"/>
                </w:tcPr>
                <w:p w14:paraId="65474318">
                  <w:pPr>
                    <w:rPr>
                      <w:rFonts w:hint="eastAsia"/>
                      <w:color w:val="auto"/>
                      <w:szCs w:val="21"/>
                      <w:highlight w:val="none"/>
                    </w:rPr>
                  </w:pPr>
                </w:p>
              </w:tc>
              <w:tc>
                <w:tcPr>
                  <w:tcW w:w="2342" w:type="pct"/>
                  <w:noWrap w:val="0"/>
                  <w:vAlign w:val="center"/>
                </w:tcPr>
                <w:p w14:paraId="6D1B1FBA">
                  <w:pPr>
                    <w:rPr>
                      <w:rFonts w:hint="eastAsia"/>
                      <w:color w:val="auto"/>
                      <w:szCs w:val="21"/>
                      <w:highlight w:val="none"/>
                    </w:rPr>
                  </w:pPr>
                  <w:r>
                    <w:rPr>
                      <w:rFonts w:hint="eastAsia"/>
                      <w:color w:val="auto"/>
                      <w:szCs w:val="21"/>
                      <w:highlight w:val="none"/>
                    </w:rPr>
                    <w:t>储煤厂使用的运输车辆应当按照当地城市执法部门的要求进行全面苫盖，并确保车辆清洁</w:t>
                  </w:r>
                </w:p>
              </w:tc>
              <w:tc>
                <w:tcPr>
                  <w:tcW w:w="1309" w:type="pct"/>
                  <w:noWrap w:val="0"/>
                  <w:vAlign w:val="center"/>
                </w:tcPr>
                <w:p w14:paraId="2C6A2FE5">
                  <w:pPr>
                    <w:jc w:val="center"/>
                    <w:rPr>
                      <w:rFonts w:hint="default" w:eastAsia="宋体"/>
                      <w:color w:val="auto"/>
                      <w:szCs w:val="21"/>
                      <w:highlight w:val="none"/>
                      <w:lang w:val="en-US" w:eastAsia="zh-CN"/>
                    </w:rPr>
                  </w:pPr>
                  <w:r>
                    <w:rPr>
                      <w:rFonts w:hint="eastAsia"/>
                      <w:color w:val="auto"/>
                      <w:szCs w:val="21"/>
                      <w:highlight w:val="none"/>
                      <w:lang w:val="en-US" w:eastAsia="zh-CN"/>
                    </w:rPr>
                    <w:t>进入储煤场运输车辆要求苫盖</w:t>
                  </w:r>
                </w:p>
              </w:tc>
              <w:tc>
                <w:tcPr>
                  <w:tcW w:w="425" w:type="pct"/>
                  <w:noWrap w:val="0"/>
                  <w:vAlign w:val="center"/>
                </w:tcPr>
                <w:p w14:paraId="7796E88D">
                  <w:pPr>
                    <w:jc w:val="center"/>
                    <w:rPr>
                      <w:rFonts w:hint="eastAsia" w:eastAsia="宋体"/>
                      <w:color w:val="auto"/>
                      <w:szCs w:val="21"/>
                      <w:highlight w:val="none"/>
                      <w:lang w:val="en-US" w:eastAsia="zh-CN"/>
                    </w:rPr>
                  </w:pPr>
                  <w:r>
                    <w:rPr>
                      <w:rFonts w:hint="eastAsia"/>
                      <w:color w:val="auto"/>
                      <w:szCs w:val="21"/>
                      <w:highlight w:val="none"/>
                      <w:lang w:val="en-US" w:eastAsia="zh-CN"/>
                    </w:rPr>
                    <w:t>符合</w:t>
                  </w:r>
                </w:p>
              </w:tc>
            </w:tr>
            <w:tr w14:paraId="743FA6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Merge w:val="continue"/>
                  <w:noWrap w:val="0"/>
                  <w:vAlign w:val="center"/>
                </w:tcPr>
                <w:p w14:paraId="723F7E7D">
                  <w:pPr>
                    <w:jc w:val="center"/>
                    <w:rPr>
                      <w:rFonts w:hint="eastAsia"/>
                      <w:color w:val="auto"/>
                      <w:szCs w:val="21"/>
                      <w:highlight w:val="none"/>
                    </w:rPr>
                  </w:pPr>
                </w:p>
              </w:tc>
              <w:tc>
                <w:tcPr>
                  <w:tcW w:w="423" w:type="pct"/>
                  <w:vMerge w:val="continue"/>
                  <w:noWrap w:val="0"/>
                  <w:vAlign w:val="center"/>
                </w:tcPr>
                <w:p w14:paraId="35C3768C">
                  <w:pPr>
                    <w:rPr>
                      <w:rFonts w:hint="eastAsia"/>
                      <w:color w:val="auto"/>
                      <w:szCs w:val="21"/>
                      <w:highlight w:val="none"/>
                    </w:rPr>
                  </w:pPr>
                </w:p>
              </w:tc>
              <w:tc>
                <w:tcPr>
                  <w:tcW w:w="2342" w:type="pct"/>
                  <w:noWrap w:val="0"/>
                  <w:vAlign w:val="center"/>
                </w:tcPr>
                <w:p w14:paraId="28D7C9C7">
                  <w:pPr>
                    <w:rPr>
                      <w:rFonts w:hint="eastAsia"/>
                      <w:color w:val="auto"/>
                      <w:szCs w:val="21"/>
                      <w:highlight w:val="none"/>
                    </w:rPr>
                  </w:pPr>
                  <w:r>
                    <w:rPr>
                      <w:rFonts w:hint="eastAsia"/>
                      <w:color w:val="auto"/>
                      <w:szCs w:val="21"/>
                      <w:highlight w:val="none"/>
                    </w:rPr>
                    <w:t>储煤厂原则上不得使用燃煤锅炉，应当使用电、天然气等清洁能源取暖。若因条件限制使用燃煤、生物质锅炉的应当配套建设高效除尘设施，并定期检测</w:t>
                  </w:r>
                </w:p>
              </w:tc>
              <w:tc>
                <w:tcPr>
                  <w:tcW w:w="1309" w:type="pct"/>
                  <w:noWrap w:val="0"/>
                  <w:vAlign w:val="center"/>
                </w:tcPr>
                <w:p w14:paraId="441D6EF5">
                  <w:pPr>
                    <w:jc w:val="center"/>
                    <w:rPr>
                      <w:rFonts w:hint="default" w:eastAsia="宋体"/>
                      <w:color w:val="auto"/>
                      <w:szCs w:val="21"/>
                      <w:highlight w:val="none"/>
                      <w:lang w:val="en-US" w:eastAsia="zh-CN"/>
                    </w:rPr>
                  </w:pPr>
                  <w:r>
                    <w:rPr>
                      <w:rFonts w:hint="eastAsia"/>
                      <w:color w:val="auto"/>
                      <w:szCs w:val="21"/>
                      <w:highlight w:val="none"/>
                      <w:lang w:val="en-US" w:eastAsia="zh-CN"/>
                    </w:rPr>
                    <w:t>项目冬季使用电供暖</w:t>
                  </w:r>
                </w:p>
              </w:tc>
              <w:tc>
                <w:tcPr>
                  <w:tcW w:w="425" w:type="pct"/>
                  <w:noWrap w:val="0"/>
                  <w:vAlign w:val="center"/>
                </w:tcPr>
                <w:p w14:paraId="63979951">
                  <w:pPr>
                    <w:jc w:val="center"/>
                    <w:rPr>
                      <w:rFonts w:hint="eastAsia" w:eastAsia="宋体"/>
                      <w:color w:val="auto"/>
                      <w:szCs w:val="21"/>
                      <w:highlight w:val="none"/>
                      <w:lang w:val="en-US" w:eastAsia="zh-CN"/>
                    </w:rPr>
                  </w:pPr>
                  <w:r>
                    <w:rPr>
                      <w:rFonts w:hint="eastAsia"/>
                      <w:color w:val="auto"/>
                      <w:szCs w:val="21"/>
                      <w:highlight w:val="none"/>
                      <w:lang w:val="en-US" w:eastAsia="zh-CN"/>
                    </w:rPr>
                    <w:t>符合</w:t>
                  </w:r>
                </w:p>
              </w:tc>
            </w:tr>
            <w:tr w14:paraId="49F014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Merge w:val="continue"/>
                  <w:noWrap w:val="0"/>
                  <w:vAlign w:val="center"/>
                </w:tcPr>
                <w:p w14:paraId="7632E968">
                  <w:pPr>
                    <w:jc w:val="center"/>
                    <w:rPr>
                      <w:rFonts w:hint="eastAsia"/>
                      <w:color w:val="auto"/>
                      <w:szCs w:val="21"/>
                      <w:highlight w:val="none"/>
                    </w:rPr>
                  </w:pPr>
                </w:p>
              </w:tc>
              <w:tc>
                <w:tcPr>
                  <w:tcW w:w="423" w:type="pct"/>
                  <w:vMerge w:val="continue"/>
                  <w:noWrap w:val="0"/>
                  <w:vAlign w:val="center"/>
                </w:tcPr>
                <w:p w14:paraId="72FEF9F5">
                  <w:pPr>
                    <w:rPr>
                      <w:rFonts w:hint="eastAsia"/>
                      <w:color w:val="auto"/>
                      <w:szCs w:val="21"/>
                      <w:highlight w:val="none"/>
                    </w:rPr>
                  </w:pPr>
                </w:p>
              </w:tc>
              <w:tc>
                <w:tcPr>
                  <w:tcW w:w="2342" w:type="pct"/>
                  <w:noWrap w:val="0"/>
                  <w:vAlign w:val="center"/>
                </w:tcPr>
                <w:p w14:paraId="47ED46BF">
                  <w:pPr>
                    <w:rPr>
                      <w:rFonts w:hint="eastAsia"/>
                      <w:color w:val="auto"/>
                      <w:szCs w:val="21"/>
                      <w:highlight w:val="none"/>
                    </w:rPr>
                  </w:pPr>
                  <w:r>
                    <w:rPr>
                      <w:rFonts w:hint="eastAsia"/>
                      <w:color w:val="auto"/>
                      <w:szCs w:val="21"/>
                      <w:highlight w:val="none"/>
                    </w:rPr>
                    <w:t>如有破碎工序或皮带输送作业环节的</w:t>
                  </w:r>
                  <w:r>
                    <w:rPr>
                      <w:rFonts w:hint="eastAsia"/>
                      <w:color w:val="auto"/>
                      <w:szCs w:val="21"/>
                      <w:highlight w:val="none"/>
                      <w:lang w:eastAsia="zh-CN"/>
                    </w:rPr>
                    <w:t>，</w:t>
                  </w:r>
                  <w:r>
                    <w:rPr>
                      <w:rFonts w:hint="eastAsia"/>
                      <w:color w:val="auto"/>
                      <w:szCs w:val="21"/>
                      <w:highlight w:val="none"/>
                    </w:rPr>
                    <w:t>须在封闭空间内作业，防止扬尘污染</w:t>
                  </w:r>
                </w:p>
              </w:tc>
              <w:tc>
                <w:tcPr>
                  <w:tcW w:w="1309" w:type="pct"/>
                  <w:noWrap w:val="0"/>
                  <w:vAlign w:val="center"/>
                </w:tcPr>
                <w:p w14:paraId="57CF8F12">
                  <w:pPr>
                    <w:jc w:val="center"/>
                    <w:rPr>
                      <w:rFonts w:hint="default" w:eastAsia="宋体"/>
                      <w:color w:val="auto"/>
                      <w:szCs w:val="21"/>
                      <w:highlight w:val="none"/>
                      <w:lang w:val="en-US" w:eastAsia="zh-CN"/>
                    </w:rPr>
                  </w:pPr>
                  <w:r>
                    <w:rPr>
                      <w:rFonts w:hint="eastAsia"/>
                      <w:color w:val="auto"/>
                      <w:szCs w:val="21"/>
                      <w:highlight w:val="none"/>
                      <w:lang w:val="en-US" w:eastAsia="zh-CN"/>
                    </w:rPr>
                    <w:t>项目无</w:t>
                  </w:r>
                  <w:r>
                    <w:rPr>
                      <w:rFonts w:hint="eastAsia"/>
                      <w:color w:val="auto"/>
                      <w:szCs w:val="21"/>
                      <w:highlight w:val="none"/>
                    </w:rPr>
                    <w:t>破碎工序</w:t>
                  </w:r>
                  <w:r>
                    <w:rPr>
                      <w:rFonts w:hint="eastAsia"/>
                      <w:color w:val="auto"/>
                      <w:szCs w:val="21"/>
                      <w:highlight w:val="none"/>
                      <w:lang w:eastAsia="zh-CN"/>
                    </w:rPr>
                    <w:t>、</w:t>
                  </w:r>
                  <w:r>
                    <w:rPr>
                      <w:rFonts w:hint="eastAsia"/>
                      <w:color w:val="auto"/>
                      <w:szCs w:val="21"/>
                      <w:highlight w:val="none"/>
                    </w:rPr>
                    <w:t>皮带输送作业环节</w:t>
                  </w:r>
                </w:p>
              </w:tc>
              <w:tc>
                <w:tcPr>
                  <w:tcW w:w="425" w:type="pct"/>
                  <w:noWrap w:val="0"/>
                  <w:vAlign w:val="center"/>
                </w:tcPr>
                <w:p w14:paraId="4677A436">
                  <w:pPr>
                    <w:jc w:val="center"/>
                    <w:rPr>
                      <w:rFonts w:hint="eastAsia" w:eastAsia="宋体"/>
                      <w:color w:val="auto"/>
                      <w:szCs w:val="21"/>
                      <w:highlight w:val="none"/>
                      <w:lang w:val="en-US" w:eastAsia="zh-CN"/>
                    </w:rPr>
                  </w:pPr>
                  <w:r>
                    <w:rPr>
                      <w:rFonts w:hint="eastAsia"/>
                      <w:color w:val="auto"/>
                      <w:szCs w:val="21"/>
                      <w:highlight w:val="none"/>
                      <w:lang w:val="en-US" w:eastAsia="zh-CN"/>
                    </w:rPr>
                    <w:t>符合</w:t>
                  </w:r>
                </w:p>
              </w:tc>
            </w:tr>
            <w:tr w14:paraId="3D51B1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Merge w:val="continue"/>
                  <w:noWrap w:val="0"/>
                  <w:vAlign w:val="center"/>
                </w:tcPr>
                <w:p w14:paraId="191AFE56">
                  <w:pPr>
                    <w:jc w:val="center"/>
                    <w:rPr>
                      <w:rFonts w:hint="eastAsia"/>
                      <w:color w:val="auto"/>
                      <w:szCs w:val="21"/>
                      <w:highlight w:val="none"/>
                    </w:rPr>
                  </w:pPr>
                </w:p>
              </w:tc>
              <w:tc>
                <w:tcPr>
                  <w:tcW w:w="423" w:type="pct"/>
                  <w:vMerge w:val="restart"/>
                  <w:noWrap w:val="0"/>
                  <w:vAlign w:val="center"/>
                </w:tcPr>
                <w:p w14:paraId="1E6B5DBE">
                  <w:pPr>
                    <w:rPr>
                      <w:rFonts w:hint="default" w:eastAsia="宋体"/>
                      <w:color w:val="auto"/>
                      <w:szCs w:val="21"/>
                      <w:highlight w:val="none"/>
                      <w:lang w:val="en-US" w:eastAsia="zh-CN"/>
                    </w:rPr>
                  </w:pPr>
                  <w:r>
                    <w:rPr>
                      <w:rFonts w:hint="eastAsia"/>
                      <w:color w:val="auto"/>
                      <w:szCs w:val="21"/>
                      <w:highlight w:val="none"/>
                      <w:lang w:val="en-US" w:eastAsia="zh-CN"/>
                    </w:rPr>
                    <w:t>水污染防治措施</w:t>
                  </w:r>
                </w:p>
              </w:tc>
              <w:tc>
                <w:tcPr>
                  <w:tcW w:w="2342" w:type="pct"/>
                  <w:noWrap w:val="0"/>
                  <w:vAlign w:val="center"/>
                </w:tcPr>
                <w:p w14:paraId="611C4A1C">
                  <w:pPr>
                    <w:rPr>
                      <w:rFonts w:hint="eastAsia"/>
                      <w:color w:val="auto"/>
                      <w:szCs w:val="21"/>
                      <w:highlight w:val="none"/>
                    </w:rPr>
                  </w:pPr>
                  <w:r>
                    <w:rPr>
                      <w:rFonts w:hint="eastAsia"/>
                      <w:color w:val="auto"/>
                      <w:szCs w:val="21"/>
                      <w:highlight w:val="none"/>
                    </w:rPr>
                    <w:t>储煤</w:t>
                  </w:r>
                  <w:r>
                    <w:rPr>
                      <w:rFonts w:hint="eastAsia"/>
                      <w:color w:val="auto"/>
                      <w:szCs w:val="21"/>
                      <w:highlight w:val="none"/>
                      <w:lang w:eastAsia="zh-CN"/>
                    </w:rPr>
                    <w:t>场所</w:t>
                  </w:r>
                  <w:r>
                    <w:rPr>
                      <w:rFonts w:hint="eastAsia"/>
                      <w:color w:val="auto"/>
                      <w:szCs w:val="21"/>
                      <w:highlight w:val="none"/>
                    </w:rPr>
                    <w:t>应当配套建设雨水导流槽、雨水收集池（雨水收集池应建在厂区地势最低处），收集的雨水沉淀后用于场区洒水降尘和绿化</w:t>
                  </w:r>
                </w:p>
              </w:tc>
              <w:tc>
                <w:tcPr>
                  <w:tcW w:w="1309" w:type="pct"/>
                  <w:noWrap w:val="0"/>
                  <w:vAlign w:val="center"/>
                </w:tcPr>
                <w:p w14:paraId="7D901D1E">
                  <w:pPr>
                    <w:jc w:val="center"/>
                    <w:rPr>
                      <w:rFonts w:hint="default" w:eastAsia="宋体"/>
                      <w:color w:val="auto"/>
                      <w:szCs w:val="21"/>
                      <w:highlight w:val="none"/>
                      <w:lang w:val="en-US" w:eastAsia="zh-CN"/>
                    </w:rPr>
                  </w:pPr>
                  <w:r>
                    <w:rPr>
                      <w:rFonts w:hint="eastAsia"/>
                      <w:color w:val="auto"/>
                      <w:szCs w:val="21"/>
                      <w:highlight w:val="none"/>
                      <w:lang w:val="en-US" w:eastAsia="zh-CN"/>
                    </w:rPr>
                    <w:t>储煤场设有雨水收集池及导流沟，雨水沉淀后用于厂区洒水降尘</w:t>
                  </w:r>
                </w:p>
              </w:tc>
              <w:tc>
                <w:tcPr>
                  <w:tcW w:w="425" w:type="pct"/>
                  <w:noWrap w:val="0"/>
                  <w:vAlign w:val="center"/>
                </w:tcPr>
                <w:p w14:paraId="0AE11659">
                  <w:pPr>
                    <w:jc w:val="center"/>
                    <w:rPr>
                      <w:rFonts w:hint="eastAsia" w:eastAsia="宋体"/>
                      <w:color w:val="auto"/>
                      <w:szCs w:val="21"/>
                      <w:highlight w:val="none"/>
                      <w:lang w:val="en-US" w:eastAsia="zh-CN"/>
                    </w:rPr>
                  </w:pPr>
                  <w:r>
                    <w:rPr>
                      <w:rFonts w:hint="eastAsia"/>
                      <w:color w:val="auto"/>
                      <w:szCs w:val="21"/>
                      <w:highlight w:val="none"/>
                      <w:lang w:val="en-US" w:eastAsia="zh-CN"/>
                    </w:rPr>
                    <w:t>符合</w:t>
                  </w:r>
                </w:p>
              </w:tc>
            </w:tr>
            <w:tr w14:paraId="3CFD65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Merge w:val="continue"/>
                  <w:noWrap w:val="0"/>
                  <w:vAlign w:val="center"/>
                </w:tcPr>
                <w:p w14:paraId="732A590F">
                  <w:pPr>
                    <w:jc w:val="center"/>
                    <w:rPr>
                      <w:rFonts w:hint="eastAsia"/>
                      <w:color w:val="auto"/>
                      <w:szCs w:val="21"/>
                      <w:highlight w:val="none"/>
                    </w:rPr>
                  </w:pPr>
                </w:p>
              </w:tc>
              <w:tc>
                <w:tcPr>
                  <w:tcW w:w="423" w:type="pct"/>
                  <w:vMerge w:val="continue"/>
                  <w:noWrap w:val="0"/>
                  <w:vAlign w:val="center"/>
                </w:tcPr>
                <w:p w14:paraId="17722D56">
                  <w:pPr>
                    <w:rPr>
                      <w:rFonts w:hint="eastAsia"/>
                      <w:color w:val="auto"/>
                      <w:szCs w:val="21"/>
                      <w:highlight w:val="none"/>
                    </w:rPr>
                  </w:pPr>
                </w:p>
              </w:tc>
              <w:tc>
                <w:tcPr>
                  <w:tcW w:w="2342" w:type="pct"/>
                  <w:noWrap w:val="0"/>
                  <w:vAlign w:val="center"/>
                </w:tcPr>
                <w:p w14:paraId="347D4D9C">
                  <w:pPr>
                    <w:rPr>
                      <w:rFonts w:hint="eastAsia"/>
                      <w:color w:val="auto"/>
                      <w:szCs w:val="21"/>
                      <w:highlight w:val="none"/>
                    </w:rPr>
                  </w:pPr>
                  <w:r>
                    <w:rPr>
                      <w:rFonts w:hint="eastAsia"/>
                      <w:color w:val="auto"/>
                      <w:szCs w:val="21"/>
                      <w:highlight w:val="none"/>
                    </w:rPr>
                    <w:t>无法接入污水管网的储煤厂应当建设防渗旱厕或防渗化粪池，定期转运至当地生活污水处理厂进行处理或作为肥料进行综合利用，并建立管理台账</w:t>
                  </w:r>
                </w:p>
              </w:tc>
              <w:tc>
                <w:tcPr>
                  <w:tcW w:w="1309" w:type="pct"/>
                  <w:noWrap w:val="0"/>
                  <w:vAlign w:val="center"/>
                </w:tcPr>
                <w:p w14:paraId="3C956273">
                  <w:pPr>
                    <w:jc w:val="center"/>
                    <w:rPr>
                      <w:rFonts w:hint="default" w:eastAsia="宋体"/>
                      <w:color w:val="auto"/>
                      <w:szCs w:val="21"/>
                      <w:highlight w:val="none"/>
                      <w:lang w:val="en-US" w:eastAsia="zh-CN"/>
                    </w:rPr>
                  </w:pPr>
                  <w:r>
                    <w:rPr>
                      <w:rFonts w:hint="eastAsia"/>
                      <w:color w:val="auto"/>
                      <w:szCs w:val="21"/>
                      <w:highlight w:val="none"/>
                      <w:lang w:val="en-US" w:eastAsia="zh-CN"/>
                    </w:rPr>
                    <w:t>储煤场设有防渗旱厕，定期外运堆肥</w:t>
                  </w:r>
                </w:p>
              </w:tc>
              <w:tc>
                <w:tcPr>
                  <w:tcW w:w="425" w:type="pct"/>
                  <w:noWrap w:val="0"/>
                  <w:vAlign w:val="center"/>
                </w:tcPr>
                <w:p w14:paraId="65A8F71C">
                  <w:pPr>
                    <w:jc w:val="center"/>
                    <w:rPr>
                      <w:rFonts w:hint="eastAsia" w:eastAsia="宋体"/>
                      <w:color w:val="auto"/>
                      <w:szCs w:val="21"/>
                      <w:highlight w:val="none"/>
                      <w:lang w:val="en-US" w:eastAsia="zh-CN"/>
                    </w:rPr>
                  </w:pPr>
                  <w:r>
                    <w:rPr>
                      <w:rFonts w:hint="eastAsia"/>
                      <w:color w:val="auto"/>
                      <w:szCs w:val="21"/>
                      <w:highlight w:val="none"/>
                      <w:lang w:val="en-US" w:eastAsia="zh-CN"/>
                    </w:rPr>
                    <w:t>符合</w:t>
                  </w:r>
                </w:p>
              </w:tc>
            </w:tr>
            <w:tr w14:paraId="30CD7C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Merge w:val="continue"/>
                  <w:noWrap w:val="0"/>
                  <w:vAlign w:val="center"/>
                </w:tcPr>
                <w:p w14:paraId="16B48887">
                  <w:pPr>
                    <w:jc w:val="center"/>
                    <w:rPr>
                      <w:rFonts w:hint="eastAsia"/>
                      <w:color w:val="auto"/>
                      <w:szCs w:val="21"/>
                      <w:highlight w:val="none"/>
                    </w:rPr>
                  </w:pPr>
                </w:p>
              </w:tc>
              <w:tc>
                <w:tcPr>
                  <w:tcW w:w="423" w:type="pct"/>
                  <w:noWrap w:val="0"/>
                  <w:vAlign w:val="center"/>
                </w:tcPr>
                <w:p w14:paraId="67144452">
                  <w:pPr>
                    <w:rPr>
                      <w:rFonts w:hint="default" w:eastAsia="宋体"/>
                      <w:color w:val="auto"/>
                      <w:szCs w:val="21"/>
                      <w:highlight w:val="none"/>
                      <w:lang w:val="en-US" w:eastAsia="zh-CN"/>
                    </w:rPr>
                  </w:pPr>
                  <w:r>
                    <w:rPr>
                      <w:rFonts w:hint="eastAsia"/>
                      <w:color w:val="auto"/>
                      <w:szCs w:val="21"/>
                      <w:highlight w:val="none"/>
                      <w:lang w:val="en-US" w:eastAsia="zh-CN"/>
                    </w:rPr>
                    <w:t>土壤污染防治措施</w:t>
                  </w:r>
                </w:p>
              </w:tc>
              <w:tc>
                <w:tcPr>
                  <w:tcW w:w="2342" w:type="pct"/>
                  <w:noWrap w:val="0"/>
                  <w:vAlign w:val="center"/>
                </w:tcPr>
                <w:p w14:paraId="198B782B">
                  <w:pPr>
                    <w:rPr>
                      <w:rFonts w:hint="eastAsia"/>
                      <w:color w:val="auto"/>
                      <w:szCs w:val="21"/>
                      <w:highlight w:val="none"/>
                    </w:rPr>
                  </w:pPr>
                  <w:r>
                    <w:rPr>
                      <w:rFonts w:hint="eastAsia"/>
                      <w:color w:val="auto"/>
                      <w:szCs w:val="21"/>
                      <w:highlight w:val="none"/>
                    </w:rPr>
                    <w:t>储煤厂场区地面必须全部硬化，其中车辆进出口及主要运输通道必须使用水泥或柏油进行硬化</w:t>
                  </w:r>
                </w:p>
              </w:tc>
              <w:tc>
                <w:tcPr>
                  <w:tcW w:w="1309" w:type="pct"/>
                  <w:noWrap w:val="0"/>
                  <w:vAlign w:val="center"/>
                </w:tcPr>
                <w:p w14:paraId="64DBA80A">
                  <w:pPr>
                    <w:jc w:val="center"/>
                    <w:rPr>
                      <w:rFonts w:hint="default" w:eastAsia="宋体"/>
                      <w:color w:val="auto"/>
                      <w:szCs w:val="21"/>
                      <w:highlight w:val="none"/>
                      <w:lang w:val="en-US" w:eastAsia="zh-CN"/>
                    </w:rPr>
                  </w:pPr>
                  <w:r>
                    <w:rPr>
                      <w:rFonts w:hint="eastAsia"/>
                      <w:color w:val="auto"/>
                      <w:szCs w:val="21"/>
                      <w:highlight w:val="none"/>
                      <w:lang w:val="en-US" w:eastAsia="zh-CN"/>
                    </w:rPr>
                    <w:t>储煤场厂区地面硬化，车辆进出口使用水泥硬化</w:t>
                  </w:r>
                </w:p>
              </w:tc>
              <w:tc>
                <w:tcPr>
                  <w:tcW w:w="425" w:type="pct"/>
                  <w:noWrap w:val="0"/>
                  <w:vAlign w:val="center"/>
                </w:tcPr>
                <w:p w14:paraId="3F0A538D">
                  <w:pPr>
                    <w:jc w:val="center"/>
                    <w:rPr>
                      <w:rFonts w:hint="eastAsia" w:eastAsia="宋体"/>
                      <w:color w:val="auto"/>
                      <w:szCs w:val="21"/>
                      <w:highlight w:val="none"/>
                      <w:lang w:val="en-US" w:eastAsia="zh-CN"/>
                    </w:rPr>
                  </w:pPr>
                  <w:r>
                    <w:rPr>
                      <w:rFonts w:hint="eastAsia"/>
                      <w:color w:val="auto"/>
                      <w:szCs w:val="21"/>
                      <w:highlight w:val="none"/>
                      <w:lang w:val="en-US" w:eastAsia="zh-CN"/>
                    </w:rPr>
                    <w:t>符合</w:t>
                  </w:r>
                </w:p>
              </w:tc>
            </w:tr>
            <w:tr w14:paraId="49C5EB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Merge w:val="continue"/>
                  <w:noWrap w:val="0"/>
                  <w:vAlign w:val="center"/>
                </w:tcPr>
                <w:p w14:paraId="29AAA388">
                  <w:pPr>
                    <w:jc w:val="center"/>
                    <w:rPr>
                      <w:rFonts w:hint="eastAsia"/>
                      <w:color w:val="auto"/>
                      <w:szCs w:val="21"/>
                      <w:highlight w:val="none"/>
                    </w:rPr>
                  </w:pPr>
                </w:p>
              </w:tc>
              <w:tc>
                <w:tcPr>
                  <w:tcW w:w="423" w:type="pct"/>
                  <w:noWrap w:val="0"/>
                  <w:vAlign w:val="center"/>
                </w:tcPr>
                <w:p w14:paraId="367922ED">
                  <w:pPr>
                    <w:rPr>
                      <w:rFonts w:hint="default"/>
                      <w:color w:val="auto"/>
                      <w:szCs w:val="21"/>
                      <w:highlight w:val="none"/>
                      <w:lang w:val="en-US" w:eastAsia="zh-CN"/>
                    </w:rPr>
                  </w:pPr>
                  <w:r>
                    <w:rPr>
                      <w:rFonts w:hint="eastAsia"/>
                      <w:color w:val="auto"/>
                      <w:szCs w:val="21"/>
                      <w:highlight w:val="none"/>
                      <w:lang w:val="en-US" w:eastAsia="zh-CN"/>
                    </w:rPr>
                    <w:t>噪声污染防治措施</w:t>
                  </w:r>
                </w:p>
              </w:tc>
              <w:tc>
                <w:tcPr>
                  <w:tcW w:w="2342" w:type="pct"/>
                  <w:noWrap w:val="0"/>
                  <w:vAlign w:val="center"/>
                </w:tcPr>
                <w:p w14:paraId="46ECA5B0">
                  <w:pPr>
                    <w:rPr>
                      <w:rFonts w:hint="eastAsia"/>
                      <w:color w:val="auto"/>
                      <w:szCs w:val="21"/>
                      <w:highlight w:val="none"/>
                    </w:rPr>
                  </w:pPr>
                  <w:r>
                    <w:rPr>
                      <w:rFonts w:hint="eastAsia"/>
                      <w:color w:val="auto"/>
                      <w:szCs w:val="21"/>
                      <w:highlight w:val="none"/>
                      <w:lang w:val="en-US" w:eastAsia="zh-CN"/>
                    </w:rPr>
                    <w:t>储煤厂应当选取低噪声的设备、设施，并严格遵守《中华人民共和国噪声污染防治法》的相关规定，合理规划生产作业时限</w:t>
                  </w:r>
                </w:p>
              </w:tc>
              <w:tc>
                <w:tcPr>
                  <w:tcW w:w="1309" w:type="pct"/>
                  <w:noWrap w:val="0"/>
                  <w:vAlign w:val="center"/>
                </w:tcPr>
                <w:p w14:paraId="210C217A">
                  <w:pPr>
                    <w:jc w:val="center"/>
                    <w:rPr>
                      <w:rFonts w:hint="default" w:eastAsia="宋体"/>
                      <w:color w:val="auto"/>
                      <w:szCs w:val="21"/>
                      <w:highlight w:val="none"/>
                      <w:lang w:val="en-US" w:eastAsia="zh-CN"/>
                    </w:rPr>
                  </w:pPr>
                  <w:r>
                    <w:rPr>
                      <w:rFonts w:hint="eastAsia"/>
                      <w:color w:val="auto"/>
                      <w:szCs w:val="21"/>
                      <w:highlight w:val="none"/>
                      <w:lang w:val="en-US" w:eastAsia="zh-CN"/>
                    </w:rPr>
                    <w:t>项目选取低噪声设备，夜间不进行生产</w:t>
                  </w:r>
                </w:p>
              </w:tc>
              <w:tc>
                <w:tcPr>
                  <w:tcW w:w="425" w:type="pct"/>
                  <w:noWrap w:val="0"/>
                  <w:vAlign w:val="center"/>
                </w:tcPr>
                <w:p w14:paraId="1112C30E">
                  <w:pPr>
                    <w:jc w:val="center"/>
                    <w:rPr>
                      <w:rFonts w:hint="eastAsia" w:eastAsia="宋体"/>
                      <w:color w:val="auto"/>
                      <w:szCs w:val="21"/>
                      <w:highlight w:val="none"/>
                      <w:lang w:val="en-US" w:eastAsia="zh-CN"/>
                    </w:rPr>
                  </w:pPr>
                  <w:r>
                    <w:rPr>
                      <w:rFonts w:hint="eastAsia"/>
                      <w:color w:val="auto"/>
                      <w:szCs w:val="21"/>
                      <w:highlight w:val="none"/>
                      <w:lang w:val="en-US" w:eastAsia="zh-CN"/>
                    </w:rPr>
                    <w:t>符合</w:t>
                  </w:r>
                </w:p>
              </w:tc>
            </w:tr>
            <w:tr w14:paraId="2FB97A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vMerge w:val="continue"/>
                  <w:noWrap w:val="0"/>
                  <w:vAlign w:val="center"/>
                </w:tcPr>
                <w:p w14:paraId="2DCD9340">
                  <w:pPr>
                    <w:jc w:val="center"/>
                    <w:rPr>
                      <w:rFonts w:hint="eastAsia"/>
                      <w:color w:val="auto"/>
                      <w:szCs w:val="21"/>
                      <w:highlight w:val="none"/>
                    </w:rPr>
                  </w:pPr>
                </w:p>
              </w:tc>
              <w:tc>
                <w:tcPr>
                  <w:tcW w:w="423" w:type="pct"/>
                  <w:noWrap w:val="0"/>
                  <w:vAlign w:val="center"/>
                </w:tcPr>
                <w:p w14:paraId="7BFF6186">
                  <w:pPr>
                    <w:rPr>
                      <w:rFonts w:hint="default" w:eastAsia="宋体"/>
                      <w:color w:val="auto"/>
                      <w:szCs w:val="21"/>
                      <w:highlight w:val="none"/>
                      <w:lang w:val="en-US" w:eastAsia="zh-CN"/>
                    </w:rPr>
                  </w:pPr>
                  <w:r>
                    <w:rPr>
                      <w:rFonts w:hint="eastAsia"/>
                      <w:color w:val="auto"/>
                      <w:szCs w:val="21"/>
                      <w:highlight w:val="none"/>
                      <w:lang w:val="en-US" w:eastAsia="zh-CN"/>
                    </w:rPr>
                    <w:t>危险废物污染防治措施</w:t>
                  </w:r>
                </w:p>
              </w:tc>
              <w:tc>
                <w:tcPr>
                  <w:tcW w:w="2342" w:type="pct"/>
                  <w:noWrap w:val="0"/>
                  <w:vAlign w:val="center"/>
                </w:tcPr>
                <w:p w14:paraId="7EEFD97F">
                  <w:pPr>
                    <w:rPr>
                      <w:rFonts w:hint="eastAsia"/>
                      <w:color w:val="auto"/>
                      <w:szCs w:val="21"/>
                      <w:highlight w:val="none"/>
                    </w:rPr>
                  </w:pPr>
                  <w:r>
                    <w:rPr>
                      <w:rFonts w:hint="eastAsia"/>
                      <w:color w:val="auto"/>
                      <w:szCs w:val="21"/>
                      <w:highlight w:val="none"/>
                    </w:rPr>
                    <w:t>储煤厂应当建设危险废物贮存间，并按照《危险废物识别标志设置技术规范》设置危险废物标识，将产生的废机油等危险废物进行收集贮存，定期由有资质的处置单位转移、处置，执行危险废物转移联单管理制度并做好台账记录</w:t>
                  </w:r>
                </w:p>
              </w:tc>
              <w:tc>
                <w:tcPr>
                  <w:tcW w:w="1309" w:type="pct"/>
                  <w:noWrap w:val="0"/>
                  <w:vAlign w:val="center"/>
                </w:tcPr>
                <w:p w14:paraId="73ECBC27">
                  <w:pPr>
                    <w:jc w:val="center"/>
                    <w:rPr>
                      <w:rFonts w:hint="default" w:eastAsia="宋体"/>
                      <w:color w:val="auto"/>
                      <w:szCs w:val="21"/>
                      <w:highlight w:val="none"/>
                      <w:lang w:val="en-US" w:eastAsia="zh-CN"/>
                    </w:rPr>
                  </w:pPr>
                  <w:r>
                    <w:rPr>
                      <w:rFonts w:hint="eastAsia"/>
                      <w:color w:val="auto"/>
                      <w:szCs w:val="21"/>
                      <w:highlight w:val="none"/>
                      <w:lang w:val="en-US" w:eastAsia="zh-CN"/>
                    </w:rPr>
                    <w:t>项目在厂内设立危险废物贮存点，用于贮存储煤场产生的废机油等危险废物，定期交由有资质单位处理</w:t>
                  </w:r>
                </w:p>
              </w:tc>
              <w:tc>
                <w:tcPr>
                  <w:tcW w:w="425" w:type="pct"/>
                  <w:noWrap w:val="0"/>
                  <w:vAlign w:val="center"/>
                </w:tcPr>
                <w:p w14:paraId="6356633A">
                  <w:pPr>
                    <w:jc w:val="center"/>
                    <w:rPr>
                      <w:rFonts w:hint="eastAsia" w:eastAsia="宋体"/>
                      <w:color w:val="auto"/>
                      <w:szCs w:val="21"/>
                      <w:highlight w:val="none"/>
                      <w:lang w:val="en-US" w:eastAsia="zh-CN"/>
                    </w:rPr>
                  </w:pPr>
                  <w:r>
                    <w:rPr>
                      <w:rFonts w:hint="eastAsia"/>
                      <w:color w:val="auto"/>
                      <w:szCs w:val="21"/>
                      <w:highlight w:val="none"/>
                      <w:lang w:val="en-US" w:eastAsia="zh-CN"/>
                    </w:rPr>
                    <w:t>符合</w:t>
                  </w:r>
                </w:p>
              </w:tc>
            </w:tr>
            <w:tr w14:paraId="4A7A05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8" w:type="pct"/>
                  <w:noWrap w:val="0"/>
                  <w:vAlign w:val="center"/>
                </w:tcPr>
                <w:p w14:paraId="3A33987F">
                  <w:pPr>
                    <w:jc w:val="center"/>
                    <w:rPr>
                      <w:rFonts w:hint="eastAsia"/>
                      <w:color w:val="auto"/>
                      <w:szCs w:val="21"/>
                      <w:highlight w:val="none"/>
                    </w:rPr>
                  </w:pPr>
                </w:p>
              </w:tc>
              <w:tc>
                <w:tcPr>
                  <w:tcW w:w="423" w:type="pct"/>
                  <w:noWrap w:val="0"/>
                  <w:vAlign w:val="center"/>
                </w:tcPr>
                <w:p w14:paraId="282E74AA">
                  <w:pPr>
                    <w:rPr>
                      <w:rFonts w:hint="default"/>
                      <w:color w:val="auto"/>
                      <w:szCs w:val="21"/>
                      <w:highlight w:val="none"/>
                      <w:lang w:val="en-US" w:eastAsia="zh-CN"/>
                    </w:rPr>
                  </w:pPr>
                  <w:r>
                    <w:rPr>
                      <w:rFonts w:hint="eastAsia"/>
                      <w:color w:val="auto"/>
                      <w:szCs w:val="21"/>
                      <w:highlight w:val="none"/>
                      <w:lang w:val="en-US" w:eastAsia="zh-CN"/>
                    </w:rPr>
                    <w:t>其他污染防治措施</w:t>
                  </w:r>
                </w:p>
              </w:tc>
              <w:tc>
                <w:tcPr>
                  <w:tcW w:w="2342" w:type="pct"/>
                  <w:noWrap w:val="0"/>
                  <w:vAlign w:val="center"/>
                </w:tcPr>
                <w:p w14:paraId="05B75969">
                  <w:pPr>
                    <w:rPr>
                      <w:rFonts w:hint="eastAsia"/>
                      <w:color w:val="auto"/>
                      <w:szCs w:val="21"/>
                      <w:highlight w:val="none"/>
                    </w:rPr>
                  </w:pPr>
                  <w:r>
                    <w:rPr>
                      <w:rFonts w:hint="eastAsia"/>
                      <w:color w:val="auto"/>
                      <w:szCs w:val="21"/>
                      <w:highlight w:val="none"/>
                    </w:rPr>
                    <w:t>储煤厂应当定期对厂区及周边进行清理保洁，保持良好的环境卫生面貌，防止出现“脏、乱、差”现象。并设置生活垃圾收集箱，定期转运</w:t>
                  </w:r>
                </w:p>
              </w:tc>
              <w:tc>
                <w:tcPr>
                  <w:tcW w:w="1309" w:type="pct"/>
                  <w:noWrap w:val="0"/>
                  <w:vAlign w:val="center"/>
                </w:tcPr>
                <w:p w14:paraId="5C688B60">
                  <w:pPr>
                    <w:jc w:val="center"/>
                    <w:rPr>
                      <w:rFonts w:hint="default" w:eastAsia="宋体"/>
                      <w:color w:val="auto"/>
                      <w:szCs w:val="21"/>
                      <w:highlight w:val="none"/>
                      <w:lang w:val="en-US" w:eastAsia="zh-CN"/>
                    </w:rPr>
                  </w:pPr>
                  <w:r>
                    <w:rPr>
                      <w:rFonts w:hint="eastAsia"/>
                      <w:color w:val="auto"/>
                      <w:szCs w:val="21"/>
                      <w:highlight w:val="none"/>
                      <w:lang w:val="en-US" w:eastAsia="zh-CN"/>
                    </w:rPr>
                    <w:t>项目设置生活垃圾箱，定期转运，定期对厂区进行清理，</w:t>
                  </w:r>
                </w:p>
              </w:tc>
              <w:tc>
                <w:tcPr>
                  <w:tcW w:w="425" w:type="pct"/>
                  <w:noWrap w:val="0"/>
                  <w:vAlign w:val="center"/>
                </w:tcPr>
                <w:p w14:paraId="48024089">
                  <w:pPr>
                    <w:jc w:val="center"/>
                    <w:rPr>
                      <w:rFonts w:hint="eastAsia" w:eastAsia="宋体"/>
                      <w:color w:val="auto"/>
                      <w:szCs w:val="21"/>
                      <w:highlight w:val="none"/>
                      <w:lang w:val="en-US" w:eastAsia="zh-CN"/>
                    </w:rPr>
                  </w:pPr>
                  <w:r>
                    <w:rPr>
                      <w:rFonts w:hint="eastAsia"/>
                      <w:color w:val="auto"/>
                      <w:szCs w:val="21"/>
                      <w:highlight w:val="none"/>
                      <w:lang w:val="en-US" w:eastAsia="zh-CN"/>
                    </w:rPr>
                    <w:t>符合</w:t>
                  </w:r>
                </w:p>
              </w:tc>
            </w:tr>
          </w:tbl>
          <w:p w14:paraId="74841161">
            <w:pPr>
              <w:pStyle w:val="27"/>
              <w:spacing w:before="0" w:beforeLines="0" w:after="0" w:afterLines="0" w:line="360" w:lineRule="auto"/>
              <w:ind w:firstLine="480"/>
              <w:textAlignment w:val="baseline"/>
              <w:rPr>
                <w:rFonts w:hint="default" w:cs="Times New Roman"/>
                <w:color w:val="auto"/>
                <w:highlight w:val="none"/>
                <w:lang w:val="en-US" w:eastAsia="zh-CN"/>
              </w:rPr>
            </w:pPr>
            <w:r>
              <w:rPr>
                <w:rFonts w:hint="eastAsia" w:cs="Times New Roman"/>
                <w:color w:val="auto"/>
                <w:highlight w:val="none"/>
                <w:lang w:val="en-US" w:eastAsia="zh-CN"/>
              </w:rPr>
              <w:t>综上，本项目符合《鸡西市洗煤厂、储煤厂排查整治工作方案》、《鸡西市洗煤厂、储煤场环境综合整治标准》要求。</w:t>
            </w:r>
          </w:p>
          <w:p w14:paraId="0E3C2304">
            <w:pPr>
              <w:spacing w:line="360" w:lineRule="auto"/>
              <w:jc w:val="left"/>
              <w:rPr>
                <w:rFonts w:hint="default" w:cs="Times New Roman"/>
                <w:b/>
                <w:color w:val="auto"/>
                <w:sz w:val="24"/>
                <w:highlight w:val="none"/>
                <w:lang w:val="en-US" w:eastAsia="zh-CN"/>
              </w:rPr>
            </w:pPr>
            <w:r>
              <w:rPr>
                <w:rFonts w:hint="eastAsia" w:cs="Times New Roman"/>
                <w:b/>
                <w:color w:val="auto"/>
                <w:sz w:val="24"/>
                <w:highlight w:val="none"/>
                <w:lang w:val="en-US" w:eastAsia="zh-CN"/>
              </w:rPr>
              <w:t>6、与“高污染燃料禁燃区”符合性分析</w:t>
            </w:r>
          </w:p>
          <w:p w14:paraId="7F74A0B5">
            <w:pPr>
              <w:pStyle w:val="27"/>
              <w:spacing w:before="0" w:beforeLines="0" w:after="0" w:afterLines="0" w:line="360" w:lineRule="auto"/>
              <w:ind w:firstLine="480"/>
              <w:textAlignment w:val="baseline"/>
              <w:rPr>
                <w:rFonts w:hint="eastAsia" w:cs="Times New Roman"/>
                <w:color w:val="auto"/>
                <w:highlight w:val="none"/>
                <w:lang w:val="en-US" w:eastAsia="zh-CN"/>
              </w:rPr>
            </w:pPr>
            <w:r>
              <w:rPr>
                <w:rFonts w:hint="eastAsia" w:cs="Times New Roman"/>
                <w:color w:val="auto"/>
                <w:highlight w:val="none"/>
                <w:lang w:val="en-US" w:eastAsia="zh-CN"/>
              </w:rPr>
              <w:t>为进一步改善城市空气环境质量，保障人民群众身体健康，根据《中华人民共和国大气污染防治法》、《黑龙江省人民政府关于印发黑龙江省大气污染防治行动计划实施细则的通知》（黑政发〔2014〕1号）要求，鸡西市在重点区域划定了高污染燃料禁燃区。燃区内也禁止销售、燃用高污染燃料；禁止新建、扩建燃用高污染燃料设施，已建成的应在政府规定期限内改用天然气、页岩气、液化石油气、电或者其他清洁能源。</w:t>
            </w:r>
          </w:p>
          <w:p w14:paraId="580F1D2E">
            <w:pPr>
              <w:pStyle w:val="27"/>
              <w:spacing w:before="0" w:beforeLines="0" w:after="0" w:afterLines="0" w:line="360" w:lineRule="auto"/>
              <w:ind w:firstLine="480"/>
              <w:textAlignment w:val="baseline"/>
              <w:rPr>
                <w:rFonts w:hint="eastAsia" w:cs="Times New Roman"/>
                <w:color w:val="auto"/>
                <w:highlight w:val="none"/>
                <w:lang w:val="en-US" w:eastAsia="zh-CN"/>
              </w:rPr>
            </w:pPr>
            <w:r>
              <w:rPr>
                <w:rFonts w:hint="eastAsia" w:cs="Times New Roman"/>
                <w:color w:val="auto"/>
                <w:highlight w:val="none"/>
                <w:lang w:val="en-US" w:eastAsia="zh-CN"/>
              </w:rPr>
              <w:t>禁燃区的范围采用黑龙江省生态环境分区管控数据应用平台公布数据。</w:t>
            </w:r>
          </w:p>
          <w:p w14:paraId="15EEC82E">
            <w:pPr>
              <w:pStyle w:val="27"/>
              <w:spacing w:before="0" w:beforeLines="0" w:after="0" w:afterLines="0" w:line="360" w:lineRule="auto"/>
              <w:ind w:firstLine="480"/>
              <w:textAlignment w:val="baseline"/>
              <w:rPr>
                <w:rFonts w:hint="default" w:cs="Times New Roman"/>
                <w:color w:val="auto"/>
                <w:highlight w:val="none"/>
                <w:lang w:val="en-US" w:eastAsia="zh-CN"/>
              </w:rPr>
            </w:pPr>
            <w:r>
              <w:rPr>
                <w:rFonts w:hint="eastAsia" w:cs="Times New Roman"/>
                <w:color w:val="auto"/>
                <w:highlight w:val="none"/>
                <w:lang w:val="en-US" w:eastAsia="zh-CN"/>
              </w:rPr>
              <w:t>本项目位于鸡西市城子河区城西办事处建新委3组，不在鸡西市高污染燃料禁燃区范围划定范围内，项目不违背鸡西市高污染燃料禁燃区要求。</w:t>
            </w:r>
          </w:p>
          <w:p w14:paraId="6BEE3755">
            <w:pPr>
              <w:jc w:val="center"/>
              <w:rPr>
                <w:color w:val="auto"/>
                <w:highlight w:val="none"/>
              </w:rPr>
            </w:pPr>
            <w:r>
              <w:rPr>
                <w:color w:val="auto"/>
                <w:sz w:val="21"/>
              </w:rPr>
              <mc:AlternateContent>
                <mc:Choice Requires="wpg">
                  <w:drawing>
                    <wp:anchor distT="0" distB="0" distL="114300" distR="114300" simplePos="0" relativeHeight="251668480" behindDoc="0" locked="0" layoutInCell="1" allowOverlap="1">
                      <wp:simplePos x="0" y="0"/>
                      <wp:positionH relativeFrom="column">
                        <wp:posOffset>1117600</wp:posOffset>
                      </wp:positionH>
                      <wp:positionV relativeFrom="paragraph">
                        <wp:posOffset>1033780</wp:posOffset>
                      </wp:positionV>
                      <wp:extent cx="1540510" cy="415290"/>
                      <wp:effectExtent l="0" t="0" r="0" b="0"/>
                      <wp:wrapNone/>
                      <wp:docPr id="18" name="组合 18"/>
                      <wp:cNvGraphicFramePr/>
                      <a:graphic xmlns:a="http://schemas.openxmlformats.org/drawingml/2006/main">
                        <a:graphicData uri="http://schemas.microsoft.com/office/word/2010/wordprocessingGroup">
                          <wpg:wgp>
                            <wpg:cNvGrpSpPr/>
                            <wpg:grpSpPr>
                              <a:xfrm>
                                <a:off x="0" y="0"/>
                                <a:ext cx="1540510" cy="415290"/>
                                <a:chOff x="9910" y="199447"/>
                                <a:chExt cx="2426" cy="654"/>
                              </a:xfrm>
                            </wpg:grpSpPr>
                            <wps:wsp>
                              <wps:cNvPr id="31" name="AutoShape 101"/>
                              <wps:cNvSpPr>
                                <a:spLocks noChangeArrowheads="1"/>
                              </wps:cNvSpPr>
                              <wps:spPr bwMode="auto">
                                <a:xfrm>
                                  <a:off x="11189" y="199506"/>
                                  <a:ext cx="229" cy="206"/>
                                </a:xfrm>
                                <a:prstGeom prst="star5">
                                  <a:avLst/>
                                </a:prstGeom>
                                <a:solidFill>
                                  <a:srgbClr val="FF0000"/>
                                </a:solidFill>
                                <a:ln w="9525">
                                  <a:solidFill>
                                    <a:srgbClr val="000000"/>
                                  </a:solidFill>
                                  <a:miter lim="800000"/>
                                </a:ln>
                              </wps:spPr>
                              <wps:bodyPr rot="0" vert="horz" wrap="square" lIns="91440" tIns="45720" rIns="91440" bIns="45720" anchor="t" anchorCtr="0" upright="1">
                                <a:noAutofit/>
                              </wps:bodyPr>
                            </wps:wsp>
                            <wps:wsp>
                              <wps:cNvPr id="41" name="文本框 9"/>
                              <wps:cNvSpPr txBox="1"/>
                              <wps:spPr>
                                <a:xfrm>
                                  <a:off x="9910" y="199447"/>
                                  <a:ext cx="2426" cy="6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6851AB">
                                    <w:pPr>
                                      <w:rPr>
                                        <w:rFonts w:hint="default" w:eastAsia="宋体"/>
                                        <w:lang w:val="en-US" w:eastAsia="zh-CN"/>
                                      </w:rPr>
                                    </w:pPr>
                                    <w:r>
                                      <w:rPr>
                                        <w:rFonts w:hint="eastAsia"/>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88pt;margin-top:81.4pt;height:32.7pt;width:121.3pt;z-index:251668480;mso-width-relative:page;mso-height-relative:page;" coordorigin="9910,199447" coordsize="2426,654" o:gfxdata="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">
                      <o:lock v:ext="edit" aspectratio="f"/>
                      <v:shape id="AutoShape 101" o:spid="_x0000_s1026" style="position:absolute;left:11189;top:199506;height:206;width:229;" fillcolor="#FF0000" filled="t" stroked="t" coordsize="229,206" o:gfxdata="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IoNr&#10;wAAAANsAAAAPAAAAAAAAAAEAIAAAACIAAABkcnMvZG93bnJldi54bWxQSwECFAAUAAAACACHTuJA&#10;My8FnjsAAAA5AAAAEAAAAAAAAAABACAAAAAPAQAAZHJzL3NoYXBleG1sLnhtbFBLBQYAAAAABgAG&#10;AFsBAAC5AwAAAAA=&#10;" path="m0,78l87,78,114,0,141,78,228,78,158,127,185,205,114,157,43,205,70,127xe">
                        <v:path o:connectlocs="114,0;0,78;43,205;185,205;228,78" o:connectangles="247,164,82,82,0"/>
                        <v:fill on="t" focussize="0,0"/>
                        <v:stroke color="#000000" miterlimit="8" joinstyle="miter"/>
                        <v:imagedata o:title=""/>
                        <o:lock v:ext="edit" aspectratio="f"/>
                      </v:shape>
                      <v:shape id="文本框 9" o:spid="_x0000_s1026" o:spt="202" type="#_x0000_t202" style="position:absolute;left:9910;top:199447;height:654;width:2426;" filled="f" stroked="f" coordsize="21600,21600" o:gfxdata="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9vDBr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2E6851AB">
                              <w:pPr>
                                <w:rPr>
                                  <w:rFonts w:hint="default" w:eastAsia="宋体"/>
                                  <w:lang w:val="en-US" w:eastAsia="zh-CN"/>
                                </w:rPr>
                              </w:pPr>
                              <w:r>
                                <w:rPr>
                                  <w:rFonts w:hint="eastAsia"/>
                                  <w:lang w:val="en-US" w:eastAsia="zh-CN"/>
                                </w:rPr>
                                <w:t>本项目位置</w:t>
                              </w:r>
                            </w:p>
                          </w:txbxContent>
                        </v:textbox>
                      </v:shape>
                    </v:group>
                  </w:pict>
                </mc:Fallback>
              </mc:AlternateContent>
            </w:r>
            <w:r>
              <w:rPr>
                <w:color w:val="auto"/>
              </w:rPr>
              <w:drawing>
                <wp:inline distT="0" distB="0" distL="114300" distR="114300">
                  <wp:extent cx="4092575" cy="2698750"/>
                  <wp:effectExtent l="0" t="0" r="3175" b="635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3"/>
                          <a:stretch>
                            <a:fillRect/>
                          </a:stretch>
                        </pic:blipFill>
                        <pic:spPr>
                          <a:xfrm>
                            <a:off x="0" y="0"/>
                            <a:ext cx="4092575" cy="2698750"/>
                          </a:xfrm>
                          <a:prstGeom prst="rect">
                            <a:avLst/>
                          </a:prstGeom>
                          <a:noFill/>
                          <a:ln>
                            <a:noFill/>
                          </a:ln>
                        </pic:spPr>
                      </pic:pic>
                    </a:graphicData>
                  </a:graphic>
                </wp:inline>
              </w:drawing>
            </w:r>
          </w:p>
          <w:p w14:paraId="589CF812">
            <w:pPr>
              <w:adjustRightInd w:val="0"/>
              <w:snapToGrid w:val="0"/>
              <w:jc w:val="center"/>
              <w:rPr>
                <w:color w:val="auto"/>
                <w:highlight w:val="none"/>
              </w:rPr>
            </w:pPr>
            <w:r>
              <w:rPr>
                <w:rFonts w:hint="eastAsia" w:ascii="Times New Roman" w:hAnsi="Times New Roman" w:eastAsia="宋体" w:cs="Times New Roman"/>
                <w:b/>
                <w:bCs/>
                <w:color w:val="auto"/>
                <w:kern w:val="2"/>
                <w:sz w:val="24"/>
                <w:szCs w:val="24"/>
                <w:highlight w:val="none"/>
                <w:lang w:val="en-US" w:eastAsia="zh-CN" w:bidi="ar-SA"/>
              </w:rPr>
              <w:t>图1-</w:t>
            </w:r>
            <w:r>
              <w:rPr>
                <w:rFonts w:hint="eastAsia" w:cs="Times New Roman"/>
                <w:b/>
                <w:bCs/>
                <w:color w:val="auto"/>
                <w:kern w:val="2"/>
                <w:sz w:val="24"/>
                <w:szCs w:val="24"/>
                <w:highlight w:val="none"/>
                <w:lang w:val="en-US" w:eastAsia="zh-CN" w:bidi="ar-SA"/>
              </w:rPr>
              <w:t>2</w:t>
            </w:r>
            <w:r>
              <w:rPr>
                <w:rFonts w:hint="eastAsia" w:ascii="Times New Roman" w:hAnsi="Times New Roman" w:eastAsia="宋体" w:cs="Times New Roman"/>
                <w:b/>
                <w:bCs/>
                <w:color w:val="auto"/>
                <w:kern w:val="2"/>
                <w:sz w:val="24"/>
                <w:szCs w:val="24"/>
                <w:highlight w:val="none"/>
                <w:lang w:val="en-US" w:eastAsia="zh-CN" w:bidi="ar-SA"/>
              </w:rPr>
              <w:t xml:space="preserve"> 鸡西市高污染燃料禁燃区位置图</w:t>
            </w:r>
          </w:p>
          <w:p w14:paraId="7485D5FF">
            <w:pPr>
              <w:pStyle w:val="28"/>
              <w:spacing w:line="500" w:lineRule="exact"/>
              <w:ind w:firstLine="0" w:firstLineChars="0"/>
              <w:rPr>
                <w:rFonts w:hint="eastAsia" w:eastAsia="宋体"/>
                <w:b/>
                <w:bCs/>
                <w:color w:val="auto"/>
                <w:sz w:val="24"/>
                <w:highlight w:val="none"/>
                <w:lang w:val="en-US" w:eastAsia="zh-CN"/>
              </w:rPr>
            </w:pPr>
            <w:r>
              <w:rPr>
                <w:rFonts w:hint="eastAsia"/>
                <w:b/>
                <w:bCs/>
                <w:color w:val="auto"/>
                <w:sz w:val="24"/>
                <w:highlight w:val="none"/>
                <w:lang w:val="en-US" w:eastAsia="zh-CN"/>
              </w:rPr>
              <w:t>7、</w:t>
            </w:r>
            <w:r>
              <w:rPr>
                <w:rFonts w:hint="eastAsia"/>
                <w:b/>
                <w:bCs/>
                <w:color w:val="auto"/>
                <w:sz w:val="24"/>
                <w:highlight w:val="none"/>
              </w:rPr>
              <w:t>本项目与《黑龙江省大气污染防治条例》</w:t>
            </w:r>
            <w:r>
              <w:rPr>
                <w:b/>
                <w:bCs/>
                <w:color w:val="auto"/>
                <w:sz w:val="24"/>
                <w:highlight w:val="none"/>
              </w:rPr>
              <w:t>符合性</w:t>
            </w:r>
            <w:r>
              <w:rPr>
                <w:rFonts w:hint="eastAsia"/>
                <w:b/>
                <w:bCs/>
                <w:color w:val="auto"/>
                <w:sz w:val="24"/>
                <w:highlight w:val="none"/>
                <w:lang w:val="en-US" w:eastAsia="zh-CN"/>
              </w:rPr>
              <w:t>分析</w:t>
            </w:r>
          </w:p>
          <w:p w14:paraId="48A35082">
            <w:pPr>
              <w:pStyle w:val="28"/>
              <w:autoSpaceDE w:val="0"/>
              <w:autoSpaceDN w:val="0"/>
              <w:spacing w:line="500" w:lineRule="exact"/>
              <w:ind w:firstLine="480"/>
              <w:rPr>
                <w:rFonts w:hint="eastAsia" w:cs="Times New Roman"/>
                <w:color w:val="auto"/>
                <w:sz w:val="24"/>
                <w:highlight w:val="none"/>
              </w:rPr>
            </w:pPr>
            <w:r>
              <w:rPr>
                <w:rFonts w:hint="eastAsia"/>
                <w:color w:val="auto"/>
                <w:sz w:val="24"/>
                <w:highlight w:val="none"/>
                <w:lang w:eastAsia="zh-CN"/>
              </w:rPr>
              <w:t>《黑龙江省大气污染防治条例》</w:t>
            </w:r>
            <w:r>
              <w:rPr>
                <w:rFonts w:hint="eastAsia"/>
                <w:color w:val="auto"/>
                <w:sz w:val="24"/>
                <w:highlight w:val="none"/>
              </w:rPr>
              <w:t>提出：</w:t>
            </w:r>
            <w:r>
              <w:rPr>
                <w:rFonts w:hint="eastAsia"/>
                <w:color w:val="auto"/>
                <w:sz w:val="24"/>
                <w:highlight w:val="none"/>
                <w:lang w:val="en-US" w:eastAsia="zh-CN"/>
              </w:rPr>
              <w:t>第五十六条</w:t>
            </w:r>
            <w:r>
              <w:rPr>
                <w:rFonts w:hint="eastAsia"/>
                <w:color w:val="auto"/>
                <w:sz w:val="24"/>
                <w:highlight w:val="none"/>
              </w:rPr>
              <w:t>运输煤炭、垃圾、渣土、砂石、土方、灰浆等散装、流体物料的车辆，应当采取密闭或者其他措施防止物料遗撒、泄漏，并按照规定的路线和时间行驶</w:t>
            </w:r>
            <w:r>
              <w:rPr>
                <w:rFonts w:hint="eastAsia"/>
                <w:color w:val="auto"/>
                <w:sz w:val="24"/>
                <w:highlight w:val="none"/>
                <w:lang w:eastAsia="zh-CN"/>
              </w:rPr>
              <w:t>。</w:t>
            </w:r>
            <w:r>
              <w:rPr>
                <w:rFonts w:hint="eastAsia"/>
                <w:color w:val="auto"/>
                <w:sz w:val="24"/>
                <w:highlight w:val="none"/>
                <w:lang w:val="en-US" w:eastAsia="zh-CN"/>
              </w:rPr>
              <w:t>第</w:t>
            </w:r>
            <w:r>
              <w:rPr>
                <w:rFonts w:hint="eastAsia" w:cs="Times New Roman"/>
                <w:color w:val="auto"/>
                <w:sz w:val="24"/>
                <w:highlight w:val="none"/>
              </w:rPr>
              <w:t>五十八条 企业应当按照设计和开发利用方案作业，设置废石、废渣、泥土等专门存放地，并采取围挡、硬化施工道路、洒水降尘、设置防风抑尘网或者防尘布等防尘、降尘措施。开采后应当及时进行生态修复，防治扬尘污染。</w:t>
            </w:r>
          </w:p>
          <w:p w14:paraId="329CE84B">
            <w:pPr>
              <w:pStyle w:val="28"/>
              <w:autoSpaceDE w:val="0"/>
              <w:autoSpaceDN w:val="0"/>
              <w:spacing w:line="500" w:lineRule="exact"/>
              <w:ind w:firstLine="480"/>
              <w:rPr>
                <w:rFonts w:hint="eastAsia" w:cs="Times New Roman"/>
                <w:color w:val="auto"/>
                <w:sz w:val="24"/>
                <w:highlight w:val="none"/>
              </w:rPr>
            </w:pPr>
            <w:r>
              <w:rPr>
                <w:rFonts w:hint="eastAsia" w:cs="Times New Roman"/>
                <w:color w:val="auto"/>
                <w:sz w:val="24"/>
                <w:highlight w:val="none"/>
              </w:rPr>
              <w:t>本项目</w:t>
            </w:r>
            <w:r>
              <w:rPr>
                <w:rFonts w:hint="eastAsia" w:cs="Times New Roman"/>
                <w:color w:val="auto"/>
                <w:sz w:val="24"/>
                <w:highlight w:val="none"/>
                <w:lang w:val="en-US" w:eastAsia="zh-CN"/>
              </w:rPr>
              <w:t>为储煤场项目</w:t>
            </w:r>
            <w:r>
              <w:rPr>
                <w:rFonts w:hint="eastAsia" w:cs="Times New Roman"/>
                <w:color w:val="auto"/>
                <w:sz w:val="24"/>
                <w:highlight w:val="none"/>
              </w:rPr>
              <w:t>，</w:t>
            </w:r>
            <w:r>
              <w:rPr>
                <w:rFonts w:hint="eastAsia" w:cs="Times New Roman"/>
                <w:color w:val="auto"/>
                <w:sz w:val="24"/>
                <w:highlight w:val="none"/>
                <w:lang w:val="en-US" w:eastAsia="zh-CN"/>
              </w:rPr>
              <w:t>煤炭堆场区域建设闭合防风抑尘网高3m、长120m，孔隙率50%与围墙形成闭合区域，储煤场内堆存煤炭使用绿网进行苫盖；定期对储煤区域进行洒水降尘，禁止在重污染天气、大风天气进行作业；对煤场运输车辆进行全面苫盖</w:t>
            </w:r>
            <w:r>
              <w:rPr>
                <w:rFonts w:hint="eastAsia" w:cs="Times New Roman"/>
                <w:color w:val="auto"/>
                <w:sz w:val="24"/>
                <w:highlight w:val="none"/>
              </w:rPr>
              <w:t>。综上，本项目与《黑龙江省大气污染防治条例》是相符合的。</w:t>
            </w:r>
          </w:p>
          <w:p w14:paraId="77C89439">
            <w:pPr>
              <w:pStyle w:val="28"/>
              <w:autoSpaceDE w:val="0"/>
              <w:autoSpaceDN w:val="0"/>
              <w:spacing w:line="500" w:lineRule="exact"/>
              <w:ind w:firstLine="0" w:firstLineChars="0"/>
              <w:rPr>
                <w:color w:val="auto"/>
                <w:sz w:val="24"/>
                <w:highlight w:val="none"/>
              </w:rPr>
            </w:pPr>
            <w:r>
              <w:rPr>
                <w:rFonts w:hint="eastAsia"/>
                <w:b/>
                <w:bCs/>
                <w:color w:val="auto"/>
                <w:sz w:val="24"/>
                <w:highlight w:val="none"/>
                <w:lang w:val="en-US" w:eastAsia="zh-CN"/>
              </w:rPr>
              <w:t>8</w:t>
            </w:r>
            <w:r>
              <w:rPr>
                <w:b/>
                <w:bCs/>
                <w:color w:val="auto"/>
                <w:sz w:val="24"/>
                <w:highlight w:val="none"/>
              </w:rPr>
              <w:t>、</w:t>
            </w:r>
            <w:r>
              <w:rPr>
                <w:rFonts w:hint="eastAsia"/>
                <w:b/>
                <w:bCs/>
                <w:color w:val="auto"/>
                <w:sz w:val="24"/>
                <w:highlight w:val="none"/>
              </w:rPr>
              <w:t>本项目与《</w:t>
            </w:r>
            <w:r>
              <w:rPr>
                <w:rFonts w:hint="eastAsia"/>
                <w:b/>
                <w:bCs/>
                <w:color w:val="auto"/>
                <w:sz w:val="24"/>
                <w:highlight w:val="none"/>
                <w:lang w:val="en-US" w:eastAsia="zh-CN"/>
              </w:rPr>
              <w:t>黑龙江省</w:t>
            </w:r>
            <w:r>
              <w:rPr>
                <w:rFonts w:hint="eastAsia"/>
                <w:b/>
                <w:bCs/>
                <w:color w:val="auto"/>
                <w:sz w:val="24"/>
                <w:highlight w:val="none"/>
              </w:rPr>
              <w:t>“十四五”生态环境保护规划》的符合性</w:t>
            </w:r>
          </w:p>
          <w:p w14:paraId="0E833763">
            <w:pPr>
              <w:pStyle w:val="28"/>
              <w:autoSpaceDE w:val="0"/>
              <w:autoSpaceDN w:val="0"/>
              <w:spacing w:line="500" w:lineRule="exact"/>
              <w:ind w:firstLine="480" w:firstLineChars="0"/>
              <w:rPr>
                <w:rFonts w:hint="eastAsia"/>
                <w:color w:val="auto"/>
                <w:sz w:val="24"/>
                <w:highlight w:val="none"/>
                <w:lang w:val="en-US" w:eastAsia="zh-CN"/>
              </w:rPr>
            </w:pPr>
            <w:r>
              <w:rPr>
                <w:rFonts w:hint="eastAsia"/>
                <w:color w:val="auto"/>
                <w:sz w:val="24"/>
                <w:highlight w:val="none"/>
                <w:lang w:val="en-US" w:eastAsia="zh-CN"/>
              </w:rPr>
              <w:t>《黑龙江省“十四五”生态环境保护规划》提出：推进扬尘精细化管控。全面推行绿色施工，严格落实施工工地扬尘管控责任，加强施工扬尘监管执法。推进低尘机械化湿式清扫作业，加大城市出入口、城乡结合部等重要路段冲洗保洁力度，渣土车实施全密闭运输，强化绿化用地扬尘治理。城市裸露地面、粉粒类物料堆放以及大型煤炭和矿石码头、干散货码头物料堆场，全面完成抑尘设施建设和物料输送系统封闭改造，鼓励有条件的码头堆场实施全封闭改造。</w:t>
            </w:r>
          </w:p>
          <w:p w14:paraId="3E475CE0">
            <w:pPr>
              <w:pStyle w:val="28"/>
              <w:autoSpaceDE w:val="0"/>
              <w:autoSpaceDN w:val="0"/>
              <w:spacing w:line="500" w:lineRule="exact"/>
              <w:ind w:firstLine="480" w:firstLineChars="0"/>
              <w:rPr>
                <w:rFonts w:hint="eastAsia" w:eastAsia="宋体"/>
                <w:color w:val="auto"/>
                <w:sz w:val="24"/>
                <w:highlight w:val="none"/>
                <w:lang w:val="en-US" w:eastAsia="zh-CN"/>
              </w:rPr>
            </w:pPr>
            <w:r>
              <w:rPr>
                <w:rFonts w:hint="eastAsia" w:cs="Times New Roman"/>
                <w:color w:val="auto"/>
                <w:sz w:val="24"/>
                <w:highlight w:val="none"/>
              </w:rPr>
              <w:t>本项目</w:t>
            </w:r>
            <w:r>
              <w:rPr>
                <w:rFonts w:hint="eastAsia" w:cs="Times New Roman"/>
                <w:color w:val="auto"/>
                <w:sz w:val="24"/>
                <w:highlight w:val="none"/>
                <w:lang w:val="en-US" w:eastAsia="zh-CN"/>
              </w:rPr>
              <w:t>为储煤场项目，项目内有</w:t>
            </w:r>
            <w:r>
              <w:rPr>
                <w:rFonts w:hint="eastAsia"/>
                <w:color w:val="auto"/>
                <w:sz w:val="24"/>
                <w:highlight w:val="none"/>
              </w:rPr>
              <w:t>大</w:t>
            </w:r>
            <w:r>
              <w:rPr>
                <w:rFonts w:hint="eastAsia" w:cs="Times New Roman"/>
                <w:color w:val="auto"/>
                <w:sz w:val="24"/>
                <w:highlight w:val="none"/>
              </w:rPr>
              <w:t>型煤炭物料堆场，</w:t>
            </w:r>
            <w:r>
              <w:rPr>
                <w:rFonts w:hint="eastAsia" w:cs="Times New Roman"/>
                <w:color w:val="auto"/>
                <w:sz w:val="24"/>
                <w:highlight w:val="none"/>
                <w:lang w:val="en-US" w:eastAsia="zh-CN"/>
              </w:rPr>
              <w:t>煤炭堆场区域建设闭合防风抑尘网高3m、长120m，孔隙率50%与围墙形成闭合区域，储煤场内堆存煤炭使用绿网，进行苫盖；储煤场日常对储煤区域进行洒水降尘，禁止在重污染天气、大风天气进行作业；煤场运输车辆进行全面苫盖；定期对储煤区域进行洒水降尘，煤场运输车辆进行全面苫盖，项目</w:t>
            </w:r>
            <w:r>
              <w:rPr>
                <w:rFonts w:hint="eastAsia" w:cs="Times New Roman"/>
                <w:color w:val="auto"/>
                <w:sz w:val="24"/>
                <w:highlight w:val="none"/>
              </w:rPr>
              <w:t>符合</w:t>
            </w:r>
            <w:r>
              <w:rPr>
                <w:rFonts w:hint="eastAsia"/>
                <w:color w:val="auto"/>
                <w:sz w:val="24"/>
                <w:highlight w:val="none"/>
                <w:lang w:val="en-US" w:eastAsia="zh-CN"/>
              </w:rPr>
              <w:t>《黑龙江省“十四五”生态环境保护规划》</w:t>
            </w:r>
            <w:r>
              <w:rPr>
                <w:rFonts w:hint="eastAsia" w:cs="Times New Roman"/>
                <w:color w:val="auto"/>
                <w:sz w:val="24"/>
                <w:highlight w:val="none"/>
              </w:rPr>
              <w:t>相关要求</w:t>
            </w:r>
            <w:r>
              <w:rPr>
                <w:rFonts w:hint="eastAsia" w:cs="Times New Roman"/>
                <w:color w:val="auto"/>
                <w:sz w:val="24"/>
                <w:highlight w:val="none"/>
                <w:lang w:eastAsia="zh-CN"/>
              </w:rPr>
              <w:t>。</w:t>
            </w:r>
          </w:p>
          <w:p w14:paraId="6BD40CFB">
            <w:pPr>
              <w:pStyle w:val="28"/>
              <w:autoSpaceDE w:val="0"/>
              <w:autoSpaceDN w:val="0"/>
              <w:spacing w:line="500" w:lineRule="exact"/>
              <w:ind w:firstLine="0" w:firstLineChars="0"/>
              <w:rPr>
                <w:color w:val="auto"/>
                <w:sz w:val="24"/>
                <w:highlight w:val="none"/>
              </w:rPr>
            </w:pPr>
            <w:r>
              <w:rPr>
                <w:rFonts w:hint="eastAsia"/>
                <w:b/>
                <w:bCs/>
                <w:color w:val="auto"/>
                <w:sz w:val="24"/>
                <w:highlight w:val="none"/>
                <w:lang w:val="en-US" w:eastAsia="zh-CN"/>
              </w:rPr>
              <w:t>9、</w:t>
            </w:r>
            <w:r>
              <w:rPr>
                <w:rFonts w:hint="eastAsia"/>
                <w:b/>
                <w:bCs/>
                <w:color w:val="auto"/>
                <w:sz w:val="24"/>
                <w:highlight w:val="none"/>
              </w:rPr>
              <w:t>本项目与《鸡西市“十四五”生态环境保护规划》的符合性</w:t>
            </w:r>
          </w:p>
          <w:p w14:paraId="1340EA70">
            <w:pPr>
              <w:pStyle w:val="28"/>
              <w:autoSpaceDE w:val="0"/>
              <w:autoSpaceDN w:val="0"/>
              <w:spacing w:line="500" w:lineRule="exact"/>
              <w:ind w:firstLine="480"/>
              <w:rPr>
                <w:rFonts w:hint="eastAsia" w:cs="Times New Roman"/>
                <w:color w:val="auto"/>
                <w:sz w:val="24"/>
                <w:highlight w:val="none"/>
              </w:rPr>
            </w:pPr>
            <w:r>
              <w:rPr>
                <w:rFonts w:hint="eastAsia"/>
                <w:color w:val="auto"/>
                <w:sz w:val="24"/>
                <w:highlight w:val="none"/>
              </w:rPr>
              <w:t>《鸡西市“十四五”生态环境保护规划》提出：推进扬尘精细化管控。全面推行绿色施工，严格落实施工工地扬尘管控责任，加强施工扬尘监管执法。推进低尘机械化湿式清扫作业，加大城市出入口、城乡结合部等重要路段冲洗保洁力度，渣土车实施全密闭运输，强化绿化用地扬尘治理。城市裸露地面、粉粒类物料堆放以及大</w:t>
            </w:r>
            <w:r>
              <w:rPr>
                <w:rFonts w:hint="eastAsia" w:cs="Times New Roman"/>
                <w:color w:val="auto"/>
                <w:sz w:val="24"/>
                <w:highlight w:val="none"/>
              </w:rPr>
              <w:t>型煤炭物料堆场，全面完成抑尘设施建设和物料输送系统封闭改造，鼓励有条件的堆场实施全封闭改造。</w:t>
            </w:r>
          </w:p>
          <w:p w14:paraId="030DB332">
            <w:pPr>
              <w:pStyle w:val="28"/>
              <w:autoSpaceDE w:val="0"/>
              <w:autoSpaceDN w:val="0"/>
              <w:spacing w:line="500" w:lineRule="exact"/>
              <w:ind w:firstLine="480"/>
              <w:rPr>
                <w:rFonts w:hint="eastAsia" w:eastAsia="宋体" w:cs="Times New Roman"/>
                <w:color w:val="auto"/>
                <w:sz w:val="24"/>
                <w:highlight w:val="none"/>
                <w:lang w:eastAsia="zh-CN"/>
              </w:rPr>
            </w:pPr>
            <w:r>
              <w:rPr>
                <w:rFonts w:hint="eastAsia" w:cs="Times New Roman"/>
                <w:color w:val="auto"/>
                <w:sz w:val="24"/>
                <w:highlight w:val="none"/>
              </w:rPr>
              <w:t>本项目</w:t>
            </w:r>
            <w:r>
              <w:rPr>
                <w:rFonts w:hint="eastAsia" w:cs="Times New Roman"/>
                <w:color w:val="auto"/>
                <w:sz w:val="24"/>
                <w:highlight w:val="none"/>
                <w:lang w:val="en-US" w:eastAsia="zh-CN"/>
              </w:rPr>
              <w:t>为储煤场项目</w:t>
            </w:r>
            <w:r>
              <w:rPr>
                <w:rFonts w:hint="eastAsia" w:cs="Times New Roman"/>
                <w:color w:val="auto"/>
                <w:sz w:val="24"/>
                <w:highlight w:val="none"/>
              </w:rPr>
              <w:t>，</w:t>
            </w:r>
            <w:r>
              <w:rPr>
                <w:rFonts w:hint="eastAsia" w:cs="Times New Roman"/>
                <w:color w:val="auto"/>
                <w:sz w:val="24"/>
                <w:highlight w:val="none"/>
                <w:lang w:val="en-US" w:eastAsia="zh-CN"/>
              </w:rPr>
              <w:t>煤炭堆场区域建设闭合防风抑尘网高3m、长120m，孔隙率50%与围墙形成闭合区域，储煤场内堆存煤炭使用绿网，进行苫盖；定期对储煤区域进行洒水降尘，禁止在重污染天气、大风天气进行作业；煤场运输车辆进行全面苫盖，项目</w:t>
            </w:r>
            <w:r>
              <w:rPr>
                <w:rFonts w:hint="eastAsia" w:cs="Times New Roman"/>
                <w:color w:val="auto"/>
                <w:sz w:val="24"/>
                <w:highlight w:val="none"/>
              </w:rPr>
              <w:t>符合《鸡西市“十四五”生态环境保护规划》要求</w:t>
            </w:r>
            <w:r>
              <w:rPr>
                <w:rFonts w:hint="eastAsia" w:cs="Times New Roman"/>
                <w:color w:val="auto"/>
                <w:sz w:val="24"/>
                <w:highlight w:val="none"/>
                <w:lang w:eastAsia="zh-CN"/>
              </w:rPr>
              <w:t>。</w:t>
            </w:r>
          </w:p>
          <w:p w14:paraId="4849DC48">
            <w:pPr>
              <w:pStyle w:val="28"/>
              <w:autoSpaceDE w:val="0"/>
              <w:autoSpaceDN w:val="0"/>
              <w:spacing w:line="500" w:lineRule="exact"/>
              <w:ind w:firstLine="0" w:firstLineChars="0"/>
              <w:rPr>
                <w:rFonts w:hint="eastAsia" w:ascii="Times New Roman" w:hAnsi="Times New Roman" w:eastAsia="宋体" w:cs="Times New Roman"/>
                <w:b/>
                <w:bCs/>
                <w:color w:val="auto"/>
                <w:sz w:val="24"/>
                <w:highlight w:val="none"/>
                <w:lang w:val="en-US" w:eastAsia="zh-CN"/>
              </w:rPr>
            </w:pPr>
            <w:r>
              <w:rPr>
                <w:rFonts w:hint="eastAsia" w:cs="Times New Roman"/>
                <w:b/>
                <w:bCs/>
                <w:color w:val="auto"/>
                <w:sz w:val="24"/>
                <w:highlight w:val="none"/>
                <w:lang w:val="en-US" w:eastAsia="zh-CN"/>
              </w:rPr>
              <w:t>10</w:t>
            </w:r>
            <w:r>
              <w:rPr>
                <w:rFonts w:hint="eastAsia" w:ascii="Times New Roman" w:hAnsi="Times New Roman" w:eastAsia="宋体" w:cs="Times New Roman"/>
                <w:b/>
                <w:bCs/>
                <w:color w:val="auto"/>
                <w:sz w:val="24"/>
                <w:highlight w:val="none"/>
                <w:lang w:val="en-US" w:eastAsia="zh-CN"/>
              </w:rPr>
              <w:t>、与《黑龙江省空气质量持续改善行动计划实施方案》（黑政发〔2023〕19号）符合性分析</w:t>
            </w:r>
          </w:p>
          <w:p w14:paraId="0FE9D0E9">
            <w:pPr>
              <w:pStyle w:val="28"/>
              <w:autoSpaceDE w:val="0"/>
              <w:autoSpaceDN w:val="0"/>
              <w:spacing w:line="500" w:lineRule="exact"/>
              <w:ind w:firstLine="48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黑龙江省空气质量持续改善行动计划实施方案》（黑政发〔2023〕19号）中要求：（十九）深化扬尘污染综合治理。全面推行绿色施工，严格执行“六个百分之百”，将防治扬尘污染费用纳入工程造价。到2025年，装配式建筑占新建建筑面积的比例达到30%；地级及以上城市建成区道路机械化清扫率达80%左右，县城达70%左右。对城市公共裸地进行排查建档并采取防尘措施。城市大型煤炭、矿石等干散货码头物料堆场基本完成抑尘设施建设和物料输送系统封闭改造。</w:t>
            </w:r>
          </w:p>
          <w:p w14:paraId="4B7604C7">
            <w:pPr>
              <w:pStyle w:val="28"/>
              <w:autoSpaceDE w:val="0"/>
              <w:autoSpaceDN w:val="0"/>
              <w:spacing w:line="500" w:lineRule="exact"/>
              <w:ind w:firstLine="48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本项目属于《产业结构调整指导目录（2024年本）》中鼓励类项目，项目内有大型煤炭物料堆场，</w:t>
            </w:r>
            <w:r>
              <w:rPr>
                <w:rFonts w:hint="eastAsia" w:cs="Times New Roman"/>
                <w:color w:val="auto"/>
                <w:sz w:val="24"/>
                <w:highlight w:val="none"/>
                <w:lang w:val="en-US" w:eastAsia="zh-CN"/>
              </w:rPr>
              <w:t>煤炭堆场区域建设闭合防风抑尘网高3m、长120m，孔隙率50%与围墙形成闭合区域</w:t>
            </w:r>
            <w:r>
              <w:rPr>
                <w:rFonts w:hint="eastAsia" w:ascii="Times New Roman" w:hAnsi="Times New Roman" w:eastAsia="宋体" w:cs="Times New Roman"/>
                <w:color w:val="auto"/>
                <w:sz w:val="24"/>
                <w:highlight w:val="none"/>
              </w:rPr>
              <w:t>，储煤场内堆存煤炭使用绿网进行苫盖；定期对储煤区域进行洒水降尘，禁止在重污染天气、大风天气进行作业；煤场运输车辆进行全面苫盖，煤场抑尘措施齐全。</w:t>
            </w:r>
            <w:r>
              <w:rPr>
                <w:rFonts w:hint="eastAsia" w:cs="Times New Roman"/>
                <w:color w:val="auto"/>
                <w:sz w:val="24"/>
                <w:highlight w:val="none"/>
                <w:lang w:eastAsia="zh-CN"/>
              </w:rPr>
              <w:t>项目</w:t>
            </w:r>
            <w:r>
              <w:rPr>
                <w:rFonts w:hint="eastAsia" w:ascii="Times New Roman" w:hAnsi="Times New Roman" w:eastAsia="宋体" w:cs="Times New Roman"/>
                <w:color w:val="auto"/>
                <w:sz w:val="24"/>
                <w:highlight w:val="none"/>
              </w:rPr>
              <w:t>符合《黑龙江省空气质量持续改善行动计划实施方案》相关要求。</w:t>
            </w:r>
          </w:p>
          <w:p w14:paraId="6D94FD6B">
            <w:pPr>
              <w:pStyle w:val="28"/>
              <w:autoSpaceDE w:val="0"/>
              <w:autoSpaceDN w:val="0"/>
              <w:spacing w:line="500" w:lineRule="exact"/>
              <w:ind w:firstLine="0" w:firstLineChars="0"/>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1</w:t>
            </w:r>
            <w:r>
              <w:rPr>
                <w:rFonts w:hint="eastAsia" w:cs="Times New Roman"/>
                <w:b/>
                <w:bCs/>
                <w:color w:val="auto"/>
                <w:sz w:val="24"/>
                <w:highlight w:val="none"/>
                <w:lang w:val="en-US" w:eastAsia="zh-CN"/>
              </w:rPr>
              <w:t>1</w:t>
            </w:r>
            <w:r>
              <w:rPr>
                <w:rFonts w:hint="eastAsia" w:ascii="Times New Roman" w:hAnsi="Times New Roman" w:eastAsia="宋体" w:cs="Times New Roman"/>
                <w:b/>
                <w:bCs/>
                <w:color w:val="auto"/>
                <w:sz w:val="24"/>
                <w:highlight w:val="none"/>
                <w:lang w:val="en-US" w:eastAsia="zh-CN"/>
              </w:rPr>
              <w:t>、与《环境空气细颗粒物污染综合防治技术政策》符合性分析</w:t>
            </w:r>
          </w:p>
          <w:p w14:paraId="10F04E6C">
            <w:pPr>
              <w:pStyle w:val="28"/>
              <w:autoSpaceDE w:val="0"/>
              <w:autoSpaceDN w:val="0"/>
              <w:spacing w:line="500" w:lineRule="exact"/>
              <w:ind w:firstLine="48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环境空气细颗粒物污染综合防治技术政策》中要求：（十一）应加强对各类污染源的监管，确保污染治理设施稳定运行，切实落实企业环保责任。鼓励采用低能耗、低污染的生产工艺，提高各个行业的清洁生产水平，降低污染物产生量。（二十二）扬尘污染源应以道路扬尘、施工扬尘、粉状物料贮存场扬尘、城市裸土起尘等为防治重点。应参照《防治城市扬尘污染技术规范》，开展城市扬尘综合整治，减少城市裸地面积，采取植树种草等措施提高绿化率，或适当采用地面硬化措施，遏止扬尘污染。（二十三）对各种施工工地、各种粉状物料贮存场、各种港口装卸码头等，应采取设置围挡墙、防尘网和喷洒抑尘剂等有效的防尘、抑尘措施，防止颗粒物逸散；设置车辆清洗装置，保持上路行驶车辆的清洁；鼓励各类土建工程使用预搅拌的商品混凝土。（二十四）实行粉状物料及渣土车辆密闭运输，加强监管，防止遗撒。及时进行道路清扫、冲洗、洒水作业，减少道路扬尘。规范园林绿化设计和施工管理，防止园林绿地土壤向道路流失。</w:t>
            </w:r>
          </w:p>
          <w:p w14:paraId="5B838F20">
            <w:pPr>
              <w:pStyle w:val="28"/>
              <w:autoSpaceDE w:val="0"/>
              <w:autoSpaceDN w:val="0"/>
              <w:spacing w:line="500" w:lineRule="exact"/>
              <w:ind w:firstLine="48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rPr>
              <w:t>本项目内有大型煤炭物料堆场，</w:t>
            </w:r>
            <w:r>
              <w:rPr>
                <w:rFonts w:hint="eastAsia" w:cs="Times New Roman"/>
                <w:color w:val="auto"/>
                <w:sz w:val="24"/>
                <w:highlight w:val="none"/>
                <w:lang w:val="en-US" w:eastAsia="zh-CN"/>
              </w:rPr>
              <w:t>煤炭堆场区域建设闭合防风抑尘网高3m、长120m，孔隙率50%与围墙形成闭合区域，</w:t>
            </w:r>
            <w:r>
              <w:rPr>
                <w:rFonts w:hint="eastAsia" w:ascii="Times New Roman" w:hAnsi="Times New Roman" w:eastAsia="宋体" w:cs="Times New Roman"/>
                <w:color w:val="auto"/>
                <w:sz w:val="24"/>
                <w:highlight w:val="none"/>
              </w:rPr>
              <w:t>储煤场内堆存煤炭使用绿网进行苫盖；定期对储煤区域进行洒水降尘，禁止在重污染天气、大风天气进行作业；煤场运输车辆进行全面苫盖，定期去外部指定洗车点清洗车辆。项目符合《环境空气细颗粒物污染综合防治技术政策》</w:t>
            </w:r>
            <w:r>
              <w:rPr>
                <w:rFonts w:hint="eastAsia" w:cs="Times New Roman"/>
                <w:color w:val="auto"/>
                <w:sz w:val="24"/>
                <w:highlight w:val="none"/>
                <w:lang w:val="en-US" w:eastAsia="zh-CN"/>
              </w:rPr>
              <w:t>相关</w:t>
            </w:r>
            <w:r>
              <w:rPr>
                <w:rFonts w:hint="eastAsia" w:ascii="Times New Roman" w:hAnsi="Times New Roman" w:eastAsia="宋体" w:cs="Times New Roman"/>
                <w:color w:val="auto"/>
                <w:sz w:val="24"/>
                <w:highlight w:val="none"/>
              </w:rPr>
              <w:t>要求。</w:t>
            </w:r>
          </w:p>
          <w:p w14:paraId="3AF9AC61">
            <w:pPr>
              <w:pStyle w:val="28"/>
              <w:autoSpaceDE w:val="0"/>
              <w:autoSpaceDN w:val="0"/>
              <w:spacing w:line="500" w:lineRule="exact"/>
              <w:ind w:firstLine="0" w:firstLineChars="0"/>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1</w:t>
            </w:r>
            <w:r>
              <w:rPr>
                <w:rFonts w:hint="eastAsia" w:cs="Times New Roman"/>
                <w:b/>
                <w:bCs/>
                <w:color w:val="auto"/>
                <w:sz w:val="24"/>
                <w:highlight w:val="none"/>
                <w:lang w:val="en-US" w:eastAsia="zh-CN"/>
              </w:rPr>
              <w:t>2</w:t>
            </w:r>
            <w:r>
              <w:rPr>
                <w:rFonts w:hint="eastAsia" w:ascii="Times New Roman" w:hAnsi="Times New Roman" w:eastAsia="宋体" w:cs="Times New Roman"/>
                <w:b/>
                <w:bCs/>
                <w:color w:val="auto"/>
                <w:sz w:val="24"/>
                <w:highlight w:val="none"/>
                <w:lang w:val="en-US" w:eastAsia="zh-CN"/>
              </w:rPr>
              <w:t>、与《鸡西市空气质量持续改善行动计划贯彻落实方案》符合性分析</w:t>
            </w:r>
          </w:p>
          <w:p w14:paraId="24E6D0ED">
            <w:pPr>
              <w:pStyle w:val="28"/>
              <w:autoSpaceDE w:val="0"/>
              <w:autoSpaceDN w:val="0"/>
              <w:spacing w:line="500" w:lineRule="exact"/>
              <w:ind w:firstLine="48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《鸡西市空气质量持续改善行动计划贯彻落实方案》中要求：城市大型煤炭、矿石等干散货码头物料堆场基本完成抑尘设施建设和物料输送系统封闭改造。</w:t>
            </w:r>
          </w:p>
          <w:p w14:paraId="179DB5CF">
            <w:pPr>
              <w:pStyle w:val="28"/>
              <w:autoSpaceDE w:val="0"/>
              <w:autoSpaceDN w:val="0"/>
              <w:spacing w:line="500" w:lineRule="exact"/>
              <w:ind w:firstLine="48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本项目储煤场堆高</w:t>
            </w:r>
            <w:r>
              <w:rPr>
                <w:rFonts w:hint="eastAsia" w:cs="Times New Roman"/>
                <w:color w:val="auto"/>
                <w:sz w:val="24"/>
                <w:highlight w:val="none"/>
                <w:lang w:val="en-US" w:eastAsia="zh-CN"/>
              </w:rPr>
              <w:t>2.5</w:t>
            </w:r>
            <w:r>
              <w:rPr>
                <w:rFonts w:hint="eastAsia" w:ascii="Times New Roman" w:hAnsi="Times New Roman" w:eastAsia="宋体" w:cs="Times New Roman"/>
                <w:color w:val="auto"/>
                <w:sz w:val="24"/>
                <w:highlight w:val="none"/>
              </w:rPr>
              <w:t>米，</w:t>
            </w:r>
            <w:r>
              <w:rPr>
                <w:rFonts w:hint="eastAsia" w:cs="Times New Roman"/>
                <w:color w:val="auto"/>
                <w:sz w:val="24"/>
                <w:highlight w:val="none"/>
                <w:lang w:val="en-US" w:eastAsia="zh-CN"/>
              </w:rPr>
              <w:t>煤炭堆场区域建设闭合防风抑尘网高3m、长120m，孔隙率50%与围墙形成闭合区域</w:t>
            </w:r>
            <w:r>
              <w:rPr>
                <w:rFonts w:hint="eastAsia" w:ascii="Times New Roman" w:hAnsi="Times New Roman" w:eastAsia="宋体" w:cs="Times New Roman"/>
                <w:color w:val="auto"/>
                <w:sz w:val="24"/>
                <w:highlight w:val="none"/>
              </w:rPr>
              <w:t>，储煤场内堆存煤炭使用绿网进行苫盖；装卸过程中装车使用洒水车对装车过程进行降尘，卸料过程尽量减少煤炭落料过程中高差，另外洒水车定期对储煤区域进行洒水降尘并防止自燃，定期去外部指定洗车点对车辆进行清洗。禁止在重污染天气、大风天气进行作业；煤场运输车辆进行全面苫盖。符合《鸡西市空气质量持续改善行动计划贯彻落实方案》中相关要求。</w:t>
            </w:r>
          </w:p>
          <w:p w14:paraId="2D463E72">
            <w:pPr>
              <w:pStyle w:val="28"/>
              <w:numPr>
                <w:ilvl w:val="0"/>
                <w:numId w:val="0"/>
              </w:numPr>
              <w:autoSpaceDE w:val="0"/>
              <w:autoSpaceDN w:val="0"/>
              <w:spacing w:line="500" w:lineRule="exact"/>
              <w:rPr>
                <w:rFonts w:hint="eastAsia" w:ascii="Times New Roman" w:hAnsi="Times New Roman" w:eastAsia="宋体" w:cs="Times New Roman"/>
                <w:b/>
                <w:bCs/>
                <w:color w:val="auto"/>
                <w:sz w:val="24"/>
                <w:highlight w:val="none"/>
                <w:lang w:val="en-US" w:eastAsia="zh-CN"/>
              </w:rPr>
            </w:pPr>
            <w:r>
              <w:rPr>
                <w:rFonts w:hint="eastAsia" w:cs="Times New Roman"/>
                <w:b/>
                <w:bCs/>
                <w:color w:val="auto"/>
                <w:sz w:val="24"/>
                <w:highlight w:val="none"/>
                <w:lang w:val="en-US" w:eastAsia="zh-CN"/>
              </w:rPr>
              <w:t>13、</w:t>
            </w:r>
            <w:r>
              <w:rPr>
                <w:rFonts w:hint="eastAsia" w:ascii="Times New Roman" w:hAnsi="Times New Roman" w:eastAsia="宋体" w:cs="Times New Roman"/>
                <w:b/>
                <w:bCs/>
                <w:color w:val="auto"/>
                <w:sz w:val="24"/>
                <w:highlight w:val="none"/>
                <w:lang w:val="en-US" w:eastAsia="zh-CN"/>
              </w:rPr>
              <w:t>与《</w:t>
            </w:r>
            <w:r>
              <w:rPr>
                <w:rFonts w:hint="eastAsia" w:cs="Times New Roman"/>
                <w:b/>
                <w:bCs/>
                <w:color w:val="auto"/>
                <w:sz w:val="24"/>
                <w:highlight w:val="none"/>
                <w:lang w:val="en-US" w:eastAsia="zh-CN"/>
              </w:rPr>
              <w:t>铁路安全管理条例</w:t>
            </w:r>
            <w:r>
              <w:rPr>
                <w:rFonts w:hint="eastAsia" w:ascii="Times New Roman" w:hAnsi="Times New Roman" w:eastAsia="宋体" w:cs="Times New Roman"/>
                <w:b/>
                <w:bCs/>
                <w:color w:val="auto"/>
                <w:sz w:val="24"/>
                <w:highlight w:val="none"/>
                <w:lang w:val="en-US" w:eastAsia="zh-CN"/>
              </w:rPr>
              <w:t>》符合性分析</w:t>
            </w:r>
          </w:p>
          <w:p w14:paraId="0FAC8DAA">
            <w:pPr>
              <w:pStyle w:val="28"/>
              <w:autoSpaceDE w:val="0"/>
              <w:autoSpaceDN w:val="0"/>
              <w:spacing w:line="500" w:lineRule="exact"/>
              <w:ind w:firstLine="48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《铁路安全管理条例》第二十七条</w:t>
            </w:r>
            <w:r>
              <w:rPr>
                <w:rFonts w:hint="eastAsia" w:cs="Times New Roman"/>
                <w:color w:val="auto"/>
                <w:sz w:val="24"/>
                <w:highlight w:val="none"/>
                <w:lang w:val="en-US" w:eastAsia="zh-CN"/>
              </w:rPr>
              <w:t>要求：</w:t>
            </w:r>
            <w:r>
              <w:rPr>
                <w:rFonts w:hint="eastAsia" w:ascii="Times New Roman" w:hAnsi="Times New Roman" w:eastAsia="宋体" w:cs="Times New Roman"/>
                <w:color w:val="auto"/>
                <w:sz w:val="24"/>
                <w:highlight w:val="none"/>
                <w:lang w:val="en-US" w:eastAsia="zh-CN"/>
              </w:rPr>
              <w:t>铁路线路两侧应当设立铁路线路安全保护区。铁路线路安全保护区的范围，从铁路线路路堤坡脚、路堑坡顶或者铁路桥梁（含铁路、道路两用桥，下同）外侧起向外的距离分别为：（一）城市市区高速铁路为10米，其他铁路为8米；（二）城市郊区居民居住区高速铁路为12米，其他铁路为10米；（三）村镇居民居住区高速铁路为15米，其他铁路为12米；（四）其他地区高速铁路为20米，其他铁路为15米。</w:t>
            </w:r>
          </w:p>
          <w:p w14:paraId="76C16C64">
            <w:pPr>
              <w:pStyle w:val="28"/>
              <w:autoSpaceDE w:val="0"/>
              <w:autoSpaceDN w:val="0"/>
              <w:spacing w:line="500" w:lineRule="exact"/>
              <w:ind w:firstLine="480"/>
              <w:rPr>
                <w:rFonts w:hint="eastAsia" w:cs="Times New Roman"/>
                <w:color w:val="auto"/>
                <w:sz w:val="24"/>
                <w:highlight w:val="none"/>
                <w:lang w:val="en-US" w:eastAsia="zh-CN"/>
              </w:rPr>
            </w:pPr>
            <w:r>
              <w:rPr>
                <w:rFonts w:hint="eastAsia" w:cs="Times New Roman"/>
                <w:color w:val="auto"/>
                <w:sz w:val="24"/>
                <w:highlight w:val="none"/>
                <w:lang w:val="en-US" w:eastAsia="zh-CN"/>
              </w:rPr>
              <w:t>本项目东侧现有1条铁路线，该铁路主要用于向龙煤公司洗煤厂运输煤炭，属于</w:t>
            </w:r>
            <w:r>
              <w:rPr>
                <w:rFonts w:hint="eastAsia" w:ascii="Times New Roman" w:hAnsi="Times New Roman" w:eastAsia="宋体" w:cs="Times New Roman"/>
                <w:color w:val="auto"/>
                <w:sz w:val="24"/>
                <w:highlight w:val="none"/>
                <w:lang w:val="en-US" w:eastAsia="zh-CN"/>
              </w:rPr>
              <w:t>城市郊区居民居住区</w:t>
            </w:r>
            <w:r>
              <w:rPr>
                <w:rFonts w:hint="eastAsia" w:cs="Times New Roman"/>
                <w:color w:val="auto"/>
                <w:sz w:val="24"/>
                <w:highlight w:val="none"/>
                <w:lang w:val="en-US" w:eastAsia="zh-CN"/>
              </w:rPr>
              <w:t>其他铁路，本项目距离铁路线距离约60米，不在铁路线路安全保护区范围内，项目符合</w:t>
            </w:r>
            <w:r>
              <w:rPr>
                <w:rFonts w:hint="eastAsia" w:ascii="Times New Roman" w:hAnsi="Times New Roman" w:eastAsia="宋体" w:cs="Times New Roman"/>
                <w:color w:val="auto"/>
                <w:sz w:val="24"/>
                <w:highlight w:val="none"/>
                <w:lang w:val="en-US" w:eastAsia="zh-CN"/>
              </w:rPr>
              <w:t>《铁路安全管理条例》</w:t>
            </w:r>
            <w:r>
              <w:rPr>
                <w:rFonts w:hint="eastAsia" w:cs="Times New Roman"/>
                <w:color w:val="auto"/>
                <w:sz w:val="24"/>
                <w:highlight w:val="none"/>
                <w:lang w:val="en-US" w:eastAsia="zh-CN"/>
              </w:rPr>
              <w:t>。</w:t>
            </w:r>
          </w:p>
          <w:p w14:paraId="012C9BBC">
            <w:pPr>
              <w:pStyle w:val="28"/>
              <w:numPr>
                <w:ilvl w:val="0"/>
                <w:numId w:val="0"/>
              </w:numPr>
              <w:autoSpaceDE w:val="0"/>
              <w:autoSpaceDN w:val="0"/>
              <w:spacing w:line="500" w:lineRule="exact"/>
              <w:rPr>
                <w:rFonts w:hint="eastAsia" w:ascii="Times New Roman" w:hAnsi="Times New Roman" w:eastAsia="宋体" w:cs="Times New Roman"/>
                <w:b/>
                <w:bCs/>
                <w:color w:val="auto"/>
                <w:sz w:val="24"/>
                <w:highlight w:val="none"/>
                <w:lang w:val="en-US" w:eastAsia="zh-CN"/>
              </w:rPr>
            </w:pPr>
            <w:r>
              <w:rPr>
                <w:rFonts w:hint="eastAsia" w:cs="Times New Roman"/>
                <w:b/>
                <w:bCs/>
                <w:color w:val="auto"/>
                <w:sz w:val="24"/>
                <w:highlight w:val="none"/>
                <w:lang w:val="en-US" w:eastAsia="zh-CN"/>
              </w:rPr>
              <w:t>14、</w:t>
            </w:r>
            <w:r>
              <w:rPr>
                <w:rFonts w:hint="eastAsia" w:ascii="Times New Roman" w:hAnsi="Times New Roman" w:eastAsia="宋体" w:cs="Times New Roman"/>
                <w:b/>
                <w:bCs/>
                <w:color w:val="auto"/>
                <w:sz w:val="24"/>
                <w:highlight w:val="none"/>
                <w:lang w:val="en-US" w:eastAsia="zh-CN"/>
              </w:rPr>
              <w:t>与《</w:t>
            </w:r>
            <w:r>
              <w:rPr>
                <w:rFonts w:hint="eastAsia" w:cs="Times New Roman"/>
                <w:b/>
                <w:bCs/>
                <w:color w:val="auto"/>
                <w:sz w:val="24"/>
                <w:highlight w:val="none"/>
                <w:lang w:val="en-US" w:eastAsia="zh-CN"/>
              </w:rPr>
              <w:t>鸡西市国土空间总体规划（2021-2035）</w:t>
            </w:r>
            <w:r>
              <w:rPr>
                <w:rFonts w:hint="eastAsia" w:ascii="Times New Roman" w:hAnsi="Times New Roman" w:eastAsia="宋体" w:cs="Times New Roman"/>
                <w:b/>
                <w:bCs/>
                <w:color w:val="auto"/>
                <w:sz w:val="24"/>
                <w:highlight w:val="none"/>
                <w:lang w:val="en-US" w:eastAsia="zh-CN"/>
              </w:rPr>
              <w:t>》符合性分析</w:t>
            </w:r>
          </w:p>
          <w:p w14:paraId="55A42273">
            <w:pPr>
              <w:pStyle w:val="28"/>
              <w:autoSpaceDE w:val="0"/>
              <w:autoSpaceDN w:val="0"/>
              <w:spacing w:line="500" w:lineRule="exact"/>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《鸡西市国土空间总体规划（2021—2035年）》中表明鸡西市城市职能包括：统筹推进煤炭开发和清洁高效利用，全面释放煤炭优质产能，持续提高煤炭保障能力。</w:t>
            </w:r>
          </w:p>
          <w:p w14:paraId="609B4242">
            <w:pPr>
              <w:pStyle w:val="28"/>
              <w:autoSpaceDE w:val="0"/>
              <w:autoSpaceDN w:val="0"/>
              <w:spacing w:line="500" w:lineRule="exact"/>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为煤炭储存、集运。储煤集运站是煤炭行业中不可或缺的设施，可以实现煤炭的高效储存和转运，并对煤炭进行质量控制，避免煤炭在储存和转运过程中的损失，保障了煤炭的供应。符合《鸡西市国土空间总体规划（2021—2035年）》中相关要求。</w:t>
            </w:r>
          </w:p>
          <w:p w14:paraId="02424007">
            <w:pPr>
              <w:pStyle w:val="28"/>
              <w:autoSpaceDE w:val="0"/>
              <w:autoSpaceDN w:val="0"/>
              <w:spacing w:line="500" w:lineRule="exact"/>
              <w:ind w:left="0" w:leftChars="0" w:firstLine="0" w:firstLineChars="0"/>
              <w:rPr>
                <w:rFonts w:hint="default" w:ascii="Times New Roman" w:hAnsi="Times New Roman" w:eastAsia="宋体" w:cs="Times New Roman"/>
                <w:color w:val="auto"/>
                <w:sz w:val="24"/>
                <w:highlight w:val="none"/>
                <w:lang w:val="en-US" w:eastAsia="zh-CN"/>
              </w:rPr>
            </w:pPr>
          </w:p>
        </w:tc>
      </w:tr>
    </w:tbl>
    <w:p w14:paraId="4438E787">
      <w:pPr>
        <w:rPr>
          <w:rFonts w:hint="default" w:ascii="Times New Roman" w:hAnsi="Times New Roman" w:eastAsia="黑体" w:cs="Times New Roman"/>
          <w:snapToGrid w:val="0"/>
          <w:color w:val="auto"/>
          <w:sz w:val="30"/>
          <w:szCs w:val="30"/>
          <w:highlight w:val="none"/>
        </w:rPr>
      </w:pPr>
      <w:bookmarkStart w:id="11" w:name="_Toc31626"/>
      <w:r>
        <w:rPr>
          <w:rFonts w:hint="default" w:ascii="Times New Roman" w:hAnsi="Times New Roman" w:eastAsia="黑体" w:cs="Times New Roman"/>
          <w:snapToGrid w:val="0"/>
          <w:color w:val="auto"/>
          <w:sz w:val="30"/>
          <w:szCs w:val="30"/>
          <w:highlight w:val="none"/>
        </w:rPr>
        <w:br w:type="page"/>
      </w:r>
    </w:p>
    <w:p w14:paraId="1182987C">
      <w:pPr>
        <w:pStyle w:val="14"/>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二、建设项目工程分析</w:t>
      </w:r>
      <w:bookmarkEnd w:id="11"/>
    </w:p>
    <w:tbl>
      <w:tblPr>
        <w:tblStyle w:val="17"/>
        <w:tblW w:w="96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85" w:type="dxa"/>
          <w:bottom w:w="0" w:type="dxa"/>
          <w:right w:w="85" w:type="dxa"/>
        </w:tblCellMar>
      </w:tblPr>
      <w:tblGrid>
        <w:gridCol w:w="731"/>
        <w:gridCol w:w="8907"/>
      </w:tblGrid>
      <w:tr w14:paraId="1A5A88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61" w:hRule="atLeast"/>
          <w:jc w:val="center"/>
        </w:trPr>
        <w:tc>
          <w:tcPr>
            <w:tcW w:w="731" w:type="dxa"/>
            <w:vAlign w:val="center"/>
          </w:tcPr>
          <w:p w14:paraId="51AD06F9">
            <w:pPr>
              <w:pStyle w:val="14"/>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建设内容</w:t>
            </w:r>
          </w:p>
        </w:tc>
        <w:tc>
          <w:tcPr>
            <w:tcW w:w="8907" w:type="dxa"/>
          </w:tcPr>
          <w:p w14:paraId="27530700">
            <w:pPr>
              <w:pStyle w:val="27"/>
              <w:spacing w:before="0" w:beforeLines="0" w:after="0" w:afterLines="0" w:line="360" w:lineRule="auto"/>
              <w:ind w:firstLine="0" w:firstLineChars="0"/>
              <w:textAlignment w:val="baseline"/>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1、</w:t>
            </w:r>
            <w:r>
              <w:rPr>
                <w:rFonts w:hint="eastAsia" w:cs="Times New Roman"/>
                <w:b/>
                <w:bCs/>
                <w:color w:val="auto"/>
                <w:highlight w:val="none"/>
                <w:lang w:val="en-US" w:eastAsia="zh-CN"/>
              </w:rPr>
              <w:t>建设内容</w:t>
            </w:r>
          </w:p>
          <w:p w14:paraId="4571B55F">
            <w:pPr>
              <w:pStyle w:val="27"/>
              <w:spacing w:before="0" w:beforeLines="0" w:after="0" w:afterLines="0" w:line="360" w:lineRule="auto"/>
              <w:ind w:firstLine="480"/>
              <w:textAlignment w:val="baseline"/>
              <w:rPr>
                <w:rFonts w:hint="default" w:cs="Times New Roman"/>
                <w:bCs/>
                <w:color w:val="auto"/>
                <w:highlight w:val="none"/>
                <w:lang w:val="en-US" w:eastAsia="zh-CN"/>
              </w:rPr>
            </w:pPr>
            <w:r>
              <w:rPr>
                <w:rFonts w:hint="eastAsia" w:cs="Times New Roman"/>
                <w:bCs/>
                <w:color w:val="auto"/>
                <w:highlight w:val="none"/>
                <w:lang w:val="en-US" w:eastAsia="zh-CN"/>
              </w:rPr>
              <w:t>本项目位于鸡西市城子河区城西办事处建新委3组，项目总占地面积9407平方米，储煤场区域面积1850平方米，主要建设内容为办公室，危险废物贮存点，储煤场，年周转煤炭8000吨。项目主要建设内容见表2-1。</w:t>
            </w:r>
          </w:p>
          <w:p w14:paraId="2EA9CA48">
            <w:pPr>
              <w:adjustRightInd w:val="0"/>
              <w:snapToGrid w:val="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表2-1  主要建设内容一览表</w:t>
            </w:r>
          </w:p>
          <w:tbl>
            <w:tblPr>
              <w:tblStyle w:val="1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0"/>
              <w:gridCol w:w="886"/>
              <w:gridCol w:w="6321"/>
              <w:gridCol w:w="877"/>
            </w:tblGrid>
            <w:tr w14:paraId="3D3BDE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tcBorders>
                    <w:tl2br w:val="nil"/>
                    <w:tr2bl w:val="nil"/>
                  </w:tcBorders>
                  <w:vAlign w:val="center"/>
                </w:tcPr>
                <w:p w14:paraId="46209A25">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工程</w:t>
                  </w:r>
                </w:p>
                <w:p w14:paraId="0A0C4B34">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类型</w:t>
                  </w:r>
                </w:p>
              </w:tc>
              <w:tc>
                <w:tcPr>
                  <w:tcW w:w="507" w:type="pct"/>
                  <w:tcBorders>
                    <w:tl2br w:val="nil"/>
                    <w:tr2bl w:val="nil"/>
                  </w:tcBorders>
                  <w:vAlign w:val="center"/>
                </w:tcPr>
                <w:p w14:paraId="2439C574">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工程名称</w:t>
                  </w:r>
                </w:p>
              </w:tc>
              <w:tc>
                <w:tcPr>
                  <w:tcW w:w="3618" w:type="pct"/>
                  <w:tcBorders>
                    <w:tl2br w:val="nil"/>
                    <w:tr2bl w:val="nil"/>
                  </w:tcBorders>
                  <w:vAlign w:val="center"/>
                </w:tcPr>
                <w:p w14:paraId="1385D574">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工程建设内容</w:t>
                  </w:r>
                </w:p>
              </w:tc>
              <w:tc>
                <w:tcPr>
                  <w:tcW w:w="502" w:type="pct"/>
                  <w:tcBorders>
                    <w:tl2br w:val="nil"/>
                    <w:tr2bl w:val="nil"/>
                  </w:tcBorders>
                  <w:vAlign w:val="center"/>
                </w:tcPr>
                <w:p w14:paraId="70AB3301">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备注</w:t>
                  </w:r>
                </w:p>
              </w:tc>
            </w:tr>
            <w:tr w14:paraId="46E0B8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372" w:type="pct"/>
                  <w:tcBorders>
                    <w:tl2br w:val="nil"/>
                    <w:tr2bl w:val="nil"/>
                  </w:tcBorders>
                  <w:vAlign w:val="center"/>
                </w:tcPr>
                <w:p w14:paraId="33AC8144">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主体</w:t>
                  </w:r>
                </w:p>
                <w:p w14:paraId="7644AABD">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工程</w:t>
                  </w:r>
                </w:p>
              </w:tc>
              <w:tc>
                <w:tcPr>
                  <w:tcW w:w="507" w:type="pct"/>
                  <w:tcBorders>
                    <w:tl2br w:val="nil"/>
                    <w:tr2bl w:val="nil"/>
                  </w:tcBorders>
                  <w:vAlign w:val="center"/>
                </w:tcPr>
                <w:p w14:paraId="5134E4F6">
                  <w:pPr>
                    <w:pStyle w:val="29"/>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储煤场</w:t>
                  </w:r>
                </w:p>
              </w:tc>
              <w:tc>
                <w:tcPr>
                  <w:tcW w:w="3618" w:type="pct"/>
                  <w:tcBorders>
                    <w:tl2br w:val="nil"/>
                    <w:tr2bl w:val="nil"/>
                  </w:tcBorders>
                  <w:vAlign w:val="center"/>
                </w:tcPr>
                <w:p w14:paraId="5B2C8189">
                  <w:pPr>
                    <w:pStyle w:val="29"/>
                    <w:jc w:val="left"/>
                    <w:rPr>
                      <w:rFonts w:hint="default" w:cs="Times New Roman"/>
                      <w:color w:val="auto"/>
                      <w:highlight w:val="none"/>
                      <w:lang w:val="en-US" w:eastAsia="zh-CN"/>
                    </w:rPr>
                  </w:pPr>
                  <w:r>
                    <w:rPr>
                      <w:rFonts w:hint="default" w:ascii="Times New Roman" w:hAnsi="Times New Roman" w:cs="Times New Roman"/>
                      <w:color w:val="auto"/>
                      <w:highlight w:val="none"/>
                      <w:lang w:val="en-US" w:eastAsia="zh-CN"/>
                    </w:rPr>
                    <w:t>煤炭堆场</w:t>
                  </w:r>
                  <w:r>
                    <w:rPr>
                      <w:rFonts w:hint="eastAsia" w:cs="Times New Roman"/>
                      <w:color w:val="auto"/>
                      <w:highlight w:val="none"/>
                      <w:lang w:val="en-US" w:eastAsia="zh-CN"/>
                    </w:rPr>
                    <w:t>面积1850m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，最大储煤量2500吨，煤炭最大堆高2.5米，年周转量</w:t>
                  </w:r>
                  <w:r>
                    <w:rPr>
                      <w:rFonts w:hint="eastAsia" w:cs="Times New Roman"/>
                      <w:color w:val="auto"/>
                      <w:kern w:val="2"/>
                      <w:sz w:val="21"/>
                      <w:szCs w:val="22"/>
                      <w:highlight w:val="none"/>
                      <w:lang w:val="en-US" w:eastAsia="zh-CN" w:bidi="ar-SA"/>
                    </w:rPr>
                    <w:t>8000</w:t>
                  </w:r>
                  <w:r>
                    <w:rPr>
                      <w:rFonts w:hint="eastAsia" w:ascii="Times New Roman" w:hAnsi="Times New Roman" w:eastAsia="宋体" w:cs="Times New Roman"/>
                      <w:color w:val="auto"/>
                      <w:kern w:val="2"/>
                      <w:sz w:val="21"/>
                      <w:szCs w:val="22"/>
                      <w:highlight w:val="none"/>
                      <w:lang w:val="en-US" w:eastAsia="zh-CN" w:bidi="ar-SA"/>
                    </w:rPr>
                    <w:t>吨</w:t>
                  </w:r>
                  <w:r>
                    <w:rPr>
                      <w:rFonts w:hint="eastAsia" w:cs="Times New Roman"/>
                      <w:color w:val="auto"/>
                      <w:kern w:val="2"/>
                      <w:sz w:val="21"/>
                      <w:szCs w:val="22"/>
                      <w:highlight w:val="none"/>
                      <w:lang w:val="en-US" w:eastAsia="zh-CN" w:bidi="ar-SA"/>
                    </w:rPr>
                    <w:t>，煤炭转运周期约15天。项目主要储存鸡西市富阳煤矿及周边煤矿生产原煤，原煤含水率6.05%。</w:t>
                  </w:r>
                </w:p>
              </w:tc>
              <w:tc>
                <w:tcPr>
                  <w:tcW w:w="502" w:type="pct"/>
                  <w:tcBorders>
                    <w:tl2br w:val="nil"/>
                    <w:tr2bl w:val="nil"/>
                  </w:tcBorders>
                  <w:vAlign w:val="center"/>
                </w:tcPr>
                <w:p w14:paraId="2D6AF50B">
                  <w:pPr>
                    <w:jc w:val="center"/>
                    <w:rPr>
                      <w:rFonts w:hint="default" w:ascii="Times New Roman" w:hAnsi="Times New Roman" w:cs="Times New Roman"/>
                      <w:color w:val="auto"/>
                      <w:highlight w:val="none"/>
                      <w:lang w:val="en-US"/>
                    </w:rPr>
                  </w:pPr>
                  <w:r>
                    <w:rPr>
                      <w:rFonts w:hint="eastAsia" w:cs="Times New Roman"/>
                      <w:color w:val="auto"/>
                      <w:szCs w:val="21"/>
                      <w:highlight w:val="none"/>
                      <w:lang w:val="en-US" w:eastAsia="zh-CN"/>
                    </w:rPr>
                    <w:t>新建</w:t>
                  </w:r>
                </w:p>
              </w:tc>
            </w:tr>
            <w:tr w14:paraId="5D69E8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372" w:type="pct"/>
                  <w:vMerge w:val="restart"/>
                  <w:tcBorders>
                    <w:tl2br w:val="nil"/>
                    <w:tr2bl w:val="nil"/>
                  </w:tcBorders>
                  <w:vAlign w:val="center"/>
                </w:tcPr>
                <w:p w14:paraId="2F580011">
                  <w:pPr>
                    <w:pStyle w:val="29"/>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辅助工程</w:t>
                  </w:r>
                </w:p>
              </w:tc>
              <w:tc>
                <w:tcPr>
                  <w:tcW w:w="507" w:type="pct"/>
                  <w:tcBorders>
                    <w:tl2br w:val="nil"/>
                    <w:tr2bl w:val="nil"/>
                  </w:tcBorders>
                  <w:vAlign w:val="center"/>
                </w:tcPr>
                <w:p w14:paraId="3453BD80">
                  <w:pPr>
                    <w:pStyle w:val="29"/>
                    <w:rPr>
                      <w:rFonts w:hint="default" w:cs="Times New Roman"/>
                      <w:color w:val="auto"/>
                      <w:highlight w:val="none"/>
                      <w:lang w:val="en-US" w:eastAsia="zh-CN"/>
                    </w:rPr>
                  </w:pPr>
                  <w:r>
                    <w:rPr>
                      <w:rFonts w:hint="eastAsia" w:cs="Times New Roman"/>
                      <w:color w:val="auto"/>
                      <w:highlight w:val="none"/>
                      <w:lang w:val="en-US" w:eastAsia="zh-CN"/>
                    </w:rPr>
                    <w:t>办公室</w:t>
                  </w:r>
                </w:p>
              </w:tc>
              <w:tc>
                <w:tcPr>
                  <w:tcW w:w="3618" w:type="pct"/>
                  <w:tcBorders>
                    <w:tl2br w:val="nil"/>
                    <w:tr2bl w:val="nil"/>
                  </w:tcBorders>
                  <w:vAlign w:val="center"/>
                </w:tcPr>
                <w:p w14:paraId="188FE12F">
                  <w:pPr>
                    <w:pStyle w:val="29"/>
                    <w:jc w:val="left"/>
                    <w:rPr>
                      <w:rFonts w:hint="default" w:cs="Times New Roman"/>
                      <w:color w:val="auto"/>
                      <w:highlight w:val="none"/>
                      <w:lang w:val="en-US" w:eastAsia="zh-CN"/>
                    </w:rPr>
                  </w:pPr>
                  <w:r>
                    <w:rPr>
                      <w:rFonts w:hint="eastAsia" w:cs="Times New Roman"/>
                      <w:color w:val="auto"/>
                      <w:highlight w:val="none"/>
                      <w:lang w:val="en-US" w:eastAsia="zh-CN"/>
                    </w:rPr>
                    <w:t>设有办公室一座，用于办公、休息，建筑面积1083m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w:t>
                  </w:r>
                </w:p>
              </w:tc>
              <w:tc>
                <w:tcPr>
                  <w:tcW w:w="502" w:type="pct"/>
                  <w:tcBorders>
                    <w:tl2br w:val="nil"/>
                    <w:tr2bl w:val="nil"/>
                  </w:tcBorders>
                  <w:vAlign w:val="center"/>
                </w:tcPr>
                <w:p w14:paraId="6D187F73">
                  <w:pPr>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依托</w:t>
                  </w:r>
                </w:p>
              </w:tc>
            </w:tr>
            <w:tr w14:paraId="2C0A1B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372" w:type="pct"/>
                  <w:vMerge w:val="continue"/>
                  <w:tcBorders>
                    <w:tl2br w:val="nil"/>
                    <w:tr2bl w:val="nil"/>
                  </w:tcBorders>
                  <w:vAlign w:val="center"/>
                </w:tcPr>
                <w:p w14:paraId="350FA894">
                  <w:pPr>
                    <w:pStyle w:val="29"/>
                    <w:rPr>
                      <w:rFonts w:hint="eastAsia" w:cs="Times New Roman"/>
                      <w:color w:val="auto"/>
                      <w:highlight w:val="none"/>
                      <w:lang w:val="en-US" w:eastAsia="zh-CN"/>
                    </w:rPr>
                  </w:pPr>
                </w:p>
              </w:tc>
              <w:tc>
                <w:tcPr>
                  <w:tcW w:w="507" w:type="pct"/>
                  <w:tcBorders>
                    <w:tl2br w:val="nil"/>
                    <w:tr2bl w:val="nil"/>
                  </w:tcBorders>
                  <w:vAlign w:val="center"/>
                </w:tcPr>
                <w:p w14:paraId="7A584E98">
                  <w:pPr>
                    <w:pStyle w:val="29"/>
                    <w:rPr>
                      <w:rFonts w:hint="default" w:cs="Times New Roman"/>
                      <w:color w:val="auto"/>
                      <w:highlight w:val="none"/>
                      <w:lang w:val="en-US" w:eastAsia="zh-CN"/>
                    </w:rPr>
                  </w:pPr>
                  <w:r>
                    <w:rPr>
                      <w:rFonts w:hint="eastAsia" w:cs="Times New Roman"/>
                      <w:color w:val="auto"/>
                      <w:highlight w:val="none"/>
                      <w:lang w:val="en-US" w:eastAsia="zh-CN"/>
                    </w:rPr>
                    <w:t>门卫</w:t>
                  </w:r>
                </w:p>
              </w:tc>
              <w:tc>
                <w:tcPr>
                  <w:tcW w:w="3618" w:type="pct"/>
                  <w:tcBorders>
                    <w:tl2br w:val="nil"/>
                    <w:tr2bl w:val="nil"/>
                  </w:tcBorders>
                  <w:vAlign w:val="center"/>
                </w:tcPr>
                <w:p w14:paraId="4C44D966">
                  <w:pPr>
                    <w:pStyle w:val="29"/>
                    <w:jc w:val="left"/>
                    <w:rPr>
                      <w:rFonts w:hint="default" w:cs="Times New Roman"/>
                      <w:color w:val="auto"/>
                      <w:highlight w:val="none"/>
                      <w:lang w:val="en-US" w:eastAsia="zh-CN"/>
                    </w:rPr>
                  </w:pPr>
                  <w:r>
                    <w:rPr>
                      <w:rFonts w:hint="eastAsia" w:cs="Times New Roman"/>
                      <w:color w:val="auto"/>
                      <w:highlight w:val="none"/>
                      <w:lang w:val="en-US" w:eastAsia="zh-CN"/>
                    </w:rPr>
                    <w:t>设有门卫室一间，建筑面积104m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w:t>
                  </w:r>
                </w:p>
              </w:tc>
              <w:tc>
                <w:tcPr>
                  <w:tcW w:w="502" w:type="pct"/>
                  <w:tcBorders>
                    <w:tl2br w:val="nil"/>
                    <w:tr2bl w:val="nil"/>
                  </w:tcBorders>
                  <w:vAlign w:val="center"/>
                </w:tcPr>
                <w:p w14:paraId="09FBDE1F">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依托</w:t>
                  </w:r>
                </w:p>
              </w:tc>
            </w:tr>
            <w:tr w14:paraId="71541F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372" w:type="pct"/>
                  <w:vMerge w:val="continue"/>
                  <w:tcBorders>
                    <w:tl2br w:val="nil"/>
                    <w:tr2bl w:val="nil"/>
                  </w:tcBorders>
                  <w:vAlign w:val="center"/>
                </w:tcPr>
                <w:p w14:paraId="160381FD">
                  <w:pPr>
                    <w:pStyle w:val="29"/>
                    <w:rPr>
                      <w:rFonts w:hint="eastAsia" w:cs="Times New Roman"/>
                      <w:color w:val="auto"/>
                      <w:highlight w:val="none"/>
                      <w:lang w:val="en-US" w:eastAsia="zh-CN"/>
                    </w:rPr>
                  </w:pPr>
                </w:p>
              </w:tc>
              <w:tc>
                <w:tcPr>
                  <w:tcW w:w="507" w:type="pct"/>
                  <w:tcBorders>
                    <w:tl2br w:val="nil"/>
                    <w:tr2bl w:val="nil"/>
                  </w:tcBorders>
                  <w:vAlign w:val="center"/>
                </w:tcPr>
                <w:p w14:paraId="10136B54">
                  <w:pPr>
                    <w:pStyle w:val="29"/>
                    <w:rPr>
                      <w:rFonts w:hint="default" w:cs="Times New Roman"/>
                      <w:color w:val="auto"/>
                      <w:highlight w:val="none"/>
                      <w:lang w:val="en-US" w:eastAsia="zh-CN"/>
                    </w:rPr>
                  </w:pPr>
                  <w:r>
                    <w:rPr>
                      <w:rFonts w:hint="eastAsia" w:cs="Times New Roman"/>
                      <w:color w:val="auto"/>
                      <w:highlight w:val="none"/>
                      <w:lang w:val="en-US" w:eastAsia="zh-CN"/>
                    </w:rPr>
                    <w:t>仓库</w:t>
                  </w:r>
                </w:p>
              </w:tc>
              <w:tc>
                <w:tcPr>
                  <w:tcW w:w="3618" w:type="pct"/>
                  <w:tcBorders>
                    <w:tl2br w:val="nil"/>
                    <w:tr2bl w:val="nil"/>
                  </w:tcBorders>
                  <w:vAlign w:val="center"/>
                </w:tcPr>
                <w:p w14:paraId="14A22A2A">
                  <w:pPr>
                    <w:pStyle w:val="29"/>
                    <w:jc w:val="left"/>
                    <w:rPr>
                      <w:rFonts w:hint="default" w:cs="Times New Roman"/>
                      <w:color w:val="auto"/>
                      <w:highlight w:val="none"/>
                      <w:lang w:val="en-US" w:eastAsia="zh-CN"/>
                    </w:rPr>
                  </w:pPr>
                  <w:r>
                    <w:rPr>
                      <w:rFonts w:hint="eastAsia" w:cs="Times New Roman"/>
                      <w:color w:val="auto"/>
                      <w:highlight w:val="none"/>
                      <w:lang w:val="en-US" w:eastAsia="zh-CN"/>
                    </w:rPr>
                    <w:t>设有仓库一座，用于储存日常杂物，建筑面积328m</w:t>
                  </w:r>
                  <w:r>
                    <w:rPr>
                      <w:rFonts w:hint="eastAsia" w:cs="Times New Roman"/>
                      <w:color w:val="auto"/>
                      <w:highlight w:val="none"/>
                      <w:vertAlign w:val="superscript"/>
                      <w:lang w:val="en-US" w:eastAsia="zh-CN"/>
                    </w:rPr>
                    <w:t>2</w:t>
                  </w:r>
                </w:p>
              </w:tc>
              <w:tc>
                <w:tcPr>
                  <w:tcW w:w="502" w:type="pct"/>
                  <w:tcBorders>
                    <w:tl2br w:val="nil"/>
                    <w:tr2bl w:val="nil"/>
                  </w:tcBorders>
                  <w:vAlign w:val="center"/>
                </w:tcPr>
                <w:p w14:paraId="03274F5E">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依托</w:t>
                  </w:r>
                </w:p>
              </w:tc>
            </w:tr>
            <w:tr w14:paraId="35591C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372" w:type="pct"/>
                  <w:vMerge w:val="continue"/>
                  <w:tcBorders>
                    <w:tl2br w:val="nil"/>
                    <w:tr2bl w:val="nil"/>
                  </w:tcBorders>
                  <w:vAlign w:val="center"/>
                </w:tcPr>
                <w:p w14:paraId="7D223F47">
                  <w:pPr>
                    <w:pStyle w:val="29"/>
                    <w:rPr>
                      <w:rFonts w:hint="eastAsia" w:cs="Times New Roman"/>
                      <w:color w:val="auto"/>
                      <w:highlight w:val="none"/>
                      <w:lang w:val="en-US" w:eastAsia="zh-CN"/>
                    </w:rPr>
                  </w:pPr>
                </w:p>
              </w:tc>
              <w:tc>
                <w:tcPr>
                  <w:tcW w:w="507" w:type="pct"/>
                  <w:tcBorders>
                    <w:tl2br w:val="nil"/>
                    <w:tr2bl w:val="nil"/>
                  </w:tcBorders>
                  <w:vAlign w:val="center"/>
                </w:tcPr>
                <w:p w14:paraId="1683E619">
                  <w:pPr>
                    <w:pStyle w:val="29"/>
                    <w:rPr>
                      <w:rFonts w:hint="default" w:cs="Times New Roman"/>
                      <w:color w:val="auto"/>
                      <w:highlight w:val="none"/>
                      <w:lang w:val="en-US" w:eastAsia="zh-CN"/>
                    </w:rPr>
                  </w:pPr>
                  <w:r>
                    <w:rPr>
                      <w:rFonts w:hint="eastAsia" w:cs="Times New Roman"/>
                      <w:color w:val="auto"/>
                      <w:highlight w:val="none"/>
                      <w:lang w:val="en-US" w:eastAsia="zh-CN"/>
                    </w:rPr>
                    <w:t>危险废物贮存点</w:t>
                  </w:r>
                </w:p>
              </w:tc>
              <w:tc>
                <w:tcPr>
                  <w:tcW w:w="3618" w:type="pct"/>
                  <w:tcBorders>
                    <w:tl2br w:val="nil"/>
                    <w:tr2bl w:val="nil"/>
                  </w:tcBorders>
                  <w:vAlign w:val="center"/>
                </w:tcPr>
                <w:p w14:paraId="71B5A8B2">
                  <w:pPr>
                    <w:pStyle w:val="29"/>
                    <w:jc w:val="left"/>
                    <w:rPr>
                      <w:rFonts w:hint="default" w:cs="Times New Roman"/>
                      <w:color w:val="auto"/>
                      <w:highlight w:val="none"/>
                      <w:lang w:val="en-US" w:eastAsia="zh-CN"/>
                    </w:rPr>
                  </w:pPr>
                  <w:r>
                    <w:rPr>
                      <w:rFonts w:hint="eastAsia" w:cs="Times New Roman"/>
                      <w:color w:val="auto"/>
                      <w:highlight w:val="none"/>
                      <w:lang w:val="en-US" w:eastAsia="zh-CN"/>
                    </w:rPr>
                    <w:t>设有危险废物贮存点一座，位于仓库内，建筑面积15m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，用于暂存废机油等危险废物，定期委托有资质单位处置</w:t>
                  </w:r>
                </w:p>
              </w:tc>
              <w:tc>
                <w:tcPr>
                  <w:tcW w:w="502" w:type="pct"/>
                  <w:tcBorders>
                    <w:tl2br w:val="nil"/>
                    <w:tr2bl w:val="nil"/>
                  </w:tcBorders>
                  <w:vAlign w:val="center"/>
                </w:tcPr>
                <w:p w14:paraId="44118332">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新建</w:t>
                  </w:r>
                </w:p>
              </w:tc>
            </w:tr>
            <w:tr w14:paraId="0238C4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restart"/>
                  <w:tcBorders>
                    <w:tl2br w:val="nil"/>
                    <w:tr2bl w:val="nil"/>
                  </w:tcBorders>
                  <w:vAlign w:val="center"/>
                </w:tcPr>
                <w:p w14:paraId="2150C27D">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公用</w:t>
                  </w:r>
                </w:p>
                <w:p w14:paraId="31EEC7E9">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工程</w:t>
                  </w:r>
                </w:p>
              </w:tc>
              <w:tc>
                <w:tcPr>
                  <w:tcW w:w="507" w:type="pct"/>
                  <w:tcBorders>
                    <w:tl2br w:val="nil"/>
                    <w:tr2bl w:val="nil"/>
                  </w:tcBorders>
                  <w:vAlign w:val="center"/>
                </w:tcPr>
                <w:p w14:paraId="08048510">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给水工程</w:t>
                  </w:r>
                </w:p>
              </w:tc>
              <w:tc>
                <w:tcPr>
                  <w:tcW w:w="3618" w:type="pct"/>
                  <w:tcBorders>
                    <w:tl2br w:val="nil"/>
                    <w:tr2bl w:val="nil"/>
                  </w:tcBorders>
                  <w:vAlign w:val="center"/>
                </w:tcPr>
                <w:p w14:paraId="06DCB992">
                  <w:pPr>
                    <w:pStyle w:val="6"/>
                    <w:rPr>
                      <w:rFonts w:hint="default" w:ascii="Times New Roman" w:hAnsi="Times New Roman" w:cs="Times New Roman"/>
                      <w:color w:val="auto"/>
                      <w:highlight w:val="none"/>
                      <w:lang w:val="en-US"/>
                    </w:rPr>
                  </w:pPr>
                  <w:r>
                    <w:rPr>
                      <w:rFonts w:hint="default" w:ascii="Times New Roman" w:hAnsi="Times New Roman" w:eastAsia="宋体" w:cs="Times New Roman"/>
                      <w:color w:val="auto"/>
                      <w:kern w:val="2"/>
                      <w:sz w:val="21"/>
                      <w:szCs w:val="22"/>
                      <w:highlight w:val="none"/>
                      <w:lang w:val="en-US" w:eastAsia="zh-CN" w:bidi="ar-SA"/>
                    </w:rPr>
                    <w:t>项目生活用水</w:t>
                  </w:r>
                  <w:r>
                    <w:rPr>
                      <w:rFonts w:hint="eastAsia" w:ascii="Times New Roman" w:hAnsi="Times New Roman" w:eastAsia="宋体" w:cs="Times New Roman"/>
                      <w:color w:val="auto"/>
                      <w:kern w:val="2"/>
                      <w:sz w:val="21"/>
                      <w:szCs w:val="22"/>
                      <w:highlight w:val="none"/>
                      <w:lang w:val="en-US" w:eastAsia="zh-CN" w:bidi="ar-SA"/>
                    </w:rPr>
                    <w:t>来源为外运桶装水（</w:t>
                  </w:r>
                  <w:r>
                    <w:rPr>
                      <w:rFonts w:hint="eastAsia" w:cs="Times New Roman"/>
                      <w:color w:val="auto"/>
                      <w:kern w:val="2"/>
                      <w:sz w:val="21"/>
                      <w:szCs w:val="22"/>
                      <w:highlight w:val="none"/>
                      <w:lang w:val="en-US" w:eastAsia="zh-CN" w:bidi="ar-SA"/>
                    </w:rPr>
                    <w:t>48</w:t>
                  </w:r>
                  <w:r>
                    <w:rPr>
                      <w:rFonts w:hint="eastAsia" w:ascii="Times New Roman" w:hAnsi="Times New Roman" w:eastAsia="宋体" w:cs="Times New Roman"/>
                      <w:color w:val="auto"/>
                      <w:kern w:val="2"/>
                      <w:sz w:val="21"/>
                      <w:szCs w:val="22"/>
                      <w:highlight w:val="none"/>
                      <w:lang w:val="en-US" w:eastAsia="zh-CN" w:bidi="ar-SA"/>
                    </w:rPr>
                    <w:t>t/a），</w:t>
                  </w:r>
                  <w:r>
                    <w:rPr>
                      <w:rFonts w:hint="eastAsia" w:cs="Times New Roman"/>
                      <w:color w:val="auto"/>
                      <w:kern w:val="2"/>
                      <w:sz w:val="21"/>
                      <w:szCs w:val="22"/>
                      <w:highlight w:val="none"/>
                      <w:lang w:val="en-US" w:eastAsia="zh-CN" w:bidi="ar-SA"/>
                    </w:rPr>
                    <w:t>设置雨水收集池</w:t>
                  </w:r>
                  <w:r>
                    <w:rPr>
                      <w:rFonts w:hint="eastAsia" w:ascii="Times New Roman" w:hAnsi="Times New Roman" w:eastAsia="宋体" w:cs="Times New Roman"/>
                      <w:color w:val="auto"/>
                      <w:kern w:val="2"/>
                      <w:sz w:val="21"/>
                      <w:szCs w:val="22"/>
                      <w:highlight w:val="none"/>
                      <w:lang w:val="en-US" w:eastAsia="zh-CN" w:bidi="ar-SA"/>
                    </w:rPr>
                    <w:t>1座，用以储存生产用水</w:t>
                  </w:r>
                  <w:r>
                    <w:rPr>
                      <w:rFonts w:hint="eastAsia" w:cs="Times New Roman"/>
                      <w:color w:val="auto"/>
                      <w:kern w:val="2"/>
                      <w:sz w:val="21"/>
                      <w:szCs w:val="22"/>
                      <w:highlight w:val="none"/>
                      <w:lang w:val="en-US" w:eastAsia="zh-CN" w:bidi="ar-SA"/>
                    </w:rPr>
                    <w:t>，</w:t>
                  </w:r>
                  <w:r>
                    <w:rPr>
                      <w:rFonts w:hint="eastAsia" w:ascii="Times New Roman" w:hAnsi="Times New Roman" w:eastAsia="宋体" w:cs="Times New Roman"/>
                      <w:color w:val="auto"/>
                      <w:kern w:val="2"/>
                      <w:sz w:val="21"/>
                      <w:szCs w:val="22"/>
                      <w:highlight w:val="none"/>
                      <w:lang w:val="en-US" w:eastAsia="zh-CN" w:bidi="ar-SA"/>
                    </w:rPr>
                    <w:t>生产用水主要为使用沉淀后回用的雨水（</w:t>
                  </w:r>
                  <w:r>
                    <w:rPr>
                      <w:rFonts w:hint="eastAsia" w:cs="Times New Roman"/>
                      <w:color w:val="auto"/>
                      <w:kern w:val="2"/>
                      <w:sz w:val="21"/>
                      <w:szCs w:val="22"/>
                      <w:highlight w:val="none"/>
                      <w:lang w:val="en-US" w:eastAsia="zh-CN" w:bidi="ar-SA"/>
                    </w:rPr>
                    <w:t>60.33</w:t>
                  </w:r>
                  <w:r>
                    <w:rPr>
                      <w:rFonts w:hint="eastAsia" w:ascii="Times New Roman" w:hAnsi="Times New Roman" w:eastAsia="宋体" w:cs="Times New Roman"/>
                      <w:color w:val="auto"/>
                      <w:kern w:val="2"/>
                      <w:sz w:val="21"/>
                      <w:szCs w:val="22"/>
                      <w:highlight w:val="none"/>
                      <w:lang w:val="en-US" w:eastAsia="zh-CN" w:bidi="ar-SA"/>
                    </w:rPr>
                    <w:t>t/a），其余部分外购（</w:t>
                  </w:r>
                  <w:r>
                    <w:rPr>
                      <w:rFonts w:hint="eastAsia" w:cs="Times New Roman"/>
                      <w:color w:val="auto"/>
                      <w:kern w:val="2"/>
                      <w:sz w:val="21"/>
                      <w:szCs w:val="22"/>
                      <w:highlight w:val="none"/>
                      <w:lang w:val="en-US" w:eastAsia="zh-CN" w:bidi="ar-SA"/>
                    </w:rPr>
                    <w:t>6.27</w:t>
                  </w:r>
                  <w:r>
                    <w:rPr>
                      <w:rFonts w:hint="eastAsia" w:ascii="Times New Roman" w:hAnsi="Times New Roman" w:eastAsia="宋体" w:cs="Times New Roman"/>
                      <w:color w:val="auto"/>
                      <w:kern w:val="2"/>
                      <w:sz w:val="21"/>
                      <w:szCs w:val="22"/>
                      <w:highlight w:val="none"/>
                      <w:lang w:val="en-US" w:eastAsia="zh-CN" w:bidi="ar-SA"/>
                    </w:rPr>
                    <w:t>t/a）。</w:t>
                  </w:r>
                </w:p>
              </w:tc>
              <w:tc>
                <w:tcPr>
                  <w:tcW w:w="502" w:type="pct"/>
                  <w:tcBorders>
                    <w:tl2br w:val="nil"/>
                    <w:tr2bl w:val="nil"/>
                  </w:tcBorders>
                  <w:vAlign w:val="center"/>
                </w:tcPr>
                <w:p w14:paraId="021D451C">
                  <w:pPr>
                    <w:pStyle w:val="29"/>
                    <w:jc w:val="center"/>
                    <w:rPr>
                      <w:rFonts w:hint="default"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新建</w:t>
                  </w:r>
                </w:p>
              </w:tc>
            </w:tr>
            <w:tr w14:paraId="610E4B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tcBorders>
                    <w:tl2br w:val="nil"/>
                    <w:tr2bl w:val="nil"/>
                  </w:tcBorders>
                  <w:vAlign w:val="center"/>
                </w:tcPr>
                <w:p w14:paraId="2705B5CF">
                  <w:pPr>
                    <w:pStyle w:val="29"/>
                    <w:rPr>
                      <w:rFonts w:hint="default" w:ascii="Times New Roman" w:hAnsi="Times New Roman" w:cs="Times New Roman"/>
                      <w:color w:val="auto"/>
                      <w:highlight w:val="none"/>
                    </w:rPr>
                  </w:pPr>
                </w:p>
              </w:tc>
              <w:tc>
                <w:tcPr>
                  <w:tcW w:w="507" w:type="pct"/>
                  <w:tcBorders>
                    <w:tl2br w:val="nil"/>
                    <w:tr2bl w:val="nil"/>
                  </w:tcBorders>
                  <w:vAlign w:val="center"/>
                </w:tcPr>
                <w:p w14:paraId="43996FEA">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排水工程</w:t>
                  </w:r>
                </w:p>
              </w:tc>
              <w:tc>
                <w:tcPr>
                  <w:tcW w:w="3618" w:type="pct"/>
                  <w:tcBorders>
                    <w:tl2br w:val="nil"/>
                    <w:tr2bl w:val="nil"/>
                  </w:tcBorders>
                  <w:vAlign w:val="center"/>
                </w:tcPr>
                <w:p w14:paraId="25EE8085">
                  <w:pPr>
                    <w:pStyle w:val="29"/>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项目无生产废水</w:t>
                  </w:r>
                  <w:r>
                    <w:rPr>
                      <w:rFonts w:hint="default" w:ascii="Times New Roman" w:hAnsi="Times New Roman" w:cs="Times New Roman"/>
                      <w:color w:val="auto"/>
                      <w:highlight w:val="none"/>
                    </w:rPr>
                    <w:t>，</w:t>
                  </w:r>
                  <w:r>
                    <w:rPr>
                      <w:rFonts w:hint="eastAsia" w:cs="Times New Roman"/>
                      <w:color w:val="auto"/>
                      <w:highlight w:val="none"/>
                      <w:lang w:eastAsia="zh-CN"/>
                    </w:rPr>
                    <w:t>生活污水</w:t>
                  </w:r>
                  <w:r>
                    <w:rPr>
                      <w:rFonts w:hint="default" w:ascii="Times New Roman" w:hAnsi="Times New Roman" w:cs="Times New Roman"/>
                      <w:color w:val="auto"/>
                      <w:highlight w:val="none"/>
                      <w:lang w:val="en-US" w:eastAsia="zh-CN"/>
                    </w:rPr>
                    <w:t>排入防渗旱厕</w:t>
                  </w:r>
                </w:p>
              </w:tc>
              <w:tc>
                <w:tcPr>
                  <w:tcW w:w="502" w:type="pct"/>
                  <w:tcBorders>
                    <w:tl2br w:val="nil"/>
                    <w:tr2bl w:val="nil"/>
                  </w:tcBorders>
                  <w:vAlign w:val="center"/>
                </w:tcPr>
                <w:p w14:paraId="5BC34A60">
                  <w:pPr>
                    <w:pStyle w:val="29"/>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依托</w:t>
                  </w:r>
                </w:p>
              </w:tc>
            </w:tr>
            <w:tr w14:paraId="7B47A1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tcBorders>
                    <w:tl2br w:val="nil"/>
                    <w:tr2bl w:val="nil"/>
                  </w:tcBorders>
                  <w:vAlign w:val="center"/>
                </w:tcPr>
                <w:p w14:paraId="44E376E5">
                  <w:pPr>
                    <w:pStyle w:val="29"/>
                    <w:rPr>
                      <w:rFonts w:hint="default" w:ascii="Times New Roman" w:hAnsi="Times New Roman" w:cs="Times New Roman"/>
                      <w:color w:val="auto"/>
                      <w:highlight w:val="none"/>
                    </w:rPr>
                  </w:pPr>
                </w:p>
              </w:tc>
              <w:tc>
                <w:tcPr>
                  <w:tcW w:w="507" w:type="pct"/>
                  <w:tcBorders>
                    <w:tl2br w:val="nil"/>
                    <w:tr2bl w:val="nil"/>
                  </w:tcBorders>
                  <w:vAlign w:val="center"/>
                </w:tcPr>
                <w:p w14:paraId="1A2C4A27">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供电工程</w:t>
                  </w:r>
                </w:p>
              </w:tc>
              <w:tc>
                <w:tcPr>
                  <w:tcW w:w="3618" w:type="pct"/>
                  <w:tcBorders>
                    <w:tl2br w:val="nil"/>
                    <w:tr2bl w:val="nil"/>
                  </w:tcBorders>
                  <w:vAlign w:val="center"/>
                </w:tcPr>
                <w:p w14:paraId="7ADA332B">
                  <w:pPr>
                    <w:pStyle w:val="29"/>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由市政电网提供</w:t>
                  </w:r>
                </w:p>
              </w:tc>
              <w:tc>
                <w:tcPr>
                  <w:tcW w:w="502" w:type="pct"/>
                  <w:tcBorders>
                    <w:tl2br w:val="nil"/>
                    <w:tr2bl w:val="nil"/>
                  </w:tcBorders>
                  <w:vAlign w:val="center"/>
                </w:tcPr>
                <w:p w14:paraId="34E96ED6">
                  <w:pPr>
                    <w:pStyle w:val="29"/>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依托</w:t>
                  </w:r>
                </w:p>
              </w:tc>
            </w:tr>
            <w:tr w14:paraId="440E74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372" w:type="pct"/>
                  <w:vMerge w:val="continue"/>
                  <w:tcBorders>
                    <w:tl2br w:val="nil"/>
                    <w:tr2bl w:val="nil"/>
                  </w:tcBorders>
                  <w:vAlign w:val="center"/>
                </w:tcPr>
                <w:p w14:paraId="44AF182F">
                  <w:pPr>
                    <w:pStyle w:val="29"/>
                    <w:rPr>
                      <w:rFonts w:hint="default" w:ascii="Times New Roman" w:hAnsi="Times New Roman" w:cs="Times New Roman"/>
                      <w:color w:val="auto"/>
                      <w:highlight w:val="none"/>
                    </w:rPr>
                  </w:pPr>
                </w:p>
              </w:tc>
              <w:tc>
                <w:tcPr>
                  <w:tcW w:w="507" w:type="pct"/>
                  <w:tcBorders>
                    <w:tl2br w:val="nil"/>
                    <w:tr2bl w:val="nil"/>
                  </w:tcBorders>
                  <w:vAlign w:val="center"/>
                </w:tcPr>
                <w:p w14:paraId="6AD07104">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供热工程</w:t>
                  </w:r>
                </w:p>
              </w:tc>
              <w:tc>
                <w:tcPr>
                  <w:tcW w:w="3618" w:type="pct"/>
                  <w:tcBorders>
                    <w:tl2br w:val="nil"/>
                    <w:tr2bl w:val="nil"/>
                  </w:tcBorders>
                  <w:vAlign w:val="center"/>
                </w:tcPr>
                <w:p w14:paraId="39645E9A">
                  <w:pPr>
                    <w:pStyle w:val="29"/>
                    <w:jc w:val="left"/>
                    <w:rPr>
                      <w:rFonts w:hint="default" w:ascii="Times New Roman" w:hAnsi="Times New Roman" w:cs="Times New Roman"/>
                      <w:color w:val="auto"/>
                      <w:highlight w:val="none"/>
                      <w:lang w:val="en-US"/>
                    </w:rPr>
                  </w:pPr>
                  <w:r>
                    <w:rPr>
                      <w:rFonts w:hint="default" w:ascii="Times New Roman" w:hAnsi="Times New Roman" w:cs="Times New Roman"/>
                      <w:color w:val="auto"/>
                      <w:szCs w:val="21"/>
                      <w:highlight w:val="none"/>
                    </w:rPr>
                    <w:t>本项目</w:t>
                  </w:r>
                  <w:r>
                    <w:rPr>
                      <w:rFonts w:hint="default" w:ascii="Times New Roman" w:hAnsi="Times New Roman" w:cs="Times New Roman"/>
                      <w:color w:val="auto"/>
                      <w:szCs w:val="21"/>
                      <w:highlight w:val="none"/>
                      <w:lang w:val="en-US" w:eastAsia="zh-CN"/>
                    </w:rPr>
                    <w:t>不使用锅炉</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冬季采用电采暖</w:t>
                  </w:r>
                  <w:r>
                    <w:rPr>
                      <w:rFonts w:hint="eastAsia" w:cs="Times New Roman"/>
                      <w:color w:val="auto"/>
                      <w:highlight w:val="none"/>
                      <w:lang w:val="en-US" w:eastAsia="zh-CN"/>
                    </w:rPr>
                    <w:t>。</w:t>
                  </w:r>
                </w:p>
              </w:tc>
              <w:tc>
                <w:tcPr>
                  <w:tcW w:w="502" w:type="pct"/>
                  <w:tcBorders>
                    <w:tl2br w:val="nil"/>
                    <w:tr2bl w:val="nil"/>
                  </w:tcBorders>
                  <w:vAlign w:val="center"/>
                </w:tcPr>
                <w:p w14:paraId="537502E3">
                  <w:pPr>
                    <w:pStyle w:val="29"/>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新建</w:t>
                  </w:r>
                </w:p>
              </w:tc>
            </w:tr>
            <w:tr w14:paraId="40E2F0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restart"/>
                  <w:tcBorders>
                    <w:tl2br w:val="nil"/>
                    <w:tr2bl w:val="nil"/>
                  </w:tcBorders>
                  <w:vAlign w:val="center"/>
                </w:tcPr>
                <w:p w14:paraId="543DC53D">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环保</w:t>
                  </w:r>
                </w:p>
                <w:p w14:paraId="6D9F20FE">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工程</w:t>
                  </w:r>
                </w:p>
              </w:tc>
              <w:tc>
                <w:tcPr>
                  <w:tcW w:w="507" w:type="pct"/>
                  <w:tcBorders>
                    <w:tl2br w:val="nil"/>
                    <w:tr2bl w:val="nil"/>
                  </w:tcBorders>
                  <w:vAlign w:val="center"/>
                </w:tcPr>
                <w:p w14:paraId="0911BA1E">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污水防治措施</w:t>
                  </w:r>
                </w:p>
              </w:tc>
              <w:tc>
                <w:tcPr>
                  <w:tcW w:w="3618" w:type="pct"/>
                  <w:tcBorders>
                    <w:tl2br w:val="nil"/>
                    <w:tr2bl w:val="nil"/>
                  </w:tcBorders>
                  <w:vAlign w:val="center"/>
                </w:tcPr>
                <w:p w14:paraId="3161729D">
                  <w:pPr>
                    <w:pStyle w:val="29"/>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项目无生产废水</w:t>
                  </w:r>
                  <w:r>
                    <w:rPr>
                      <w:rFonts w:hint="default" w:ascii="Times New Roman" w:hAnsi="Times New Roman" w:cs="Times New Roman"/>
                      <w:color w:val="auto"/>
                      <w:highlight w:val="none"/>
                    </w:rPr>
                    <w:t>，</w:t>
                  </w:r>
                  <w:r>
                    <w:rPr>
                      <w:rFonts w:hint="eastAsia" w:cs="Times New Roman"/>
                      <w:color w:val="auto"/>
                      <w:highlight w:val="none"/>
                      <w:lang w:eastAsia="zh-CN"/>
                    </w:rPr>
                    <w:t>生活污水</w:t>
                  </w:r>
                  <w:r>
                    <w:rPr>
                      <w:rFonts w:hint="default" w:ascii="Times New Roman" w:hAnsi="Times New Roman" w:cs="Times New Roman"/>
                      <w:color w:val="auto"/>
                      <w:highlight w:val="none"/>
                      <w:lang w:val="en-US" w:eastAsia="zh-CN"/>
                    </w:rPr>
                    <w:t>排入</w:t>
                  </w:r>
                  <w:r>
                    <w:rPr>
                      <w:rFonts w:hint="eastAsia" w:cs="Times New Roman"/>
                      <w:color w:val="auto"/>
                      <w:highlight w:val="none"/>
                      <w:lang w:val="en-US" w:eastAsia="zh-CN"/>
                    </w:rPr>
                    <w:t>厂区内</w:t>
                  </w:r>
                  <w:r>
                    <w:rPr>
                      <w:rFonts w:hint="default" w:ascii="Times New Roman" w:hAnsi="Times New Roman" w:cs="Times New Roman"/>
                      <w:color w:val="auto"/>
                      <w:highlight w:val="none"/>
                      <w:lang w:val="en-US" w:eastAsia="zh-CN"/>
                    </w:rPr>
                    <w:t>防渗旱厕。储</w:t>
                  </w:r>
                  <w:r>
                    <w:rPr>
                      <w:rFonts w:hint="eastAsia" w:cs="Times New Roman"/>
                      <w:color w:val="auto"/>
                      <w:highlight w:val="none"/>
                      <w:lang w:val="en-US" w:eastAsia="zh-CN"/>
                    </w:rPr>
                    <w:t>煤场</w:t>
                  </w:r>
                  <w:r>
                    <w:rPr>
                      <w:rFonts w:hint="default" w:ascii="Times New Roman" w:hAnsi="Times New Roman" w:cs="Times New Roman"/>
                      <w:color w:val="auto"/>
                      <w:highlight w:val="none"/>
                      <w:lang w:val="en-US" w:eastAsia="zh-CN"/>
                    </w:rPr>
                    <w:t>建设雨水导流</w:t>
                  </w:r>
                  <w:r>
                    <w:rPr>
                      <w:rFonts w:hint="eastAsia" w:cs="Times New Roman"/>
                      <w:color w:val="auto"/>
                      <w:highlight w:val="none"/>
                      <w:lang w:val="en-US" w:eastAsia="zh-CN"/>
                    </w:rPr>
                    <w:t>沟深0.2m、宽0.2m、长184m，导流沟与雨水收集池相连</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将</w:t>
                  </w:r>
                  <w:r>
                    <w:rPr>
                      <w:rFonts w:hint="default" w:ascii="Times New Roman" w:hAnsi="Times New Roman" w:cs="Times New Roman"/>
                      <w:color w:val="auto"/>
                      <w:highlight w:val="none"/>
                      <w:lang w:val="en-US" w:eastAsia="zh-CN"/>
                    </w:rPr>
                    <w:t>收集的雨水沉淀后用于场区洒水降尘</w:t>
                  </w:r>
                  <w:r>
                    <w:rPr>
                      <w:rFonts w:hint="eastAsia" w:cs="Times New Roman"/>
                      <w:color w:val="auto"/>
                      <w:highlight w:val="none"/>
                      <w:lang w:val="en-US" w:eastAsia="zh-CN"/>
                    </w:rPr>
                    <w:t>，储煤场雨水收集池容积25</w:t>
                  </w:r>
                  <w:r>
                    <w:rPr>
                      <w:rFonts w:hint="default" w:ascii="Times New Roman" w:hAnsi="Times New Roman" w:cs="Times New Roman"/>
                      <w:color w:val="auto"/>
                      <w:highlight w:val="none"/>
                    </w:rPr>
                    <w:t>m</w:t>
                  </w:r>
                  <w:r>
                    <w:rPr>
                      <w:rFonts w:hint="eastAsia" w:cs="Times New Roman"/>
                      <w:color w:val="auto"/>
                      <w:highlight w:val="none"/>
                      <w:vertAlign w:val="superscript"/>
                      <w:lang w:val="en-US" w:eastAsia="zh-CN"/>
                    </w:rPr>
                    <w:t>3</w:t>
                  </w:r>
                  <w:r>
                    <w:rPr>
                      <w:rFonts w:hint="eastAsia" w:cs="Times New Roman"/>
                      <w:color w:val="auto"/>
                      <w:highlight w:val="none"/>
                      <w:vertAlign w:val="baseline"/>
                      <w:lang w:eastAsia="zh-CN"/>
                    </w:rPr>
                    <w:t>。</w:t>
                  </w:r>
                  <w:r>
                    <w:rPr>
                      <w:rFonts w:hint="eastAsia" w:cs="Times New Roman"/>
                      <w:color w:val="auto"/>
                      <w:highlight w:val="none"/>
                      <w:vertAlign w:val="baseline"/>
                      <w:lang w:val="en-US" w:eastAsia="zh-CN"/>
                    </w:rPr>
                    <w:t>初期雨水进入雨水收集池，非初期雨水漫流出厂区。</w:t>
                  </w:r>
                </w:p>
              </w:tc>
              <w:tc>
                <w:tcPr>
                  <w:tcW w:w="502" w:type="pct"/>
                  <w:tcBorders>
                    <w:tl2br w:val="nil"/>
                    <w:tr2bl w:val="nil"/>
                  </w:tcBorders>
                  <w:vAlign w:val="center"/>
                </w:tcPr>
                <w:p w14:paraId="09025A51">
                  <w:pPr>
                    <w:pStyle w:val="29"/>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新建</w:t>
                  </w:r>
                </w:p>
              </w:tc>
            </w:tr>
            <w:tr w14:paraId="6FBC79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 w:type="pct"/>
                  <w:vMerge w:val="continue"/>
                  <w:tcBorders>
                    <w:tl2br w:val="nil"/>
                    <w:tr2bl w:val="nil"/>
                  </w:tcBorders>
                  <w:vAlign w:val="center"/>
                </w:tcPr>
                <w:p w14:paraId="02888E6B">
                  <w:pPr>
                    <w:pStyle w:val="29"/>
                    <w:rPr>
                      <w:rFonts w:hint="default" w:ascii="Times New Roman" w:hAnsi="Times New Roman" w:cs="Times New Roman"/>
                      <w:color w:val="auto"/>
                      <w:highlight w:val="none"/>
                    </w:rPr>
                  </w:pPr>
                </w:p>
              </w:tc>
              <w:tc>
                <w:tcPr>
                  <w:tcW w:w="507" w:type="pct"/>
                  <w:tcBorders>
                    <w:tl2br w:val="nil"/>
                    <w:tr2bl w:val="nil"/>
                  </w:tcBorders>
                  <w:vAlign w:val="center"/>
                </w:tcPr>
                <w:p w14:paraId="2A0DBB48">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固体废物防治措施</w:t>
                  </w:r>
                </w:p>
              </w:tc>
              <w:tc>
                <w:tcPr>
                  <w:tcW w:w="3618" w:type="pct"/>
                  <w:tcBorders>
                    <w:tl2br w:val="nil"/>
                    <w:tr2bl w:val="nil"/>
                  </w:tcBorders>
                  <w:vAlign w:val="center"/>
                </w:tcPr>
                <w:p w14:paraId="5D0BCE27">
                  <w:pPr>
                    <w:widowControl/>
                    <w:jc w:val="left"/>
                    <w:rPr>
                      <w:rFonts w:hint="default" w:ascii="Times New Roman" w:hAnsi="Times New Roman" w:cs="Times New Roman"/>
                      <w:color w:val="auto"/>
                      <w:szCs w:val="21"/>
                      <w:highlight w:val="none"/>
                      <w:lang w:val="en-US"/>
                    </w:rPr>
                  </w:pPr>
                  <w:r>
                    <w:rPr>
                      <w:rFonts w:hint="eastAsia" w:cs="Times New Roman"/>
                      <w:color w:val="auto"/>
                      <w:szCs w:val="21"/>
                      <w:highlight w:val="none"/>
                      <w:lang w:val="en-US" w:eastAsia="zh-CN"/>
                    </w:rPr>
                    <w:t>储煤场内设置垃圾收集箱、危险废物贮存点，垃圾收集箱用于</w:t>
                  </w:r>
                  <w:r>
                    <w:rPr>
                      <w:rFonts w:hint="eastAsia" w:ascii="Times New Roman" w:hAnsi="Times New Roman" w:eastAsia="宋体" w:cs="Times New Roman"/>
                      <w:color w:val="auto"/>
                      <w:szCs w:val="21"/>
                      <w:highlight w:val="none"/>
                    </w:rPr>
                    <w:t>生活垃圾收集，由当地环卫部门统一处理；</w:t>
                  </w:r>
                  <w:r>
                    <w:rPr>
                      <w:rFonts w:hint="eastAsia" w:cs="Times New Roman"/>
                      <w:color w:val="auto"/>
                      <w:szCs w:val="21"/>
                      <w:highlight w:val="none"/>
                      <w:lang w:val="en-US" w:eastAsia="zh-CN"/>
                    </w:rPr>
                    <w:t>危险废物贮存点用于暂</w:t>
                  </w:r>
                  <w:r>
                    <w:rPr>
                      <w:rFonts w:hint="eastAsia" w:ascii="Times New Roman" w:hAnsi="Times New Roman" w:eastAsia="宋体" w:cs="Times New Roman"/>
                      <w:color w:val="auto"/>
                      <w:szCs w:val="21"/>
                      <w:highlight w:val="none"/>
                    </w:rPr>
                    <w:t>废机油</w:t>
                  </w:r>
                  <w:r>
                    <w:rPr>
                      <w:rFonts w:hint="eastAsia" w:cs="Times New Roman"/>
                      <w:color w:val="auto"/>
                      <w:szCs w:val="21"/>
                      <w:highlight w:val="none"/>
                      <w:lang w:eastAsia="zh-CN"/>
                    </w:rPr>
                    <w:t>、</w:t>
                  </w:r>
                  <w:r>
                    <w:rPr>
                      <w:rFonts w:hint="eastAsia" w:cs="Times New Roman"/>
                      <w:color w:val="auto"/>
                      <w:szCs w:val="21"/>
                      <w:highlight w:val="none"/>
                      <w:lang w:val="en-US" w:eastAsia="zh-CN"/>
                    </w:rPr>
                    <w:t>含油零部件及废机油桶等</w:t>
                  </w:r>
                  <w:r>
                    <w:rPr>
                      <w:rFonts w:hint="eastAsia" w:ascii="Times New Roman" w:hAnsi="Times New Roman" w:eastAsia="宋体" w:cs="Times New Roman"/>
                      <w:color w:val="auto"/>
                      <w:szCs w:val="21"/>
                      <w:highlight w:val="none"/>
                      <w:lang w:val="en-US" w:eastAsia="zh-CN"/>
                    </w:rPr>
                    <w:t>危险废物</w:t>
                  </w:r>
                  <w:r>
                    <w:rPr>
                      <w:rFonts w:hint="eastAsia" w:ascii="Times New Roman" w:hAnsi="Times New Roman" w:eastAsia="宋体" w:cs="Times New Roman"/>
                      <w:color w:val="auto"/>
                      <w:szCs w:val="21"/>
                      <w:highlight w:val="none"/>
                    </w:rPr>
                    <w:t>，</w:t>
                  </w:r>
                  <w:r>
                    <w:rPr>
                      <w:rFonts w:hint="eastAsia" w:cs="Times New Roman"/>
                      <w:color w:val="auto"/>
                      <w:szCs w:val="21"/>
                      <w:highlight w:val="none"/>
                      <w:lang w:val="en-US" w:eastAsia="zh-CN"/>
                    </w:rPr>
                    <w:t>定期</w:t>
                  </w:r>
                  <w:r>
                    <w:rPr>
                      <w:rFonts w:hint="eastAsia" w:ascii="Times New Roman" w:hAnsi="Times New Roman" w:eastAsia="宋体" w:cs="Times New Roman"/>
                      <w:color w:val="auto"/>
                      <w:szCs w:val="21"/>
                      <w:highlight w:val="none"/>
                    </w:rPr>
                    <w:t>委托有资质单位处置。</w:t>
                  </w:r>
                </w:p>
              </w:tc>
              <w:tc>
                <w:tcPr>
                  <w:tcW w:w="502" w:type="pct"/>
                  <w:tcBorders>
                    <w:tl2br w:val="nil"/>
                    <w:tr2bl w:val="nil"/>
                  </w:tcBorders>
                  <w:vAlign w:val="center"/>
                </w:tcPr>
                <w:p w14:paraId="0DED697B">
                  <w:pPr>
                    <w:pStyle w:val="29"/>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新建</w:t>
                  </w:r>
                </w:p>
              </w:tc>
            </w:tr>
            <w:tr w14:paraId="57D033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2" w:type="pct"/>
                  <w:vMerge w:val="continue"/>
                  <w:tcBorders>
                    <w:tl2br w:val="nil"/>
                    <w:tr2bl w:val="nil"/>
                  </w:tcBorders>
                  <w:vAlign w:val="center"/>
                </w:tcPr>
                <w:p w14:paraId="7920B123">
                  <w:pPr>
                    <w:pStyle w:val="29"/>
                    <w:rPr>
                      <w:rFonts w:hint="default" w:ascii="Times New Roman" w:hAnsi="Times New Roman" w:cs="Times New Roman"/>
                      <w:color w:val="auto"/>
                      <w:highlight w:val="none"/>
                    </w:rPr>
                  </w:pPr>
                </w:p>
              </w:tc>
              <w:tc>
                <w:tcPr>
                  <w:tcW w:w="507" w:type="pct"/>
                  <w:tcBorders>
                    <w:tl2br w:val="nil"/>
                    <w:tr2bl w:val="nil"/>
                  </w:tcBorders>
                  <w:vAlign w:val="center"/>
                </w:tcPr>
                <w:p w14:paraId="1325919D">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废气防治措施</w:t>
                  </w:r>
                </w:p>
              </w:tc>
              <w:tc>
                <w:tcPr>
                  <w:tcW w:w="3618" w:type="pct"/>
                  <w:tcBorders>
                    <w:tl2br w:val="nil"/>
                    <w:tr2bl w:val="nil"/>
                  </w:tcBorders>
                  <w:vAlign w:val="center"/>
                </w:tcPr>
                <w:p w14:paraId="7E8DC104">
                  <w:pPr>
                    <w:widowControl/>
                    <w:jc w:val="left"/>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highlight w:val="none"/>
                      <w:lang w:val="en-US" w:eastAsia="zh-CN"/>
                    </w:rPr>
                    <w:t>煤炭堆场</w:t>
                  </w:r>
                  <w:r>
                    <w:rPr>
                      <w:rFonts w:hint="eastAsia" w:ascii="Times New Roman" w:hAnsi="Times New Roman" w:cs="Times New Roman"/>
                      <w:color w:val="auto"/>
                      <w:highlight w:val="none"/>
                      <w:lang w:val="en-US" w:eastAsia="zh-CN"/>
                    </w:rPr>
                    <w:t>区域</w:t>
                  </w:r>
                  <w:r>
                    <w:rPr>
                      <w:rFonts w:hint="eastAsia" w:cs="Times New Roman"/>
                      <w:color w:val="auto"/>
                      <w:szCs w:val="21"/>
                      <w:highlight w:val="none"/>
                      <w:lang w:val="en-US" w:eastAsia="zh-CN"/>
                    </w:rPr>
                    <w:t>建设闭合防风抑尘网高3m、长120m，孔隙率50%与围墙形成闭合区域，储煤场内堆存煤炭使用绿网，进行苫盖；储煤场日常对储煤区域进行洒水降尘，禁止在重污染天气、大风天气进行作业；煤场运输车辆进行全面苫盖</w:t>
                  </w:r>
                  <w:r>
                    <w:rPr>
                      <w:rFonts w:hint="eastAsia" w:cs="Times New Roman"/>
                      <w:color w:val="auto"/>
                      <w:szCs w:val="21"/>
                      <w:highlight w:val="none"/>
                      <w:lang w:eastAsia="zh-CN"/>
                    </w:rPr>
                    <w:t>。</w:t>
                  </w:r>
                </w:p>
              </w:tc>
              <w:tc>
                <w:tcPr>
                  <w:tcW w:w="502" w:type="pct"/>
                  <w:tcBorders>
                    <w:tl2br w:val="nil"/>
                    <w:tr2bl w:val="nil"/>
                  </w:tcBorders>
                  <w:vAlign w:val="center"/>
                </w:tcPr>
                <w:p w14:paraId="0BA93690">
                  <w:pPr>
                    <w:pStyle w:val="29"/>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围墙</w:t>
                  </w:r>
                  <w:r>
                    <w:rPr>
                      <w:rFonts w:hint="default" w:ascii="Times New Roman" w:hAnsi="Times New Roman" w:cs="Times New Roman"/>
                      <w:color w:val="auto"/>
                      <w:szCs w:val="21"/>
                      <w:highlight w:val="none"/>
                    </w:rPr>
                    <w:t>依托</w:t>
                  </w:r>
                  <w:r>
                    <w:rPr>
                      <w:rFonts w:hint="eastAsia" w:ascii="Times New Roman" w:hAnsi="Times New Roman" w:cs="Times New Roman"/>
                      <w:color w:val="auto"/>
                      <w:szCs w:val="21"/>
                      <w:highlight w:val="none"/>
                      <w:lang w:val="en-US" w:eastAsia="zh-CN"/>
                    </w:rPr>
                    <w:t>现有</w:t>
                  </w:r>
                </w:p>
              </w:tc>
            </w:tr>
            <w:tr w14:paraId="41D9A2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2" w:type="pct"/>
                  <w:vMerge w:val="continue"/>
                  <w:tcBorders>
                    <w:tl2br w:val="nil"/>
                    <w:tr2bl w:val="nil"/>
                  </w:tcBorders>
                  <w:vAlign w:val="center"/>
                </w:tcPr>
                <w:p w14:paraId="17BAB3F0">
                  <w:pPr>
                    <w:pStyle w:val="29"/>
                    <w:rPr>
                      <w:rFonts w:hint="default" w:ascii="Times New Roman" w:hAnsi="Times New Roman" w:cs="Times New Roman"/>
                      <w:color w:val="auto"/>
                      <w:highlight w:val="none"/>
                    </w:rPr>
                  </w:pPr>
                </w:p>
              </w:tc>
              <w:tc>
                <w:tcPr>
                  <w:tcW w:w="507" w:type="pct"/>
                  <w:tcBorders>
                    <w:tl2br w:val="nil"/>
                    <w:tr2bl w:val="nil"/>
                  </w:tcBorders>
                  <w:vAlign w:val="center"/>
                </w:tcPr>
                <w:p w14:paraId="1E67A22B">
                  <w:pPr>
                    <w:pStyle w:val="29"/>
                    <w:rPr>
                      <w:rFonts w:hint="default" w:ascii="Times New Roman" w:hAnsi="Times New Roman" w:cs="Times New Roman"/>
                      <w:color w:val="auto"/>
                      <w:highlight w:val="none"/>
                    </w:rPr>
                  </w:pPr>
                  <w:r>
                    <w:rPr>
                      <w:rFonts w:hint="default" w:ascii="Times New Roman" w:hAnsi="Times New Roman" w:cs="Times New Roman"/>
                      <w:color w:val="auto"/>
                      <w:highlight w:val="none"/>
                    </w:rPr>
                    <w:t>噪声防治措施</w:t>
                  </w:r>
                </w:p>
              </w:tc>
              <w:tc>
                <w:tcPr>
                  <w:tcW w:w="3618" w:type="pct"/>
                  <w:tcBorders>
                    <w:tl2br w:val="nil"/>
                    <w:tr2bl w:val="nil"/>
                  </w:tcBorders>
                  <w:vAlign w:val="center"/>
                </w:tcPr>
                <w:p w14:paraId="27F1F851">
                  <w:pPr>
                    <w:widowControl/>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采用</w:t>
                  </w:r>
                  <w:r>
                    <w:rPr>
                      <w:rFonts w:hint="eastAsia" w:cs="Times New Roman"/>
                      <w:color w:val="auto"/>
                      <w:szCs w:val="21"/>
                      <w:highlight w:val="none"/>
                      <w:lang w:val="en-US" w:eastAsia="zh-CN"/>
                    </w:rPr>
                    <w:t>低噪声设备、设施</w:t>
                  </w:r>
                  <w:r>
                    <w:rPr>
                      <w:rFonts w:hint="default" w:ascii="Times New Roman" w:hAnsi="Times New Roman" w:cs="Times New Roman"/>
                      <w:color w:val="auto"/>
                      <w:szCs w:val="21"/>
                      <w:highlight w:val="none"/>
                    </w:rPr>
                    <w:t>；厂界外满足《工业企业厂界环境噪声排放标准》（GB12348-2008）中</w:t>
                  </w:r>
                  <w:r>
                    <w:rPr>
                      <w:rFonts w:hint="eastAsia" w:cs="Times New Roman"/>
                      <w:color w:val="auto"/>
                      <w:szCs w:val="21"/>
                      <w:highlight w:val="none"/>
                      <w:lang w:val="en-US" w:eastAsia="zh-CN"/>
                    </w:rPr>
                    <w:t>2</w:t>
                  </w:r>
                  <w:r>
                    <w:rPr>
                      <w:rFonts w:hint="default" w:ascii="Times New Roman" w:hAnsi="Times New Roman" w:cs="Times New Roman"/>
                      <w:color w:val="auto"/>
                      <w:szCs w:val="21"/>
                      <w:highlight w:val="none"/>
                    </w:rPr>
                    <w:t>类标准。</w:t>
                  </w:r>
                </w:p>
              </w:tc>
              <w:tc>
                <w:tcPr>
                  <w:tcW w:w="502" w:type="pct"/>
                  <w:tcBorders>
                    <w:tl2br w:val="nil"/>
                    <w:tr2bl w:val="nil"/>
                  </w:tcBorders>
                  <w:vAlign w:val="center"/>
                </w:tcPr>
                <w:p w14:paraId="2F205967">
                  <w:pPr>
                    <w:pStyle w:val="29"/>
                    <w:jc w:val="center"/>
                    <w:rPr>
                      <w:rFonts w:hint="eastAsia" w:ascii="Times New Roman" w:hAnsi="Times New Roman" w:eastAsia="宋体" w:cs="Times New Roman"/>
                      <w:color w:val="auto"/>
                      <w:kern w:val="2"/>
                      <w:sz w:val="21"/>
                      <w:szCs w:val="21"/>
                      <w:highlight w:val="none"/>
                      <w:lang w:val="zh-CN" w:eastAsia="zh-CN" w:bidi="ar-SA"/>
                    </w:rPr>
                  </w:pPr>
                  <w:r>
                    <w:rPr>
                      <w:rFonts w:hint="eastAsia" w:cs="Times New Roman"/>
                      <w:color w:val="auto"/>
                      <w:szCs w:val="21"/>
                      <w:highlight w:val="none"/>
                      <w:lang w:val="en-US" w:eastAsia="zh-CN"/>
                    </w:rPr>
                    <w:t>新建</w:t>
                  </w:r>
                </w:p>
              </w:tc>
            </w:tr>
            <w:tr w14:paraId="150DC1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2" w:type="pct"/>
                  <w:vMerge w:val="continue"/>
                  <w:tcBorders>
                    <w:tl2br w:val="nil"/>
                    <w:tr2bl w:val="nil"/>
                  </w:tcBorders>
                  <w:vAlign w:val="center"/>
                </w:tcPr>
                <w:p w14:paraId="6C55CECD">
                  <w:pPr>
                    <w:pStyle w:val="29"/>
                    <w:rPr>
                      <w:rFonts w:hint="default" w:ascii="Times New Roman" w:hAnsi="Times New Roman" w:cs="Times New Roman"/>
                      <w:color w:val="auto"/>
                      <w:highlight w:val="none"/>
                    </w:rPr>
                  </w:pPr>
                </w:p>
              </w:tc>
              <w:tc>
                <w:tcPr>
                  <w:tcW w:w="507" w:type="pct"/>
                  <w:tcBorders>
                    <w:tl2br w:val="nil"/>
                    <w:tr2bl w:val="nil"/>
                  </w:tcBorders>
                  <w:vAlign w:val="center"/>
                </w:tcPr>
                <w:p w14:paraId="4A9E4149">
                  <w:pPr>
                    <w:pStyle w:val="29"/>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地下水、土壤保护措施</w:t>
                  </w:r>
                </w:p>
              </w:tc>
              <w:tc>
                <w:tcPr>
                  <w:tcW w:w="3618" w:type="pct"/>
                  <w:tcBorders>
                    <w:tl2br w:val="nil"/>
                    <w:tr2bl w:val="nil"/>
                  </w:tcBorders>
                  <w:vAlign w:val="center"/>
                </w:tcPr>
                <w:p w14:paraId="1FD5D4E4">
                  <w:pPr>
                    <w:adjustRightInd w:val="0"/>
                    <w:snapToGrid w:val="0"/>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储煤场车辆进出口及主要通道使用水泥硬化，其余厂区地面简单硬化；</w:t>
                  </w:r>
                  <w:r>
                    <w:rPr>
                      <w:rFonts w:hint="default" w:ascii="Times New Roman" w:hAnsi="Times New Roman" w:eastAsia="宋体" w:cs="Times New Roman"/>
                      <w:color w:val="auto"/>
                      <w:sz w:val="21"/>
                      <w:szCs w:val="21"/>
                      <w:highlight w:val="none"/>
                      <w:lang w:val="en-US" w:eastAsia="zh-CN"/>
                    </w:rPr>
                    <w:t>对</w:t>
                  </w:r>
                  <w:r>
                    <w:rPr>
                      <w:rFonts w:hint="eastAsia" w:cs="Times New Roman"/>
                      <w:color w:val="auto"/>
                      <w:sz w:val="21"/>
                      <w:szCs w:val="21"/>
                      <w:highlight w:val="none"/>
                      <w:lang w:val="en-US" w:eastAsia="zh-CN"/>
                    </w:rPr>
                    <w:t>雨水收集池</w:t>
                  </w:r>
                  <w:r>
                    <w:rPr>
                      <w:rFonts w:hint="default" w:ascii="Times New Roman" w:hAnsi="Times New Roman" w:eastAsia="宋体" w:cs="Times New Roman"/>
                      <w:color w:val="auto"/>
                      <w:sz w:val="21"/>
                      <w:szCs w:val="21"/>
                      <w:highlight w:val="none"/>
                      <w:lang w:val="en-US" w:eastAsia="zh-CN"/>
                    </w:rPr>
                    <w:t>、旱厕进行一般防渗，要求</w:t>
                  </w:r>
                  <w:r>
                    <w:rPr>
                      <w:rFonts w:hint="default" w:ascii="Times New Roman" w:hAnsi="Times New Roman" w:eastAsia="宋体" w:cs="Times New Roman"/>
                      <w:bCs/>
                      <w:color w:val="auto"/>
                      <w:sz w:val="21"/>
                      <w:szCs w:val="21"/>
                      <w:highlight w:val="none"/>
                      <w:lang w:val="en-US" w:eastAsia="zh-CN"/>
                    </w:rPr>
                    <w:t>等效粘土防渗层Mb≥1.5m，K</w:t>
                  </w:r>
                  <w:r>
                    <w:rPr>
                      <w:rFonts w:hint="default" w:ascii="Times New Roman" w:hAnsi="Times New Roman" w:eastAsia="宋体" w:cs="Times New Roman"/>
                      <w:color w:val="auto"/>
                      <w:sz w:val="21"/>
                      <w:szCs w:val="21"/>
                      <w:highlight w:val="none"/>
                    </w:rPr>
                    <w:t>≤1.0×10</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rPr>
                    <w:t>cm/s</w:t>
                  </w:r>
                  <w:r>
                    <w:rPr>
                      <w:rFonts w:hint="default"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危险废物贮存点</w:t>
                  </w:r>
                  <w:r>
                    <w:rPr>
                      <w:rFonts w:hint="default" w:ascii="Times New Roman" w:hAnsi="Times New Roman" w:eastAsia="宋体" w:cs="Times New Roman"/>
                      <w:color w:val="auto"/>
                      <w:sz w:val="21"/>
                      <w:szCs w:val="21"/>
                      <w:highlight w:val="none"/>
                      <w:lang w:val="en-US" w:eastAsia="zh-CN"/>
                    </w:rPr>
                    <w:t>进行重点防渗要求</w:t>
                  </w:r>
                  <w:r>
                    <w:rPr>
                      <w:rFonts w:hint="default" w:ascii="Times New Roman" w:hAnsi="Times New Roman" w:eastAsia="宋体" w:cs="Times New Roman"/>
                      <w:bCs/>
                      <w:color w:val="auto"/>
                      <w:sz w:val="21"/>
                      <w:szCs w:val="21"/>
                      <w:highlight w:val="none"/>
                      <w:lang w:val="en-US" w:eastAsia="zh-CN"/>
                    </w:rPr>
                    <w:t>1m厚黏土层(渗透系数不大于10</w:t>
                  </w:r>
                  <w:r>
                    <w:rPr>
                      <w:rFonts w:hint="default" w:ascii="Times New Roman" w:hAnsi="Times New Roman" w:eastAsia="宋体" w:cs="Times New Roman"/>
                      <w:bCs/>
                      <w:color w:val="auto"/>
                      <w:sz w:val="21"/>
                      <w:szCs w:val="21"/>
                      <w:highlight w:val="none"/>
                      <w:vertAlign w:val="superscript"/>
                      <w:lang w:val="en-US" w:eastAsia="zh-CN"/>
                    </w:rPr>
                    <w:t>-7</w:t>
                  </w:r>
                  <w:r>
                    <w:rPr>
                      <w:rFonts w:hint="default" w:ascii="Times New Roman" w:hAnsi="Times New Roman" w:eastAsia="宋体" w:cs="Times New Roman"/>
                      <w:bCs/>
                      <w:color w:val="auto"/>
                      <w:sz w:val="21"/>
                      <w:szCs w:val="21"/>
                      <w:highlight w:val="none"/>
                      <w:lang w:val="en-US" w:eastAsia="zh-CN"/>
                    </w:rPr>
                    <w:t>cm/s)，或2mm厚高密度聚乙烯膜等人工防渗材料，渗透系数不大于10</w:t>
                  </w:r>
                  <w:r>
                    <w:rPr>
                      <w:rFonts w:hint="default" w:ascii="Times New Roman" w:hAnsi="Times New Roman" w:eastAsia="宋体" w:cs="Times New Roman"/>
                      <w:bCs/>
                      <w:color w:val="auto"/>
                      <w:sz w:val="21"/>
                      <w:szCs w:val="21"/>
                      <w:highlight w:val="none"/>
                      <w:vertAlign w:val="superscript"/>
                      <w:lang w:val="en-US" w:eastAsia="zh-CN"/>
                    </w:rPr>
                    <w:t>-10</w:t>
                  </w:r>
                  <w:r>
                    <w:rPr>
                      <w:rFonts w:hint="default" w:ascii="Times New Roman" w:hAnsi="Times New Roman" w:eastAsia="宋体" w:cs="Times New Roman"/>
                      <w:bCs/>
                      <w:color w:val="auto"/>
                      <w:sz w:val="21"/>
                      <w:szCs w:val="21"/>
                      <w:highlight w:val="none"/>
                      <w:lang w:val="en-US" w:eastAsia="zh-CN"/>
                    </w:rPr>
                    <w:t>cm/s)</w:t>
                  </w:r>
                </w:p>
              </w:tc>
              <w:tc>
                <w:tcPr>
                  <w:tcW w:w="502" w:type="pct"/>
                  <w:tcBorders>
                    <w:tl2br w:val="nil"/>
                    <w:tr2bl w:val="nil"/>
                  </w:tcBorders>
                  <w:vAlign w:val="center"/>
                </w:tcPr>
                <w:p w14:paraId="3D68FEBF">
                  <w:pPr>
                    <w:pStyle w:val="29"/>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新建</w:t>
                  </w:r>
                </w:p>
              </w:tc>
            </w:tr>
          </w:tbl>
          <w:p w14:paraId="424EC718">
            <w:pPr>
              <w:autoSpaceDE w:val="0"/>
              <w:autoSpaceDN w:val="0"/>
              <w:adjustRightInd w:val="0"/>
              <w:spacing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b/>
                <w:bCs/>
                <w:color w:val="auto"/>
                <w:sz w:val="24"/>
                <w:highlight w:val="none"/>
              </w:rPr>
              <w:t>2、主要设备</w:t>
            </w:r>
          </w:p>
          <w:p w14:paraId="23D68D64">
            <w:pPr>
              <w:autoSpaceDE w:val="0"/>
              <w:autoSpaceDN w:val="0"/>
              <w:adjustRightIn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本项目主要设备清单见下表2-2。</w:t>
            </w:r>
          </w:p>
          <w:p w14:paraId="3F188A8E">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表2-2设备明细一览表</w:t>
            </w:r>
          </w:p>
          <w:tbl>
            <w:tblPr>
              <w:tblStyle w:val="1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4272"/>
              <w:gridCol w:w="1120"/>
              <w:gridCol w:w="2100"/>
            </w:tblGrid>
            <w:tr w14:paraId="00ABF4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11" w:type="pct"/>
                  <w:vAlign w:val="center"/>
                </w:tcPr>
                <w:p w14:paraId="43ECD474">
                  <w:pPr>
                    <w:jc w:val="center"/>
                    <w:rPr>
                      <w:rStyle w:val="30"/>
                      <w:rFonts w:hint="default" w:ascii="Times New Roman" w:hAnsi="Times New Roman" w:cs="Times New Roman"/>
                      <w:color w:val="auto"/>
                      <w:szCs w:val="21"/>
                      <w:highlight w:val="none"/>
                    </w:rPr>
                  </w:pPr>
                  <w:r>
                    <w:rPr>
                      <w:rStyle w:val="30"/>
                      <w:rFonts w:hint="default" w:ascii="Times New Roman" w:hAnsi="Times New Roman" w:cs="Times New Roman"/>
                      <w:color w:val="auto"/>
                      <w:szCs w:val="21"/>
                      <w:highlight w:val="none"/>
                    </w:rPr>
                    <w:t>序号</w:t>
                  </w:r>
                </w:p>
              </w:tc>
              <w:tc>
                <w:tcPr>
                  <w:tcW w:w="2445" w:type="pct"/>
                  <w:vAlign w:val="center"/>
                </w:tcPr>
                <w:p w14:paraId="766E3CF0">
                  <w:pPr>
                    <w:jc w:val="center"/>
                    <w:rPr>
                      <w:rStyle w:val="30"/>
                      <w:rFonts w:hint="default" w:ascii="Times New Roman" w:hAnsi="Times New Roman" w:cs="Times New Roman"/>
                      <w:color w:val="auto"/>
                      <w:szCs w:val="21"/>
                      <w:highlight w:val="none"/>
                    </w:rPr>
                  </w:pPr>
                  <w:r>
                    <w:rPr>
                      <w:rStyle w:val="30"/>
                      <w:rFonts w:hint="default" w:ascii="Times New Roman" w:hAnsi="Times New Roman" w:cs="Times New Roman"/>
                      <w:color w:val="auto"/>
                      <w:szCs w:val="21"/>
                      <w:highlight w:val="none"/>
                    </w:rPr>
                    <w:t>名称</w:t>
                  </w:r>
                </w:p>
              </w:tc>
              <w:tc>
                <w:tcPr>
                  <w:tcW w:w="641" w:type="pct"/>
                  <w:vAlign w:val="center"/>
                </w:tcPr>
                <w:p w14:paraId="508F73A5">
                  <w:pPr>
                    <w:jc w:val="center"/>
                    <w:rPr>
                      <w:rStyle w:val="30"/>
                      <w:rFonts w:hint="default" w:ascii="Times New Roman" w:hAnsi="Times New Roman" w:cs="Times New Roman"/>
                      <w:color w:val="auto"/>
                      <w:szCs w:val="21"/>
                      <w:highlight w:val="none"/>
                    </w:rPr>
                  </w:pPr>
                  <w:r>
                    <w:rPr>
                      <w:rStyle w:val="30"/>
                      <w:rFonts w:hint="default" w:ascii="Times New Roman" w:hAnsi="Times New Roman" w:cs="Times New Roman"/>
                      <w:color w:val="auto"/>
                      <w:szCs w:val="21"/>
                      <w:highlight w:val="none"/>
                    </w:rPr>
                    <w:t>数量</w:t>
                  </w:r>
                </w:p>
              </w:tc>
              <w:tc>
                <w:tcPr>
                  <w:tcW w:w="1202" w:type="pct"/>
                  <w:vAlign w:val="center"/>
                </w:tcPr>
                <w:p w14:paraId="6A444A60">
                  <w:pPr>
                    <w:jc w:val="center"/>
                    <w:rPr>
                      <w:rStyle w:val="30"/>
                      <w:rFonts w:hint="default" w:ascii="Times New Roman" w:hAnsi="Times New Roman" w:cs="Times New Roman"/>
                      <w:color w:val="auto"/>
                      <w:szCs w:val="21"/>
                      <w:highlight w:val="none"/>
                    </w:rPr>
                  </w:pPr>
                  <w:r>
                    <w:rPr>
                      <w:rStyle w:val="30"/>
                      <w:rFonts w:hint="default" w:ascii="Times New Roman" w:hAnsi="Times New Roman" w:cs="Times New Roman"/>
                      <w:color w:val="auto"/>
                      <w:szCs w:val="21"/>
                      <w:highlight w:val="none"/>
                      <w:lang w:val="en-US"/>
                    </w:rPr>
                    <w:t>备注</w:t>
                  </w:r>
                </w:p>
              </w:tc>
            </w:tr>
            <w:tr w14:paraId="3D321A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3" w:hRule="atLeast"/>
                <w:jc w:val="center"/>
              </w:trPr>
              <w:tc>
                <w:tcPr>
                  <w:tcW w:w="711" w:type="pct"/>
                  <w:vAlign w:val="center"/>
                </w:tcPr>
                <w:p w14:paraId="1FF5185A">
                  <w:pPr>
                    <w:jc w:val="center"/>
                    <w:rPr>
                      <w:rStyle w:val="30"/>
                      <w:rFonts w:hint="default" w:ascii="Times New Roman" w:hAnsi="Times New Roman" w:cs="Times New Roman"/>
                      <w:color w:val="auto"/>
                      <w:szCs w:val="21"/>
                      <w:highlight w:val="none"/>
                    </w:rPr>
                  </w:pPr>
                  <w:r>
                    <w:rPr>
                      <w:rStyle w:val="30"/>
                      <w:rFonts w:hint="default" w:ascii="Times New Roman" w:hAnsi="Times New Roman" w:cs="Times New Roman"/>
                      <w:color w:val="auto"/>
                      <w:szCs w:val="21"/>
                      <w:highlight w:val="none"/>
                    </w:rPr>
                    <w:t>1</w:t>
                  </w:r>
                </w:p>
              </w:tc>
              <w:tc>
                <w:tcPr>
                  <w:tcW w:w="2445" w:type="pct"/>
                  <w:vAlign w:val="center"/>
                </w:tcPr>
                <w:p w14:paraId="7A9B8AE7">
                  <w:pPr>
                    <w:jc w:val="center"/>
                    <w:rPr>
                      <w:rStyle w:val="30"/>
                      <w:rFonts w:hint="default" w:ascii="Times New Roman" w:hAnsi="Times New Roman" w:cs="Times New Roman"/>
                      <w:color w:val="auto"/>
                      <w:szCs w:val="21"/>
                      <w:highlight w:val="none"/>
                    </w:rPr>
                  </w:pPr>
                  <w:r>
                    <w:rPr>
                      <w:rStyle w:val="30"/>
                      <w:rFonts w:hint="eastAsia" w:cs="Times New Roman"/>
                      <w:color w:val="auto"/>
                      <w:szCs w:val="21"/>
                      <w:highlight w:val="none"/>
                      <w:lang w:val="en-US"/>
                    </w:rPr>
                    <w:t>铲车</w:t>
                  </w:r>
                </w:p>
              </w:tc>
              <w:tc>
                <w:tcPr>
                  <w:tcW w:w="641" w:type="pct"/>
                  <w:vAlign w:val="center"/>
                </w:tcPr>
                <w:p w14:paraId="028EAC10">
                  <w:pPr>
                    <w:jc w:val="center"/>
                    <w:rPr>
                      <w:rStyle w:val="30"/>
                      <w:rFonts w:hint="default" w:ascii="Times New Roman" w:hAnsi="Times New Roman" w:cs="Times New Roman"/>
                      <w:color w:val="auto"/>
                      <w:szCs w:val="21"/>
                      <w:highlight w:val="none"/>
                      <w:lang w:val="en-US"/>
                    </w:rPr>
                  </w:pPr>
                  <w:r>
                    <w:rPr>
                      <w:rStyle w:val="30"/>
                      <w:rFonts w:hint="eastAsia" w:cs="Times New Roman"/>
                      <w:color w:val="auto"/>
                      <w:szCs w:val="21"/>
                      <w:highlight w:val="none"/>
                      <w:lang w:val="en-US"/>
                    </w:rPr>
                    <w:t>1台</w:t>
                  </w:r>
                </w:p>
              </w:tc>
              <w:tc>
                <w:tcPr>
                  <w:tcW w:w="1202" w:type="pct"/>
                  <w:vAlign w:val="center"/>
                </w:tcPr>
                <w:p w14:paraId="7BC92CA0">
                  <w:pPr>
                    <w:jc w:val="center"/>
                    <w:rPr>
                      <w:rStyle w:val="30"/>
                      <w:rFonts w:hint="default" w:ascii="Times New Roman" w:hAnsi="Times New Roman" w:cs="Times New Roman"/>
                      <w:color w:val="auto"/>
                      <w:szCs w:val="21"/>
                      <w:highlight w:val="none"/>
                      <w:lang w:val="en-US"/>
                    </w:rPr>
                  </w:pPr>
                  <w:r>
                    <w:rPr>
                      <w:rStyle w:val="30"/>
                      <w:rFonts w:hint="default" w:ascii="Times New Roman" w:hAnsi="Times New Roman" w:cs="Times New Roman"/>
                      <w:color w:val="auto"/>
                      <w:szCs w:val="21"/>
                      <w:highlight w:val="none"/>
                      <w:lang w:val="en-US"/>
                    </w:rPr>
                    <w:t>/</w:t>
                  </w:r>
                </w:p>
              </w:tc>
            </w:tr>
            <w:tr w14:paraId="56C7B3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11" w:type="pct"/>
                  <w:vAlign w:val="center"/>
                </w:tcPr>
                <w:p w14:paraId="5358A132">
                  <w:pPr>
                    <w:jc w:val="center"/>
                    <w:rPr>
                      <w:rStyle w:val="30"/>
                      <w:rFonts w:hint="default" w:ascii="Times New Roman" w:hAnsi="Times New Roman" w:cs="Times New Roman"/>
                      <w:color w:val="auto"/>
                      <w:szCs w:val="21"/>
                      <w:highlight w:val="none"/>
                    </w:rPr>
                  </w:pPr>
                  <w:r>
                    <w:rPr>
                      <w:rStyle w:val="30"/>
                      <w:rFonts w:hint="default" w:ascii="Times New Roman" w:hAnsi="Times New Roman" w:cs="Times New Roman"/>
                      <w:color w:val="auto"/>
                      <w:szCs w:val="21"/>
                      <w:highlight w:val="none"/>
                    </w:rPr>
                    <w:t>2</w:t>
                  </w:r>
                </w:p>
              </w:tc>
              <w:tc>
                <w:tcPr>
                  <w:tcW w:w="2445" w:type="pct"/>
                  <w:vAlign w:val="center"/>
                </w:tcPr>
                <w:p w14:paraId="7C7F120D">
                  <w:pPr>
                    <w:jc w:val="center"/>
                    <w:rPr>
                      <w:rStyle w:val="30"/>
                      <w:rFonts w:hint="default" w:ascii="Times New Roman" w:hAnsi="Times New Roman" w:cs="Times New Roman"/>
                      <w:color w:val="auto"/>
                      <w:szCs w:val="21"/>
                      <w:highlight w:val="none"/>
                    </w:rPr>
                  </w:pPr>
                  <w:r>
                    <w:rPr>
                      <w:rStyle w:val="30"/>
                      <w:rFonts w:hint="eastAsia" w:cs="Times New Roman"/>
                      <w:color w:val="auto"/>
                      <w:szCs w:val="21"/>
                      <w:highlight w:val="none"/>
                      <w:lang w:val="en-US"/>
                    </w:rPr>
                    <w:t>装载机</w:t>
                  </w:r>
                </w:p>
              </w:tc>
              <w:tc>
                <w:tcPr>
                  <w:tcW w:w="641" w:type="pct"/>
                  <w:vAlign w:val="center"/>
                </w:tcPr>
                <w:p w14:paraId="4E320E38">
                  <w:pPr>
                    <w:jc w:val="center"/>
                    <w:rPr>
                      <w:rStyle w:val="30"/>
                      <w:rFonts w:hint="default" w:ascii="Times New Roman" w:hAnsi="Times New Roman" w:cs="Times New Roman"/>
                      <w:color w:val="auto"/>
                      <w:szCs w:val="21"/>
                      <w:highlight w:val="none"/>
                    </w:rPr>
                  </w:pPr>
                  <w:r>
                    <w:rPr>
                      <w:rStyle w:val="30"/>
                      <w:rFonts w:hint="eastAsia" w:cs="Times New Roman"/>
                      <w:color w:val="auto"/>
                      <w:szCs w:val="21"/>
                      <w:highlight w:val="none"/>
                      <w:lang w:val="en-US"/>
                    </w:rPr>
                    <w:t>1</w:t>
                  </w:r>
                  <w:r>
                    <w:rPr>
                      <w:rStyle w:val="30"/>
                      <w:rFonts w:hint="default" w:ascii="Times New Roman" w:hAnsi="Times New Roman" w:cs="Times New Roman"/>
                      <w:color w:val="auto"/>
                      <w:szCs w:val="21"/>
                      <w:highlight w:val="none"/>
                    </w:rPr>
                    <w:t>台</w:t>
                  </w:r>
                </w:p>
              </w:tc>
              <w:tc>
                <w:tcPr>
                  <w:tcW w:w="1202" w:type="pct"/>
                  <w:vAlign w:val="center"/>
                </w:tcPr>
                <w:p w14:paraId="56788211">
                  <w:pPr>
                    <w:jc w:val="center"/>
                    <w:rPr>
                      <w:rStyle w:val="30"/>
                      <w:rFonts w:hint="default" w:ascii="Times New Roman" w:hAnsi="Times New Roman" w:cs="Times New Roman"/>
                      <w:color w:val="auto"/>
                      <w:szCs w:val="21"/>
                      <w:highlight w:val="none"/>
                      <w:lang w:val="en-US"/>
                    </w:rPr>
                  </w:pPr>
                  <w:r>
                    <w:rPr>
                      <w:rStyle w:val="30"/>
                      <w:rFonts w:hint="default" w:ascii="Times New Roman" w:hAnsi="Times New Roman" w:cs="Times New Roman"/>
                      <w:color w:val="auto"/>
                      <w:szCs w:val="21"/>
                      <w:highlight w:val="none"/>
                      <w:lang w:val="en-US"/>
                    </w:rPr>
                    <w:t>/</w:t>
                  </w:r>
                </w:p>
              </w:tc>
            </w:tr>
          </w:tbl>
          <w:p w14:paraId="0FD2A75B">
            <w:pPr>
              <w:adjustRightInd w:val="0"/>
              <w:spacing w:line="360" w:lineRule="auto"/>
              <w:rPr>
                <w:rFonts w:hint="default" w:ascii="Times New Roman" w:hAnsi="Times New Roman" w:eastAsia="仿宋_GB2312" w:cs="Times New Roman"/>
                <w:color w:val="auto"/>
                <w:sz w:val="28"/>
                <w:szCs w:val="28"/>
                <w:highlight w:val="none"/>
              </w:rPr>
            </w:pPr>
            <w:r>
              <w:rPr>
                <w:rFonts w:hint="eastAsia" w:cs="Times New Roman"/>
                <w:b/>
                <w:bCs/>
                <w:color w:val="auto"/>
                <w:sz w:val="24"/>
                <w:highlight w:val="none"/>
                <w:lang w:val="en-US" w:eastAsia="zh-CN"/>
              </w:rPr>
              <w:t>3</w:t>
            </w:r>
            <w:r>
              <w:rPr>
                <w:rFonts w:hint="default" w:ascii="Times New Roman" w:hAnsi="Times New Roman" w:cs="Times New Roman"/>
                <w:b/>
                <w:bCs/>
                <w:color w:val="auto"/>
                <w:sz w:val="24"/>
                <w:highlight w:val="none"/>
              </w:rPr>
              <w:t>、工作制度及劳动定员</w:t>
            </w:r>
          </w:p>
          <w:p w14:paraId="394AE36D">
            <w:pPr>
              <w:tabs>
                <w:tab w:val="left" w:pos="630"/>
              </w:tabs>
              <w:spacing w:line="360" w:lineRule="auto"/>
              <w:ind w:firstLine="480" w:firstLineChars="200"/>
              <w:rPr>
                <w:rFonts w:hint="default" w:ascii="Times New Roman" w:hAnsi="Times New Roman" w:cs="Times New Roman"/>
                <w:snapToGrid w:val="0"/>
                <w:color w:val="auto"/>
                <w:kern w:val="0"/>
                <w:sz w:val="24"/>
                <w:highlight w:val="none"/>
              </w:rPr>
            </w:pPr>
            <w:r>
              <w:rPr>
                <w:rFonts w:hint="default" w:ascii="Times New Roman" w:hAnsi="Times New Roman" w:eastAsia="宋体" w:cs="Times New Roman"/>
                <w:color w:val="auto"/>
                <w:sz w:val="24"/>
                <w:highlight w:val="none"/>
              </w:rPr>
              <w:t>本项目年工作</w:t>
            </w:r>
            <w:r>
              <w:rPr>
                <w:rFonts w:hint="default" w:ascii="Times New Roman" w:hAnsi="Times New Roman" w:eastAsia="宋体" w:cs="Times New Roman"/>
                <w:color w:val="auto"/>
                <w:sz w:val="24"/>
                <w:highlight w:val="none"/>
                <w:lang w:val="en-US" w:eastAsia="zh-CN"/>
              </w:rPr>
              <w:t>3</w:t>
            </w:r>
            <w:r>
              <w:rPr>
                <w:rFonts w:hint="eastAsia" w:cs="Times New Roman"/>
                <w:color w:val="auto"/>
                <w:sz w:val="24"/>
                <w:highlight w:val="none"/>
                <w:lang w:val="en-US" w:eastAsia="zh-CN"/>
              </w:rPr>
              <w:t>0</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rPr>
              <w:t>天，</w:t>
            </w:r>
            <w:r>
              <w:rPr>
                <w:rFonts w:hint="eastAsia" w:ascii="Times New Roman" w:hAnsi="Times New Roman" w:eastAsia="宋体" w:cs="Times New Roman"/>
                <w:color w:val="auto"/>
                <w:sz w:val="24"/>
                <w:highlight w:val="none"/>
                <w:lang w:val="en-US" w:eastAsia="zh-CN"/>
              </w:rPr>
              <w:t>分两班轮换</w:t>
            </w:r>
            <w:r>
              <w:rPr>
                <w:rFonts w:hint="eastAsia" w:cs="Times New Roman"/>
                <w:color w:val="auto"/>
                <w:sz w:val="24"/>
                <w:highlight w:val="none"/>
                <w:lang w:val="en-US" w:eastAsia="zh-CN"/>
              </w:rPr>
              <w:t>作业，每班日工作8小时</w:t>
            </w:r>
            <w:r>
              <w:rPr>
                <w:rFonts w:hint="default" w:ascii="Times New Roman" w:hAnsi="Times New Roman" w:eastAsia="宋体" w:cs="Times New Roman"/>
                <w:color w:val="auto"/>
                <w:sz w:val="24"/>
                <w:highlight w:val="none"/>
              </w:rPr>
              <w:t>，</w:t>
            </w:r>
            <w:r>
              <w:rPr>
                <w:rFonts w:hint="eastAsia" w:cs="Times New Roman"/>
                <w:color w:val="auto"/>
                <w:sz w:val="24"/>
                <w:highlight w:val="none"/>
                <w:lang w:val="en-US" w:eastAsia="zh-CN"/>
              </w:rPr>
              <w:t>储煤场</w:t>
            </w:r>
            <w:r>
              <w:rPr>
                <w:rFonts w:hint="eastAsia" w:ascii="Times New Roman" w:hAnsi="Times New Roman" w:eastAsia="宋体" w:cs="Times New Roman"/>
                <w:color w:val="auto"/>
                <w:sz w:val="24"/>
                <w:highlight w:val="none"/>
                <w:lang w:val="en-US" w:eastAsia="zh-CN"/>
              </w:rPr>
              <w:t>劳动定员</w:t>
            </w:r>
            <w:r>
              <w:rPr>
                <w:rFonts w:hint="eastAsia" w:cs="Times New Roman"/>
                <w:color w:val="auto"/>
                <w:sz w:val="24"/>
                <w:highlight w:val="none"/>
                <w:lang w:val="en-US" w:eastAsia="zh-CN"/>
              </w:rPr>
              <w:t>2</w:t>
            </w:r>
            <w:r>
              <w:rPr>
                <w:rFonts w:hint="eastAsia" w:ascii="Times New Roman" w:hAnsi="Times New Roman" w:eastAsia="宋体" w:cs="Times New Roman"/>
                <w:color w:val="auto"/>
                <w:sz w:val="24"/>
                <w:highlight w:val="none"/>
                <w:lang w:val="en-US" w:eastAsia="zh-CN"/>
              </w:rPr>
              <w:t>人，</w:t>
            </w:r>
            <w:r>
              <w:rPr>
                <w:rFonts w:hint="default" w:ascii="Times New Roman" w:hAnsi="Times New Roman" w:eastAsia="宋体" w:cs="Times New Roman"/>
                <w:color w:val="auto"/>
                <w:sz w:val="24"/>
                <w:highlight w:val="none"/>
                <w:lang w:val="en-US" w:eastAsia="zh-CN"/>
              </w:rPr>
              <w:t>项目</w:t>
            </w:r>
            <w:r>
              <w:rPr>
                <w:rFonts w:hint="default" w:ascii="Times New Roman" w:hAnsi="Times New Roman" w:eastAsia="宋体" w:cs="Times New Roman"/>
                <w:color w:val="auto"/>
                <w:sz w:val="24"/>
                <w:highlight w:val="none"/>
              </w:rPr>
              <w:t>不</w:t>
            </w:r>
            <w:r>
              <w:rPr>
                <w:rFonts w:hint="default" w:ascii="Times New Roman" w:hAnsi="Times New Roman" w:eastAsia="宋体" w:cs="Times New Roman"/>
                <w:color w:val="auto"/>
                <w:sz w:val="24"/>
                <w:highlight w:val="none"/>
                <w:lang w:val="en-US" w:eastAsia="zh-CN"/>
              </w:rPr>
              <w:t>设置</w:t>
            </w:r>
            <w:r>
              <w:rPr>
                <w:rFonts w:hint="default" w:ascii="Times New Roman" w:hAnsi="Times New Roman" w:eastAsia="宋体" w:cs="Times New Roman"/>
                <w:color w:val="auto"/>
                <w:sz w:val="24"/>
                <w:highlight w:val="none"/>
              </w:rPr>
              <w:t>食堂和宿舍</w:t>
            </w:r>
            <w:r>
              <w:rPr>
                <w:rFonts w:hint="default" w:ascii="Times New Roman" w:hAnsi="Times New Roman" w:cs="Times New Roman"/>
                <w:snapToGrid w:val="0"/>
                <w:color w:val="auto"/>
                <w:kern w:val="0"/>
                <w:sz w:val="24"/>
                <w:highlight w:val="none"/>
              </w:rPr>
              <w:t>。</w:t>
            </w:r>
          </w:p>
          <w:p w14:paraId="76123F48">
            <w:pPr>
              <w:pStyle w:val="15"/>
              <w:widowControl w:val="0"/>
              <w:snapToGrid/>
              <w:spacing w:before="0" w:after="0" w:line="360" w:lineRule="auto"/>
              <w:ind w:right="0" w:firstLine="0" w:firstLineChars="0"/>
              <w:rPr>
                <w:rFonts w:hint="default" w:ascii="Times New Roman" w:hAnsi="Times New Roman" w:cs="Times New Roman"/>
                <w:color w:val="auto"/>
                <w:sz w:val="24"/>
                <w:szCs w:val="24"/>
                <w:highlight w:val="none"/>
              </w:rPr>
            </w:pPr>
            <w:r>
              <w:rPr>
                <w:rFonts w:hint="eastAsia"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rPr>
              <w:t>、公用工程</w:t>
            </w:r>
            <w:r>
              <w:rPr>
                <w:rFonts w:hint="default" w:ascii="Times New Roman" w:hAnsi="Times New Roman" w:cs="Times New Roman"/>
                <w:color w:val="auto"/>
                <w:sz w:val="24"/>
                <w:szCs w:val="24"/>
                <w:highlight w:val="none"/>
              </w:rPr>
              <w:t xml:space="preserve">  </w:t>
            </w:r>
          </w:p>
          <w:p w14:paraId="00540874">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给水系统</w:t>
            </w:r>
          </w:p>
          <w:p w14:paraId="33879241">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本项目用水包括生活用水、</w:t>
            </w:r>
            <w:r>
              <w:rPr>
                <w:rFonts w:hint="eastAsia" w:ascii="Times New Roman" w:hAnsi="Times New Roman" w:eastAsia="宋体" w:cs="Times New Roman"/>
                <w:color w:val="auto"/>
                <w:sz w:val="24"/>
                <w:highlight w:val="none"/>
                <w:lang w:val="en-US" w:eastAsia="zh-CN"/>
              </w:rPr>
              <w:t>堆存及道路</w:t>
            </w:r>
            <w:r>
              <w:rPr>
                <w:rFonts w:hint="default" w:ascii="Times New Roman" w:hAnsi="Times New Roman" w:eastAsia="宋体" w:cs="Times New Roman"/>
                <w:color w:val="auto"/>
                <w:sz w:val="24"/>
                <w:highlight w:val="none"/>
              </w:rPr>
              <w:t>洒水等。</w:t>
            </w:r>
          </w:p>
          <w:p w14:paraId="3FDA8BFA">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生活用水：</w:t>
            </w:r>
            <w:r>
              <w:rPr>
                <w:rFonts w:hint="eastAsia" w:cs="Times New Roman"/>
                <w:color w:val="auto"/>
                <w:sz w:val="24"/>
                <w:highlight w:val="none"/>
                <w:lang w:val="en-US" w:eastAsia="zh-CN"/>
              </w:rPr>
              <w:t>本项目生活用水为外购桶装水，项目劳动定员2人，</w:t>
            </w:r>
            <w:r>
              <w:rPr>
                <w:rFonts w:hint="eastAsia" w:ascii="Times New Roman" w:hAnsi="Times New Roman" w:eastAsia="宋体" w:cs="Times New Roman"/>
                <w:bCs/>
                <w:color w:val="auto"/>
                <w:sz w:val="24"/>
                <w:highlight w:val="none"/>
              </w:rPr>
              <w:t>根据《黑龙江省地方标准用水定额》（BD23/T727-2021），员工用水量为80（L/人·d），生活用水量</w:t>
            </w:r>
            <w:r>
              <w:rPr>
                <w:rFonts w:hint="eastAsia" w:ascii="Times New Roman" w:hAnsi="Times New Roman" w:eastAsia="宋体" w:cs="Times New Roman"/>
                <w:bCs/>
                <w:color w:val="auto"/>
                <w:sz w:val="24"/>
                <w:highlight w:val="none"/>
                <w:lang w:val="en-US" w:eastAsia="zh-CN"/>
              </w:rPr>
              <w:t>0.</w:t>
            </w:r>
            <w:r>
              <w:rPr>
                <w:rFonts w:hint="eastAsia" w:cs="Times New Roman"/>
                <w:bCs/>
                <w:color w:val="auto"/>
                <w:sz w:val="24"/>
                <w:highlight w:val="none"/>
                <w:lang w:val="en-US" w:eastAsia="zh-CN"/>
              </w:rPr>
              <w:t>16</w:t>
            </w:r>
            <w:r>
              <w:rPr>
                <w:rFonts w:hint="eastAsia" w:ascii="Times New Roman" w:hAnsi="Times New Roman" w:eastAsia="宋体" w:cs="Times New Roman"/>
                <w:bCs/>
                <w:color w:val="auto"/>
                <w:sz w:val="24"/>
                <w:highlight w:val="none"/>
              </w:rPr>
              <w:t>t/d，</w:t>
            </w:r>
            <w:r>
              <w:rPr>
                <w:rFonts w:hint="eastAsia" w:cs="Times New Roman"/>
                <w:bCs/>
                <w:color w:val="auto"/>
                <w:sz w:val="24"/>
                <w:highlight w:val="none"/>
                <w:lang w:val="en-US" w:eastAsia="zh-CN"/>
              </w:rPr>
              <w:t>48</w:t>
            </w:r>
            <w:r>
              <w:rPr>
                <w:rFonts w:hint="eastAsia" w:ascii="Times New Roman" w:hAnsi="Times New Roman" w:eastAsia="宋体" w:cs="Times New Roman"/>
                <w:bCs/>
                <w:color w:val="auto"/>
                <w:sz w:val="24"/>
                <w:highlight w:val="none"/>
              </w:rPr>
              <w:t>t/a，产生的生活污水排入防渗旱厕，定期清掏，外运堆肥</w:t>
            </w:r>
            <w:r>
              <w:rPr>
                <w:rFonts w:hint="default" w:ascii="Times New Roman" w:hAnsi="Times New Roman" w:eastAsia="宋体" w:cs="Times New Roman"/>
                <w:color w:val="auto"/>
                <w:sz w:val="24"/>
                <w:highlight w:val="none"/>
              </w:rPr>
              <w:t>。</w:t>
            </w:r>
          </w:p>
          <w:p w14:paraId="471326A0">
            <w:pPr>
              <w:tabs>
                <w:tab w:val="left" w:pos="630"/>
              </w:tabs>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堆场及道路洒水</w:t>
            </w:r>
            <w:r>
              <w:rPr>
                <w:rFonts w:hint="default" w:ascii="Times New Roman" w:hAnsi="Times New Roman" w:eastAsia="宋体" w:cs="Times New Roman"/>
                <w:color w:val="auto"/>
                <w:sz w:val="24"/>
                <w:highlight w:val="none"/>
              </w:rPr>
              <w:t>：</w:t>
            </w:r>
            <w:r>
              <w:rPr>
                <w:rFonts w:hint="eastAsia" w:cs="Times New Roman"/>
                <w:color w:val="auto"/>
                <w:sz w:val="24"/>
                <w:highlight w:val="none"/>
                <w:lang w:val="en-US" w:eastAsia="zh-CN"/>
              </w:rPr>
              <w:t>煤炭堆场面积1850m</w:t>
            </w:r>
            <w:r>
              <w:rPr>
                <w:rFonts w:hint="eastAsia" w:cs="Times New Roman"/>
                <w:color w:val="auto"/>
                <w:sz w:val="24"/>
                <w:highlight w:val="none"/>
                <w:vertAlign w:val="superscript"/>
                <w:lang w:val="en-US" w:eastAsia="zh-CN"/>
              </w:rPr>
              <w:t>2</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根据《煤炭洗选工程设计规范》（GB50359-2016）中道路浇洒用水，用水定额为2.0</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3.0L/（m</w:t>
            </w:r>
            <w:r>
              <w:rPr>
                <w:rFonts w:hint="eastAsia" w:ascii="Times New Roman" w:hAnsi="Times New Roman" w:eastAsia="宋体" w:cs="Times New Roman"/>
                <w:color w:val="auto"/>
                <w:sz w:val="24"/>
                <w:highlight w:val="none"/>
                <w:vertAlign w:val="superscript"/>
                <w:lang w:val="en-US" w:eastAsia="zh-CN"/>
              </w:rPr>
              <w:t>2</w:t>
            </w:r>
            <w:r>
              <w:rPr>
                <w:rFonts w:hint="eastAsia" w:ascii="Times New Roman" w:hAnsi="Times New Roman" w:eastAsia="宋体" w:cs="Times New Roman"/>
                <w:color w:val="auto"/>
                <w:sz w:val="24"/>
                <w:highlight w:val="none"/>
                <w:lang w:val="en-US" w:eastAsia="zh-CN"/>
              </w:rPr>
              <w:t>·d），本项目取2.0L/（m</w:t>
            </w:r>
            <w:r>
              <w:rPr>
                <w:rFonts w:hint="eastAsia" w:ascii="Times New Roman" w:hAnsi="Times New Roman" w:eastAsia="宋体" w:cs="Times New Roman"/>
                <w:color w:val="auto"/>
                <w:sz w:val="24"/>
                <w:highlight w:val="none"/>
                <w:vertAlign w:val="superscript"/>
                <w:lang w:val="en-US" w:eastAsia="zh-CN"/>
              </w:rPr>
              <w:t>2</w:t>
            </w:r>
            <w:r>
              <w:rPr>
                <w:rFonts w:hint="eastAsia" w:ascii="Times New Roman" w:hAnsi="Times New Roman" w:eastAsia="宋体" w:cs="Times New Roman"/>
                <w:color w:val="auto"/>
                <w:sz w:val="24"/>
                <w:highlight w:val="none"/>
                <w:lang w:val="en-US" w:eastAsia="zh-CN"/>
              </w:rPr>
              <w:t>·d），堆场及道路洒水量为</w:t>
            </w:r>
            <w:r>
              <w:rPr>
                <w:rFonts w:hint="eastAsia" w:cs="Times New Roman"/>
                <w:color w:val="auto"/>
                <w:sz w:val="24"/>
                <w:highlight w:val="none"/>
                <w:lang w:val="en-US" w:eastAsia="zh-CN"/>
              </w:rPr>
              <w:t>3.7</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/d、</w:t>
            </w:r>
            <w:r>
              <w:rPr>
                <w:rFonts w:hint="eastAsia" w:cs="Times New Roman"/>
                <w:color w:val="auto"/>
                <w:sz w:val="24"/>
                <w:highlight w:val="none"/>
                <w:lang w:val="en-US" w:eastAsia="zh-CN"/>
              </w:rPr>
              <w:t>666</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/a（全年洒水以18</w:t>
            </w:r>
            <w:r>
              <w:rPr>
                <w:rFonts w:hint="eastAsia" w:cs="Times New Roman"/>
                <w:color w:val="auto"/>
                <w:sz w:val="24"/>
                <w:highlight w:val="none"/>
                <w:lang w:val="en-US" w:eastAsia="zh-CN"/>
              </w:rPr>
              <w:t>0</w:t>
            </w:r>
            <w:r>
              <w:rPr>
                <w:rFonts w:hint="eastAsia" w:ascii="Times New Roman" w:hAnsi="Times New Roman" w:eastAsia="宋体" w:cs="Times New Roman"/>
                <w:color w:val="auto"/>
                <w:sz w:val="24"/>
                <w:highlight w:val="none"/>
                <w:lang w:val="en-US" w:eastAsia="zh-CN"/>
              </w:rPr>
              <w:t>天计）</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堆场及道路洒水</w:t>
            </w:r>
            <w:r>
              <w:rPr>
                <w:rFonts w:hint="eastAsia" w:cs="Times New Roman"/>
                <w:color w:val="auto"/>
                <w:sz w:val="24"/>
                <w:highlight w:val="none"/>
                <w:lang w:val="en-US" w:eastAsia="zh-CN"/>
              </w:rPr>
              <w:t>来源为沉淀后回用的雨水3.45</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/d、</w:t>
            </w:r>
            <w:r>
              <w:rPr>
                <w:rFonts w:hint="eastAsia" w:cs="Times New Roman"/>
                <w:color w:val="auto"/>
                <w:sz w:val="24"/>
                <w:highlight w:val="none"/>
                <w:lang w:val="en-US" w:eastAsia="zh-CN"/>
              </w:rPr>
              <w:t>620.49</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/a</w:t>
            </w:r>
            <w:r>
              <w:rPr>
                <w:rFonts w:hint="eastAsia" w:cs="Times New Roman"/>
                <w:color w:val="auto"/>
                <w:sz w:val="24"/>
                <w:highlight w:val="none"/>
                <w:lang w:val="en-US" w:eastAsia="zh-CN"/>
              </w:rPr>
              <w:t>，其余部分外购0.035</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/d、</w:t>
            </w:r>
            <w:r>
              <w:rPr>
                <w:rFonts w:hint="eastAsia" w:cs="Times New Roman"/>
                <w:color w:val="auto"/>
                <w:sz w:val="24"/>
                <w:highlight w:val="none"/>
                <w:lang w:val="en-US" w:eastAsia="zh-CN"/>
              </w:rPr>
              <w:t>6.27</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/a</w:t>
            </w:r>
          </w:p>
          <w:p w14:paraId="71A0F013">
            <w:pPr>
              <w:tabs>
                <w:tab w:val="left" w:pos="630"/>
              </w:tabs>
              <w:spacing w:line="360" w:lineRule="auto"/>
              <w:ind w:firstLine="480" w:firstLineChars="200"/>
              <w:rPr>
                <w:color w:val="auto"/>
                <w:sz w:val="24"/>
              </w:rPr>
            </w:pPr>
            <w:r>
              <w:rPr>
                <w:rFonts w:hint="eastAsia"/>
                <w:color w:val="auto"/>
                <w:sz w:val="24"/>
              </w:rPr>
              <w:t>径流雨水：年均径流雨水量计算公式如下：</w:t>
            </w:r>
          </w:p>
          <w:p w14:paraId="731D3B08">
            <w:pPr>
              <w:spacing w:line="360" w:lineRule="auto"/>
              <w:jc w:val="center"/>
              <w:rPr>
                <w:color w:val="auto"/>
                <w:sz w:val="24"/>
              </w:rPr>
            </w:pPr>
            <w:r>
              <w:rPr>
                <w:color w:val="auto"/>
                <w:sz w:val="24"/>
              </w:rPr>
              <w:t>Q=α×H×F/1000</w:t>
            </w:r>
          </w:p>
          <w:p w14:paraId="40468062">
            <w:pPr>
              <w:spacing w:line="360" w:lineRule="auto"/>
              <w:ind w:firstLine="471"/>
              <w:rPr>
                <w:color w:val="auto"/>
                <w:sz w:val="24"/>
              </w:rPr>
            </w:pPr>
            <w:r>
              <w:rPr>
                <w:color w:val="auto"/>
                <w:sz w:val="24"/>
              </w:rPr>
              <w:t>式中：Q—</w:t>
            </w:r>
            <w:r>
              <w:rPr>
                <w:rFonts w:hint="eastAsia"/>
                <w:color w:val="auto"/>
                <w:sz w:val="24"/>
              </w:rPr>
              <w:t>场</w:t>
            </w:r>
            <w:r>
              <w:rPr>
                <w:color w:val="auto"/>
                <w:sz w:val="24"/>
              </w:rPr>
              <w:t>区径流水总量，m</w:t>
            </w:r>
            <w:r>
              <w:rPr>
                <w:color w:val="auto"/>
                <w:sz w:val="24"/>
                <w:vertAlign w:val="superscript"/>
              </w:rPr>
              <w:t>3</w:t>
            </w:r>
            <w:r>
              <w:rPr>
                <w:color w:val="auto"/>
                <w:sz w:val="24"/>
              </w:rPr>
              <w:t>/a；</w:t>
            </w:r>
          </w:p>
          <w:p w14:paraId="40C6115A">
            <w:pPr>
              <w:adjustRightInd w:val="0"/>
              <w:snapToGrid w:val="0"/>
              <w:spacing w:line="360" w:lineRule="auto"/>
              <w:ind w:firstLine="1200" w:firstLineChars="500"/>
              <w:rPr>
                <w:bCs/>
                <w:color w:val="auto"/>
                <w:sz w:val="24"/>
              </w:rPr>
            </w:pPr>
            <w:r>
              <w:rPr>
                <w:color w:val="auto"/>
                <w:sz w:val="24"/>
              </w:rPr>
              <w:t>α—径流系数，取值</w:t>
            </w:r>
            <w:r>
              <w:rPr>
                <w:rFonts w:hint="eastAsia"/>
                <w:color w:val="auto"/>
                <w:sz w:val="24"/>
              </w:rPr>
              <w:t>0.6</w:t>
            </w:r>
            <w:r>
              <w:rPr>
                <w:rFonts w:hint="eastAsia"/>
                <w:bCs/>
                <w:color w:val="auto"/>
                <w:sz w:val="24"/>
              </w:rPr>
              <w:t>（车辆进出口及主要通道使用水泥硬化，其余厂区地面简单硬化）；</w:t>
            </w:r>
          </w:p>
          <w:p w14:paraId="5C062731">
            <w:pPr>
              <w:spacing w:line="360" w:lineRule="auto"/>
              <w:ind w:firstLine="1200" w:firstLineChars="500"/>
              <w:rPr>
                <w:color w:val="auto"/>
                <w:sz w:val="24"/>
              </w:rPr>
            </w:pPr>
            <w:r>
              <w:rPr>
                <w:color w:val="auto"/>
                <w:sz w:val="24"/>
              </w:rPr>
              <w:t>H—当地多年平均降雨量，mm；</w:t>
            </w:r>
            <w:r>
              <w:rPr>
                <w:rFonts w:hint="eastAsia"/>
                <w:color w:val="auto"/>
                <w:sz w:val="24"/>
              </w:rPr>
              <w:t>鸡西市</w:t>
            </w:r>
            <w:r>
              <w:rPr>
                <w:color w:val="auto"/>
                <w:sz w:val="24"/>
              </w:rPr>
              <w:t>多年平均降雨量为5</w:t>
            </w:r>
            <w:r>
              <w:rPr>
                <w:rFonts w:hint="eastAsia"/>
                <w:color w:val="auto"/>
                <w:sz w:val="24"/>
              </w:rPr>
              <w:t>59</w:t>
            </w:r>
            <w:r>
              <w:rPr>
                <w:color w:val="auto"/>
                <w:sz w:val="24"/>
              </w:rPr>
              <w:t>mm</w:t>
            </w:r>
            <w:r>
              <w:rPr>
                <w:rFonts w:hint="eastAsia"/>
                <w:color w:val="auto"/>
                <w:sz w:val="24"/>
              </w:rPr>
              <w:t>；</w:t>
            </w:r>
          </w:p>
          <w:p w14:paraId="5DC65553">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color w:val="auto"/>
                <w:sz w:val="24"/>
              </w:rPr>
              <w:t>F—集水面积，m</w:t>
            </w:r>
            <w:r>
              <w:rPr>
                <w:color w:val="auto"/>
                <w:sz w:val="24"/>
                <w:vertAlign w:val="superscript"/>
              </w:rPr>
              <w:t>2</w:t>
            </w:r>
            <w:r>
              <w:rPr>
                <w:color w:val="auto"/>
                <w:sz w:val="24"/>
              </w:rPr>
              <w:t>，</w:t>
            </w:r>
            <w:r>
              <w:rPr>
                <w:rFonts w:hint="eastAsia"/>
                <w:color w:val="auto"/>
                <w:sz w:val="24"/>
              </w:rPr>
              <w:t>以堆场面积计</w:t>
            </w:r>
            <w:r>
              <w:rPr>
                <w:color w:val="auto"/>
                <w:sz w:val="24"/>
              </w:rPr>
              <w:t>取值</w:t>
            </w:r>
            <w:r>
              <w:rPr>
                <w:rFonts w:hint="eastAsia"/>
                <w:color w:val="auto"/>
                <w:sz w:val="24"/>
                <w:lang w:val="en-US" w:eastAsia="zh-CN"/>
              </w:rPr>
              <w:t>1850</w:t>
            </w:r>
            <w:r>
              <w:rPr>
                <w:rFonts w:ascii="Times New Roman" w:hAnsi="Times New Roman" w:eastAsia="宋体" w:cs="Times New Roman"/>
                <w:bCs/>
                <w:color w:val="auto"/>
                <w:sz w:val="24"/>
                <w:highlight w:val="none"/>
                <w:lang w:val="en-US" w:eastAsia="zh-CN"/>
              </w:rPr>
              <w:t>。</w:t>
            </w:r>
          </w:p>
          <w:p w14:paraId="0CB17A9C">
            <w:pPr>
              <w:tabs>
                <w:tab w:val="left" w:pos="630"/>
              </w:tabs>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color w:val="auto"/>
                <w:sz w:val="24"/>
              </w:rPr>
              <w:t>在</w:t>
            </w:r>
            <w:r>
              <w:rPr>
                <w:color w:val="auto"/>
                <w:sz w:val="24"/>
              </w:rPr>
              <w:t>由上式计算可知，储煤场年雨水量</w:t>
            </w:r>
            <w:r>
              <w:rPr>
                <w:rFonts w:hint="eastAsia"/>
                <w:color w:val="auto"/>
                <w:sz w:val="24"/>
                <w:lang w:val="en-US" w:eastAsia="zh-CN"/>
              </w:rPr>
              <w:t>620.49</w:t>
            </w:r>
            <w:r>
              <w:rPr>
                <w:color w:val="auto"/>
                <w:sz w:val="24"/>
              </w:rPr>
              <w:t>m</w:t>
            </w:r>
            <w:r>
              <w:rPr>
                <w:color w:val="auto"/>
                <w:sz w:val="24"/>
                <w:vertAlign w:val="superscript"/>
              </w:rPr>
              <w:t>3</w:t>
            </w:r>
            <w:r>
              <w:rPr>
                <w:color w:val="auto"/>
                <w:sz w:val="24"/>
              </w:rPr>
              <w:t>，鸡西市年均降雨天数为70</w:t>
            </w:r>
            <w:r>
              <w:rPr>
                <w:rFonts w:hint="eastAsia"/>
                <w:color w:val="auto"/>
                <w:sz w:val="24"/>
                <w:lang w:eastAsia="zh-CN"/>
              </w:rPr>
              <w:t>—</w:t>
            </w:r>
            <w:r>
              <w:rPr>
                <w:color w:val="auto"/>
                <w:sz w:val="24"/>
              </w:rPr>
              <w:t>80天，本项目保守估计取</w:t>
            </w:r>
            <w:r>
              <w:rPr>
                <w:rFonts w:hint="eastAsia"/>
                <w:color w:val="auto"/>
                <w:sz w:val="24"/>
              </w:rPr>
              <w:t>5</w:t>
            </w:r>
            <w:r>
              <w:rPr>
                <w:color w:val="auto"/>
                <w:sz w:val="24"/>
              </w:rPr>
              <w:t>0天，计算得单次雨水量为</w:t>
            </w:r>
            <w:r>
              <w:rPr>
                <w:rFonts w:hint="eastAsia"/>
                <w:color w:val="auto"/>
                <w:sz w:val="24"/>
                <w:lang w:val="en-US" w:eastAsia="zh-CN"/>
              </w:rPr>
              <w:t>12.41</w:t>
            </w:r>
            <w:r>
              <w:rPr>
                <w:color w:val="auto"/>
                <w:sz w:val="24"/>
              </w:rPr>
              <w:t>m</w:t>
            </w:r>
            <w:r>
              <w:rPr>
                <w:color w:val="auto"/>
                <w:sz w:val="24"/>
                <w:vertAlign w:val="superscript"/>
              </w:rPr>
              <w:t>3</w:t>
            </w:r>
          </w:p>
          <w:p w14:paraId="2BFC4A2B">
            <w:p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厂区汇集雨水主要来源为降水，即</w:t>
            </w:r>
            <w:r>
              <w:rPr>
                <w:rFonts w:hint="eastAsia" w:cs="Times New Roman"/>
                <w:bCs/>
                <w:color w:val="auto"/>
                <w:sz w:val="24"/>
                <w:highlight w:val="none"/>
                <w:lang w:val="en-US" w:eastAsia="zh-CN"/>
              </w:rPr>
              <w:t>径流雨水</w:t>
            </w:r>
            <w:r>
              <w:rPr>
                <w:rFonts w:hint="eastAsia" w:ascii="Times New Roman" w:hAnsi="Times New Roman" w:eastAsia="宋体" w:cs="Times New Roman"/>
                <w:bCs/>
                <w:color w:val="auto"/>
                <w:sz w:val="24"/>
                <w:highlight w:val="none"/>
                <w:lang w:val="en-US" w:eastAsia="zh-CN"/>
              </w:rPr>
              <w:t>。按照暴雨强度公式，进而推出雨水汇水量，暴雨强度根据软件计算：</w:t>
            </w:r>
          </w:p>
          <w:p w14:paraId="1A3AC988">
            <w:p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暴雨强度为171.46L/（s·ha）。</w:t>
            </w:r>
          </w:p>
          <w:p w14:paraId="1E9594D3">
            <w:p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雨水流量按下式计算，计算结果见下表：</w:t>
            </w:r>
          </w:p>
          <w:p w14:paraId="68E2CB66">
            <w:p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Q=q•ψ•F</w:t>
            </w:r>
            <w:r>
              <w:rPr>
                <w:rFonts w:hint="eastAsia" w:cs="Times New Roman"/>
                <w:bCs/>
                <w:color w:val="auto"/>
                <w:sz w:val="24"/>
                <w:highlight w:val="none"/>
                <w:lang w:val="en-US" w:eastAsia="zh-CN"/>
              </w:rPr>
              <w:t>;</w:t>
            </w:r>
          </w:p>
          <w:p w14:paraId="20523ED8">
            <w:p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Q─雨水设计流量（l/s）；</w:t>
            </w:r>
          </w:p>
          <w:p w14:paraId="7DB79130">
            <w:p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ψ─径流系数，取ψ=</w:t>
            </w:r>
            <w:r>
              <w:rPr>
                <w:rFonts w:hint="eastAsia" w:cs="Times New Roman"/>
                <w:bCs/>
                <w:color w:val="auto"/>
                <w:sz w:val="24"/>
                <w:highlight w:val="none"/>
                <w:lang w:val="en-US" w:eastAsia="zh-CN"/>
              </w:rPr>
              <w:t>0.45</w:t>
            </w:r>
            <w:r>
              <w:rPr>
                <w:rFonts w:hint="eastAsia" w:ascii="Times New Roman" w:hAnsi="Times New Roman" w:eastAsia="宋体" w:cs="Times New Roman"/>
                <w:bCs/>
                <w:color w:val="auto"/>
                <w:sz w:val="24"/>
                <w:highlight w:val="none"/>
                <w:lang w:val="en-US" w:eastAsia="zh-CN"/>
              </w:rPr>
              <w:t>；</w:t>
            </w:r>
          </w:p>
          <w:p w14:paraId="6A4F7B05">
            <w:p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F─汇水面积（ha）；</w:t>
            </w:r>
          </w:p>
          <w:p w14:paraId="5CF4CD52">
            <w:p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q—暴雨量，L/s•ha；</w:t>
            </w:r>
          </w:p>
          <w:p w14:paraId="2B7F0631">
            <w:p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V=Q×t/1000</w:t>
            </w:r>
          </w:p>
          <w:p w14:paraId="26FAF944">
            <w:p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V─</w:t>
            </w:r>
            <w:r>
              <w:rPr>
                <w:rFonts w:hint="eastAsia" w:cs="Times New Roman"/>
                <w:bCs/>
                <w:color w:val="auto"/>
                <w:sz w:val="24"/>
                <w:highlight w:val="none"/>
                <w:lang w:val="en-US" w:eastAsia="zh-CN"/>
              </w:rPr>
              <w:t>雨水收集池</w:t>
            </w:r>
            <w:r>
              <w:rPr>
                <w:rFonts w:hint="eastAsia" w:ascii="Times New Roman" w:hAnsi="Times New Roman" w:eastAsia="宋体" w:cs="Times New Roman"/>
                <w:bCs/>
                <w:color w:val="auto"/>
                <w:sz w:val="24"/>
                <w:highlight w:val="none"/>
                <w:lang w:val="en-US" w:eastAsia="zh-CN"/>
              </w:rPr>
              <w:t>容积（m</w:t>
            </w:r>
            <w:r>
              <w:rPr>
                <w:rFonts w:hint="eastAsia" w:ascii="Times New Roman" w:hAnsi="Times New Roman" w:eastAsia="宋体" w:cs="Times New Roman"/>
                <w:bCs/>
                <w:color w:val="auto"/>
                <w:sz w:val="24"/>
                <w:highlight w:val="none"/>
                <w:vertAlign w:val="superscript"/>
                <w:lang w:val="en-US" w:eastAsia="zh-CN"/>
              </w:rPr>
              <w:t>3</w:t>
            </w:r>
            <w:r>
              <w:rPr>
                <w:rFonts w:hint="eastAsia" w:ascii="Times New Roman" w:hAnsi="Times New Roman" w:eastAsia="宋体" w:cs="Times New Roman"/>
                <w:bCs/>
                <w:color w:val="auto"/>
                <w:sz w:val="24"/>
                <w:highlight w:val="none"/>
                <w:lang w:val="en-US" w:eastAsia="zh-CN"/>
              </w:rPr>
              <w:t>）；</w:t>
            </w:r>
          </w:p>
          <w:p w14:paraId="137D4110">
            <w:p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t─</w:t>
            </w:r>
            <w:r>
              <w:rPr>
                <w:rFonts w:hint="eastAsia" w:cs="Times New Roman"/>
                <w:bCs/>
                <w:color w:val="auto"/>
                <w:sz w:val="24"/>
                <w:highlight w:val="none"/>
                <w:lang w:val="en-US" w:eastAsia="zh-CN"/>
              </w:rPr>
              <w:t>径流雨水</w:t>
            </w:r>
            <w:r>
              <w:rPr>
                <w:rFonts w:hint="eastAsia" w:ascii="Times New Roman" w:hAnsi="Times New Roman" w:eastAsia="宋体" w:cs="Times New Roman"/>
                <w:bCs/>
                <w:color w:val="auto"/>
                <w:sz w:val="24"/>
                <w:highlight w:val="none"/>
                <w:lang w:val="en-US" w:eastAsia="zh-CN"/>
              </w:rPr>
              <w:t>时间，取</w:t>
            </w:r>
            <w:r>
              <w:rPr>
                <w:rFonts w:hint="eastAsia" w:cs="Times New Roman"/>
                <w:bCs/>
                <w:color w:val="auto"/>
                <w:sz w:val="24"/>
                <w:highlight w:val="none"/>
                <w:lang w:val="en-US" w:eastAsia="zh-CN"/>
              </w:rPr>
              <w:t>15</w:t>
            </w:r>
            <w:r>
              <w:rPr>
                <w:rFonts w:hint="eastAsia" w:ascii="Times New Roman" w:hAnsi="Times New Roman" w:eastAsia="宋体" w:cs="Times New Roman"/>
                <w:bCs/>
                <w:color w:val="auto"/>
                <w:sz w:val="24"/>
                <w:highlight w:val="none"/>
                <w:lang w:val="en-US" w:eastAsia="zh-CN"/>
              </w:rPr>
              <w:t>min；</w:t>
            </w:r>
          </w:p>
          <w:p w14:paraId="6D87CB64">
            <w:pPr>
              <w:numPr>
                <w:ilvl w:val="0"/>
                <w:numId w:val="0"/>
              </w:numPr>
              <w:spacing w:line="500" w:lineRule="exact"/>
              <w:ind w:firstLine="480" w:firstLineChars="200"/>
              <w:rPr>
                <w:rFonts w:hint="eastAsia"/>
                <w:color w:val="auto"/>
                <w:highlight w:val="none"/>
                <w:lang w:val="en-US" w:eastAsia="zh-CN"/>
              </w:rPr>
            </w:pPr>
            <w:r>
              <w:rPr>
                <w:rFonts w:hint="eastAsia"/>
                <w:color w:val="auto"/>
                <w:sz w:val="24"/>
              </w:rPr>
              <w:t>根据计算，</w:t>
            </w:r>
            <w:r>
              <w:rPr>
                <w:color w:val="auto"/>
                <w:sz w:val="24"/>
              </w:rPr>
              <w:t>最强降雨量条件下</w:t>
            </w:r>
            <w:r>
              <w:rPr>
                <w:rFonts w:hint="eastAsia"/>
                <w:color w:val="auto"/>
                <w:sz w:val="24"/>
              </w:rPr>
              <w:t>场区</w:t>
            </w:r>
            <w:r>
              <w:rPr>
                <w:color w:val="auto"/>
                <w:sz w:val="24"/>
              </w:rPr>
              <w:t>径流水量为</w:t>
            </w:r>
            <w:r>
              <w:rPr>
                <w:rFonts w:hint="eastAsia"/>
                <w:color w:val="auto"/>
                <w:sz w:val="24"/>
                <w:lang w:val="en-US" w:eastAsia="zh-CN"/>
              </w:rPr>
              <w:t>68.52</w:t>
            </w:r>
            <w:r>
              <w:rPr>
                <w:color w:val="auto"/>
                <w:sz w:val="24"/>
              </w:rPr>
              <w:t>m</w:t>
            </w:r>
            <w:r>
              <w:rPr>
                <w:color w:val="auto"/>
                <w:sz w:val="24"/>
                <w:vertAlign w:val="superscript"/>
              </w:rPr>
              <w:t>3</w:t>
            </w:r>
            <w:r>
              <w:rPr>
                <w:color w:val="auto"/>
                <w:sz w:val="24"/>
              </w:rPr>
              <w:t>/h，</w:t>
            </w:r>
            <w:r>
              <w:rPr>
                <w:rFonts w:hint="eastAsia"/>
                <w:bCs/>
                <w:color w:val="auto"/>
                <w:sz w:val="24"/>
              </w:rPr>
              <w:t>初期雨水</w:t>
            </w:r>
            <w:r>
              <w:rPr>
                <w:rFonts w:hint="eastAsia"/>
                <w:bCs/>
                <w:color w:val="auto"/>
                <w:sz w:val="24"/>
                <w:lang w:val="en-US" w:eastAsia="zh-CN"/>
              </w:rPr>
              <w:t>15</w:t>
            </w:r>
            <w:r>
              <w:rPr>
                <w:rFonts w:hint="eastAsia"/>
                <w:bCs/>
                <w:color w:val="auto"/>
                <w:sz w:val="24"/>
              </w:rPr>
              <w:t>min</w:t>
            </w:r>
            <w:r>
              <w:rPr>
                <w:rFonts w:hint="eastAsia"/>
                <w:bCs/>
                <w:color w:val="auto"/>
                <w:sz w:val="24"/>
                <w:lang w:val="en-US" w:eastAsia="zh-CN"/>
              </w:rPr>
              <w:t>汇水量17.13</w:t>
            </w:r>
            <w:r>
              <w:rPr>
                <w:color w:val="auto"/>
                <w:sz w:val="24"/>
              </w:rPr>
              <w:t>m</w:t>
            </w:r>
            <w:r>
              <w:rPr>
                <w:color w:val="auto"/>
                <w:sz w:val="24"/>
                <w:vertAlign w:val="superscript"/>
              </w:rPr>
              <w:t>3</w:t>
            </w:r>
            <w:r>
              <w:rPr>
                <w:rFonts w:hint="eastAsia"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根据厂区地势，雨水收集池建设在</w:t>
            </w:r>
            <w:r>
              <w:rPr>
                <w:rFonts w:hint="eastAsia" w:cs="Times New Roman"/>
                <w:bCs/>
                <w:color w:val="auto"/>
                <w:kern w:val="2"/>
                <w:sz w:val="24"/>
                <w:szCs w:val="24"/>
                <w:highlight w:val="none"/>
                <w:lang w:val="en-US" w:eastAsia="zh-CN" w:bidi="ar-SA"/>
              </w:rPr>
              <w:t>煤炭堆场</w:t>
            </w:r>
            <w:r>
              <w:rPr>
                <w:rFonts w:hint="eastAsia" w:ascii="Times New Roman" w:hAnsi="Times New Roman" w:eastAsia="宋体" w:cs="Times New Roman"/>
                <w:bCs/>
                <w:color w:val="auto"/>
                <w:kern w:val="2"/>
                <w:sz w:val="24"/>
                <w:szCs w:val="24"/>
                <w:highlight w:val="none"/>
                <w:lang w:val="en-US" w:eastAsia="zh-CN" w:bidi="ar-SA"/>
              </w:rPr>
              <w:t>地势较低的西</w:t>
            </w:r>
            <w:r>
              <w:rPr>
                <w:rFonts w:hint="eastAsia" w:cs="Times New Roman"/>
                <w:bCs/>
                <w:color w:val="auto"/>
                <w:kern w:val="2"/>
                <w:sz w:val="24"/>
                <w:szCs w:val="24"/>
                <w:highlight w:val="none"/>
                <w:lang w:val="en-US" w:eastAsia="zh-CN" w:bidi="ar-SA"/>
              </w:rPr>
              <w:t>南</w:t>
            </w:r>
            <w:r>
              <w:rPr>
                <w:rFonts w:hint="eastAsia" w:ascii="Times New Roman" w:hAnsi="Times New Roman" w:eastAsia="宋体" w:cs="Times New Roman"/>
                <w:bCs/>
                <w:color w:val="auto"/>
                <w:kern w:val="2"/>
                <w:sz w:val="24"/>
                <w:szCs w:val="24"/>
                <w:highlight w:val="none"/>
                <w:lang w:val="en-US" w:eastAsia="zh-CN" w:bidi="ar-SA"/>
              </w:rPr>
              <w:t>角，本项目设置雨水收集池容积为</w:t>
            </w:r>
            <w:r>
              <w:rPr>
                <w:rFonts w:hint="eastAsia" w:cs="Times New Roman"/>
                <w:bCs/>
                <w:color w:val="auto"/>
                <w:kern w:val="2"/>
                <w:sz w:val="24"/>
                <w:szCs w:val="24"/>
                <w:highlight w:val="none"/>
                <w:lang w:val="en-US" w:eastAsia="zh-CN" w:bidi="ar-SA"/>
              </w:rPr>
              <w:t>25</w:t>
            </w:r>
            <w:r>
              <w:rPr>
                <w:rFonts w:hint="eastAsia" w:ascii="Times New Roman" w:hAnsi="Times New Roman" w:eastAsia="宋体" w:cs="Times New Roman"/>
                <w:bCs/>
                <w:color w:val="auto"/>
                <w:kern w:val="2"/>
                <w:sz w:val="24"/>
                <w:szCs w:val="24"/>
                <w:highlight w:val="none"/>
                <w:lang w:val="en-US" w:eastAsia="zh-CN" w:bidi="ar-SA"/>
              </w:rPr>
              <w:t>m</w:t>
            </w:r>
            <w:r>
              <w:rPr>
                <w:rFonts w:hint="eastAsia" w:ascii="Times New Roman" w:hAnsi="Times New Roman" w:eastAsia="宋体" w:cs="Times New Roman"/>
                <w:bCs/>
                <w:color w:val="auto"/>
                <w:kern w:val="2"/>
                <w:sz w:val="24"/>
                <w:szCs w:val="24"/>
                <w:highlight w:val="none"/>
                <w:vertAlign w:val="superscript"/>
                <w:lang w:val="en-US" w:eastAsia="zh-CN" w:bidi="ar-SA"/>
              </w:rPr>
              <w:t>3</w:t>
            </w:r>
            <w:r>
              <w:rPr>
                <w:rFonts w:hint="eastAsia"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5m</w:t>
            </w:r>
            <w:r>
              <w:rPr>
                <w:rFonts w:hint="default" w:ascii="Arial" w:hAnsi="Arial" w:eastAsia="宋体" w:cs="Arial"/>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5</w:t>
            </w:r>
            <w:r>
              <w:rPr>
                <w:rFonts w:hint="eastAsia" w:ascii="Times New Roman" w:hAnsi="Times New Roman" w:eastAsia="宋体" w:cs="Times New Roman"/>
                <w:bCs/>
                <w:color w:val="auto"/>
                <w:kern w:val="2"/>
                <w:sz w:val="24"/>
                <w:szCs w:val="24"/>
                <w:highlight w:val="none"/>
                <w:lang w:val="en-US" w:eastAsia="zh-CN" w:bidi="ar-SA"/>
              </w:rPr>
              <w:t>m</w:t>
            </w:r>
            <w:r>
              <w:rPr>
                <w:rFonts w:hint="default" w:ascii="Times New Roman" w:hAnsi="Times New Roman" w:eastAsia="宋体" w:cs="Times New Roman"/>
                <w:bCs/>
                <w:color w:val="auto"/>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1</w:t>
            </w:r>
            <w:r>
              <w:rPr>
                <w:rFonts w:hint="eastAsia" w:ascii="Times New Roman" w:hAnsi="Times New Roman" w:eastAsia="宋体" w:cs="Times New Roman"/>
                <w:bCs/>
                <w:color w:val="auto"/>
                <w:kern w:val="2"/>
                <w:sz w:val="24"/>
                <w:szCs w:val="24"/>
                <w:highlight w:val="none"/>
                <w:lang w:val="en-US" w:eastAsia="zh-CN" w:bidi="ar-SA"/>
              </w:rPr>
              <w:t>m）</w:t>
            </w:r>
            <w:r>
              <w:rPr>
                <w:rFonts w:hint="eastAsia" w:cs="Times New Roman"/>
                <w:bCs/>
                <w:color w:val="auto"/>
                <w:kern w:val="2"/>
                <w:sz w:val="24"/>
                <w:szCs w:val="24"/>
                <w:highlight w:val="none"/>
                <w:lang w:val="en-US" w:eastAsia="zh-CN" w:bidi="ar-SA"/>
              </w:rPr>
              <w:t>，</w:t>
            </w:r>
            <w:r>
              <w:rPr>
                <w:color w:val="auto"/>
                <w:sz w:val="24"/>
              </w:rPr>
              <w:t>可以收集最强降雨条件下约</w:t>
            </w:r>
            <w:r>
              <w:rPr>
                <w:rFonts w:hint="eastAsia"/>
                <w:color w:val="auto"/>
                <w:sz w:val="24"/>
              </w:rPr>
              <w:t>0</w:t>
            </w:r>
            <w:r>
              <w:rPr>
                <w:rFonts w:hint="eastAsia"/>
                <w:color w:val="auto"/>
                <w:sz w:val="24"/>
                <w:lang w:val="en-US" w:eastAsia="zh-CN"/>
              </w:rPr>
              <w:t>.365</w:t>
            </w:r>
            <w:r>
              <w:rPr>
                <w:color w:val="auto"/>
                <w:sz w:val="24"/>
              </w:rPr>
              <w:t>h的降雨量</w:t>
            </w:r>
            <w:r>
              <w:rPr>
                <w:rFonts w:hint="eastAsia" w:ascii="Times New Roman" w:hAnsi="Times New Roman" w:eastAsia="宋体" w:cs="Times New Roman"/>
                <w:bCs/>
                <w:color w:val="auto"/>
                <w:kern w:val="2"/>
                <w:sz w:val="24"/>
                <w:szCs w:val="24"/>
                <w:highlight w:val="none"/>
                <w:lang w:val="en-US" w:eastAsia="zh-CN" w:bidi="ar-SA"/>
              </w:rPr>
              <w:t>雨水收集池用于收集径流雨水，收集沉淀后用于降尘用水。</w:t>
            </w:r>
          </w:p>
          <w:p w14:paraId="36269062">
            <w:pPr>
              <w:pStyle w:val="4"/>
              <w:ind w:firstLine="0" w:firstLineChars="0"/>
              <w:jc w:val="center"/>
              <w:rPr>
                <w:color w:val="auto"/>
                <w:highlight w:val="none"/>
              </w:rPr>
            </w:pPr>
            <w:r>
              <w:rPr>
                <w:color w:val="auto"/>
              </w:rPr>
              <w:drawing>
                <wp:inline distT="0" distB="0" distL="114300" distR="114300">
                  <wp:extent cx="4772025" cy="4600575"/>
                  <wp:effectExtent l="0" t="0" r="9525" b="952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4"/>
                          <a:stretch>
                            <a:fillRect/>
                          </a:stretch>
                        </pic:blipFill>
                        <pic:spPr>
                          <a:xfrm>
                            <a:off x="0" y="0"/>
                            <a:ext cx="4772025" cy="4600575"/>
                          </a:xfrm>
                          <a:prstGeom prst="rect">
                            <a:avLst/>
                          </a:prstGeom>
                          <a:noFill/>
                          <a:ln>
                            <a:noFill/>
                          </a:ln>
                        </pic:spPr>
                      </pic:pic>
                    </a:graphicData>
                  </a:graphic>
                </wp:inline>
              </w:drawing>
            </w:r>
          </w:p>
          <w:p w14:paraId="383B8911">
            <w:pPr>
              <w:adjustRightInd w:val="0"/>
              <w:snapToGrid w:val="0"/>
              <w:jc w:val="center"/>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b/>
                <w:bCs/>
                <w:color w:val="auto"/>
                <w:kern w:val="2"/>
                <w:sz w:val="24"/>
                <w:szCs w:val="24"/>
                <w:highlight w:val="none"/>
                <w:lang w:val="en-US" w:eastAsia="zh-CN" w:bidi="ar-SA"/>
              </w:rPr>
              <w:t>图</w:t>
            </w:r>
            <w:r>
              <w:rPr>
                <w:rFonts w:hint="eastAsia" w:cs="Times New Roman"/>
                <w:b/>
                <w:bCs/>
                <w:color w:val="auto"/>
                <w:kern w:val="2"/>
                <w:sz w:val="24"/>
                <w:szCs w:val="24"/>
                <w:highlight w:val="none"/>
                <w:lang w:val="en-US" w:eastAsia="zh-CN" w:bidi="ar-SA"/>
              </w:rPr>
              <w:t>2-1</w:t>
            </w:r>
            <w:r>
              <w:rPr>
                <w:rFonts w:hint="eastAsia" w:ascii="Times New Roman" w:hAnsi="Times New Roman" w:eastAsia="宋体" w:cs="Times New Roman"/>
                <w:b/>
                <w:bCs/>
                <w:color w:val="auto"/>
                <w:kern w:val="2"/>
                <w:sz w:val="24"/>
                <w:szCs w:val="24"/>
                <w:highlight w:val="none"/>
                <w:lang w:val="en-US" w:eastAsia="zh-CN" w:bidi="ar-SA"/>
              </w:rPr>
              <w:t xml:space="preserve">  暴雨强度及雨水流量计算截图</w:t>
            </w:r>
          </w:p>
          <w:p w14:paraId="4162480B">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排水</w:t>
            </w:r>
          </w:p>
          <w:p w14:paraId="7C4A816E">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生活废水：生活废水产生量按用水量的80%计，</w:t>
            </w:r>
            <w:r>
              <w:rPr>
                <w:rFonts w:hint="eastAsia" w:cs="Times New Roman"/>
                <w:color w:val="auto"/>
                <w:sz w:val="24"/>
                <w:highlight w:val="none"/>
                <w:lang w:val="en-US" w:eastAsia="zh-CN"/>
              </w:rPr>
              <w:t>生活污水产生量0.128t/d，38.4t/a产生的</w:t>
            </w:r>
            <w:r>
              <w:rPr>
                <w:rFonts w:hint="default" w:ascii="Times New Roman" w:hAnsi="Times New Roman" w:eastAsia="宋体" w:cs="Times New Roman"/>
                <w:color w:val="auto"/>
                <w:sz w:val="24"/>
                <w:highlight w:val="none"/>
              </w:rPr>
              <w:t>生活污水排入防渗旱厕，定期清掏，外运堆肥。</w:t>
            </w:r>
          </w:p>
          <w:p w14:paraId="11354580">
            <w:pPr>
              <w:tabs>
                <w:tab w:val="left" w:pos="630"/>
              </w:tabs>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生产废水：</w:t>
            </w:r>
            <w:r>
              <w:rPr>
                <w:rFonts w:hint="eastAsia" w:cs="Times New Roman"/>
                <w:color w:val="auto"/>
                <w:sz w:val="24"/>
                <w:highlight w:val="none"/>
                <w:lang w:val="en-US" w:eastAsia="zh-CN"/>
              </w:rPr>
              <w:t>本项目生产用水仅有堆场及道路洒水，堆场及道路洒水全部蒸发，</w:t>
            </w:r>
            <w:r>
              <w:rPr>
                <w:rFonts w:hint="default" w:ascii="Times New Roman" w:hAnsi="Times New Roman" w:eastAsia="宋体" w:cs="Times New Roman"/>
                <w:color w:val="auto"/>
                <w:sz w:val="24"/>
                <w:highlight w:val="none"/>
              </w:rPr>
              <w:t>项目无</w:t>
            </w:r>
            <w:r>
              <w:rPr>
                <w:rFonts w:hint="eastAsia" w:cs="Times New Roman"/>
                <w:color w:val="auto"/>
                <w:sz w:val="24"/>
                <w:highlight w:val="none"/>
                <w:lang w:val="en-US" w:eastAsia="zh-CN"/>
              </w:rPr>
              <w:t>生产</w:t>
            </w:r>
            <w:r>
              <w:rPr>
                <w:rFonts w:hint="default" w:ascii="Times New Roman" w:hAnsi="Times New Roman" w:eastAsia="宋体" w:cs="Times New Roman"/>
                <w:color w:val="auto"/>
                <w:sz w:val="24"/>
                <w:highlight w:val="none"/>
              </w:rPr>
              <w:t>废水产生。</w:t>
            </w:r>
          </w:p>
          <w:p w14:paraId="01B0D09B">
            <w:pPr>
              <w:tabs>
                <w:tab w:val="left" w:pos="630"/>
              </w:tabs>
              <w:spacing w:line="360" w:lineRule="auto"/>
              <w:ind w:firstLine="480" w:firstLineChars="200"/>
              <w:rPr>
                <w:rFonts w:hint="default" w:ascii="Times New Roman" w:hAnsi="Times New Roman" w:eastAsia="宋体" w:cs="Times New Roman"/>
                <w:b/>
                <w:bCs/>
                <w:color w:val="auto"/>
                <w:kern w:val="2"/>
                <w:sz w:val="24"/>
                <w:szCs w:val="24"/>
                <w:highlight w:val="none"/>
                <w:lang w:val="en-US" w:eastAsia="zh-CN" w:bidi="ar-SA"/>
              </w:rPr>
            </w:pPr>
            <w:r>
              <w:rPr>
                <w:rFonts w:hint="eastAsia" w:cs="Times New Roman"/>
                <w:color w:val="auto"/>
                <w:sz w:val="24"/>
                <w:highlight w:val="none"/>
                <w:lang w:val="en-US" w:eastAsia="zh-CN"/>
              </w:rPr>
              <w:t>项目</w:t>
            </w:r>
            <w:r>
              <w:rPr>
                <w:rFonts w:hint="default" w:ascii="Times New Roman" w:hAnsi="Times New Roman" w:eastAsia="宋体" w:cs="Times New Roman"/>
                <w:color w:val="auto"/>
                <w:sz w:val="24"/>
                <w:highlight w:val="none"/>
              </w:rPr>
              <w:t>用水及废水产生量明细详见</w:t>
            </w:r>
            <w:r>
              <w:rPr>
                <w:rFonts w:hint="eastAsia" w:cs="Times New Roman"/>
                <w:color w:val="auto"/>
                <w:sz w:val="24"/>
                <w:highlight w:val="none"/>
                <w:lang w:val="en-US" w:eastAsia="zh-CN"/>
              </w:rPr>
              <w:t>下图</w:t>
            </w:r>
            <w:r>
              <w:rPr>
                <w:rFonts w:hint="default" w:ascii="Times New Roman" w:hAnsi="Times New Roman" w:eastAsia="宋体" w:cs="Times New Roman"/>
                <w:color w:val="auto"/>
                <w:sz w:val="24"/>
                <w:highlight w:val="none"/>
              </w:rPr>
              <w:t>。</w:t>
            </w:r>
          </w:p>
          <w:p w14:paraId="6E6CFAB9">
            <w:pPr>
              <w:pStyle w:val="26"/>
              <w:spacing w:line="360" w:lineRule="auto"/>
              <w:ind w:left="0" w:leftChars="0" w:firstLine="0" w:firstLineChars="0"/>
              <w:jc w:val="cente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drawing>
                <wp:inline distT="0" distB="0" distL="114300" distR="114300">
                  <wp:extent cx="5544820" cy="1196975"/>
                  <wp:effectExtent l="0" t="0" r="0" b="0"/>
                  <wp:docPr id="35" name="F360BE8B-6686-4F3D-AEAF-501FE73E4058-1" descr="绘图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360BE8B-6686-4F3D-AEAF-501FE73E4058-1" descr="绘图1(21)"/>
                          <pic:cNvPicPr>
                            <a:picLocks noChangeAspect="1"/>
                          </pic:cNvPicPr>
                        </pic:nvPicPr>
                        <pic:blipFill>
                          <a:blip r:embed="rId15"/>
                          <a:srcRect b="31104"/>
                          <a:stretch>
                            <a:fillRect/>
                          </a:stretch>
                        </pic:blipFill>
                        <pic:spPr>
                          <a:xfrm>
                            <a:off x="0" y="0"/>
                            <a:ext cx="5544820" cy="1196975"/>
                          </a:xfrm>
                          <a:prstGeom prst="rect">
                            <a:avLst/>
                          </a:prstGeom>
                        </pic:spPr>
                      </pic:pic>
                    </a:graphicData>
                  </a:graphic>
                </wp:inline>
              </w:drawing>
            </w:r>
          </w:p>
          <w:p w14:paraId="6F4D329A">
            <w:pPr>
              <w:jc w:val="center"/>
              <w:rPr>
                <w:rFonts w:hint="default" w:ascii="Times New Roman" w:hAnsi="Times New Roman" w:cs="Times New Roman"/>
                <w:color w:val="auto"/>
                <w:highlight w:val="none"/>
              </w:rPr>
            </w:pPr>
            <w:r>
              <w:rPr>
                <w:rFonts w:hint="eastAsia" w:cs="Times New Roman"/>
                <w:b/>
                <w:bCs/>
                <w:color w:val="auto"/>
                <w:sz w:val="24"/>
                <w:szCs w:val="24"/>
                <w:highlight w:val="none"/>
                <w:lang w:val="en-US" w:eastAsia="zh-CN"/>
              </w:rPr>
              <w:t xml:space="preserve">   </w:t>
            </w:r>
            <w:r>
              <w:rPr>
                <w:rFonts w:hint="eastAsia" w:ascii="Times New Roman" w:hAnsi="Times New Roman" w:eastAsia="宋体" w:cs="Times New Roman"/>
                <w:b/>
                <w:bCs/>
                <w:color w:val="auto"/>
                <w:sz w:val="24"/>
                <w:szCs w:val="24"/>
                <w:highlight w:val="none"/>
                <w:lang w:val="en-US" w:eastAsia="zh-CN"/>
              </w:rPr>
              <w:t>图2-</w:t>
            </w:r>
            <w:r>
              <w:rPr>
                <w:rFonts w:hint="eastAsia" w:cs="Times New Roman"/>
                <w:b/>
                <w:bCs/>
                <w:color w:val="auto"/>
                <w:sz w:val="24"/>
                <w:szCs w:val="24"/>
                <w:highlight w:val="none"/>
                <w:lang w:val="en-US" w:eastAsia="zh-CN"/>
              </w:rPr>
              <w:t>2</w:t>
            </w:r>
            <w:r>
              <w:rPr>
                <w:rFonts w:hint="eastAsia" w:ascii="Times New Roman" w:hAnsi="Times New Roman" w:eastAsia="宋体" w:cs="Times New Roman"/>
                <w:b/>
                <w:bCs/>
                <w:color w:val="auto"/>
                <w:sz w:val="24"/>
                <w:szCs w:val="24"/>
                <w:highlight w:val="none"/>
                <w:lang w:val="en-US" w:eastAsia="zh-CN"/>
              </w:rPr>
              <w:t>水平衡图</w:t>
            </w:r>
            <w:r>
              <w:rPr>
                <w:rFonts w:hint="eastAsia" w:cs="Times New Roman"/>
                <w:b/>
                <w:bCs/>
                <w:color w:val="auto"/>
                <w:sz w:val="24"/>
                <w:szCs w:val="24"/>
                <w:highlight w:val="none"/>
                <w:lang w:val="en-US" w:eastAsia="zh-CN"/>
              </w:rPr>
              <w:t xml:space="preserve">     </w:t>
            </w:r>
            <w:r>
              <w:rPr>
                <w:rFonts w:hint="eastAsia" w:ascii="Times New Roman" w:hAnsi="Times New Roman" w:eastAsia="宋体" w:cs="Times New Roman"/>
                <w:b/>
                <w:bCs/>
                <w:color w:val="auto"/>
                <w:sz w:val="21"/>
                <w:szCs w:val="21"/>
                <w:highlight w:val="none"/>
                <w:lang w:val="en-US" w:eastAsia="zh-CN"/>
              </w:rPr>
              <w:t>单位：m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lang w:val="en-US" w:eastAsia="zh-CN"/>
              </w:rPr>
              <w:t>/d</w:t>
            </w:r>
          </w:p>
          <w:p w14:paraId="6500D030">
            <w:pPr>
              <w:pStyle w:val="26"/>
              <w:spacing w:line="360" w:lineRule="auto"/>
              <w:ind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（3）供热</w:t>
            </w:r>
          </w:p>
          <w:p w14:paraId="598849F1">
            <w:pPr>
              <w:pStyle w:val="26"/>
              <w:spacing w:line="360" w:lineRule="auto"/>
              <w:ind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w:t>
            </w:r>
            <w:r>
              <w:rPr>
                <w:rFonts w:hint="default" w:ascii="Times New Roman" w:hAnsi="Times New Roman" w:cs="Times New Roman"/>
                <w:color w:val="auto"/>
                <w:highlight w:val="none"/>
                <w:lang w:val="en-US" w:eastAsia="zh-CN"/>
              </w:rPr>
              <w:t>无需用热，冬季采用电</w:t>
            </w:r>
            <w:r>
              <w:rPr>
                <w:rFonts w:hint="default" w:ascii="Times New Roman" w:hAnsi="Times New Roman" w:cs="Times New Roman"/>
                <w:color w:val="auto"/>
                <w:highlight w:val="none"/>
              </w:rPr>
              <w:t>供暖。</w:t>
            </w:r>
          </w:p>
          <w:p w14:paraId="2C5DCCCD">
            <w:pPr>
              <w:pStyle w:val="26"/>
              <w:numPr>
                <w:ilvl w:val="0"/>
                <w:numId w:val="0"/>
              </w:numPr>
              <w:spacing w:line="360" w:lineRule="auto"/>
              <w:ind w:firstLine="480" w:firstLineChars="200"/>
              <w:rPr>
                <w:rFonts w:hint="default" w:ascii="Times New Roman" w:hAnsi="Times New Roman"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4</w:t>
            </w:r>
            <w:r>
              <w:rPr>
                <w:rFonts w:hint="eastAsia" w:cs="Times New Roman"/>
                <w:color w:val="auto"/>
                <w:highlight w:val="none"/>
                <w:lang w:eastAsia="zh-CN"/>
              </w:rPr>
              <w:t>）</w:t>
            </w:r>
            <w:r>
              <w:rPr>
                <w:rFonts w:hint="default" w:ascii="Times New Roman" w:hAnsi="Times New Roman" w:cs="Times New Roman"/>
                <w:color w:val="auto"/>
                <w:highlight w:val="none"/>
              </w:rPr>
              <w:t>供电</w:t>
            </w:r>
          </w:p>
          <w:p w14:paraId="47B5BCED">
            <w:pPr>
              <w:pStyle w:val="26"/>
              <w:numPr>
                <w:ilvl w:val="0"/>
                <w:numId w:val="0"/>
              </w:numPr>
              <w:spacing w:line="360" w:lineRule="auto"/>
              <w:ind w:firstLine="480" w:firstLineChars="20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本项目供电由当地供电局提供</w:t>
            </w:r>
            <w:r>
              <w:rPr>
                <w:rFonts w:hint="eastAsia" w:cs="Times New Roman"/>
                <w:color w:val="auto"/>
                <w:highlight w:val="none"/>
                <w:lang w:eastAsia="zh-CN"/>
              </w:rPr>
              <w:t>。</w:t>
            </w:r>
          </w:p>
          <w:p w14:paraId="18312621">
            <w:pPr>
              <w:widowControl/>
              <w:numPr>
                <w:ilvl w:val="0"/>
                <w:numId w:val="0"/>
              </w:numPr>
              <w:spacing w:line="360" w:lineRule="auto"/>
              <w:jc w:val="left"/>
              <w:rPr>
                <w:rFonts w:hint="eastAsia" w:cs="Times New Roman"/>
                <w:b/>
                <w:color w:val="auto"/>
                <w:kern w:val="0"/>
                <w:sz w:val="24"/>
                <w:highlight w:val="none"/>
                <w:lang w:val="en-US" w:eastAsia="zh-CN" w:bidi="ar"/>
              </w:rPr>
            </w:pPr>
            <w:r>
              <w:rPr>
                <w:rFonts w:hint="eastAsia" w:cs="Times New Roman"/>
                <w:b/>
                <w:color w:val="auto"/>
                <w:kern w:val="0"/>
                <w:sz w:val="24"/>
                <w:highlight w:val="none"/>
                <w:lang w:val="en-US" w:eastAsia="zh-CN" w:bidi="ar"/>
              </w:rPr>
              <w:t>5、平面布置</w:t>
            </w:r>
          </w:p>
          <w:p w14:paraId="0C34DE6E">
            <w:pPr>
              <w:pStyle w:val="26"/>
              <w:numPr>
                <w:ilvl w:val="0"/>
                <w:numId w:val="0"/>
              </w:numPr>
              <w:spacing w:line="360" w:lineRule="auto"/>
              <w:ind w:firstLine="480" w:firstLineChars="20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w:t>
            </w:r>
            <w:r>
              <w:rPr>
                <w:rFonts w:hint="eastAsia" w:cs="Times New Roman"/>
                <w:color w:val="auto"/>
                <w:highlight w:val="none"/>
                <w:lang w:val="en-US" w:eastAsia="zh-CN"/>
              </w:rPr>
              <w:t>储煤堆场面积1850m</w:t>
            </w:r>
            <w:r>
              <w:rPr>
                <w:rFonts w:hint="eastAsia" w:cs="Times New Roman"/>
                <w:color w:val="auto"/>
                <w:highlight w:val="none"/>
                <w:vertAlign w:val="superscript"/>
                <w:lang w:val="en-US" w:eastAsia="zh-CN"/>
              </w:rPr>
              <w:t>2</w:t>
            </w:r>
            <w:r>
              <w:rPr>
                <w:rFonts w:hint="eastAsia" w:cs="Times New Roman"/>
                <w:color w:val="auto"/>
                <w:highlight w:val="none"/>
                <w:lang w:val="en-US" w:eastAsia="zh-CN"/>
              </w:rPr>
              <w:t>，堆场</w:t>
            </w:r>
            <w:r>
              <w:rPr>
                <w:rFonts w:hint="eastAsia" w:ascii="Times New Roman" w:hAnsi="Times New Roman" w:eastAsia="宋体" w:cs="Times New Roman"/>
                <w:color w:val="auto"/>
                <w:highlight w:val="none"/>
                <w:lang w:val="en-US" w:eastAsia="zh-CN"/>
              </w:rPr>
              <w:t>煤炭堆场区域建设闭合防风抑尘网高</w:t>
            </w:r>
            <w:r>
              <w:rPr>
                <w:rFonts w:hint="eastAsia" w:cs="Times New Roman"/>
                <w:color w:val="auto"/>
                <w:highlight w:val="none"/>
                <w:lang w:val="en-US" w:eastAsia="zh-CN"/>
              </w:rPr>
              <w:t>3</w:t>
            </w:r>
            <w:r>
              <w:rPr>
                <w:rFonts w:hint="eastAsia" w:ascii="Times New Roman" w:hAnsi="Times New Roman" w:eastAsia="宋体" w:cs="Times New Roman"/>
                <w:color w:val="auto"/>
                <w:highlight w:val="none"/>
                <w:lang w:val="en-US" w:eastAsia="zh-CN"/>
              </w:rPr>
              <w:t>m、长</w:t>
            </w:r>
            <w:r>
              <w:rPr>
                <w:rFonts w:hint="eastAsia" w:cs="Times New Roman"/>
                <w:color w:val="auto"/>
                <w:highlight w:val="none"/>
                <w:lang w:val="en-US" w:eastAsia="zh-CN"/>
              </w:rPr>
              <w:t>120m</w:t>
            </w:r>
            <w:r>
              <w:rPr>
                <w:rFonts w:hint="eastAsia" w:ascii="Times New Roman" w:hAnsi="Times New Roman" w:eastAsia="宋体" w:cs="Times New Roman"/>
                <w:color w:val="auto"/>
                <w:highlight w:val="none"/>
                <w:lang w:val="en-US" w:eastAsia="zh-CN"/>
              </w:rPr>
              <w:t>，孔隙率50%与围墙形成闭合区域，储煤场内堆存煤炭使用绿网进行苫盖，雨水收集池建设</w:t>
            </w:r>
            <w:r>
              <w:rPr>
                <w:rFonts w:hint="eastAsia" w:cs="Times New Roman"/>
                <w:color w:val="auto"/>
                <w:highlight w:val="none"/>
                <w:lang w:val="en-US" w:eastAsia="zh-CN"/>
              </w:rPr>
              <w:t>于</w:t>
            </w:r>
            <w:r>
              <w:rPr>
                <w:rFonts w:hint="eastAsia" w:ascii="Times New Roman" w:hAnsi="Times New Roman" w:eastAsia="宋体" w:cs="Times New Roman"/>
                <w:color w:val="auto"/>
                <w:highlight w:val="none"/>
                <w:lang w:val="en-US" w:eastAsia="zh-CN"/>
              </w:rPr>
              <w:t>厂区内</w:t>
            </w:r>
            <w:r>
              <w:rPr>
                <w:rFonts w:hint="eastAsia" w:cs="Times New Roman"/>
                <w:color w:val="auto"/>
                <w:highlight w:val="none"/>
                <w:lang w:val="en-US" w:eastAsia="zh-CN"/>
              </w:rPr>
              <w:t>煤炭堆场</w:t>
            </w:r>
            <w:r>
              <w:rPr>
                <w:rFonts w:hint="eastAsia" w:ascii="Times New Roman" w:hAnsi="Times New Roman" w:eastAsia="宋体" w:cs="Times New Roman"/>
                <w:color w:val="auto"/>
                <w:highlight w:val="none"/>
                <w:lang w:val="en-US" w:eastAsia="zh-CN"/>
              </w:rPr>
              <w:t>地势最低的</w:t>
            </w:r>
            <w:r>
              <w:rPr>
                <w:rFonts w:hint="eastAsia" w:cs="Times New Roman"/>
                <w:color w:val="auto"/>
                <w:highlight w:val="none"/>
                <w:lang w:val="en-US" w:eastAsia="zh-CN"/>
              </w:rPr>
              <w:t>西南角</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危险废物贮存点</w:t>
            </w:r>
            <w:r>
              <w:rPr>
                <w:rFonts w:hint="eastAsia" w:ascii="Times New Roman" w:hAnsi="Times New Roman" w:eastAsia="宋体" w:cs="Times New Roman"/>
                <w:color w:val="auto"/>
                <w:highlight w:val="none"/>
                <w:lang w:val="en-US" w:eastAsia="zh-CN"/>
              </w:rPr>
              <w:t>位于</w:t>
            </w:r>
            <w:r>
              <w:rPr>
                <w:rFonts w:hint="eastAsia" w:cs="Times New Roman"/>
                <w:color w:val="auto"/>
                <w:highlight w:val="none"/>
                <w:lang w:val="en-US" w:eastAsia="zh-CN"/>
              </w:rPr>
              <w:t>厂区仓库内</w:t>
            </w:r>
            <w:r>
              <w:rPr>
                <w:rFonts w:hint="eastAsia" w:ascii="Times New Roman" w:hAnsi="Times New Roman" w:eastAsia="宋体" w:cs="Times New Roman"/>
                <w:color w:val="auto"/>
                <w:highlight w:val="none"/>
                <w:lang w:val="en-US" w:eastAsia="zh-CN"/>
              </w:rPr>
              <w:t>，项目厂区设置合理。</w:t>
            </w:r>
          </w:p>
          <w:p w14:paraId="02603D3E">
            <w:pPr>
              <w:widowControl/>
              <w:spacing w:line="360" w:lineRule="auto"/>
              <w:jc w:val="left"/>
              <w:rPr>
                <w:rFonts w:hint="default" w:ascii="Times New Roman" w:hAnsi="Times New Roman" w:cs="Times New Roman"/>
                <w:color w:val="auto"/>
                <w:sz w:val="24"/>
                <w:highlight w:val="none"/>
              </w:rPr>
            </w:pPr>
            <w:r>
              <w:rPr>
                <w:rFonts w:hint="eastAsia" w:cs="Times New Roman"/>
                <w:b/>
                <w:color w:val="auto"/>
                <w:kern w:val="0"/>
                <w:sz w:val="24"/>
                <w:highlight w:val="none"/>
                <w:lang w:val="en-US" w:eastAsia="zh-CN" w:bidi="ar"/>
              </w:rPr>
              <w:t>6、</w:t>
            </w:r>
            <w:r>
              <w:rPr>
                <w:rFonts w:hint="default" w:ascii="Times New Roman" w:hAnsi="Times New Roman" w:cs="Times New Roman"/>
                <w:b/>
                <w:color w:val="auto"/>
                <w:kern w:val="0"/>
                <w:sz w:val="24"/>
                <w:highlight w:val="none"/>
                <w:lang w:bidi="ar"/>
              </w:rPr>
              <w:t xml:space="preserve">环保投资 </w:t>
            </w:r>
          </w:p>
          <w:p w14:paraId="3BA2BF25">
            <w:pPr>
              <w:widowControl/>
              <w:spacing w:line="360" w:lineRule="auto"/>
              <w:ind w:firstLine="480" w:firstLineChars="200"/>
              <w:jc w:val="left"/>
              <w:rPr>
                <w:rFonts w:hint="default" w:ascii="Times New Roman" w:hAnsi="Times New Roman" w:cs="Times New Roman"/>
                <w:color w:val="auto"/>
                <w:kern w:val="0"/>
                <w:sz w:val="24"/>
                <w:highlight w:val="none"/>
                <w:lang w:bidi="ar"/>
              </w:rPr>
            </w:pPr>
            <w:r>
              <w:rPr>
                <w:rFonts w:hint="default" w:ascii="Times New Roman" w:hAnsi="Times New Roman" w:cs="Times New Roman"/>
                <w:color w:val="auto"/>
                <w:kern w:val="0"/>
                <w:sz w:val="24"/>
                <w:highlight w:val="none"/>
                <w:lang w:bidi="ar"/>
              </w:rPr>
              <w:t>本项目环保投资具体情况见表2-</w:t>
            </w:r>
            <w:r>
              <w:rPr>
                <w:rFonts w:hint="eastAsia" w:cs="Times New Roman"/>
                <w:color w:val="auto"/>
                <w:kern w:val="0"/>
                <w:sz w:val="24"/>
                <w:highlight w:val="none"/>
                <w:lang w:val="en-US" w:eastAsia="zh-CN" w:bidi="ar"/>
              </w:rPr>
              <w:t>3</w:t>
            </w:r>
            <w:r>
              <w:rPr>
                <w:rFonts w:hint="default" w:ascii="Times New Roman" w:hAnsi="Times New Roman" w:cs="Times New Roman"/>
                <w:color w:val="auto"/>
                <w:kern w:val="0"/>
                <w:sz w:val="24"/>
                <w:highlight w:val="none"/>
                <w:lang w:bidi="ar"/>
              </w:rPr>
              <w:t>。</w:t>
            </w:r>
          </w:p>
          <w:p w14:paraId="12586EEE">
            <w:pPr>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表2-</w:t>
            </w:r>
            <w:r>
              <w:rPr>
                <w:rFonts w:hint="eastAsia"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val="en-US" w:eastAsia="zh-CN"/>
              </w:rPr>
              <w:t xml:space="preserve">  环保投资一览表</w:t>
            </w:r>
          </w:p>
          <w:tbl>
            <w:tblPr>
              <w:tblStyle w:val="17"/>
              <w:tblW w:w="86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14"/>
              <w:gridCol w:w="5670"/>
              <w:gridCol w:w="1433"/>
            </w:tblGrid>
            <w:tr w14:paraId="17866E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4" w:type="dxa"/>
                  <w:vAlign w:val="center"/>
                </w:tcPr>
                <w:p w14:paraId="7F0AE7EF">
                  <w:pPr>
                    <w:pStyle w:val="31"/>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类别</w:t>
                  </w:r>
                </w:p>
              </w:tc>
              <w:tc>
                <w:tcPr>
                  <w:tcW w:w="5670" w:type="dxa"/>
                  <w:tcBorders>
                    <w:bottom w:val="single" w:color="auto" w:sz="4" w:space="0"/>
                  </w:tcBorders>
                  <w:vAlign w:val="center"/>
                </w:tcPr>
                <w:p w14:paraId="6C0C47A1">
                  <w:pPr>
                    <w:pStyle w:val="31"/>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防治措施</w:t>
                  </w:r>
                </w:p>
              </w:tc>
              <w:tc>
                <w:tcPr>
                  <w:tcW w:w="1433" w:type="dxa"/>
                  <w:tcBorders>
                    <w:bottom w:val="single" w:color="auto" w:sz="4" w:space="0"/>
                  </w:tcBorders>
                  <w:vAlign w:val="center"/>
                </w:tcPr>
                <w:p w14:paraId="720EF986">
                  <w:pPr>
                    <w:pStyle w:val="31"/>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投资（万元）</w:t>
                  </w:r>
                </w:p>
              </w:tc>
            </w:tr>
            <w:tr w14:paraId="4768AE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1514" w:type="dxa"/>
                  <w:vMerge w:val="restart"/>
                  <w:vAlign w:val="center"/>
                </w:tcPr>
                <w:p w14:paraId="21A8F32E">
                  <w:pPr>
                    <w:pStyle w:val="31"/>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废气治理措施</w:t>
                  </w:r>
                </w:p>
              </w:tc>
              <w:tc>
                <w:tcPr>
                  <w:tcW w:w="5670" w:type="dxa"/>
                  <w:vAlign w:val="center"/>
                </w:tcPr>
                <w:p w14:paraId="6B427F11">
                  <w:pPr>
                    <w:pStyle w:val="31"/>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洒水设施</w:t>
                  </w:r>
                </w:p>
              </w:tc>
              <w:tc>
                <w:tcPr>
                  <w:tcW w:w="1433" w:type="dxa"/>
                  <w:vAlign w:val="center"/>
                </w:tcPr>
                <w:p w14:paraId="0D2DA770">
                  <w:pPr>
                    <w:pStyle w:val="31"/>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w:t>
                  </w:r>
                </w:p>
              </w:tc>
            </w:tr>
            <w:tr w14:paraId="3F149A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1514" w:type="dxa"/>
                  <w:vMerge w:val="continue"/>
                  <w:vAlign w:val="center"/>
                </w:tcPr>
                <w:p w14:paraId="0E5764EA">
                  <w:pPr>
                    <w:pStyle w:val="31"/>
                    <w:rPr>
                      <w:rFonts w:hint="default" w:ascii="Times New Roman" w:hAnsi="Times New Roman" w:cs="Times New Roman"/>
                      <w:color w:val="auto"/>
                      <w:szCs w:val="21"/>
                      <w:highlight w:val="none"/>
                    </w:rPr>
                  </w:pPr>
                </w:p>
              </w:tc>
              <w:tc>
                <w:tcPr>
                  <w:tcW w:w="5670" w:type="dxa"/>
                  <w:vAlign w:val="center"/>
                </w:tcPr>
                <w:p w14:paraId="45A3C51D">
                  <w:pPr>
                    <w:pStyle w:val="31"/>
                    <w:rPr>
                      <w:rFonts w:hint="eastAsia" w:cs="Times New Roman"/>
                      <w:color w:val="auto"/>
                      <w:szCs w:val="21"/>
                      <w:highlight w:val="none"/>
                      <w:lang w:val="en-US" w:eastAsia="zh-CN"/>
                    </w:rPr>
                  </w:pPr>
                  <w:r>
                    <w:rPr>
                      <w:rFonts w:hint="eastAsia" w:cs="Times New Roman"/>
                      <w:color w:val="auto"/>
                      <w:szCs w:val="21"/>
                      <w:highlight w:val="none"/>
                      <w:lang w:val="en-US" w:eastAsia="zh-CN"/>
                    </w:rPr>
                    <w:t>煤炭绿网苫盖</w:t>
                  </w:r>
                </w:p>
              </w:tc>
              <w:tc>
                <w:tcPr>
                  <w:tcW w:w="1433" w:type="dxa"/>
                  <w:vAlign w:val="center"/>
                </w:tcPr>
                <w:p w14:paraId="211BAE46">
                  <w:pPr>
                    <w:pStyle w:val="31"/>
                    <w:rPr>
                      <w:rFonts w:hint="default" w:cs="Times New Roman"/>
                      <w:color w:val="auto"/>
                      <w:szCs w:val="21"/>
                      <w:highlight w:val="none"/>
                      <w:lang w:val="en-US" w:eastAsia="zh-CN"/>
                    </w:rPr>
                  </w:pPr>
                  <w:r>
                    <w:rPr>
                      <w:rFonts w:hint="eastAsia" w:cs="Times New Roman"/>
                      <w:color w:val="auto"/>
                      <w:szCs w:val="21"/>
                      <w:highlight w:val="none"/>
                      <w:lang w:val="en-US" w:eastAsia="zh-CN"/>
                    </w:rPr>
                    <w:t>1</w:t>
                  </w:r>
                </w:p>
              </w:tc>
            </w:tr>
            <w:tr w14:paraId="74ABD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1514" w:type="dxa"/>
                  <w:vMerge w:val="continue"/>
                  <w:vAlign w:val="center"/>
                </w:tcPr>
                <w:p w14:paraId="671A6A5E">
                  <w:pPr>
                    <w:pStyle w:val="31"/>
                    <w:rPr>
                      <w:rFonts w:hint="default" w:ascii="Times New Roman" w:hAnsi="Times New Roman" w:cs="Times New Roman"/>
                      <w:color w:val="auto"/>
                      <w:szCs w:val="21"/>
                      <w:highlight w:val="none"/>
                    </w:rPr>
                  </w:pPr>
                </w:p>
              </w:tc>
              <w:tc>
                <w:tcPr>
                  <w:tcW w:w="5670" w:type="dxa"/>
                  <w:vAlign w:val="center"/>
                </w:tcPr>
                <w:p w14:paraId="42028750">
                  <w:pPr>
                    <w:pStyle w:val="31"/>
                    <w:rPr>
                      <w:rFonts w:hint="eastAsia" w:cs="Times New Roman"/>
                      <w:color w:val="auto"/>
                      <w:szCs w:val="21"/>
                      <w:highlight w:val="none"/>
                      <w:lang w:val="en-US" w:eastAsia="zh-CN"/>
                    </w:rPr>
                  </w:pPr>
                  <w:r>
                    <w:rPr>
                      <w:rFonts w:hint="eastAsia" w:cs="Times New Roman"/>
                      <w:color w:val="auto"/>
                      <w:szCs w:val="21"/>
                      <w:highlight w:val="none"/>
                      <w:lang w:val="en-US" w:eastAsia="zh-CN"/>
                    </w:rPr>
                    <w:t>运输车辆苫盖</w:t>
                  </w:r>
                </w:p>
              </w:tc>
              <w:tc>
                <w:tcPr>
                  <w:tcW w:w="1433" w:type="dxa"/>
                  <w:vAlign w:val="center"/>
                </w:tcPr>
                <w:p w14:paraId="54D8D434">
                  <w:pPr>
                    <w:pStyle w:val="31"/>
                    <w:rPr>
                      <w:rFonts w:hint="default" w:cs="Times New Roman"/>
                      <w:color w:val="auto"/>
                      <w:szCs w:val="21"/>
                      <w:highlight w:val="none"/>
                      <w:lang w:val="en-US" w:eastAsia="zh-CN"/>
                    </w:rPr>
                  </w:pPr>
                  <w:r>
                    <w:rPr>
                      <w:rFonts w:hint="eastAsia" w:cs="Times New Roman"/>
                      <w:color w:val="auto"/>
                      <w:szCs w:val="21"/>
                      <w:highlight w:val="none"/>
                      <w:lang w:val="en-US" w:eastAsia="zh-CN"/>
                    </w:rPr>
                    <w:t>1</w:t>
                  </w:r>
                </w:p>
              </w:tc>
            </w:tr>
            <w:tr w14:paraId="3871CB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514" w:type="dxa"/>
                  <w:vMerge w:val="restart"/>
                  <w:vAlign w:val="center"/>
                </w:tcPr>
                <w:p w14:paraId="60E60C6F">
                  <w:pPr>
                    <w:pStyle w:val="31"/>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废水治理措施</w:t>
                  </w:r>
                </w:p>
              </w:tc>
              <w:tc>
                <w:tcPr>
                  <w:tcW w:w="5670" w:type="dxa"/>
                  <w:vAlign w:val="center"/>
                </w:tcPr>
                <w:p w14:paraId="744D4326">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highlight w:val="none"/>
                      <w:lang w:val="en-US" w:eastAsia="zh-CN"/>
                    </w:rPr>
                    <w:t>雨水收集池</w:t>
                  </w:r>
                </w:p>
              </w:tc>
              <w:tc>
                <w:tcPr>
                  <w:tcW w:w="1433" w:type="dxa"/>
                  <w:vAlign w:val="center"/>
                </w:tcPr>
                <w:p w14:paraId="1F81444E">
                  <w:pPr>
                    <w:jc w:val="center"/>
                    <w:rPr>
                      <w:rFonts w:hint="default" w:ascii="Times New Roman" w:hAnsi="Times New Roman" w:eastAsia="宋体" w:cs="Times New Roman"/>
                      <w:color w:val="auto"/>
                      <w:szCs w:val="22"/>
                      <w:highlight w:val="none"/>
                      <w:lang w:val="en-US" w:eastAsia="zh-CN"/>
                    </w:rPr>
                  </w:pPr>
                  <w:r>
                    <w:rPr>
                      <w:rFonts w:hint="eastAsia" w:cs="Times New Roman"/>
                      <w:color w:val="auto"/>
                      <w:szCs w:val="22"/>
                      <w:highlight w:val="none"/>
                      <w:lang w:val="en-US" w:eastAsia="zh-CN"/>
                    </w:rPr>
                    <w:t>1.1</w:t>
                  </w:r>
                </w:p>
              </w:tc>
            </w:tr>
            <w:tr w14:paraId="6EF24F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514" w:type="dxa"/>
                  <w:vMerge w:val="continue"/>
                  <w:vAlign w:val="center"/>
                </w:tcPr>
                <w:p w14:paraId="2DB142D3">
                  <w:pPr>
                    <w:pStyle w:val="31"/>
                    <w:rPr>
                      <w:rFonts w:hint="default" w:ascii="Times New Roman" w:hAnsi="Times New Roman" w:cs="Times New Roman"/>
                      <w:color w:val="auto"/>
                      <w:szCs w:val="21"/>
                      <w:highlight w:val="none"/>
                    </w:rPr>
                  </w:pPr>
                </w:p>
              </w:tc>
              <w:tc>
                <w:tcPr>
                  <w:tcW w:w="5670" w:type="dxa"/>
                  <w:vAlign w:val="center"/>
                </w:tcPr>
                <w:p w14:paraId="7D1E86F1">
                  <w:pPr>
                    <w:jc w:val="center"/>
                    <w:rPr>
                      <w:rFonts w:hint="eastAsia" w:cs="Times New Roman"/>
                      <w:color w:val="auto"/>
                      <w:highlight w:val="none"/>
                      <w:lang w:val="en-US" w:eastAsia="zh-CN"/>
                    </w:rPr>
                  </w:pPr>
                  <w:r>
                    <w:rPr>
                      <w:rFonts w:hint="eastAsia" w:cs="Times New Roman"/>
                      <w:color w:val="auto"/>
                      <w:highlight w:val="none"/>
                      <w:lang w:val="en-US" w:eastAsia="zh-CN"/>
                    </w:rPr>
                    <w:t>雨水导流沟</w:t>
                  </w:r>
                </w:p>
              </w:tc>
              <w:tc>
                <w:tcPr>
                  <w:tcW w:w="1433" w:type="dxa"/>
                  <w:vAlign w:val="center"/>
                </w:tcPr>
                <w:p w14:paraId="3CF11ED1">
                  <w:pPr>
                    <w:jc w:val="center"/>
                    <w:rPr>
                      <w:rFonts w:hint="default" w:cs="Times New Roman"/>
                      <w:color w:val="auto"/>
                      <w:szCs w:val="22"/>
                      <w:highlight w:val="none"/>
                      <w:lang w:val="en-US" w:eastAsia="zh-CN"/>
                    </w:rPr>
                  </w:pPr>
                  <w:r>
                    <w:rPr>
                      <w:rFonts w:hint="eastAsia" w:cs="Times New Roman"/>
                      <w:color w:val="auto"/>
                      <w:szCs w:val="22"/>
                      <w:highlight w:val="none"/>
                      <w:lang w:val="en-US" w:eastAsia="zh-CN"/>
                    </w:rPr>
                    <w:t>2.4</w:t>
                  </w:r>
                </w:p>
              </w:tc>
            </w:tr>
            <w:tr w14:paraId="3AFB69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4" w:type="dxa"/>
                  <w:vAlign w:val="center"/>
                </w:tcPr>
                <w:p w14:paraId="2EE9DD92">
                  <w:pPr>
                    <w:pStyle w:val="31"/>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噪声治理措施</w:t>
                  </w:r>
                </w:p>
              </w:tc>
              <w:tc>
                <w:tcPr>
                  <w:tcW w:w="5670" w:type="dxa"/>
                  <w:vAlign w:val="center"/>
                </w:tcPr>
                <w:p w14:paraId="564AA52E">
                  <w:pPr>
                    <w:pStyle w:val="31"/>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选取低噪声设备</w:t>
                  </w:r>
                  <w:r>
                    <w:rPr>
                      <w:rFonts w:hint="eastAsia" w:cs="Times New Roman"/>
                      <w:color w:val="auto"/>
                      <w:szCs w:val="21"/>
                      <w:highlight w:val="none"/>
                      <w:lang w:eastAsia="zh-CN"/>
                    </w:rPr>
                    <w:t>、</w:t>
                  </w:r>
                  <w:r>
                    <w:rPr>
                      <w:rFonts w:hint="eastAsia" w:cs="Times New Roman"/>
                      <w:color w:val="auto"/>
                      <w:szCs w:val="21"/>
                      <w:highlight w:val="none"/>
                      <w:lang w:val="en-US" w:eastAsia="zh-CN"/>
                    </w:rPr>
                    <w:t>定期维护</w:t>
                  </w:r>
                </w:p>
              </w:tc>
              <w:tc>
                <w:tcPr>
                  <w:tcW w:w="1433" w:type="dxa"/>
                  <w:vAlign w:val="center"/>
                </w:tcPr>
                <w:p w14:paraId="4D09E791">
                  <w:pPr>
                    <w:pStyle w:val="31"/>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w:t>
                  </w:r>
                </w:p>
              </w:tc>
            </w:tr>
            <w:tr w14:paraId="77FA0F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4" w:type="dxa"/>
                  <w:vMerge w:val="restart"/>
                  <w:vAlign w:val="center"/>
                </w:tcPr>
                <w:p w14:paraId="5E0CFA10">
                  <w:pPr>
                    <w:pStyle w:val="31"/>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固废治理措施</w:t>
                  </w:r>
                </w:p>
              </w:tc>
              <w:tc>
                <w:tcPr>
                  <w:tcW w:w="5670" w:type="dxa"/>
                  <w:vAlign w:val="center"/>
                </w:tcPr>
                <w:p w14:paraId="6E88992E">
                  <w:pPr>
                    <w:pStyle w:val="31"/>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bidi="ar"/>
                    </w:rPr>
                    <w:t>生活垃圾</w:t>
                  </w:r>
                  <w:r>
                    <w:rPr>
                      <w:rFonts w:hint="eastAsia" w:cs="Times New Roman"/>
                      <w:color w:val="auto"/>
                      <w:kern w:val="0"/>
                      <w:szCs w:val="21"/>
                      <w:highlight w:val="none"/>
                      <w:lang w:val="en-US" w:eastAsia="zh-CN" w:bidi="ar"/>
                    </w:rPr>
                    <w:t>收集箱</w:t>
                  </w:r>
                </w:p>
              </w:tc>
              <w:tc>
                <w:tcPr>
                  <w:tcW w:w="1433" w:type="dxa"/>
                  <w:vAlign w:val="center"/>
                </w:tcPr>
                <w:p w14:paraId="009BDC7B">
                  <w:pPr>
                    <w:pStyle w:val="31"/>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w:t>
                  </w:r>
                </w:p>
              </w:tc>
            </w:tr>
            <w:tr w14:paraId="773FF4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4" w:type="dxa"/>
                  <w:vMerge w:val="continue"/>
                  <w:vAlign w:val="center"/>
                </w:tcPr>
                <w:p w14:paraId="71ECB8CB">
                  <w:pPr>
                    <w:pStyle w:val="31"/>
                    <w:rPr>
                      <w:rFonts w:hint="default" w:ascii="Times New Roman" w:hAnsi="Times New Roman" w:cs="Times New Roman"/>
                      <w:color w:val="auto"/>
                      <w:szCs w:val="21"/>
                      <w:highlight w:val="none"/>
                    </w:rPr>
                  </w:pPr>
                </w:p>
              </w:tc>
              <w:tc>
                <w:tcPr>
                  <w:tcW w:w="5670" w:type="dxa"/>
                  <w:vAlign w:val="center"/>
                </w:tcPr>
                <w:p w14:paraId="40D1942D">
                  <w:pPr>
                    <w:pStyle w:val="31"/>
                    <w:jc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危险废物贮存点</w:t>
                  </w:r>
                </w:p>
              </w:tc>
              <w:tc>
                <w:tcPr>
                  <w:tcW w:w="1433" w:type="dxa"/>
                  <w:vAlign w:val="center"/>
                </w:tcPr>
                <w:p w14:paraId="15E1C98C">
                  <w:pPr>
                    <w:pStyle w:val="31"/>
                    <w:rPr>
                      <w:rFonts w:hint="default" w:cs="Times New Roman"/>
                      <w:color w:val="auto"/>
                      <w:szCs w:val="21"/>
                      <w:highlight w:val="none"/>
                      <w:lang w:val="en-US" w:eastAsia="zh-CN"/>
                    </w:rPr>
                  </w:pPr>
                  <w:r>
                    <w:rPr>
                      <w:rFonts w:hint="eastAsia" w:cs="Times New Roman"/>
                      <w:color w:val="auto"/>
                      <w:szCs w:val="21"/>
                      <w:highlight w:val="none"/>
                      <w:lang w:val="en-US" w:eastAsia="zh-CN"/>
                    </w:rPr>
                    <w:t>3</w:t>
                  </w:r>
                </w:p>
              </w:tc>
            </w:tr>
            <w:tr w14:paraId="5B8D9B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14" w:type="dxa"/>
                  <w:vAlign w:val="center"/>
                </w:tcPr>
                <w:p w14:paraId="7AA7C5D9">
                  <w:pPr>
                    <w:pStyle w:val="31"/>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土壤治理措施</w:t>
                  </w:r>
                </w:p>
              </w:tc>
              <w:tc>
                <w:tcPr>
                  <w:tcW w:w="5670" w:type="dxa"/>
                  <w:vAlign w:val="center"/>
                </w:tcPr>
                <w:p w14:paraId="05B8F2B0">
                  <w:pPr>
                    <w:pStyle w:val="31"/>
                    <w:jc w:val="center"/>
                    <w:rPr>
                      <w:rFonts w:hint="default" w:ascii="Times New Roman" w:hAnsi="Times New Roman" w:eastAsia="宋体" w:cs="Times New Roman"/>
                      <w:color w:val="auto"/>
                      <w:kern w:val="0"/>
                      <w:szCs w:val="21"/>
                      <w:highlight w:val="none"/>
                      <w:lang w:val="en-US" w:eastAsia="zh-CN" w:bidi="ar"/>
                    </w:rPr>
                  </w:pPr>
                  <w:r>
                    <w:rPr>
                      <w:rFonts w:hint="eastAsia" w:cs="Times New Roman"/>
                      <w:color w:val="auto"/>
                      <w:kern w:val="0"/>
                      <w:szCs w:val="21"/>
                      <w:highlight w:val="none"/>
                      <w:lang w:val="en-US" w:eastAsia="zh-CN" w:bidi="ar"/>
                    </w:rPr>
                    <w:t>厂区地面硬化</w:t>
                  </w:r>
                </w:p>
              </w:tc>
              <w:tc>
                <w:tcPr>
                  <w:tcW w:w="1433" w:type="dxa"/>
                  <w:vAlign w:val="center"/>
                </w:tcPr>
                <w:p w14:paraId="47D67E9B">
                  <w:pPr>
                    <w:pStyle w:val="31"/>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5</w:t>
                  </w:r>
                </w:p>
              </w:tc>
            </w:tr>
            <w:tr w14:paraId="31D014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 w:hRule="atLeast"/>
                <w:jc w:val="center"/>
              </w:trPr>
              <w:tc>
                <w:tcPr>
                  <w:tcW w:w="1514" w:type="dxa"/>
                  <w:vAlign w:val="center"/>
                </w:tcPr>
                <w:p w14:paraId="2710AD76">
                  <w:pPr>
                    <w:pStyle w:val="31"/>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环保设施</w:t>
                  </w:r>
                </w:p>
                <w:p w14:paraId="1D30B3DA">
                  <w:pPr>
                    <w:pStyle w:val="31"/>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运行费用</w:t>
                  </w:r>
                </w:p>
              </w:tc>
              <w:tc>
                <w:tcPr>
                  <w:tcW w:w="5670" w:type="dxa"/>
                  <w:vAlign w:val="center"/>
                </w:tcPr>
                <w:p w14:paraId="0C3F6F96">
                  <w:pPr>
                    <w:pStyle w:val="31"/>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环保设施的运行、维护、维修费用</w:t>
                  </w:r>
                </w:p>
              </w:tc>
              <w:tc>
                <w:tcPr>
                  <w:tcW w:w="1433" w:type="dxa"/>
                  <w:vAlign w:val="center"/>
                </w:tcPr>
                <w:p w14:paraId="128FF6EC">
                  <w:pPr>
                    <w:pStyle w:val="31"/>
                    <w:rPr>
                      <w:rFonts w:hint="default"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2</w:t>
                  </w:r>
                </w:p>
              </w:tc>
            </w:tr>
            <w:tr w14:paraId="75CB73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84" w:type="dxa"/>
                  <w:gridSpan w:val="2"/>
                  <w:vAlign w:val="center"/>
                </w:tcPr>
                <w:p w14:paraId="434B7F81">
                  <w:pPr>
                    <w:pStyle w:val="31"/>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环保投资（万元）</w:t>
                  </w:r>
                </w:p>
              </w:tc>
              <w:tc>
                <w:tcPr>
                  <w:tcW w:w="1433" w:type="dxa"/>
                  <w:vAlign w:val="center"/>
                </w:tcPr>
                <w:p w14:paraId="1BEBE146">
                  <w:pPr>
                    <w:pStyle w:val="31"/>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19.5</w:t>
                  </w:r>
                </w:p>
              </w:tc>
            </w:tr>
            <w:tr w14:paraId="1A75D0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84" w:type="dxa"/>
                  <w:gridSpan w:val="2"/>
                  <w:vAlign w:val="center"/>
                </w:tcPr>
                <w:p w14:paraId="0B7F28F0">
                  <w:pPr>
                    <w:pStyle w:val="31"/>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占总投资比例（%）</w:t>
                  </w:r>
                </w:p>
              </w:tc>
              <w:tc>
                <w:tcPr>
                  <w:tcW w:w="1433" w:type="dxa"/>
                  <w:vAlign w:val="center"/>
                </w:tcPr>
                <w:p w14:paraId="58F96143">
                  <w:pPr>
                    <w:pStyle w:val="31"/>
                    <w:rPr>
                      <w:rFonts w:hint="eastAsia" w:cs="Times New Roman"/>
                      <w:color w:val="auto"/>
                      <w:szCs w:val="21"/>
                      <w:highlight w:val="none"/>
                      <w:lang w:val="en-US" w:eastAsia="zh-CN"/>
                    </w:rPr>
                  </w:pPr>
                  <w:r>
                    <w:rPr>
                      <w:rFonts w:hint="eastAsia" w:cs="Times New Roman"/>
                      <w:color w:val="auto"/>
                      <w:szCs w:val="21"/>
                      <w:highlight w:val="none"/>
                      <w:lang w:val="en-US" w:eastAsia="zh-CN"/>
                    </w:rPr>
                    <w:t>32.5</w:t>
                  </w:r>
                  <w:r>
                    <w:rPr>
                      <w:rFonts w:hint="default" w:ascii="Times New Roman" w:hAnsi="Times New Roman" w:cs="Times New Roman"/>
                      <w:color w:val="auto"/>
                      <w:szCs w:val="21"/>
                      <w:highlight w:val="none"/>
                      <w:lang w:val="en-US" w:eastAsia="zh-CN"/>
                    </w:rPr>
                    <w:t>%</w:t>
                  </w:r>
                </w:p>
              </w:tc>
            </w:tr>
          </w:tbl>
          <w:p w14:paraId="70476AC3">
            <w:pPr>
              <w:pStyle w:val="26"/>
              <w:spacing w:line="360" w:lineRule="auto"/>
              <w:ind w:firstLine="0"/>
              <w:rPr>
                <w:rFonts w:hint="default" w:ascii="Times New Roman" w:hAnsi="Times New Roman" w:cs="Times New Roman"/>
                <w:color w:val="auto"/>
                <w:highlight w:val="none"/>
              </w:rPr>
            </w:pPr>
          </w:p>
        </w:tc>
      </w:tr>
      <w:tr w14:paraId="2F2681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731" w:type="dxa"/>
            <w:vAlign w:val="center"/>
          </w:tcPr>
          <w:p w14:paraId="014D57E1">
            <w:pPr>
              <w:pStyle w:val="14"/>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工艺流程和产排污环节</w:t>
            </w:r>
          </w:p>
        </w:tc>
        <w:tc>
          <w:tcPr>
            <w:tcW w:w="8907" w:type="dxa"/>
          </w:tcPr>
          <w:p w14:paraId="52CB7BB7">
            <w:pPr>
              <w:pStyle w:val="7"/>
              <w:spacing w:after="0" w:line="360" w:lineRule="auto"/>
              <w:ind w:left="0" w:leftChars="0"/>
              <w:jc w:val="left"/>
              <w:rPr>
                <w:rFonts w:hint="default"/>
                <w:color w:val="auto"/>
                <w:highlight w:val="none"/>
              </w:rPr>
            </w:pPr>
            <w:r>
              <w:rPr>
                <w:rFonts w:hint="default"/>
                <w:color w:val="auto"/>
                <w:highlight w:val="none"/>
              </w:rPr>
              <w:t>工艺流程简述：</w:t>
            </w:r>
          </w:p>
          <w:p w14:paraId="4DB80C5D">
            <w:pPr>
              <w:pStyle w:val="26"/>
              <w:spacing w:line="360" w:lineRule="auto"/>
              <w:ind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、施工期</w:t>
            </w:r>
          </w:p>
          <w:p w14:paraId="3F5F5FD2">
            <w:pPr>
              <w:adjustRightInd w:val="0"/>
              <w:snapToGrid w:val="0"/>
              <w:spacing w:line="360" w:lineRule="auto"/>
              <w:ind w:firstLine="480" w:firstLineChars="20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bCs/>
                <w:color w:val="auto"/>
                <w:sz w:val="24"/>
                <w:highlight w:val="none"/>
                <w:lang w:val="en-US" w:eastAsia="zh-CN"/>
              </w:rPr>
              <w:t>本次主要建设内容为场地平整、地面硬化，建设煤炭储存配套相应环保设施。</w:t>
            </w:r>
            <w:r>
              <w:rPr>
                <w:rFonts w:hint="eastAsia" w:ascii="Times New Roman" w:hAnsi="Times New Roman" w:eastAsia="宋体" w:cs="Times New Roman"/>
                <w:bCs/>
                <w:color w:val="auto"/>
                <w:sz w:val="24"/>
                <w:highlight w:val="none"/>
              </w:rPr>
              <w:t>主要影</w:t>
            </w:r>
            <w:r>
              <w:rPr>
                <w:rFonts w:hint="eastAsia"/>
                <w:bCs/>
                <w:color w:val="auto"/>
                <w:sz w:val="24"/>
                <w:highlight w:val="none"/>
              </w:rPr>
              <w:t>响范围为项目场区区域，施工过</w:t>
            </w:r>
            <w:r>
              <w:rPr>
                <w:rFonts w:hint="eastAsia"/>
                <w:bCs/>
                <w:color w:val="auto"/>
                <w:sz w:val="24"/>
                <w:highlight w:val="none"/>
                <w:lang w:eastAsia="zh-CN"/>
              </w:rPr>
              <w:t>程中</w:t>
            </w:r>
            <w:r>
              <w:rPr>
                <w:rFonts w:hint="eastAsia"/>
                <w:bCs/>
                <w:color w:val="auto"/>
                <w:sz w:val="24"/>
                <w:highlight w:val="none"/>
              </w:rPr>
              <w:t>将产生施工扬尘、施工废水、施工噪声、施工固废及生活垃圾等污染物，主要环境影响因子包括环境空气、水环境、声环境、生态环境等</w:t>
            </w:r>
            <w:r>
              <w:rPr>
                <w:rFonts w:hint="eastAsia"/>
                <w:bCs/>
                <w:color w:val="auto"/>
                <w:sz w:val="24"/>
                <w:highlight w:val="none"/>
                <w:lang w:eastAsia="zh-CN"/>
              </w:rPr>
              <w:t>。</w:t>
            </w:r>
          </w:p>
          <w:p w14:paraId="44DEBAED">
            <w:pPr>
              <w:pStyle w:val="26"/>
              <w:spacing w:line="360" w:lineRule="auto"/>
              <w:ind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、营运期</w:t>
            </w:r>
          </w:p>
          <w:p w14:paraId="2882A5DC">
            <w:pPr>
              <w:pStyle w:val="26"/>
              <w:spacing w:line="360" w:lineRule="auto"/>
              <w:ind w:firstLineChars="20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本项目属于煤炭经营销售，只是利用固定场所贮存和销售。主要工艺流程为汽车运至煤炭场内贮存，根据客户要求，将煤炭装汽车运出即可。</w:t>
            </w:r>
            <w:r>
              <w:rPr>
                <w:rFonts w:hint="default" w:ascii="Times New Roman" w:hAnsi="Times New Roman" w:eastAsia="宋体" w:cs="Times New Roman"/>
                <w:color w:val="auto"/>
                <w:highlight w:val="none"/>
              </w:rPr>
              <w:t>项目主要生产工艺流程及产污环节见下图2-</w:t>
            </w:r>
            <w:r>
              <w:rPr>
                <w:rFonts w:hint="eastAsia" w:cs="Times New Roman"/>
                <w:color w:val="auto"/>
                <w:highlight w:val="none"/>
                <w:lang w:val="en-US" w:eastAsia="zh-CN"/>
              </w:rPr>
              <w:t>3</w:t>
            </w:r>
            <w:r>
              <w:rPr>
                <w:rFonts w:hint="eastAsia" w:ascii="Times New Roman" w:hAnsi="Times New Roman" w:eastAsia="宋体" w:cs="Times New Roman"/>
                <w:color w:val="auto"/>
                <w:highlight w:val="none"/>
                <w:lang w:val="en-US" w:eastAsia="zh-CN"/>
              </w:rPr>
              <w:t>。</w:t>
            </w:r>
          </w:p>
          <w:p w14:paraId="309ABDC6">
            <w:pPr>
              <w:pStyle w:val="26"/>
              <w:spacing w:line="360" w:lineRule="auto"/>
              <w:ind w:firstLineChars="200"/>
              <w:rPr>
                <w:rFonts w:hint="default"/>
                <w:color w:val="auto"/>
                <w:highlight w:val="none"/>
                <w:lang w:eastAsia="zh-CN"/>
              </w:rPr>
            </w:pPr>
            <w:r>
              <w:rPr>
                <w:color w:val="auto"/>
              </w:rPr>
              <w:drawing>
                <wp:inline distT="0" distB="0" distL="114300" distR="114300">
                  <wp:extent cx="4343400" cy="3352800"/>
                  <wp:effectExtent l="0" t="0" r="0" b="0"/>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16"/>
                          <a:stretch>
                            <a:fillRect/>
                          </a:stretch>
                        </pic:blipFill>
                        <pic:spPr>
                          <a:xfrm>
                            <a:off x="0" y="0"/>
                            <a:ext cx="4343400" cy="3352800"/>
                          </a:xfrm>
                          <a:prstGeom prst="rect">
                            <a:avLst/>
                          </a:prstGeom>
                          <a:noFill/>
                          <a:ln>
                            <a:noFill/>
                          </a:ln>
                        </pic:spPr>
                      </pic:pic>
                    </a:graphicData>
                  </a:graphic>
                </wp:inline>
              </w:drawing>
            </w:r>
          </w:p>
          <w:p w14:paraId="24646B30">
            <w:pPr>
              <w:jc w:val="center"/>
              <w:rPr>
                <w:rFonts w:hint="default"/>
                <w:color w:val="auto"/>
                <w:highlight w:val="none"/>
              </w:rPr>
            </w:pPr>
            <w:r>
              <w:rPr>
                <w:rFonts w:hint="default" w:ascii="Times New Roman" w:hAnsi="Times New Roman" w:eastAsia="宋体" w:cs="Times New Roman"/>
                <w:b/>
                <w:bCs/>
                <w:color w:val="auto"/>
                <w:sz w:val="24"/>
                <w:szCs w:val="24"/>
                <w:highlight w:val="none"/>
                <w:lang w:val="en-US" w:eastAsia="zh-CN"/>
              </w:rPr>
              <w:t>图2-</w:t>
            </w:r>
            <w:r>
              <w:rPr>
                <w:rFonts w:hint="eastAsia"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val="en-US" w:eastAsia="zh-CN"/>
              </w:rPr>
              <w:t xml:space="preserve">  工艺流程及产污节点图</w:t>
            </w:r>
          </w:p>
        </w:tc>
      </w:tr>
      <w:tr w14:paraId="5491A9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052" w:hRule="atLeast"/>
          <w:jc w:val="center"/>
        </w:trPr>
        <w:tc>
          <w:tcPr>
            <w:tcW w:w="731" w:type="dxa"/>
            <w:vAlign w:val="center"/>
          </w:tcPr>
          <w:p w14:paraId="2087099F">
            <w:pPr>
              <w:pStyle w:val="14"/>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bCs/>
                <w:color w:val="auto"/>
                <w:kern w:val="2"/>
                <w:szCs w:val="24"/>
                <w:highlight w:val="none"/>
              </w:rPr>
              <w:t>与项目有关的原有环境污染问题</w:t>
            </w:r>
          </w:p>
        </w:tc>
        <w:tc>
          <w:tcPr>
            <w:tcW w:w="8907" w:type="dxa"/>
            <w:vAlign w:val="center"/>
          </w:tcPr>
          <w:p w14:paraId="06A6AC2A">
            <w:pPr>
              <w:overflowPunct w:val="0"/>
              <w:spacing w:line="360" w:lineRule="auto"/>
              <w:ind w:firstLine="480" w:firstLineChars="200"/>
              <w:jc w:val="both"/>
              <w:rPr>
                <w:rFonts w:hint="eastAsia" w:eastAsia="宋体"/>
                <w:color w:val="auto"/>
                <w:sz w:val="24"/>
                <w:highlight w:val="none"/>
                <w:lang w:val="en-US" w:eastAsia="zh-CN"/>
              </w:rPr>
            </w:pPr>
            <w:r>
              <w:rPr>
                <w:rFonts w:hint="default" w:ascii="Times New Roman" w:hAnsi="Times New Roman" w:cs="Times New Roman"/>
                <w:color w:val="auto"/>
                <w:sz w:val="24"/>
                <w:highlight w:val="none"/>
              </w:rPr>
              <w:t>本项目为新建项目，</w:t>
            </w:r>
            <w:r>
              <w:rPr>
                <w:rFonts w:hint="eastAsia" w:ascii="Times New Roman" w:hAnsi="Times New Roman" w:cs="Times New Roman"/>
                <w:color w:val="auto"/>
                <w:sz w:val="24"/>
                <w:highlight w:val="none"/>
                <w:lang w:val="en-US" w:eastAsia="zh-CN"/>
              </w:rPr>
              <w:t>项目</w:t>
            </w:r>
            <w:r>
              <w:rPr>
                <w:rFonts w:hint="eastAsia" w:cs="Times New Roman"/>
                <w:color w:val="auto"/>
                <w:sz w:val="24"/>
                <w:highlight w:val="none"/>
                <w:lang w:val="en-US" w:eastAsia="zh-CN"/>
              </w:rPr>
              <w:t>无原有环境问题</w:t>
            </w:r>
            <w:r>
              <w:rPr>
                <w:rFonts w:hint="eastAsia"/>
                <w:color w:val="auto"/>
                <w:sz w:val="24"/>
                <w:highlight w:val="none"/>
                <w:lang w:eastAsia="zh-CN"/>
              </w:rPr>
              <w:t>。</w:t>
            </w:r>
          </w:p>
          <w:p w14:paraId="7FA3D318">
            <w:pPr>
              <w:overflowPunct w:val="0"/>
              <w:spacing w:line="360" w:lineRule="auto"/>
              <w:ind w:firstLine="480" w:firstLineChars="200"/>
              <w:jc w:val="both"/>
              <w:rPr>
                <w:rFonts w:hint="default" w:ascii="Times New Roman" w:hAnsi="Times New Roman" w:cs="Times New Roman"/>
                <w:color w:val="auto"/>
                <w:sz w:val="24"/>
                <w:highlight w:val="none"/>
              </w:rPr>
            </w:pPr>
          </w:p>
          <w:p w14:paraId="4D4558C2">
            <w:pPr>
              <w:overflowPunct w:val="0"/>
              <w:spacing w:line="360" w:lineRule="auto"/>
              <w:jc w:val="both"/>
              <w:rPr>
                <w:rFonts w:hint="default" w:ascii="Times New Roman" w:hAnsi="Times New Roman" w:cs="Times New Roman"/>
                <w:color w:val="auto"/>
                <w:sz w:val="24"/>
                <w:highlight w:val="none"/>
              </w:rPr>
            </w:pPr>
          </w:p>
          <w:p w14:paraId="3C9B5474">
            <w:pPr>
              <w:overflowPunct w:val="0"/>
              <w:spacing w:line="360" w:lineRule="auto"/>
              <w:ind w:firstLine="480" w:firstLineChars="200"/>
              <w:jc w:val="both"/>
              <w:rPr>
                <w:rFonts w:hint="default" w:ascii="Times New Roman" w:hAnsi="Times New Roman" w:cs="Times New Roman"/>
                <w:color w:val="auto"/>
                <w:sz w:val="24"/>
                <w:highlight w:val="none"/>
              </w:rPr>
            </w:pPr>
          </w:p>
          <w:p w14:paraId="6B161BD9">
            <w:pPr>
              <w:overflowPunct w:val="0"/>
              <w:spacing w:line="360" w:lineRule="auto"/>
              <w:ind w:firstLine="480" w:firstLineChars="200"/>
              <w:jc w:val="both"/>
              <w:rPr>
                <w:rFonts w:hint="default" w:ascii="Times New Roman" w:hAnsi="Times New Roman" w:cs="Times New Roman"/>
                <w:color w:val="auto"/>
                <w:sz w:val="24"/>
                <w:highlight w:val="none"/>
              </w:rPr>
            </w:pPr>
          </w:p>
          <w:p w14:paraId="1017F308">
            <w:pPr>
              <w:overflowPunct w:val="0"/>
              <w:spacing w:line="360" w:lineRule="auto"/>
              <w:ind w:firstLine="480" w:firstLineChars="200"/>
              <w:jc w:val="both"/>
              <w:rPr>
                <w:rFonts w:hint="default" w:ascii="Times New Roman" w:hAnsi="Times New Roman" w:cs="Times New Roman"/>
                <w:color w:val="auto"/>
                <w:sz w:val="24"/>
                <w:highlight w:val="none"/>
              </w:rPr>
            </w:pPr>
          </w:p>
          <w:p w14:paraId="6C484180">
            <w:pPr>
              <w:overflowPunct w:val="0"/>
              <w:spacing w:line="360" w:lineRule="auto"/>
              <w:ind w:firstLine="480" w:firstLineChars="200"/>
              <w:jc w:val="both"/>
              <w:rPr>
                <w:rFonts w:hint="default" w:ascii="Times New Roman" w:hAnsi="Times New Roman" w:cs="Times New Roman"/>
                <w:color w:val="auto"/>
                <w:sz w:val="24"/>
                <w:highlight w:val="none"/>
              </w:rPr>
            </w:pPr>
          </w:p>
          <w:p w14:paraId="3A28D3AD">
            <w:pPr>
              <w:overflowPunct w:val="0"/>
              <w:spacing w:line="360" w:lineRule="auto"/>
              <w:ind w:firstLine="480" w:firstLineChars="200"/>
              <w:jc w:val="both"/>
              <w:rPr>
                <w:rFonts w:hint="default" w:ascii="Times New Roman" w:hAnsi="Times New Roman" w:cs="Times New Roman"/>
                <w:color w:val="auto"/>
                <w:sz w:val="24"/>
                <w:highlight w:val="none"/>
              </w:rPr>
            </w:pPr>
          </w:p>
          <w:p w14:paraId="4464243B">
            <w:pPr>
              <w:overflowPunct w:val="0"/>
              <w:spacing w:line="360" w:lineRule="auto"/>
              <w:ind w:firstLine="480" w:firstLineChars="200"/>
              <w:jc w:val="both"/>
              <w:rPr>
                <w:rFonts w:hint="default" w:ascii="Times New Roman" w:hAnsi="Times New Roman" w:cs="Times New Roman"/>
                <w:color w:val="auto"/>
                <w:sz w:val="24"/>
                <w:highlight w:val="none"/>
              </w:rPr>
            </w:pPr>
          </w:p>
          <w:p w14:paraId="57CC0E86">
            <w:pPr>
              <w:overflowPunct w:val="0"/>
              <w:spacing w:line="360" w:lineRule="auto"/>
              <w:ind w:firstLine="480" w:firstLineChars="200"/>
              <w:jc w:val="both"/>
              <w:rPr>
                <w:rFonts w:hint="default" w:ascii="Times New Roman" w:hAnsi="Times New Roman" w:cs="Times New Roman"/>
                <w:color w:val="auto"/>
                <w:sz w:val="24"/>
                <w:highlight w:val="none"/>
              </w:rPr>
            </w:pPr>
          </w:p>
          <w:p w14:paraId="6E33AC09">
            <w:pPr>
              <w:overflowPunct w:val="0"/>
              <w:spacing w:line="360" w:lineRule="auto"/>
              <w:ind w:firstLine="480" w:firstLineChars="200"/>
              <w:jc w:val="both"/>
              <w:rPr>
                <w:rFonts w:hint="default" w:ascii="Times New Roman" w:hAnsi="Times New Roman" w:cs="Times New Roman"/>
                <w:color w:val="auto"/>
                <w:sz w:val="24"/>
                <w:highlight w:val="none"/>
              </w:rPr>
            </w:pPr>
          </w:p>
          <w:p w14:paraId="33869C23">
            <w:pPr>
              <w:overflowPunct w:val="0"/>
              <w:spacing w:line="360" w:lineRule="auto"/>
              <w:ind w:firstLine="480" w:firstLineChars="200"/>
              <w:jc w:val="both"/>
              <w:rPr>
                <w:rFonts w:hint="default" w:ascii="Times New Roman" w:hAnsi="Times New Roman" w:cs="Times New Roman"/>
                <w:color w:val="auto"/>
                <w:sz w:val="24"/>
                <w:highlight w:val="none"/>
              </w:rPr>
            </w:pPr>
          </w:p>
          <w:p w14:paraId="4872359C">
            <w:pPr>
              <w:overflowPunct w:val="0"/>
              <w:spacing w:line="360" w:lineRule="auto"/>
              <w:ind w:firstLine="480" w:firstLineChars="200"/>
              <w:jc w:val="both"/>
              <w:rPr>
                <w:rFonts w:hint="default" w:ascii="Times New Roman" w:hAnsi="Times New Roman" w:cs="Times New Roman"/>
                <w:color w:val="auto"/>
                <w:sz w:val="24"/>
                <w:highlight w:val="none"/>
              </w:rPr>
            </w:pPr>
          </w:p>
          <w:p w14:paraId="6698DB79">
            <w:pPr>
              <w:overflowPunct w:val="0"/>
              <w:spacing w:line="360" w:lineRule="auto"/>
              <w:ind w:firstLine="480" w:firstLineChars="200"/>
              <w:jc w:val="both"/>
              <w:rPr>
                <w:rFonts w:hint="default" w:ascii="Times New Roman" w:hAnsi="Times New Roman" w:cs="Times New Roman"/>
                <w:color w:val="auto"/>
                <w:sz w:val="24"/>
                <w:highlight w:val="none"/>
              </w:rPr>
            </w:pPr>
          </w:p>
          <w:p w14:paraId="7B93194E">
            <w:pPr>
              <w:overflowPunct w:val="0"/>
              <w:spacing w:line="360" w:lineRule="auto"/>
              <w:ind w:firstLine="420" w:firstLineChars="200"/>
              <w:jc w:val="both"/>
              <w:rPr>
                <w:rFonts w:hint="default" w:ascii="Times New Roman" w:hAnsi="Times New Roman" w:cs="Times New Roman"/>
                <w:color w:val="auto"/>
                <w:highlight w:val="none"/>
              </w:rPr>
            </w:pPr>
          </w:p>
        </w:tc>
      </w:tr>
    </w:tbl>
    <w:p w14:paraId="471B2278">
      <w:pPr>
        <w:pStyle w:val="14"/>
        <w:jc w:val="center"/>
        <w:rPr>
          <w:rFonts w:hint="default" w:ascii="Times New Roman" w:hAnsi="Times New Roman" w:eastAsia="黑体" w:cs="Times New Roman"/>
          <w:snapToGrid w:val="0"/>
          <w:color w:val="auto"/>
          <w:sz w:val="36"/>
          <w:szCs w:val="36"/>
          <w:highlight w:val="none"/>
        </w:rPr>
        <w:sectPr>
          <w:footerReference r:id="rId5" w:type="default"/>
          <w:pgSz w:w="11906" w:h="16838"/>
          <w:pgMar w:top="1701" w:right="1531" w:bottom="1701" w:left="1531" w:header="851" w:footer="851" w:gutter="0"/>
          <w:pgBorders>
            <w:top w:val="none" w:sz="0" w:space="0"/>
            <w:left w:val="none" w:sz="0" w:space="0"/>
            <w:bottom w:val="none" w:sz="0" w:space="0"/>
            <w:right w:val="none" w:sz="0" w:space="0"/>
          </w:pgBorders>
          <w:pgNumType w:start="1"/>
          <w:cols w:space="720" w:num="1"/>
          <w:docGrid w:linePitch="312" w:charSpace="0"/>
        </w:sectPr>
      </w:pPr>
    </w:p>
    <w:p w14:paraId="260B7F82">
      <w:pPr>
        <w:pStyle w:val="14"/>
        <w:ind w:firstLine="420" w:firstLineChars="0"/>
        <w:jc w:val="both"/>
        <w:outlineLvl w:val="0"/>
        <w:rPr>
          <w:rFonts w:hint="default" w:ascii="Times New Roman" w:hAnsi="Times New Roman" w:eastAsia="黑体" w:cs="Times New Roman"/>
          <w:snapToGrid w:val="0"/>
          <w:color w:val="auto"/>
          <w:sz w:val="30"/>
          <w:szCs w:val="30"/>
          <w:highlight w:val="none"/>
        </w:rPr>
      </w:pPr>
      <w:bookmarkStart w:id="12" w:name="_Toc25562"/>
      <w:r>
        <w:rPr>
          <w:rFonts w:hint="default" w:ascii="Times New Roman" w:hAnsi="Times New Roman" w:eastAsia="黑体" w:cs="Times New Roman"/>
          <w:snapToGrid w:val="0"/>
          <w:color w:val="auto"/>
          <w:sz w:val="30"/>
          <w:szCs w:val="30"/>
          <w:highlight w:val="none"/>
        </w:rPr>
        <w:t>三、区域环境质量现状、环境保护目标及评价标准</w:t>
      </w:r>
      <w:bookmarkEnd w:id="12"/>
    </w:p>
    <w:tbl>
      <w:tblPr>
        <w:tblStyle w:val="17"/>
        <w:tblW w:w="962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8916"/>
      </w:tblGrid>
      <w:tr w14:paraId="3A47C3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2" w:type="dxa"/>
            <w:vAlign w:val="center"/>
          </w:tcPr>
          <w:p w14:paraId="7B00EBA5">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区域</w:t>
            </w:r>
          </w:p>
          <w:p w14:paraId="06E12814">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w:t>
            </w:r>
          </w:p>
          <w:p w14:paraId="1556D38A">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质量</w:t>
            </w:r>
          </w:p>
          <w:p w14:paraId="35067025">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现状</w:t>
            </w:r>
          </w:p>
        </w:tc>
        <w:tc>
          <w:tcPr>
            <w:tcW w:w="8904" w:type="dxa"/>
          </w:tcPr>
          <w:p w14:paraId="679CD997">
            <w:pPr>
              <w:spacing w:line="360" w:lineRule="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1、大气环境</w:t>
            </w:r>
          </w:p>
          <w:p w14:paraId="36705A32">
            <w:pPr>
              <w:spacing w:line="360" w:lineRule="auto"/>
              <w:ind w:firstLine="480" w:firstLineChars="200"/>
              <w:rPr>
                <w:rFonts w:hint="default" w:ascii="Times New Roman" w:hAnsi="Times New Roman" w:eastAsia="宋体" w:cs="Times New Roman"/>
                <w:color w:val="auto"/>
                <w:kern w:val="2"/>
                <w:sz w:val="24"/>
                <w:szCs w:val="24"/>
                <w:highlight w:val="none"/>
                <w:lang w:val="zh-CN" w:eastAsia="zh-CN" w:bidi="ar-SA"/>
              </w:rPr>
            </w:pPr>
            <w:r>
              <w:rPr>
                <w:rFonts w:hint="default" w:ascii="Times New Roman" w:hAnsi="Times New Roman" w:eastAsia="宋体" w:cs="Times New Roman"/>
                <w:color w:val="auto"/>
                <w:kern w:val="2"/>
                <w:sz w:val="24"/>
                <w:szCs w:val="24"/>
                <w:highlight w:val="none"/>
                <w:lang w:val="zh-CN" w:eastAsia="zh-CN" w:bidi="ar-SA"/>
              </w:rPr>
              <w:t>（1）基本污染物</w:t>
            </w:r>
          </w:p>
          <w:p w14:paraId="2E738769">
            <w:pPr>
              <w:keepNext w:val="0"/>
              <w:keepLines w:val="0"/>
              <w:pageBreakBefore w:val="0"/>
              <w:widowControl w:val="0"/>
              <w:suppressLineNumbers w:val="0"/>
              <w:kinsoku/>
              <w:wordWrap/>
              <w:overflowPunct/>
              <w:topLinePunct w:val="0"/>
              <w:autoSpaceDE w:val="0"/>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bookmarkStart w:id="13" w:name="_Hlk113369026"/>
            <w:r>
              <w:rPr>
                <w:rFonts w:hint="eastAsia" w:ascii="Times New Roman" w:hAnsi="Times New Roman" w:eastAsia="宋体" w:cs="Times New Roman"/>
                <w:color w:val="auto"/>
                <w:kern w:val="0"/>
                <w:sz w:val="24"/>
                <w:szCs w:val="24"/>
                <w:highlight w:val="none"/>
                <w:lang w:val="en-US" w:eastAsia="zh-CN" w:bidi="ar"/>
              </w:rPr>
              <w:t>根据《202</w:t>
            </w:r>
            <w:r>
              <w:rPr>
                <w:rFonts w:hint="eastAsia" w:cs="Times New Roman"/>
                <w:color w:val="auto"/>
                <w:kern w:val="0"/>
                <w:sz w:val="24"/>
                <w:szCs w:val="24"/>
                <w:highlight w:val="none"/>
                <w:lang w:val="en-US" w:eastAsia="zh-CN" w:bidi="ar"/>
              </w:rPr>
              <w:t>4</w:t>
            </w:r>
            <w:r>
              <w:rPr>
                <w:rFonts w:hint="eastAsia" w:ascii="Times New Roman" w:hAnsi="Times New Roman" w:eastAsia="宋体" w:cs="Times New Roman"/>
                <w:color w:val="auto"/>
                <w:kern w:val="0"/>
                <w:sz w:val="24"/>
                <w:szCs w:val="24"/>
                <w:highlight w:val="none"/>
                <w:lang w:val="en-US" w:eastAsia="zh-CN" w:bidi="ar"/>
              </w:rPr>
              <w:t>年黑龙江省生态环境质量状况》，</w:t>
            </w:r>
            <w:r>
              <w:rPr>
                <w:rFonts w:hint="default" w:ascii="Times New Roman" w:hAnsi="Times New Roman" w:eastAsia="宋体" w:cs="Times New Roman"/>
                <w:color w:val="auto"/>
                <w:kern w:val="0"/>
                <w:sz w:val="24"/>
                <w:szCs w:val="24"/>
                <w:highlight w:val="none"/>
                <w:lang w:val="en-US" w:eastAsia="zh-CN" w:bidi="ar"/>
              </w:rPr>
              <w:t>鸡西市202</w:t>
            </w:r>
            <w:r>
              <w:rPr>
                <w:rFonts w:hint="eastAsia" w:cs="Times New Roman"/>
                <w:color w:val="auto"/>
                <w:kern w:val="0"/>
                <w:sz w:val="24"/>
                <w:szCs w:val="24"/>
                <w:highlight w:val="none"/>
                <w:lang w:val="en-US" w:eastAsia="zh-CN" w:bidi="ar"/>
              </w:rPr>
              <w:t>4</w:t>
            </w:r>
            <w:r>
              <w:rPr>
                <w:rFonts w:hint="default" w:ascii="Times New Roman" w:hAnsi="Times New Roman" w:eastAsia="宋体" w:cs="Times New Roman"/>
                <w:color w:val="auto"/>
                <w:kern w:val="0"/>
                <w:sz w:val="24"/>
                <w:szCs w:val="24"/>
                <w:highlight w:val="none"/>
                <w:lang w:val="en-US" w:eastAsia="zh-CN" w:bidi="ar"/>
              </w:rPr>
              <w:t>年鸡西市空气质量级别</w:t>
            </w:r>
            <w:r>
              <w:rPr>
                <w:rFonts w:hint="eastAsia" w:cs="Times New Roman"/>
                <w:color w:val="auto"/>
                <w:kern w:val="0"/>
                <w:sz w:val="24"/>
                <w:szCs w:val="24"/>
                <w:highlight w:val="none"/>
                <w:lang w:val="en-US" w:eastAsia="zh-CN" w:bidi="ar"/>
              </w:rPr>
              <w:t>达到</w:t>
            </w:r>
            <w:r>
              <w:rPr>
                <w:rFonts w:hint="default" w:ascii="Times New Roman" w:hAnsi="Times New Roman" w:eastAsia="宋体" w:cs="Times New Roman"/>
                <w:color w:val="auto"/>
                <w:kern w:val="0"/>
                <w:sz w:val="24"/>
                <w:szCs w:val="24"/>
                <w:highlight w:val="none"/>
                <w:lang w:val="en-US" w:eastAsia="zh-CN" w:bidi="ar"/>
              </w:rPr>
              <w:t>二级标准，达标天数为34</w:t>
            </w:r>
            <w:r>
              <w:rPr>
                <w:rFonts w:hint="eastAsia" w:cs="Times New Roman"/>
                <w:color w:val="auto"/>
                <w:kern w:val="0"/>
                <w:sz w:val="24"/>
                <w:szCs w:val="24"/>
                <w:highlight w:val="none"/>
                <w:lang w:val="en-US" w:eastAsia="zh-CN" w:bidi="ar"/>
              </w:rPr>
              <w:t>8</w:t>
            </w:r>
            <w:r>
              <w:rPr>
                <w:rFonts w:hint="default" w:ascii="Times New Roman" w:hAnsi="Times New Roman" w:eastAsia="宋体" w:cs="Times New Roman"/>
                <w:color w:val="auto"/>
                <w:kern w:val="0"/>
                <w:sz w:val="24"/>
                <w:szCs w:val="24"/>
                <w:highlight w:val="none"/>
                <w:lang w:val="en-US" w:eastAsia="zh-CN" w:bidi="ar"/>
              </w:rPr>
              <w:t>天(95.</w:t>
            </w:r>
            <w:r>
              <w:rPr>
                <w:rFonts w:hint="eastAsia" w:cs="Times New Roman"/>
                <w:color w:val="auto"/>
                <w:kern w:val="0"/>
                <w:sz w:val="24"/>
                <w:szCs w:val="24"/>
                <w:highlight w:val="none"/>
                <w:lang w:val="en-US" w:eastAsia="zh-CN" w:bidi="ar"/>
              </w:rPr>
              <w:t>1</w:t>
            </w:r>
            <w:r>
              <w:rPr>
                <w:rFonts w:hint="default" w:ascii="Times New Roman" w:hAnsi="Times New Roman" w:eastAsia="宋体" w:cs="Times New Roman"/>
                <w:color w:val="auto"/>
                <w:kern w:val="0"/>
                <w:sz w:val="24"/>
                <w:szCs w:val="24"/>
                <w:highlight w:val="none"/>
                <w:lang w:val="en-US" w:eastAsia="zh-CN" w:bidi="ar"/>
              </w:rPr>
              <w:t>%)。PM</w:t>
            </w:r>
            <w:r>
              <w:rPr>
                <w:rFonts w:hint="default" w:ascii="Times New Roman" w:hAnsi="Times New Roman" w:eastAsia="宋体" w:cs="Times New Roman"/>
                <w:color w:val="auto"/>
                <w:kern w:val="0"/>
                <w:sz w:val="24"/>
                <w:szCs w:val="24"/>
                <w:highlight w:val="none"/>
                <w:vertAlign w:val="subscript"/>
                <w:lang w:val="en-US" w:eastAsia="zh-CN" w:bidi="ar"/>
              </w:rPr>
              <w:t>2.5</w:t>
            </w:r>
            <w:r>
              <w:rPr>
                <w:rFonts w:hint="default" w:ascii="Times New Roman" w:hAnsi="Times New Roman" w:eastAsia="宋体" w:cs="Times New Roman"/>
                <w:color w:val="auto"/>
                <w:kern w:val="0"/>
                <w:sz w:val="24"/>
                <w:szCs w:val="24"/>
                <w:highlight w:val="none"/>
                <w:lang w:val="en-US" w:eastAsia="zh-CN" w:bidi="ar"/>
              </w:rPr>
              <w:t>、PM</w:t>
            </w:r>
            <w:r>
              <w:rPr>
                <w:rFonts w:hint="default" w:ascii="Times New Roman" w:hAnsi="Times New Roman" w:eastAsia="宋体" w:cs="Times New Roman"/>
                <w:color w:val="auto"/>
                <w:kern w:val="0"/>
                <w:sz w:val="24"/>
                <w:szCs w:val="24"/>
                <w:highlight w:val="none"/>
                <w:vertAlign w:val="subscript"/>
                <w:lang w:val="en-US" w:eastAsia="zh-CN" w:bidi="ar"/>
              </w:rPr>
              <w:t>10</w:t>
            </w:r>
            <w:r>
              <w:rPr>
                <w:rFonts w:hint="default" w:ascii="Times New Roman" w:hAnsi="Times New Roman" w:eastAsia="宋体" w:cs="Times New Roman"/>
                <w:color w:val="auto"/>
                <w:kern w:val="0"/>
                <w:sz w:val="24"/>
                <w:szCs w:val="24"/>
                <w:highlight w:val="none"/>
                <w:lang w:val="en-US" w:eastAsia="zh-CN" w:bidi="ar"/>
              </w:rPr>
              <w:t>、SO</w:t>
            </w:r>
            <w:r>
              <w:rPr>
                <w:rFonts w:hint="default" w:ascii="Times New Roman" w:hAnsi="Times New Roman" w:eastAsia="宋体" w:cs="Times New Roman"/>
                <w:color w:val="auto"/>
                <w:kern w:val="0"/>
                <w:sz w:val="24"/>
                <w:szCs w:val="24"/>
                <w:highlight w:val="none"/>
                <w:vertAlign w:val="sub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、NO</w:t>
            </w:r>
            <w:r>
              <w:rPr>
                <w:rFonts w:hint="default" w:ascii="Times New Roman" w:hAnsi="Times New Roman" w:eastAsia="宋体" w:cs="Times New Roman"/>
                <w:color w:val="auto"/>
                <w:kern w:val="0"/>
                <w:sz w:val="24"/>
                <w:szCs w:val="24"/>
                <w:highlight w:val="none"/>
                <w:vertAlign w:val="sub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、CO-95per和O</w:t>
            </w:r>
            <w:r>
              <w:rPr>
                <w:rFonts w:hint="default" w:ascii="Times New Roman" w:hAnsi="Times New Roman" w:eastAsia="宋体" w:cs="Times New Roman"/>
                <w:color w:val="auto"/>
                <w:kern w:val="0"/>
                <w:sz w:val="24"/>
                <w:szCs w:val="24"/>
                <w:highlight w:val="none"/>
                <w:vertAlign w:val="sub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-8h-90per年均浓度分别为2</w:t>
            </w:r>
            <w:r>
              <w:rPr>
                <w:rFonts w:hint="eastAsia" w:cs="Times New Roman"/>
                <w:color w:val="auto"/>
                <w:kern w:val="0"/>
                <w:sz w:val="24"/>
                <w:szCs w:val="24"/>
                <w:highlight w:val="none"/>
                <w:lang w:val="en-US" w:eastAsia="zh-CN" w:bidi="ar"/>
              </w:rPr>
              <w:t>7</w:t>
            </w:r>
            <w:r>
              <w:rPr>
                <w:rFonts w:hint="default" w:ascii="Times New Roman" w:hAnsi="Times New Roman" w:eastAsia="宋体" w:cs="Times New Roman"/>
                <w:color w:val="auto"/>
                <w:kern w:val="0"/>
                <w:sz w:val="24"/>
                <w:szCs w:val="24"/>
                <w:highlight w:val="none"/>
                <w:lang w:val="en-US" w:eastAsia="zh-CN" w:bidi="ar"/>
              </w:rPr>
              <w:t>μg/m³、</w:t>
            </w:r>
            <w:r>
              <w:rPr>
                <w:rFonts w:hint="eastAsia" w:cs="Times New Roman"/>
                <w:color w:val="auto"/>
                <w:kern w:val="0"/>
                <w:sz w:val="24"/>
                <w:szCs w:val="24"/>
                <w:highlight w:val="none"/>
                <w:lang w:val="en-US" w:eastAsia="zh-CN" w:bidi="ar"/>
              </w:rPr>
              <w:t>46</w:t>
            </w:r>
            <w:r>
              <w:rPr>
                <w:rFonts w:hint="default" w:ascii="Times New Roman" w:hAnsi="Times New Roman" w:eastAsia="宋体" w:cs="Times New Roman"/>
                <w:color w:val="auto"/>
                <w:kern w:val="0"/>
                <w:sz w:val="24"/>
                <w:szCs w:val="24"/>
                <w:highlight w:val="none"/>
                <w:lang w:val="en-US" w:eastAsia="zh-CN" w:bidi="ar"/>
              </w:rPr>
              <w:t>μg/m³、8μg/m³、</w:t>
            </w:r>
            <w:r>
              <w:rPr>
                <w:rFonts w:hint="eastAsia" w:cs="Times New Roman"/>
                <w:color w:val="auto"/>
                <w:kern w:val="0"/>
                <w:sz w:val="24"/>
                <w:szCs w:val="24"/>
                <w:highlight w:val="none"/>
                <w:lang w:val="en-US" w:eastAsia="zh-CN" w:bidi="ar"/>
              </w:rPr>
              <w:t>17</w:t>
            </w:r>
            <w:r>
              <w:rPr>
                <w:rFonts w:hint="default" w:ascii="Times New Roman" w:hAnsi="Times New Roman" w:eastAsia="宋体" w:cs="Times New Roman"/>
                <w:color w:val="auto"/>
                <w:kern w:val="0"/>
                <w:sz w:val="24"/>
                <w:szCs w:val="24"/>
                <w:highlight w:val="none"/>
                <w:lang w:val="en-US" w:eastAsia="zh-CN" w:bidi="ar"/>
              </w:rPr>
              <w:t>μg/m³、1.0mg/m³和9</w:t>
            </w:r>
            <w:r>
              <w:rPr>
                <w:rFonts w:hint="eastAsia" w:cs="Times New Roman"/>
                <w:color w:val="auto"/>
                <w:kern w:val="0"/>
                <w:sz w:val="24"/>
                <w:szCs w:val="24"/>
                <w:highlight w:val="none"/>
                <w:lang w:val="en-US" w:eastAsia="zh-CN" w:bidi="ar"/>
              </w:rPr>
              <w:t>0</w:t>
            </w:r>
            <w:r>
              <w:rPr>
                <w:rFonts w:hint="default" w:ascii="Times New Roman" w:hAnsi="Times New Roman" w:eastAsia="宋体" w:cs="Times New Roman"/>
                <w:color w:val="auto"/>
                <w:kern w:val="0"/>
                <w:sz w:val="24"/>
                <w:szCs w:val="24"/>
                <w:highlight w:val="none"/>
                <w:lang w:val="en-US" w:eastAsia="zh-CN" w:bidi="ar"/>
              </w:rPr>
              <w:t>μg/m³</w:t>
            </w:r>
            <w:r>
              <w:rPr>
                <w:rFonts w:hint="eastAsia" w:ascii="Times New Roman" w:hAnsi="Times New Roman" w:eastAsia="宋体" w:cs="Times New Roman"/>
                <w:color w:val="auto"/>
                <w:kern w:val="0"/>
                <w:sz w:val="24"/>
                <w:szCs w:val="24"/>
                <w:highlight w:val="none"/>
                <w:lang w:val="en-US" w:eastAsia="zh-CN" w:bidi="ar"/>
              </w:rPr>
              <w:t>。</w:t>
            </w:r>
          </w:p>
          <w:p w14:paraId="78F504E0">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ascii="Times New Roman" w:hAnsi="Times New Roman" w:eastAsia="黑体" w:cs="Times New Roman"/>
                <w:snapToGrid w:val="0"/>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表3-1  鸡西市20</w:t>
            </w:r>
            <w:r>
              <w:rPr>
                <w:rFonts w:hint="eastAsia" w:ascii="Times New Roman" w:hAnsi="Times New Roman" w:eastAsia="宋体" w:cs="Times New Roman"/>
                <w:b/>
                <w:bCs/>
                <w:color w:val="auto"/>
                <w:sz w:val="24"/>
                <w:szCs w:val="24"/>
                <w:highlight w:val="none"/>
                <w:lang w:val="en-US" w:eastAsia="zh-CN"/>
              </w:rPr>
              <w:t>24</w:t>
            </w:r>
            <w:r>
              <w:rPr>
                <w:rFonts w:hint="default" w:ascii="Times New Roman" w:hAnsi="Times New Roman" w:eastAsia="宋体" w:cs="Times New Roman"/>
                <w:b/>
                <w:bCs/>
                <w:color w:val="auto"/>
                <w:sz w:val="24"/>
                <w:szCs w:val="24"/>
                <w:highlight w:val="none"/>
                <w:lang w:val="en-US" w:eastAsia="zh-CN"/>
              </w:rPr>
              <w:t xml:space="preserve">年生态环境状况公报统计表 </w:t>
            </w:r>
            <w:r>
              <w:rPr>
                <w:rFonts w:hint="default" w:ascii="Times New Roman" w:hAnsi="Times New Roman" w:eastAsia="黑体" w:cs="Times New Roman"/>
                <w:snapToGrid w:val="0"/>
                <w:color w:val="auto"/>
                <w:sz w:val="24"/>
                <w:szCs w:val="24"/>
                <w:highlight w:val="none"/>
                <w:lang w:val="en-US" w:eastAsia="zh-CN"/>
              </w:rPr>
              <w:t xml:space="preserve">  单位：μg/m</w:t>
            </w:r>
            <w:r>
              <w:rPr>
                <w:rFonts w:hint="default" w:ascii="Times New Roman" w:hAnsi="Times New Roman" w:eastAsia="黑体" w:cs="Times New Roman"/>
                <w:snapToGrid w:val="0"/>
                <w:color w:val="auto"/>
                <w:sz w:val="24"/>
                <w:szCs w:val="24"/>
                <w:highlight w:val="none"/>
                <w:vertAlign w:val="superscript"/>
                <w:lang w:val="en-US" w:eastAsia="zh-CN"/>
              </w:rPr>
              <w:t>3</w:t>
            </w:r>
          </w:p>
          <w:tbl>
            <w:tblPr>
              <w:tblStyle w:val="1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8"/>
              <w:gridCol w:w="1133"/>
              <w:gridCol w:w="2350"/>
              <w:gridCol w:w="999"/>
              <w:gridCol w:w="1159"/>
              <w:gridCol w:w="1229"/>
              <w:gridCol w:w="1157"/>
            </w:tblGrid>
            <w:tr w14:paraId="29D44E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384" w:type="pct"/>
                  <w:tcBorders>
                    <w:tl2br w:val="nil"/>
                    <w:tr2bl w:val="nil"/>
                  </w:tcBorders>
                  <w:noWrap w:val="0"/>
                  <w:vAlign w:val="center"/>
                </w:tcPr>
                <w:p w14:paraId="3C5A1FB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eastAsia="zh-CN"/>
                    </w:rPr>
                  </w:pPr>
                  <w:r>
                    <w:rPr>
                      <w:rFonts w:hint="default" w:ascii="Times New Roman" w:hAnsi="Times New Roman" w:eastAsia="宋体" w:cs="Times New Roman"/>
                      <w:color w:val="auto"/>
                      <w:kern w:val="2"/>
                      <w:sz w:val="21"/>
                      <w:szCs w:val="21"/>
                      <w:highlight w:val="none"/>
                      <w:vertAlign w:val="baseline"/>
                      <w:lang w:eastAsia="zh-CN"/>
                    </w:rPr>
                    <w:t>序号</w:t>
                  </w:r>
                </w:p>
              </w:tc>
              <w:tc>
                <w:tcPr>
                  <w:tcW w:w="651" w:type="pct"/>
                  <w:tcBorders>
                    <w:tl2br w:val="nil"/>
                    <w:tr2bl w:val="nil"/>
                  </w:tcBorders>
                  <w:noWrap w:val="0"/>
                  <w:vAlign w:val="center"/>
                </w:tcPr>
                <w:p w14:paraId="3A3AFFC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eastAsia="zh-CN"/>
                    </w:rPr>
                  </w:pPr>
                  <w:r>
                    <w:rPr>
                      <w:rFonts w:hint="default" w:ascii="Times New Roman" w:hAnsi="Times New Roman" w:eastAsia="宋体" w:cs="Times New Roman"/>
                      <w:color w:val="auto"/>
                      <w:kern w:val="2"/>
                      <w:sz w:val="21"/>
                      <w:szCs w:val="21"/>
                      <w:highlight w:val="none"/>
                      <w:vertAlign w:val="baseline"/>
                      <w:lang w:eastAsia="zh-CN"/>
                    </w:rPr>
                    <w:t>污染因子</w:t>
                  </w:r>
                </w:p>
              </w:tc>
              <w:tc>
                <w:tcPr>
                  <w:tcW w:w="1350" w:type="pct"/>
                  <w:tcBorders>
                    <w:tl2br w:val="nil"/>
                    <w:tr2bl w:val="nil"/>
                  </w:tcBorders>
                  <w:noWrap w:val="0"/>
                  <w:vAlign w:val="center"/>
                </w:tcPr>
                <w:p w14:paraId="7F39B71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eastAsia="zh-CN"/>
                    </w:rPr>
                    <w:t>数值</w:t>
                  </w:r>
                </w:p>
              </w:tc>
              <w:tc>
                <w:tcPr>
                  <w:tcW w:w="574" w:type="pct"/>
                  <w:tcBorders>
                    <w:tl2br w:val="nil"/>
                    <w:tr2bl w:val="nil"/>
                  </w:tcBorders>
                  <w:noWrap w:val="0"/>
                  <w:vAlign w:val="center"/>
                </w:tcPr>
                <w:p w14:paraId="046AA77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eastAsia="zh-CN"/>
                    </w:rPr>
                  </w:pPr>
                  <w:r>
                    <w:rPr>
                      <w:rFonts w:hint="default" w:ascii="Times New Roman" w:hAnsi="Times New Roman" w:eastAsia="宋体" w:cs="Times New Roman"/>
                      <w:color w:val="auto"/>
                      <w:kern w:val="2"/>
                      <w:sz w:val="21"/>
                      <w:szCs w:val="21"/>
                      <w:highlight w:val="none"/>
                      <w:vertAlign w:val="baseline"/>
                      <w:lang w:val="en-US" w:eastAsia="zh-CN"/>
                    </w:rPr>
                    <w:t>20</w:t>
                  </w:r>
                  <w:r>
                    <w:rPr>
                      <w:rFonts w:hint="eastAsia" w:ascii="Times New Roman" w:hAnsi="Times New Roman" w:eastAsia="宋体" w:cs="Times New Roman"/>
                      <w:color w:val="auto"/>
                      <w:kern w:val="2"/>
                      <w:sz w:val="21"/>
                      <w:szCs w:val="21"/>
                      <w:highlight w:val="none"/>
                      <w:vertAlign w:val="baseline"/>
                      <w:lang w:val="en-US" w:eastAsia="zh-CN"/>
                    </w:rPr>
                    <w:t>2</w:t>
                  </w:r>
                  <w:r>
                    <w:rPr>
                      <w:rFonts w:hint="eastAsia" w:cs="Times New Roman"/>
                      <w:color w:val="auto"/>
                      <w:kern w:val="2"/>
                      <w:sz w:val="21"/>
                      <w:szCs w:val="21"/>
                      <w:highlight w:val="none"/>
                      <w:vertAlign w:val="baseline"/>
                      <w:lang w:val="en-US" w:eastAsia="zh-CN"/>
                    </w:rPr>
                    <w:t>4</w:t>
                  </w:r>
                  <w:r>
                    <w:rPr>
                      <w:rFonts w:hint="default" w:ascii="Times New Roman" w:hAnsi="Times New Roman" w:eastAsia="宋体" w:cs="Times New Roman"/>
                      <w:color w:val="auto"/>
                      <w:kern w:val="2"/>
                      <w:sz w:val="21"/>
                      <w:szCs w:val="21"/>
                      <w:highlight w:val="none"/>
                      <w:vertAlign w:val="baseline"/>
                      <w:lang w:val="en-US" w:eastAsia="zh-CN"/>
                    </w:rPr>
                    <w:t>年</w:t>
                  </w:r>
                </w:p>
              </w:tc>
              <w:tc>
                <w:tcPr>
                  <w:tcW w:w="666" w:type="pct"/>
                  <w:tcBorders>
                    <w:tl2br w:val="nil"/>
                    <w:tr2bl w:val="nil"/>
                  </w:tcBorders>
                  <w:noWrap w:val="0"/>
                  <w:vAlign w:val="center"/>
                </w:tcPr>
                <w:p w14:paraId="483F387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标准值</w:t>
                  </w:r>
                </w:p>
              </w:tc>
              <w:tc>
                <w:tcPr>
                  <w:tcW w:w="706" w:type="pct"/>
                  <w:tcBorders>
                    <w:tl2br w:val="nil"/>
                    <w:tr2bl w:val="nil"/>
                  </w:tcBorders>
                  <w:noWrap w:val="0"/>
                  <w:vAlign w:val="center"/>
                </w:tcPr>
                <w:p w14:paraId="236123A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占标率%</w:t>
                  </w:r>
                </w:p>
              </w:tc>
              <w:tc>
                <w:tcPr>
                  <w:tcW w:w="665" w:type="pct"/>
                  <w:tcBorders>
                    <w:tl2br w:val="nil"/>
                    <w:tr2bl w:val="nil"/>
                  </w:tcBorders>
                  <w:noWrap w:val="0"/>
                  <w:vAlign w:val="center"/>
                </w:tcPr>
                <w:p w14:paraId="4FE80FB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达标情况</w:t>
                  </w:r>
                </w:p>
              </w:tc>
            </w:tr>
            <w:tr w14:paraId="258F4A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384" w:type="pct"/>
                  <w:tcBorders>
                    <w:tl2br w:val="nil"/>
                    <w:tr2bl w:val="nil"/>
                  </w:tcBorders>
                  <w:noWrap w:val="0"/>
                  <w:vAlign w:val="center"/>
                </w:tcPr>
                <w:p w14:paraId="5842496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pacing w:val="-4"/>
                      <w:sz w:val="21"/>
                      <w:szCs w:val="21"/>
                      <w:highlight w:val="none"/>
                      <w:lang w:val="en-US" w:eastAsia="zh-CN"/>
                    </w:rPr>
                  </w:pPr>
                  <w:r>
                    <w:rPr>
                      <w:rFonts w:hint="default" w:ascii="Times New Roman" w:hAnsi="Times New Roman" w:eastAsia="宋体" w:cs="Times New Roman"/>
                      <w:color w:val="auto"/>
                      <w:spacing w:val="-4"/>
                      <w:sz w:val="21"/>
                      <w:szCs w:val="21"/>
                      <w:highlight w:val="none"/>
                      <w:lang w:val="en-US" w:eastAsia="zh-CN"/>
                    </w:rPr>
                    <w:t>1</w:t>
                  </w:r>
                </w:p>
              </w:tc>
              <w:tc>
                <w:tcPr>
                  <w:tcW w:w="651" w:type="pct"/>
                  <w:tcBorders>
                    <w:tl2br w:val="nil"/>
                    <w:tr2bl w:val="nil"/>
                  </w:tcBorders>
                  <w:noWrap w:val="0"/>
                  <w:vAlign w:val="center"/>
                </w:tcPr>
                <w:p w14:paraId="1A474C16">
                  <w:pPr>
                    <w:pStyle w:val="32"/>
                    <w:jc w:val="center"/>
                    <w:rPr>
                      <w:rFonts w:hint="default" w:ascii="Times New Roman" w:hAnsi="Times New Roman" w:eastAsia="宋体" w:cs="Times New Roman"/>
                      <w:color w:val="auto"/>
                      <w:kern w:val="2"/>
                      <w:sz w:val="21"/>
                      <w:szCs w:val="21"/>
                      <w:highlight w:val="none"/>
                      <w:vertAlign w:val="baseline"/>
                      <w:lang w:eastAsia="zh-CN"/>
                    </w:rPr>
                  </w:pPr>
                  <w:r>
                    <w:rPr>
                      <w:rFonts w:ascii="Times New Roman Regular" w:hAnsi="Times New Roman Regular" w:cs="Times New Roman Regular"/>
                      <w:color w:val="auto"/>
                      <w:position w:val="3"/>
                      <w:sz w:val="21"/>
                      <w:szCs w:val="21"/>
                      <w:highlight w:val="none"/>
                    </w:rPr>
                    <w:t>PM</w:t>
                  </w:r>
                  <w:r>
                    <w:rPr>
                      <w:rFonts w:ascii="Times New Roman Regular" w:hAnsi="Times New Roman Regular" w:cs="Times New Roman Regular"/>
                      <w:color w:val="auto"/>
                      <w:sz w:val="21"/>
                      <w:szCs w:val="21"/>
                      <w:highlight w:val="none"/>
                      <w:vertAlign w:val="subscript"/>
                    </w:rPr>
                    <w:t>2.5</w:t>
                  </w:r>
                </w:p>
              </w:tc>
              <w:tc>
                <w:tcPr>
                  <w:tcW w:w="1350" w:type="pct"/>
                  <w:tcBorders>
                    <w:tl2br w:val="nil"/>
                    <w:tr2bl w:val="nil"/>
                  </w:tcBorders>
                  <w:noWrap w:val="0"/>
                  <w:vAlign w:val="center"/>
                </w:tcPr>
                <w:p w14:paraId="0B90B9E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eastAsia="zh-CN"/>
                    </w:rPr>
                  </w:pPr>
                  <w:r>
                    <w:rPr>
                      <w:rFonts w:hint="default" w:ascii="Times New Roman" w:hAnsi="Times New Roman" w:eastAsia="宋体" w:cs="Times New Roman"/>
                      <w:color w:val="auto"/>
                      <w:kern w:val="2"/>
                      <w:sz w:val="21"/>
                      <w:szCs w:val="21"/>
                      <w:highlight w:val="none"/>
                      <w:vertAlign w:val="baseline"/>
                      <w:lang w:eastAsia="zh-CN"/>
                    </w:rPr>
                    <w:t>年平均质量浓度</w:t>
                  </w:r>
                </w:p>
              </w:tc>
              <w:tc>
                <w:tcPr>
                  <w:tcW w:w="574" w:type="pct"/>
                  <w:tcBorders>
                    <w:tl2br w:val="nil"/>
                    <w:tr2bl w:val="nil"/>
                  </w:tcBorders>
                  <w:noWrap w:val="0"/>
                  <w:vAlign w:val="center"/>
                </w:tcPr>
                <w:p w14:paraId="04AA21F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27</w:t>
                  </w:r>
                </w:p>
              </w:tc>
              <w:tc>
                <w:tcPr>
                  <w:tcW w:w="666" w:type="pct"/>
                  <w:tcBorders>
                    <w:tl2br w:val="nil"/>
                    <w:tr2bl w:val="nil"/>
                  </w:tcBorders>
                  <w:noWrap w:val="0"/>
                  <w:vAlign w:val="center"/>
                </w:tcPr>
                <w:p w14:paraId="7E4385EC">
                  <w:pPr>
                    <w:jc w:val="center"/>
                    <w:rPr>
                      <w:rFonts w:hint="default" w:ascii="Times New Roman" w:hAnsi="Times New Roman" w:eastAsia="宋体" w:cs="Times New Roman"/>
                      <w:color w:val="auto"/>
                      <w:kern w:val="2"/>
                      <w:sz w:val="21"/>
                      <w:szCs w:val="21"/>
                      <w:highlight w:val="none"/>
                      <w:vertAlign w:val="baseline"/>
                      <w:lang w:val="en-US" w:eastAsia="zh-CN"/>
                    </w:rPr>
                  </w:pPr>
                  <w:r>
                    <w:rPr>
                      <w:rFonts w:ascii="Times New Roman Regular" w:hAnsi="Times New Roman Regular" w:cs="Times New Roman Regular"/>
                      <w:color w:val="auto"/>
                      <w:kern w:val="0"/>
                      <w:szCs w:val="21"/>
                      <w:highlight w:val="none"/>
                      <w:lang w:bidi="ar"/>
                    </w:rPr>
                    <w:t>35</w:t>
                  </w:r>
                </w:p>
              </w:tc>
              <w:tc>
                <w:tcPr>
                  <w:tcW w:w="706" w:type="pct"/>
                  <w:tcBorders>
                    <w:tl2br w:val="nil"/>
                    <w:tr2bl w:val="nil"/>
                  </w:tcBorders>
                  <w:noWrap w:val="0"/>
                  <w:vAlign w:val="center"/>
                </w:tcPr>
                <w:p w14:paraId="76FADF69">
                  <w:pPr>
                    <w:jc w:val="center"/>
                    <w:rPr>
                      <w:rFonts w:hint="default" w:ascii="Times New Roman" w:hAnsi="Times New Roman" w:eastAsia="宋体" w:cs="Times New Roman"/>
                      <w:color w:val="auto"/>
                      <w:kern w:val="2"/>
                      <w:sz w:val="21"/>
                      <w:szCs w:val="21"/>
                      <w:highlight w:val="none"/>
                      <w:vertAlign w:val="baseline"/>
                      <w:lang w:val="en-US" w:eastAsia="zh-CN"/>
                    </w:rPr>
                  </w:pPr>
                  <w:r>
                    <w:rPr>
                      <w:rFonts w:hint="eastAsia" w:ascii="Times New Roman Regular" w:hAnsi="Times New Roman Regular" w:cs="Times New Roman Regular"/>
                      <w:color w:val="auto"/>
                      <w:kern w:val="0"/>
                      <w:szCs w:val="21"/>
                      <w:highlight w:val="none"/>
                      <w:lang w:val="en-US" w:eastAsia="zh-CN" w:bidi="ar"/>
                    </w:rPr>
                    <w:t>77.14</w:t>
                  </w:r>
                  <w:r>
                    <w:rPr>
                      <w:rFonts w:ascii="Times New Roman Regular" w:hAnsi="Times New Roman Regular" w:cs="Times New Roman Regular"/>
                      <w:color w:val="auto"/>
                      <w:kern w:val="0"/>
                      <w:szCs w:val="21"/>
                      <w:highlight w:val="none"/>
                      <w:lang w:bidi="ar"/>
                    </w:rPr>
                    <w:t>%</w:t>
                  </w:r>
                </w:p>
              </w:tc>
              <w:tc>
                <w:tcPr>
                  <w:tcW w:w="665" w:type="pct"/>
                  <w:vMerge w:val="restart"/>
                  <w:tcBorders>
                    <w:tl2br w:val="nil"/>
                    <w:tr2bl w:val="nil"/>
                  </w:tcBorders>
                  <w:noWrap w:val="0"/>
                  <w:vAlign w:val="center"/>
                </w:tcPr>
                <w:p w14:paraId="0573160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达标</w:t>
                  </w:r>
                </w:p>
              </w:tc>
            </w:tr>
            <w:tr w14:paraId="433CF0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384" w:type="pct"/>
                  <w:tcBorders>
                    <w:tl2br w:val="nil"/>
                    <w:tr2bl w:val="nil"/>
                  </w:tcBorders>
                  <w:noWrap w:val="0"/>
                  <w:vAlign w:val="center"/>
                </w:tcPr>
                <w:p w14:paraId="01F8F98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pacing w:val="-4"/>
                      <w:sz w:val="21"/>
                      <w:szCs w:val="21"/>
                      <w:highlight w:val="none"/>
                      <w:lang w:val="en-US" w:eastAsia="zh-CN"/>
                    </w:rPr>
                  </w:pPr>
                  <w:r>
                    <w:rPr>
                      <w:rFonts w:hint="default" w:ascii="Times New Roman" w:hAnsi="Times New Roman" w:eastAsia="宋体" w:cs="Times New Roman"/>
                      <w:color w:val="auto"/>
                      <w:spacing w:val="-4"/>
                      <w:sz w:val="21"/>
                      <w:szCs w:val="21"/>
                      <w:highlight w:val="none"/>
                      <w:lang w:val="en-US" w:eastAsia="zh-CN"/>
                    </w:rPr>
                    <w:t>2</w:t>
                  </w:r>
                </w:p>
              </w:tc>
              <w:tc>
                <w:tcPr>
                  <w:tcW w:w="651" w:type="pct"/>
                  <w:tcBorders>
                    <w:tl2br w:val="nil"/>
                    <w:tr2bl w:val="nil"/>
                  </w:tcBorders>
                  <w:noWrap w:val="0"/>
                  <w:vAlign w:val="center"/>
                </w:tcPr>
                <w:p w14:paraId="5511FE3B">
                  <w:pPr>
                    <w:pStyle w:val="32"/>
                    <w:jc w:val="center"/>
                    <w:rPr>
                      <w:rFonts w:hint="default" w:ascii="Times New Roman" w:hAnsi="Times New Roman" w:eastAsia="宋体" w:cs="Times New Roman"/>
                      <w:color w:val="auto"/>
                      <w:kern w:val="2"/>
                      <w:sz w:val="21"/>
                      <w:szCs w:val="21"/>
                      <w:highlight w:val="none"/>
                      <w:vertAlign w:val="baseline"/>
                      <w:lang w:eastAsia="zh-CN"/>
                    </w:rPr>
                  </w:pPr>
                  <w:r>
                    <w:rPr>
                      <w:rFonts w:ascii="Times New Roman Regular" w:hAnsi="Times New Roman Regular" w:cs="Times New Roman Regular"/>
                      <w:color w:val="auto"/>
                      <w:sz w:val="21"/>
                      <w:szCs w:val="21"/>
                      <w:highlight w:val="none"/>
                    </w:rPr>
                    <w:t>PM</w:t>
                  </w:r>
                  <w:r>
                    <w:rPr>
                      <w:rFonts w:ascii="Times New Roman Regular" w:hAnsi="Times New Roman Regular" w:cs="Times New Roman Regular"/>
                      <w:color w:val="auto"/>
                      <w:sz w:val="21"/>
                      <w:szCs w:val="21"/>
                      <w:highlight w:val="none"/>
                      <w:vertAlign w:val="subscript"/>
                    </w:rPr>
                    <w:t>10</w:t>
                  </w:r>
                </w:p>
              </w:tc>
              <w:tc>
                <w:tcPr>
                  <w:tcW w:w="1350" w:type="pct"/>
                  <w:tcBorders>
                    <w:tl2br w:val="nil"/>
                    <w:tr2bl w:val="nil"/>
                  </w:tcBorders>
                  <w:noWrap w:val="0"/>
                  <w:vAlign w:val="center"/>
                </w:tcPr>
                <w:p w14:paraId="3099A30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eastAsia="zh-CN"/>
                    </w:rPr>
                  </w:pPr>
                  <w:r>
                    <w:rPr>
                      <w:rFonts w:hint="default" w:ascii="Times New Roman" w:hAnsi="Times New Roman" w:eastAsia="宋体" w:cs="Times New Roman"/>
                      <w:color w:val="auto"/>
                      <w:kern w:val="2"/>
                      <w:sz w:val="21"/>
                      <w:szCs w:val="21"/>
                      <w:highlight w:val="none"/>
                      <w:vertAlign w:val="baseline"/>
                      <w:lang w:eastAsia="zh-CN"/>
                    </w:rPr>
                    <w:t>年平均质量浓度</w:t>
                  </w:r>
                </w:p>
              </w:tc>
              <w:tc>
                <w:tcPr>
                  <w:tcW w:w="574" w:type="pct"/>
                  <w:tcBorders>
                    <w:tl2br w:val="nil"/>
                    <w:tr2bl w:val="nil"/>
                  </w:tcBorders>
                  <w:noWrap w:val="0"/>
                  <w:vAlign w:val="center"/>
                </w:tcPr>
                <w:p w14:paraId="7833B40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46</w:t>
                  </w:r>
                </w:p>
              </w:tc>
              <w:tc>
                <w:tcPr>
                  <w:tcW w:w="666" w:type="pct"/>
                  <w:tcBorders>
                    <w:tl2br w:val="nil"/>
                    <w:tr2bl w:val="nil"/>
                  </w:tcBorders>
                  <w:noWrap w:val="0"/>
                  <w:vAlign w:val="center"/>
                </w:tcPr>
                <w:p w14:paraId="45C02F03">
                  <w:pPr>
                    <w:jc w:val="center"/>
                    <w:rPr>
                      <w:rFonts w:hint="default" w:ascii="Times New Roman" w:hAnsi="Times New Roman" w:eastAsia="宋体" w:cs="Times New Roman"/>
                      <w:color w:val="auto"/>
                      <w:kern w:val="2"/>
                      <w:sz w:val="21"/>
                      <w:szCs w:val="21"/>
                      <w:highlight w:val="none"/>
                      <w:vertAlign w:val="baseline"/>
                      <w:lang w:val="en-US" w:eastAsia="zh-CN"/>
                    </w:rPr>
                  </w:pPr>
                  <w:r>
                    <w:rPr>
                      <w:rFonts w:ascii="Times New Roman Regular" w:hAnsi="Times New Roman Regular" w:cs="Times New Roman Regular"/>
                      <w:color w:val="auto"/>
                      <w:kern w:val="0"/>
                      <w:szCs w:val="21"/>
                      <w:highlight w:val="none"/>
                      <w:lang w:bidi="ar"/>
                    </w:rPr>
                    <w:t>70</w:t>
                  </w:r>
                </w:p>
              </w:tc>
              <w:tc>
                <w:tcPr>
                  <w:tcW w:w="706" w:type="pct"/>
                  <w:tcBorders>
                    <w:tl2br w:val="nil"/>
                    <w:tr2bl w:val="nil"/>
                  </w:tcBorders>
                  <w:noWrap w:val="0"/>
                  <w:vAlign w:val="center"/>
                </w:tcPr>
                <w:p w14:paraId="5F381711">
                  <w:pPr>
                    <w:jc w:val="center"/>
                    <w:rPr>
                      <w:rFonts w:hint="default" w:ascii="Times New Roman" w:hAnsi="Times New Roman" w:eastAsia="宋体" w:cs="Times New Roman"/>
                      <w:color w:val="auto"/>
                      <w:kern w:val="2"/>
                      <w:sz w:val="21"/>
                      <w:szCs w:val="21"/>
                      <w:highlight w:val="none"/>
                      <w:vertAlign w:val="baseline"/>
                      <w:lang w:val="en-US" w:eastAsia="zh-CN"/>
                    </w:rPr>
                  </w:pPr>
                  <w:r>
                    <w:rPr>
                      <w:rFonts w:hint="eastAsia" w:ascii="Times New Roman Regular" w:hAnsi="Times New Roman Regular" w:cs="Times New Roman Regular"/>
                      <w:color w:val="auto"/>
                      <w:kern w:val="0"/>
                      <w:szCs w:val="21"/>
                      <w:highlight w:val="none"/>
                      <w:lang w:val="en-US" w:eastAsia="zh-CN" w:bidi="ar"/>
                    </w:rPr>
                    <w:t>65.71</w:t>
                  </w:r>
                  <w:r>
                    <w:rPr>
                      <w:rFonts w:ascii="Times New Roman Regular" w:hAnsi="Times New Roman Regular" w:cs="Times New Roman Regular"/>
                      <w:color w:val="auto"/>
                      <w:kern w:val="0"/>
                      <w:szCs w:val="21"/>
                      <w:highlight w:val="none"/>
                      <w:lang w:bidi="ar"/>
                    </w:rPr>
                    <w:t>%</w:t>
                  </w:r>
                </w:p>
              </w:tc>
              <w:tc>
                <w:tcPr>
                  <w:tcW w:w="665" w:type="pct"/>
                  <w:vMerge w:val="continue"/>
                  <w:tcBorders>
                    <w:tl2br w:val="nil"/>
                    <w:tr2bl w:val="nil"/>
                  </w:tcBorders>
                  <w:noWrap w:val="0"/>
                  <w:vAlign w:val="center"/>
                </w:tcPr>
                <w:p w14:paraId="65932C3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p>
              </w:tc>
            </w:tr>
            <w:tr w14:paraId="0590F5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384" w:type="pct"/>
                  <w:tcBorders>
                    <w:tl2br w:val="nil"/>
                    <w:tr2bl w:val="nil"/>
                  </w:tcBorders>
                  <w:noWrap w:val="0"/>
                  <w:vAlign w:val="center"/>
                </w:tcPr>
                <w:p w14:paraId="6993FE5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651" w:type="pct"/>
                  <w:tcBorders>
                    <w:tl2br w:val="nil"/>
                    <w:tr2bl w:val="nil"/>
                  </w:tcBorders>
                  <w:noWrap w:val="0"/>
                  <w:vAlign w:val="center"/>
                </w:tcPr>
                <w:p w14:paraId="7B056361">
                  <w:pPr>
                    <w:pStyle w:val="32"/>
                    <w:jc w:val="center"/>
                    <w:rPr>
                      <w:rFonts w:hint="default" w:ascii="Times New Roman" w:hAnsi="Times New Roman" w:eastAsia="宋体" w:cs="Times New Roman"/>
                      <w:color w:val="auto"/>
                      <w:kern w:val="2"/>
                      <w:sz w:val="21"/>
                      <w:szCs w:val="21"/>
                      <w:highlight w:val="none"/>
                      <w:vertAlign w:val="baseline"/>
                      <w:lang w:eastAsia="zh-CN"/>
                    </w:rPr>
                  </w:pPr>
                  <w:r>
                    <w:rPr>
                      <w:rFonts w:ascii="Times New Roman Regular" w:hAnsi="Times New Roman Regular" w:cs="Times New Roman Regular"/>
                      <w:color w:val="auto"/>
                      <w:sz w:val="21"/>
                      <w:szCs w:val="21"/>
                      <w:highlight w:val="none"/>
                    </w:rPr>
                    <w:t>NO</w:t>
                  </w:r>
                  <w:r>
                    <w:rPr>
                      <w:rFonts w:ascii="Times New Roman Regular" w:hAnsi="Times New Roman Regular" w:cs="Times New Roman Regular"/>
                      <w:color w:val="auto"/>
                      <w:sz w:val="21"/>
                      <w:szCs w:val="21"/>
                      <w:highlight w:val="none"/>
                      <w:vertAlign w:val="subscript"/>
                    </w:rPr>
                    <w:t>2</w:t>
                  </w:r>
                </w:p>
              </w:tc>
              <w:tc>
                <w:tcPr>
                  <w:tcW w:w="1350" w:type="pct"/>
                  <w:tcBorders>
                    <w:tl2br w:val="nil"/>
                    <w:tr2bl w:val="nil"/>
                  </w:tcBorders>
                  <w:noWrap w:val="0"/>
                  <w:vAlign w:val="center"/>
                </w:tcPr>
                <w:p w14:paraId="36EE0C0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eastAsia="zh-CN"/>
                    </w:rPr>
                  </w:pPr>
                  <w:r>
                    <w:rPr>
                      <w:rFonts w:hint="default" w:ascii="Times New Roman" w:hAnsi="Times New Roman" w:eastAsia="宋体" w:cs="Times New Roman"/>
                      <w:color w:val="auto"/>
                      <w:kern w:val="2"/>
                      <w:sz w:val="21"/>
                      <w:szCs w:val="21"/>
                      <w:highlight w:val="none"/>
                      <w:vertAlign w:val="baseline"/>
                      <w:lang w:eastAsia="zh-CN"/>
                    </w:rPr>
                    <w:t>年平均质量浓度</w:t>
                  </w:r>
                </w:p>
              </w:tc>
              <w:tc>
                <w:tcPr>
                  <w:tcW w:w="574" w:type="pct"/>
                  <w:tcBorders>
                    <w:tl2br w:val="nil"/>
                    <w:tr2bl w:val="nil"/>
                  </w:tcBorders>
                  <w:noWrap w:val="0"/>
                  <w:vAlign w:val="center"/>
                </w:tcPr>
                <w:p w14:paraId="455E526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8</w:t>
                  </w:r>
                </w:p>
              </w:tc>
              <w:tc>
                <w:tcPr>
                  <w:tcW w:w="666" w:type="pct"/>
                  <w:tcBorders>
                    <w:tl2br w:val="nil"/>
                    <w:tr2bl w:val="nil"/>
                  </w:tcBorders>
                  <w:noWrap w:val="0"/>
                  <w:vAlign w:val="center"/>
                </w:tcPr>
                <w:p w14:paraId="680D6EE7">
                  <w:pPr>
                    <w:jc w:val="center"/>
                    <w:rPr>
                      <w:rFonts w:hint="default" w:ascii="Times New Roman" w:hAnsi="Times New Roman" w:eastAsia="宋体" w:cs="Times New Roman"/>
                      <w:color w:val="auto"/>
                      <w:kern w:val="2"/>
                      <w:sz w:val="21"/>
                      <w:szCs w:val="21"/>
                      <w:highlight w:val="none"/>
                      <w:vertAlign w:val="baseline"/>
                      <w:lang w:val="en-US" w:eastAsia="zh-CN"/>
                    </w:rPr>
                  </w:pPr>
                  <w:r>
                    <w:rPr>
                      <w:rFonts w:ascii="Times New Roman Regular" w:hAnsi="Times New Roman Regular" w:cs="Times New Roman Regular"/>
                      <w:color w:val="auto"/>
                      <w:kern w:val="0"/>
                      <w:szCs w:val="21"/>
                      <w:highlight w:val="none"/>
                      <w:lang w:bidi="ar"/>
                    </w:rPr>
                    <w:t>60</w:t>
                  </w:r>
                </w:p>
              </w:tc>
              <w:tc>
                <w:tcPr>
                  <w:tcW w:w="706" w:type="pct"/>
                  <w:tcBorders>
                    <w:tl2br w:val="nil"/>
                    <w:tr2bl w:val="nil"/>
                  </w:tcBorders>
                  <w:noWrap w:val="0"/>
                  <w:vAlign w:val="center"/>
                </w:tcPr>
                <w:p w14:paraId="507D0DF8">
                  <w:pPr>
                    <w:jc w:val="center"/>
                    <w:rPr>
                      <w:rFonts w:hint="default" w:ascii="Times New Roman" w:hAnsi="Times New Roman" w:eastAsia="宋体" w:cs="Times New Roman"/>
                      <w:color w:val="auto"/>
                      <w:kern w:val="2"/>
                      <w:sz w:val="21"/>
                      <w:szCs w:val="21"/>
                      <w:highlight w:val="none"/>
                      <w:vertAlign w:val="baseline"/>
                      <w:lang w:val="en-US" w:eastAsia="zh-CN"/>
                    </w:rPr>
                  </w:pPr>
                  <w:r>
                    <w:rPr>
                      <w:rFonts w:hint="eastAsia" w:ascii="Times New Roman Regular" w:hAnsi="Times New Roman Regular" w:cs="Times New Roman Regular"/>
                      <w:color w:val="auto"/>
                      <w:kern w:val="0"/>
                      <w:szCs w:val="21"/>
                      <w:highlight w:val="none"/>
                      <w:lang w:val="en-US" w:eastAsia="zh-CN" w:bidi="ar"/>
                    </w:rPr>
                    <w:t>13.33</w:t>
                  </w:r>
                  <w:r>
                    <w:rPr>
                      <w:rFonts w:ascii="Times New Roman Regular" w:hAnsi="Times New Roman Regular" w:cs="Times New Roman Regular"/>
                      <w:color w:val="auto"/>
                      <w:kern w:val="0"/>
                      <w:szCs w:val="21"/>
                      <w:highlight w:val="none"/>
                      <w:lang w:bidi="ar"/>
                    </w:rPr>
                    <w:t>%</w:t>
                  </w:r>
                </w:p>
              </w:tc>
              <w:tc>
                <w:tcPr>
                  <w:tcW w:w="665" w:type="pct"/>
                  <w:vMerge w:val="continue"/>
                  <w:tcBorders>
                    <w:tl2br w:val="nil"/>
                    <w:tr2bl w:val="nil"/>
                  </w:tcBorders>
                  <w:noWrap w:val="0"/>
                  <w:vAlign w:val="center"/>
                </w:tcPr>
                <w:p w14:paraId="1341D0A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p>
              </w:tc>
            </w:tr>
            <w:tr w14:paraId="3C8A39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384" w:type="pct"/>
                  <w:tcBorders>
                    <w:tl2br w:val="nil"/>
                    <w:tr2bl w:val="nil"/>
                  </w:tcBorders>
                  <w:noWrap w:val="0"/>
                  <w:vAlign w:val="center"/>
                </w:tcPr>
                <w:p w14:paraId="0C49436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651" w:type="pct"/>
                  <w:tcBorders>
                    <w:tl2br w:val="nil"/>
                    <w:tr2bl w:val="nil"/>
                  </w:tcBorders>
                  <w:noWrap w:val="0"/>
                  <w:vAlign w:val="center"/>
                </w:tcPr>
                <w:p w14:paraId="51CD88F8">
                  <w:pPr>
                    <w:pStyle w:val="32"/>
                    <w:jc w:val="center"/>
                    <w:rPr>
                      <w:rFonts w:hint="default" w:ascii="Times New Roman" w:hAnsi="Times New Roman" w:eastAsia="宋体" w:cs="Times New Roman"/>
                      <w:color w:val="auto"/>
                      <w:kern w:val="2"/>
                      <w:sz w:val="21"/>
                      <w:szCs w:val="21"/>
                      <w:highlight w:val="none"/>
                      <w:vertAlign w:val="baseline"/>
                      <w:lang w:eastAsia="zh-CN"/>
                    </w:rPr>
                  </w:pPr>
                  <w:r>
                    <w:rPr>
                      <w:rFonts w:ascii="Times New Roman Regular" w:hAnsi="Times New Roman Regular" w:cs="Times New Roman Regular"/>
                      <w:color w:val="auto"/>
                      <w:sz w:val="21"/>
                      <w:szCs w:val="21"/>
                      <w:highlight w:val="none"/>
                    </w:rPr>
                    <w:t>SO</w:t>
                  </w:r>
                  <w:r>
                    <w:rPr>
                      <w:rFonts w:ascii="Times New Roman Regular" w:hAnsi="Times New Roman Regular" w:cs="Times New Roman Regular"/>
                      <w:color w:val="auto"/>
                      <w:sz w:val="21"/>
                      <w:szCs w:val="21"/>
                      <w:highlight w:val="none"/>
                      <w:vertAlign w:val="subscript"/>
                    </w:rPr>
                    <w:t>2</w:t>
                  </w:r>
                </w:p>
              </w:tc>
              <w:tc>
                <w:tcPr>
                  <w:tcW w:w="1350" w:type="pct"/>
                  <w:tcBorders>
                    <w:tl2br w:val="nil"/>
                    <w:tr2bl w:val="nil"/>
                  </w:tcBorders>
                  <w:noWrap w:val="0"/>
                  <w:vAlign w:val="center"/>
                </w:tcPr>
                <w:p w14:paraId="2385367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eastAsia="zh-CN"/>
                    </w:rPr>
                  </w:pPr>
                  <w:r>
                    <w:rPr>
                      <w:rFonts w:hint="default" w:ascii="Times New Roman" w:hAnsi="Times New Roman" w:eastAsia="宋体" w:cs="Times New Roman"/>
                      <w:color w:val="auto"/>
                      <w:kern w:val="2"/>
                      <w:sz w:val="21"/>
                      <w:szCs w:val="21"/>
                      <w:highlight w:val="none"/>
                      <w:vertAlign w:val="baseline"/>
                      <w:lang w:eastAsia="zh-CN"/>
                    </w:rPr>
                    <w:t>年平均质量浓度</w:t>
                  </w:r>
                </w:p>
              </w:tc>
              <w:tc>
                <w:tcPr>
                  <w:tcW w:w="574" w:type="pct"/>
                  <w:tcBorders>
                    <w:tl2br w:val="nil"/>
                    <w:tr2bl w:val="nil"/>
                  </w:tcBorders>
                  <w:noWrap w:val="0"/>
                  <w:vAlign w:val="center"/>
                </w:tcPr>
                <w:p w14:paraId="4D346FE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17</w:t>
                  </w:r>
                </w:p>
              </w:tc>
              <w:tc>
                <w:tcPr>
                  <w:tcW w:w="666" w:type="pct"/>
                  <w:tcBorders>
                    <w:tl2br w:val="nil"/>
                    <w:tr2bl w:val="nil"/>
                  </w:tcBorders>
                  <w:noWrap w:val="0"/>
                  <w:vAlign w:val="center"/>
                </w:tcPr>
                <w:p w14:paraId="3D2236CD">
                  <w:pPr>
                    <w:jc w:val="center"/>
                    <w:rPr>
                      <w:rFonts w:hint="default" w:ascii="Times New Roman" w:hAnsi="Times New Roman" w:eastAsia="宋体" w:cs="Times New Roman"/>
                      <w:color w:val="auto"/>
                      <w:kern w:val="2"/>
                      <w:sz w:val="21"/>
                      <w:szCs w:val="21"/>
                      <w:highlight w:val="none"/>
                      <w:vertAlign w:val="baseline"/>
                      <w:lang w:val="en-US" w:eastAsia="zh-CN"/>
                    </w:rPr>
                  </w:pPr>
                  <w:r>
                    <w:rPr>
                      <w:rFonts w:ascii="Times New Roman Regular" w:hAnsi="Times New Roman Regular" w:cs="Times New Roman Regular"/>
                      <w:color w:val="auto"/>
                      <w:kern w:val="0"/>
                      <w:szCs w:val="21"/>
                      <w:highlight w:val="none"/>
                      <w:lang w:bidi="ar"/>
                    </w:rPr>
                    <w:t>40</w:t>
                  </w:r>
                </w:p>
              </w:tc>
              <w:tc>
                <w:tcPr>
                  <w:tcW w:w="706" w:type="pct"/>
                  <w:tcBorders>
                    <w:tl2br w:val="nil"/>
                    <w:tr2bl w:val="nil"/>
                  </w:tcBorders>
                  <w:noWrap w:val="0"/>
                  <w:vAlign w:val="center"/>
                </w:tcPr>
                <w:p w14:paraId="5461C83C">
                  <w:pPr>
                    <w:jc w:val="center"/>
                    <w:rPr>
                      <w:rFonts w:hint="default" w:ascii="Times New Roman" w:hAnsi="Times New Roman" w:eastAsia="宋体" w:cs="Times New Roman"/>
                      <w:color w:val="auto"/>
                      <w:kern w:val="2"/>
                      <w:sz w:val="21"/>
                      <w:szCs w:val="21"/>
                      <w:highlight w:val="none"/>
                      <w:vertAlign w:val="baseline"/>
                      <w:lang w:val="en-US" w:eastAsia="zh-CN"/>
                    </w:rPr>
                  </w:pPr>
                  <w:r>
                    <w:rPr>
                      <w:rFonts w:hint="eastAsia" w:ascii="Times New Roman Regular" w:hAnsi="Times New Roman Regular" w:cs="Times New Roman Regular"/>
                      <w:color w:val="auto"/>
                      <w:kern w:val="0"/>
                      <w:szCs w:val="21"/>
                      <w:highlight w:val="none"/>
                      <w:lang w:val="en-US" w:eastAsia="zh-CN" w:bidi="ar"/>
                    </w:rPr>
                    <w:t>42.5</w:t>
                  </w:r>
                  <w:r>
                    <w:rPr>
                      <w:rFonts w:ascii="Times New Roman Regular" w:hAnsi="Times New Roman Regular" w:cs="Times New Roman Regular"/>
                      <w:color w:val="auto"/>
                      <w:kern w:val="0"/>
                      <w:szCs w:val="21"/>
                      <w:highlight w:val="none"/>
                      <w:lang w:bidi="ar"/>
                    </w:rPr>
                    <w:t>0%</w:t>
                  </w:r>
                </w:p>
              </w:tc>
              <w:tc>
                <w:tcPr>
                  <w:tcW w:w="665" w:type="pct"/>
                  <w:vMerge w:val="continue"/>
                  <w:tcBorders>
                    <w:tl2br w:val="nil"/>
                    <w:tr2bl w:val="nil"/>
                  </w:tcBorders>
                  <w:noWrap w:val="0"/>
                  <w:vAlign w:val="center"/>
                </w:tcPr>
                <w:p w14:paraId="49D840C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p>
              </w:tc>
            </w:tr>
            <w:tr w14:paraId="3830CA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4" w:type="pct"/>
                  <w:tcBorders>
                    <w:tl2br w:val="nil"/>
                    <w:tr2bl w:val="nil"/>
                  </w:tcBorders>
                  <w:noWrap w:val="0"/>
                  <w:vAlign w:val="center"/>
                </w:tcPr>
                <w:p w14:paraId="7DC8A23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5</w:t>
                  </w:r>
                </w:p>
              </w:tc>
              <w:tc>
                <w:tcPr>
                  <w:tcW w:w="651" w:type="pct"/>
                  <w:tcBorders>
                    <w:tl2br w:val="nil"/>
                    <w:tr2bl w:val="nil"/>
                  </w:tcBorders>
                  <w:noWrap w:val="0"/>
                  <w:vAlign w:val="center"/>
                </w:tcPr>
                <w:p w14:paraId="52FF2778">
                  <w:pPr>
                    <w:pStyle w:val="32"/>
                    <w:jc w:val="center"/>
                    <w:rPr>
                      <w:rFonts w:hint="default" w:ascii="Times New Roman" w:hAnsi="Times New Roman" w:eastAsia="宋体" w:cs="Times New Roman"/>
                      <w:color w:val="auto"/>
                      <w:kern w:val="2"/>
                      <w:sz w:val="21"/>
                      <w:szCs w:val="21"/>
                      <w:highlight w:val="none"/>
                      <w:vertAlign w:val="baseline"/>
                      <w:lang w:val="en-US" w:eastAsia="zh-CN"/>
                    </w:rPr>
                  </w:pPr>
                  <w:r>
                    <w:rPr>
                      <w:rFonts w:ascii="Times New Roman Regular" w:hAnsi="Times New Roman Regular" w:cs="Times New Roman Regular"/>
                      <w:color w:val="auto"/>
                      <w:sz w:val="21"/>
                      <w:szCs w:val="21"/>
                      <w:highlight w:val="none"/>
                    </w:rPr>
                    <w:t>CO</w:t>
                  </w:r>
                </w:p>
              </w:tc>
              <w:tc>
                <w:tcPr>
                  <w:tcW w:w="1350" w:type="pct"/>
                  <w:tcBorders>
                    <w:tl2br w:val="nil"/>
                    <w:tr2bl w:val="nil"/>
                  </w:tcBorders>
                  <w:noWrap w:val="0"/>
                  <w:vAlign w:val="center"/>
                </w:tcPr>
                <w:p w14:paraId="6B865B0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eastAsia="zh-CN"/>
                    </w:rPr>
                    <w:t>百分位数24h平均浓度</w:t>
                  </w:r>
                </w:p>
              </w:tc>
              <w:tc>
                <w:tcPr>
                  <w:tcW w:w="574" w:type="pct"/>
                  <w:tcBorders>
                    <w:tl2br w:val="nil"/>
                    <w:tr2bl w:val="nil"/>
                  </w:tcBorders>
                  <w:noWrap w:val="0"/>
                  <w:vAlign w:val="center"/>
                </w:tcPr>
                <w:p w14:paraId="22B19FE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eastAsia="zh-CN"/>
                    </w:rPr>
                    <w:t>1</w:t>
                  </w:r>
                  <w:r>
                    <w:rPr>
                      <w:rFonts w:hint="eastAsia" w:cs="Times New Roman"/>
                      <w:color w:val="auto"/>
                      <w:kern w:val="2"/>
                      <w:sz w:val="21"/>
                      <w:szCs w:val="21"/>
                      <w:highlight w:val="none"/>
                      <w:vertAlign w:val="baseline"/>
                      <w:lang w:val="en-US" w:eastAsia="zh-CN"/>
                    </w:rPr>
                    <w:t>000</w:t>
                  </w:r>
                </w:p>
              </w:tc>
              <w:tc>
                <w:tcPr>
                  <w:tcW w:w="666" w:type="pct"/>
                  <w:tcBorders>
                    <w:tl2br w:val="nil"/>
                    <w:tr2bl w:val="nil"/>
                  </w:tcBorders>
                  <w:noWrap w:val="0"/>
                  <w:vAlign w:val="center"/>
                </w:tcPr>
                <w:p w14:paraId="0357FA2B">
                  <w:pPr>
                    <w:jc w:val="center"/>
                    <w:rPr>
                      <w:rFonts w:hint="default" w:ascii="Times New Roman" w:hAnsi="Times New Roman" w:eastAsia="宋体" w:cs="Times New Roman"/>
                      <w:color w:val="auto"/>
                      <w:kern w:val="2"/>
                      <w:sz w:val="21"/>
                      <w:szCs w:val="21"/>
                      <w:highlight w:val="none"/>
                      <w:vertAlign w:val="baseline"/>
                      <w:lang w:val="en-US" w:eastAsia="zh-CN"/>
                    </w:rPr>
                  </w:pPr>
                  <w:r>
                    <w:rPr>
                      <w:rFonts w:ascii="Times New Roman Regular" w:hAnsi="Times New Roman Regular" w:cs="Times New Roman Regular"/>
                      <w:color w:val="auto"/>
                      <w:kern w:val="0"/>
                      <w:szCs w:val="21"/>
                      <w:highlight w:val="none"/>
                      <w:lang w:bidi="ar"/>
                    </w:rPr>
                    <w:t>4000</w:t>
                  </w:r>
                </w:p>
              </w:tc>
              <w:tc>
                <w:tcPr>
                  <w:tcW w:w="706" w:type="pct"/>
                  <w:tcBorders>
                    <w:tl2br w:val="nil"/>
                    <w:tr2bl w:val="nil"/>
                  </w:tcBorders>
                  <w:noWrap w:val="0"/>
                  <w:vAlign w:val="center"/>
                </w:tcPr>
                <w:p w14:paraId="608B148D">
                  <w:pPr>
                    <w:jc w:val="center"/>
                    <w:rPr>
                      <w:rFonts w:hint="default" w:ascii="Times New Roman" w:hAnsi="Times New Roman" w:eastAsia="宋体" w:cs="Times New Roman"/>
                      <w:color w:val="auto"/>
                      <w:kern w:val="2"/>
                      <w:sz w:val="21"/>
                      <w:szCs w:val="21"/>
                      <w:highlight w:val="none"/>
                      <w:vertAlign w:val="baseline"/>
                      <w:lang w:val="en-US" w:eastAsia="zh-CN"/>
                    </w:rPr>
                  </w:pPr>
                  <w:r>
                    <w:rPr>
                      <w:rFonts w:hint="eastAsia" w:ascii="Times New Roman Regular" w:hAnsi="Times New Roman Regular" w:cs="Times New Roman Regular"/>
                      <w:color w:val="auto"/>
                      <w:kern w:val="0"/>
                      <w:szCs w:val="21"/>
                      <w:highlight w:val="none"/>
                      <w:lang w:val="en-US" w:eastAsia="zh-CN" w:bidi="ar"/>
                    </w:rPr>
                    <w:t>25.0</w:t>
                  </w:r>
                  <w:r>
                    <w:rPr>
                      <w:rFonts w:ascii="Times New Roman Regular" w:hAnsi="Times New Roman Regular" w:cs="Times New Roman Regular"/>
                      <w:color w:val="auto"/>
                      <w:kern w:val="0"/>
                      <w:szCs w:val="21"/>
                      <w:highlight w:val="none"/>
                      <w:lang w:bidi="ar"/>
                    </w:rPr>
                    <w:t>0%</w:t>
                  </w:r>
                </w:p>
              </w:tc>
              <w:tc>
                <w:tcPr>
                  <w:tcW w:w="665" w:type="pct"/>
                  <w:vMerge w:val="continue"/>
                  <w:tcBorders>
                    <w:tl2br w:val="nil"/>
                    <w:tr2bl w:val="nil"/>
                  </w:tcBorders>
                  <w:noWrap w:val="0"/>
                  <w:vAlign w:val="center"/>
                </w:tcPr>
                <w:p w14:paraId="7DA9865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p>
              </w:tc>
            </w:tr>
            <w:tr w14:paraId="277743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384" w:type="pct"/>
                  <w:tcBorders>
                    <w:tl2br w:val="nil"/>
                    <w:tr2bl w:val="nil"/>
                  </w:tcBorders>
                  <w:noWrap w:val="0"/>
                  <w:vAlign w:val="center"/>
                </w:tcPr>
                <w:p w14:paraId="4D08BBB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6</w:t>
                  </w:r>
                </w:p>
              </w:tc>
              <w:tc>
                <w:tcPr>
                  <w:tcW w:w="651" w:type="pct"/>
                  <w:tcBorders>
                    <w:tl2br w:val="nil"/>
                    <w:tr2bl w:val="nil"/>
                  </w:tcBorders>
                  <w:noWrap w:val="0"/>
                  <w:vAlign w:val="center"/>
                </w:tcPr>
                <w:p w14:paraId="699F198D">
                  <w:pPr>
                    <w:pStyle w:val="32"/>
                    <w:jc w:val="center"/>
                    <w:rPr>
                      <w:rFonts w:hint="default" w:ascii="Times New Roman" w:hAnsi="Times New Roman" w:eastAsia="宋体" w:cs="Times New Roman"/>
                      <w:color w:val="auto"/>
                      <w:kern w:val="2"/>
                      <w:sz w:val="21"/>
                      <w:szCs w:val="21"/>
                      <w:highlight w:val="none"/>
                      <w:vertAlign w:val="baseline"/>
                      <w:lang w:val="en-US" w:eastAsia="zh-CN"/>
                    </w:rPr>
                  </w:pPr>
                  <w:r>
                    <w:rPr>
                      <w:rFonts w:hint="eastAsia" w:ascii="宋体" w:hAnsi="宋体" w:eastAsia="宋体" w:cs="宋体"/>
                      <w:color w:val="auto"/>
                      <w:sz w:val="21"/>
                      <w:szCs w:val="21"/>
                      <w:highlight w:val="none"/>
                    </w:rPr>
                    <w:t>臭氧</w:t>
                  </w:r>
                </w:p>
              </w:tc>
              <w:tc>
                <w:tcPr>
                  <w:tcW w:w="1350" w:type="pct"/>
                  <w:tcBorders>
                    <w:tl2br w:val="nil"/>
                    <w:tr2bl w:val="nil"/>
                  </w:tcBorders>
                  <w:noWrap w:val="0"/>
                  <w:vAlign w:val="center"/>
                </w:tcPr>
                <w:p w14:paraId="2CB7890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eastAsia="zh-CN"/>
                    </w:rPr>
                    <w:t>百分位数8h平均浓度</w:t>
                  </w:r>
                </w:p>
              </w:tc>
              <w:tc>
                <w:tcPr>
                  <w:tcW w:w="574" w:type="pct"/>
                  <w:tcBorders>
                    <w:tl2br w:val="nil"/>
                    <w:tr2bl w:val="nil"/>
                  </w:tcBorders>
                  <w:noWrap w:val="0"/>
                  <w:vAlign w:val="center"/>
                </w:tcPr>
                <w:p w14:paraId="0CEEB8B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90</w:t>
                  </w:r>
                </w:p>
              </w:tc>
              <w:tc>
                <w:tcPr>
                  <w:tcW w:w="666" w:type="pct"/>
                  <w:tcBorders>
                    <w:tl2br w:val="nil"/>
                    <w:tr2bl w:val="nil"/>
                  </w:tcBorders>
                  <w:noWrap w:val="0"/>
                  <w:vAlign w:val="center"/>
                </w:tcPr>
                <w:p w14:paraId="184C3339">
                  <w:pPr>
                    <w:jc w:val="center"/>
                    <w:rPr>
                      <w:rFonts w:hint="default" w:ascii="Times New Roman" w:hAnsi="Times New Roman" w:eastAsia="宋体" w:cs="Times New Roman"/>
                      <w:color w:val="auto"/>
                      <w:kern w:val="2"/>
                      <w:sz w:val="21"/>
                      <w:szCs w:val="21"/>
                      <w:highlight w:val="none"/>
                      <w:vertAlign w:val="baseline"/>
                      <w:lang w:val="en-US" w:eastAsia="zh-CN"/>
                    </w:rPr>
                  </w:pPr>
                  <w:r>
                    <w:rPr>
                      <w:rFonts w:ascii="Times New Roman Regular" w:hAnsi="Times New Roman Regular" w:cs="Times New Roman Regular"/>
                      <w:color w:val="auto"/>
                      <w:kern w:val="0"/>
                      <w:szCs w:val="21"/>
                      <w:highlight w:val="none"/>
                      <w:lang w:bidi="ar"/>
                    </w:rPr>
                    <w:t>160</w:t>
                  </w:r>
                </w:p>
              </w:tc>
              <w:tc>
                <w:tcPr>
                  <w:tcW w:w="706" w:type="pct"/>
                  <w:tcBorders>
                    <w:tl2br w:val="nil"/>
                    <w:tr2bl w:val="nil"/>
                  </w:tcBorders>
                  <w:noWrap w:val="0"/>
                  <w:vAlign w:val="center"/>
                </w:tcPr>
                <w:p w14:paraId="2C7E4CE2">
                  <w:pPr>
                    <w:jc w:val="center"/>
                    <w:rPr>
                      <w:rFonts w:hint="default" w:ascii="Times New Roman" w:hAnsi="Times New Roman" w:eastAsia="宋体" w:cs="Times New Roman"/>
                      <w:color w:val="auto"/>
                      <w:kern w:val="2"/>
                      <w:sz w:val="21"/>
                      <w:szCs w:val="21"/>
                      <w:highlight w:val="none"/>
                      <w:vertAlign w:val="baseline"/>
                      <w:lang w:val="en-US" w:eastAsia="zh-CN"/>
                    </w:rPr>
                  </w:pPr>
                  <w:r>
                    <w:rPr>
                      <w:rFonts w:hint="eastAsia" w:ascii="Times New Roman Regular" w:hAnsi="Times New Roman Regular" w:cs="Times New Roman Regular"/>
                      <w:color w:val="auto"/>
                      <w:kern w:val="0"/>
                      <w:szCs w:val="21"/>
                      <w:highlight w:val="none"/>
                      <w:lang w:val="en-US" w:eastAsia="zh-CN" w:bidi="ar"/>
                    </w:rPr>
                    <w:t>56</w:t>
                  </w:r>
                  <w:r>
                    <w:rPr>
                      <w:rFonts w:ascii="Times New Roman Regular" w:hAnsi="Times New Roman Regular" w:cs="Times New Roman Regular"/>
                      <w:color w:val="auto"/>
                      <w:kern w:val="0"/>
                      <w:szCs w:val="21"/>
                      <w:highlight w:val="none"/>
                      <w:lang w:bidi="ar"/>
                    </w:rPr>
                    <w:t>.25%</w:t>
                  </w:r>
                </w:p>
              </w:tc>
              <w:tc>
                <w:tcPr>
                  <w:tcW w:w="665" w:type="pct"/>
                  <w:vMerge w:val="continue"/>
                  <w:tcBorders>
                    <w:tl2br w:val="nil"/>
                    <w:tr2bl w:val="nil"/>
                  </w:tcBorders>
                  <w:noWrap w:val="0"/>
                  <w:vAlign w:val="center"/>
                </w:tcPr>
                <w:p w14:paraId="3C8C76C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p>
              </w:tc>
            </w:tr>
          </w:tbl>
          <w:p w14:paraId="521F32F3">
            <w:pPr>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lang w:val="zh-CN"/>
              </w:rPr>
            </w:pPr>
            <w:r>
              <w:rPr>
                <w:rFonts w:hint="default" w:ascii="Times New Roman" w:hAnsi="Times New Roman" w:eastAsia="宋体" w:cs="Times New Roman"/>
                <w:color w:val="auto"/>
                <w:kern w:val="0"/>
                <w:sz w:val="24"/>
                <w:szCs w:val="24"/>
                <w:highlight w:val="none"/>
                <w:lang w:val="en-US" w:eastAsia="zh-CN" w:bidi="ar"/>
              </w:rPr>
              <w:t>根据表3-1可知，20</w:t>
            </w:r>
            <w:r>
              <w:rPr>
                <w:rFonts w:hint="eastAsia" w:ascii="Times New Roman" w:hAnsi="Times New Roman" w:eastAsia="宋体" w:cs="Times New Roman"/>
                <w:color w:val="auto"/>
                <w:kern w:val="0"/>
                <w:sz w:val="24"/>
                <w:szCs w:val="24"/>
                <w:highlight w:val="none"/>
                <w:lang w:val="en-US" w:eastAsia="zh-CN" w:bidi="ar"/>
              </w:rPr>
              <w:t>2</w:t>
            </w:r>
            <w:r>
              <w:rPr>
                <w:rFonts w:hint="eastAsia" w:cs="Times New Roman"/>
                <w:color w:val="auto"/>
                <w:kern w:val="0"/>
                <w:sz w:val="24"/>
                <w:szCs w:val="24"/>
                <w:highlight w:val="none"/>
                <w:lang w:val="en-US" w:eastAsia="zh-CN" w:bidi="ar"/>
              </w:rPr>
              <w:t>4</w:t>
            </w:r>
            <w:r>
              <w:rPr>
                <w:rFonts w:hint="default" w:ascii="Times New Roman" w:hAnsi="Times New Roman" w:eastAsia="宋体" w:cs="Times New Roman"/>
                <w:color w:val="auto"/>
                <w:kern w:val="0"/>
                <w:sz w:val="24"/>
                <w:szCs w:val="24"/>
                <w:highlight w:val="none"/>
                <w:lang w:val="en-US" w:eastAsia="zh-CN" w:bidi="ar"/>
              </w:rPr>
              <w:t>年鸡西市区基本污染物PM</w:t>
            </w:r>
            <w:r>
              <w:rPr>
                <w:rFonts w:hint="default" w:ascii="Times New Roman" w:hAnsi="Times New Roman" w:eastAsia="宋体" w:cs="Times New Roman"/>
                <w:color w:val="auto"/>
                <w:kern w:val="0"/>
                <w:sz w:val="24"/>
                <w:szCs w:val="24"/>
                <w:highlight w:val="none"/>
                <w:vertAlign w:val="subscript"/>
                <w:lang w:val="en-US" w:eastAsia="zh-CN" w:bidi="ar"/>
              </w:rPr>
              <w:t>2.5</w:t>
            </w:r>
            <w:r>
              <w:rPr>
                <w:rFonts w:hint="default" w:ascii="Times New Roman" w:hAnsi="Times New Roman" w:eastAsia="宋体" w:cs="Times New Roman"/>
                <w:color w:val="auto"/>
                <w:kern w:val="0"/>
                <w:sz w:val="24"/>
                <w:szCs w:val="24"/>
                <w:highlight w:val="none"/>
                <w:lang w:val="en-US" w:eastAsia="zh-CN" w:bidi="ar"/>
              </w:rPr>
              <w:t>、PM</w:t>
            </w:r>
            <w:r>
              <w:rPr>
                <w:rFonts w:hint="default" w:ascii="Times New Roman" w:hAnsi="Times New Roman" w:eastAsia="宋体" w:cs="Times New Roman"/>
                <w:color w:val="auto"/>
                <w:kern w:val="0"/>
                <w:sz w:val="24"/>
                <w:szCs w:val="24"/>
                <w:highlight w:val="none"/>
                <w:vertAlign w:val="subscript"/>
                <w:lang w:val="en-US" w:eastAsia="zh-CN" w:bidi="ar"/>
              </w:rPr>
              <w:t>10</w:t>
            </w:r>
            <w:r>
              <w:rPr>
                <w:rFonts w:hint="default" w:ascii="Times New Roman" w:hAnsi="Times New Roman" w:eastAsia="宋体" w:cs="Times New Roman"/>
                <w:color w:val="auto"/>
                <w:kern w:val="0"/>
                <w:sz w:val="24"/>
                <w:szCs w:val="24"/>
                <w:highlight w:val="none"/>
                <w:lang w:val="en-US" w:eastAsia="zh-CN" w:bidi="ar"/>
              </w:rPr>
              <w:t>、SO</w:t>
            </w:r>
            <w:r>
              <w:rPr>
                <w:rFonts w:hint="default" w:ascii="Times New Roman" w:hAnsi="Times New Roman" w:eastAsia="宋体" w:cs="Times New Roman"/>
                <w:color w:val="auto"/>
                <w:kern w:val="0"/>
                <w:sz w:val="24"/>
                <w:szCs w:val="24"/>
                <w:highlight w:val="none"/>
                <w:vertAlign w:val="sub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、NO</w:t>
            </w:r>
            <w:r>
              <w:rPr>
                <w:rFonts w:hint="default" w:ascii="Times New Roman" w:hAnsi="Times New Roman" w:eastAsia="宋体" w:cs="Times New Roman"/>
                <w:color w:val="auto"/>
                <w:kern w:val="0"/>
                <w:sz w:val="24"/>
                <w:szCs w:val="24"/>
                <w:highlight w:val="none"/>
                <w:vertAlign w:val="sub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、CO、O</w:t>
            </w:r>
            <w:r>
              <w:rPr>
                <w:rFonts w:hint="default" w:ascii="Times New Roman" w:hAnsi="Times New Roman" w:eastAsia="宋体" w:cs="Times New Roman"/>
                <w:color w:val="auto"/>
                <w:kern w:val="0"/>
                <w:sz w:val="24"/>
                <w:szCs w:val="24"/>
                <w:highlight w:val="none"/>
                <w:vertAlign w:val="sub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监测项目均能满足《环境空气质量标准》（GB3095-2012）及其修改单中二级标准限值，鸡西市属于达标区</w:t>
            </w:r>
            <w:r>
              <w:rPr>
                <w:rFonts w:hint="default" w:ascii="Times New Roman" w:hAnsi="Times New Roman" w:cs="Times New Roman"/>
                <w:color w:val="auto"/>
                <w:sz w:val="24"/>
                <w:szCs w:val="24"/>
                <w:highlight w:val="none"/>
                <w:lang w:val="zh-CN" w:eastAsia="zh-TW"/>
              </w:rPr>
              <w:t>。</w:t>
            </w:r>
          </w:p>
          <w:bookmarkEnd w:id="13"/>
          <w:p w14:paraId="7556C02D">
            <w:pPr>
              <w:spacing w:line="360" w:lineRule="auto"/>
              <w:ind w:firstLine="480" w:firstLineChars="200"/>
              <w:rPr>
                <w:rFonts w:hint="default" w:ascii="Times New Roman" w:hAnsi="Times New Roman" w:eastAsia="宋体" w:cs="Times New Roman"/>
                <w:color w:val="auto"/>
                <w:kern w:val="2"/>
                <w:sz w:val="24"/>
                <w:szCs w:val="24"/>
                <w:highlight w:val="none"/>
                <w:lang w:val="zh-CN" w:eastAsia="zh-CN" w:bidi="ar-SA"/>
              </w:rPr>
            </w:pPr>
            <w:r>
              <w:rPr>
                <w:rFonts w:hint="default" w:ascii="Times New Roman" w:hAnsi="Times New Roman" w:eastAsia="宋体" w:cs="Times New Roman"/>
                <w:color w:val="auto"/>
                <w:kern w:val="2"/>
                <w:sz w:val="24"/>
                <w:szCs w:val="24"/>
                <w:highlight w:val="none"/>
                <w:lang w:val="zh-CN" w:eastAsia="zh-CN" w:bidi="ar-SA"/>
              </w:rPr>
              <w:t>（2）其他污染物</w:t>
            </w:r>
          </w:p>
          <w:p w14:paraId="55CA2C8F">
            <w:pPr>
              <w:pStyle w:val="16"/>
              <w:adjustRightInd w:val="0"/>
              <w:snapToGrid w:val="0"/>
              <w:spacing w:after="0" w:line="360" w:lineRule="auto"/>
              <w:ind w:left="0" w:leftChars="0" w:firstLine="48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zh-CN"/>
              </w:rPr>
              <w:t>本项目大气环境空气质量特征因子</w:t>
            </w:r>
            <w:r>
              <w:rPr>
                <w:rFonts w:hint="eastAsia" w:ascii="Times New Roman" w:hAnsi="Times New Roman" w:cs="Times New Roman"/>
                <w:color w:val="auto"/>
                <w:sz w:val="24"/>
                <w:szCs w:val="24"/>
                <w:highlight w:val="none"/>
                <w:lang w:val="en-US" w:eastAsia="zh-CN"/>
              </w:rPr>
              <w:t>TSP，项目引用</w:t>
            </w:r>
            <w:r>
              <w:rPr>
                <w:rFonts w:hint="eastAsia" w:ascii="Times New Roman" w:hAnsi="Times New Roman" w:cs="Times New Roman"/>
                <w:color w:val="auto"/>
                <w:sz w:val="24"/>
                <w:szCs w:val="24"/>
                <w:highlight w:val="none"/>
                <w:lang w:eastAsia="zh-CN"/>
              </w:rPr>
              <w:t>黑龙江汉风环境检测技术有限公司</w:t>
            </w:r>
            <w:r>
              <w:rPr>
                <w:rFonts w:hint="default" w:ascii="Times New Roman" w:hAnsi="Times New Roman" w:cs="Times New Roman"/>
                <w:color w:val="auto"/>
                <w:sz w:val="24"/>
                <w:szCs w:val="24"/>
                <w:highlight w:val="none"/>
              </w:rPr>
              <w:t>于202</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年</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月</w:t>
            </w:r>
            <w:r>
              <w:rPr>
                <w:rFonts w:hint="eastAsia" w:ascii="Times New Roman" w:hAnsi="Times New Roman" w:cs="Times New Roman"/>
                <w:color w:val="auto"/>
                <w:sz w:val="24"/>
                <w:szCs w:val="24"/>
                <w:highlight w:val="none"/>
                <w:lang w:val="en-US" w:eastAsia="zh-CN"/>
              </w:rPr>
              <w:t>15</w:t>
            </w:r>
            <w:r>
              <w:rPr>
                <w:rFonts w:hint="default" w:ascii="Times New Roman" w:hAnsi="Times New Roman" w:cs="Times New Roman"/>
                <w:color w:val="auto"/>
                <w:sz w:val="24"/>
                <w:szCs w:val="24"/>
                <w:highlight w:val="none"/>
              </w:rPr>
              <w:t>日出具的</w:t>
            </w:r>
            <w:r>
              <w:rPr>
                <w:rFonts w:hint="eastAsia" w:ascii="Times New Roman" w:hAnsi="Times New Roman" w:cs="Times New Roman"/>
                <w:color w:val="auto"/>
                <w:sz w:val="24"/>
                <w:szCs w:val="24"/>
                <w:highlight w:val="none"/>
                <w:lang w:val="en-US" w:eastAsia="zh-CN"/>
              </w:rPr>
              <w:t>《鸡西市祥峰煤炭有限公司储煤场建设项目检测报告》，</w:t>
            </w:r>
            <w:r>
              <w:rPr>
                <w:rFonts w:hint="default" w:ascii="Times New Roman" w:hAnsi="Times New Roman" w:cs="Times New Roman"/>
                <w:color w:val="auto"/>
                <w:sz w:val="24"/>
                <w:szCs w:val="24"/>
                <w:highlight w:val="none"/>
              </w:rPr>
              <w:t>报告编号HFJC-TRG-250</w:t>
            </w:r>
            <w:r>
              <w:rPr>
                <w:rFonts w:hint="eastAsia" w:ascii="Times New Roman" w:hAnsi="Times New Roman" w:cs="Times New Roman"/>
                <w:color w:val="auto"/>
                <w:sz w:val="24"/>
                <w:szCs w:val="24"/>
                <w:highlight w:val="none"/>
                <w:lang w:val="en-US" w:eastAsia="zh-CN"/>
              </w:rPr>
              <w:t>506</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4，详见附件</w:t>
            </w:r>
            <w:r>
              <w:rPr>
                <w:rFonts w:hint="eastAsia"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lang w:val="zh-CN"/>
              </w:rPr>
              <w:t>。</w:t>
            </w:r>
            <w:r>
              <w:rPr>
                <w:rFonts w:hint="eastAsia" w:ascii="Times New Roman" w:hAnsi="Times New Roman" w:cs="Times New Roman"/>
                <w:color w:val="auto"/>
                <w:sz w:val="24"/>
                <w:szCs w:val="24"/>
                <w:highlight w:val="none"/>
                <w:lang w:val="en-US" w:eastAsia="zh-CN"/>
              </w:rPr>
              <w:t>监测点位于本项目西侧1486m，</w:t>
            </w:r>
            <w:r>
              <w:rPr>
                <w:rFonts w:hint="eastAsia" w:ascii="Times New Roman" w:hAnsi="Times New Roman" w:eastAsia="宋体" w:cs="Times New Roman"/>
                <w:color w:val="auto"/>
                <w:sz w:val="24"/>
                <w:szCs w:val="24"/>
                <w:highlight w:val="none"/>
                <w:lang w:val="en-US" w:eastAsia="zh-CN"/>
              </w:rPr>
              <w:t>从时间、距离方面，</w:t>
            </w:r>
            <w:r>
              <w:rPr>
                <w:rFonts w:hint="eastAsia" w:cs="Times New Roman"/>
                <w:color w:val="auto"/>
                <w:sz w:val="24"/>
                <w:szCs w:val="24"/>
                <w:highlight w:val="none"/>
                <w:lang w:val="en-US" w:eastAsia="zh-CN"/>
              </w:rPr>
              <w:t>符合</w:t>
            </w:r>
            <w:r>
              <w:rPr>
                <w:rFonts w:hint="eastAsia" w:ascii="Times New Roman" w:hAnsi="Times New Roman" w:eastAsia="宋体" w:cs="Times New Roman"/>
                <w:color w:val="auto"/>
                <w:sz w:val="24"/>
                <w:szCs w:val="24"/>
                <w:highlight w:val="none"/>
                <w:lang w:val="en-US" w:eastAsia="zh-CN"/>
              </w:rPr>
              <w:t>建设项目周边5千米范围内近3年的现有监测数据</w:t>
            </w:r>
            <w:r>
              <w:rPr>
                <w:rFonts w:hint="eastAsia" w:cs="Times New Roman"/>
                <w:color w:val="auto"/>
                <w:sz w:val="24"/>
                <w:szCs w:val="24"/>
                <w:highlight w:val="none"/>
                <w:lang w:val="en-US" w:eastAsia="zh-CN"/>
              </w:rPr>
              <w:t>要求，</w:t>
            </w:r>
            <w:r>
              <w:rPr>
                <w:rFonts w:hint="eastAsia" w:ascii="Times New Roman" w:hAnsi="Times New Roman" w:eastAsia="宋体" w:cs="Times New Roman"/>
                <w:color w:val="auto"/>
                <w:sz w:val="24"/>
                <w:szCs w:val="24"/>
                <w:highlight w:val="none"/>
                <w:lang w:val="en-US" w:eastAsia="zh-CN"/>
              </w:rPr>
              <w:t>本项目引用数据合理可行</w:t>
            </w:r>
          </w:p>
          <w:p w14:paraId="065AB6B1">
            <w:pPr>
              <w:spacing w:line="360" w:lineRule="auto"/>
              <w:ind w:firstLine="480" w:firstLineChars="200"/>
              <w:rPr>
                <w:rFonts w:hint="default" w:ascii="Times New Roman" w:hAnsi="Times New Roman" w:cs="Times New Roman"/>
                <w:color w:val="auto"/>
                <w:sz w:val="24"/>
                <w:szCs w:val="24"/>
                <w:highlight w:val="none"/>
                <w:lang w:val="zh-CN"/>
              </w:rPr>
            </w:pPr>
            <w:r>
              <w:rPr>
                <w:rFonts w:hint="default" w:ascii="Times New Roman" w:hAnsi="Times New Roman" w:cs="Times New Roman"/>
                <w:color w:val="auto"/>
                <w:sz w:val="24"/>
                <w:szCs w:val="24"/>
                <w:highlight w:val="none"/>
                <w:lang w:val="zh-CN"/>
              </w:rPr>
              <w:t>①监测项目</w:t>
            </w:r>
          </w:p>
          <w:p w14:paraId="5A1A672A">
            <w:pPr>
              <w:adjustRightInd w:val="0"/>
              <w:snapToGrid w:val="0"/>
              <w:spacing w:line="360" w:lineRule="auto"/>
              <w:ind w:firstLine="480" w:firstLineChars="200"/>
              <w:rPr>
                <w:rFonts w:hint="default" w:ascii="Times New Roman" w:hAnsi="Times New Roman" w:cs="Times New Roman"/>
                <w:color w:val="auto"/>
                <w:sz w:val="24"/>
                <w:szCs w:val="24"/>
                <w:highlight w:val="none"/>
                <w:lang w:val="zh-CN"/>
              </w:rPr>
            </w:pPr>
            <w:r>
              <w:rPr>
                <w:rFonts w:hint="default" w:ascii="Times New Roman" w:hAnsi="Times New Roman" w:cs="Times New Roman"/>
                <w:color w:val="auto"/>
                <w:sz w:val="24"/>
                <w:szCs w:val="24"/>
                <w:highlight w:val="none"/>
                <w:lang w:val="zh-CN"/>
              </w:rPr>
              <w:t>TSP</w:t>
            </w:r>
          </w:p>
          <w:p w14:paraId="040C948A">
            <w:pPr>
              <w:spacing w:line="360" w:lineRule="auto"/>
              <w:ind w:firstLine="480" w:firstLineChars="200"/>
              <w:rPr>
                <w:rFonts w:hint="default" w:ascii="Times New Roman" w:hAnsi="Times New Roman" w:cs="Times New Roman"/>
                <w:color w:val="auto"/>
                <w:sz w:val="24"/>
                <w:szCs w:val="24"/>
                <w:highlight w:val="none"/>
                <w:lang w:val="zh-CN"/>
              </w:rPr>
            </w:pPr>
            <w:r>
              <w:rPr>
                <w:rFonts w:hint="default" w:ascii="Times New Roman" w:hAnsi="Times New Roman" w:cs="Times New Roman"/>
                <w:color w:val="auto"/>
                <w:sz w:val="24"/>
                <w:szCs w:val="24"/>
                <w:highlight w:val="none"/>
                <w:lang w:val="zh-CN"/>
              </w:rPr>
              <w:t>②监测时间</w:t>
            </w:r>
          </w:p>
          <w:p w14:paraId="547738AB">
            <w:pPr>
              <w:spacing w:line="360" w:lineRule="auto"/>
              <w:ind w:firstLine="480" w:firstLineChars="200"/>
              <w:rPr>
                <w:rFonts w:hint="default" w:ascii="Times New Roman" w:hAnsi="Times New Roman" w:cs="Times New Roman"/>
                <w:color w:val="auto"/>
                <w:sz w:val="24"/>
                <w:szCs w:val="24"/>
                <w:highlight w:val="none"/>
                <w:lang w:val="zh-CN"/>
              </w:rPr>
            </w:pPr>
            <w:r>
              <w:rPr>
                <w:rFonts w:hint="default" w:ascii="Times New Roman" w:hAnsi="Times New Roman" w:cs="Times New Roman"/>
                <w:color w:val="auto"/>
                <w:sz w:val="24"/>
                <w:szCs w:val="24"/>
                <w:highlight w:val="none"/>
                <w:lang w:val="zh-CN"/>
              </w:rPr>
              <w:t>监测时间：20</w:t>
            </w:r>
            <w:r>
              <w:rPr>
                <w:rFonts w:hint="default" w:ascii="Times New Roman" w:hAnsi="Times New Roman" w:cs="Times New Roman"/>
                <w:color w:val="auto"/>
                <w:sz w:val="24"/>
                <w:szCs w:val="24"/>
                <w:highlight w:val="none"/>
              </w:rPr>
              <w:t>2</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zh-CN"/>
              </w:rPr>
              <w:t>年</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zh-CN"/>
              </w:rPr>
              <w:t>月</w:t>
            </w:r>
            <w:r>
              <w:rPr>
                <w:rFonts w:hint="eastAsia" w:cs="Times New Roman"/>
                <w:color w:val="auto"/>
                <w:sz w:val="24"/>
                <w:szCs w:val="24"/>
                <w:highlight w:val="none"/>
                <w:lang w:val="en-US" w:eastAsia="zh-CN"/>
              </w:rPr>
              <w:t>8日—</w:t>
            </w:r>
            <w:r>
              <w:rPr>
                <w:rFonts w:hint="default" w:ascii="Times New Roman" w:hAnsi="Times New Roman" w:cs="Times New Roman"/>
                <w:color w:val="auto"/>
                <w:sz w:val="24"/>
                <w:szCs w:val="24"/>
                <w:highlight w:val="none"/>
                <w:lang w:val="zh-CN"/>
              </w:rPr>
              <w:t>20</w:t>
            </w:r>
            <w:r>
              <w:rPr>
                <w:rFonts w:hint="default" w:ascii="Times New Roman" w:hAnsi="Times New Roman" w:cs="Times New Roman"/>
                <w:color w:val="auto"/>
                <w:sz w:val="24"/>
                <w:szCs w:val="24"/>
                <w:highlight w:val="none"/>
              </w:rPr>
              <w:t>2</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zh-CN"/>
              </w:rPr>
              <w:t>年</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zh-CN"/>
              </w:rPr>
              <w:t>月</w:t>
            </w:r>
            <w:r>
              <w:rPr>
                <w:rFonts w:hint="eastAsia" w:cs="Times New Roman"/>
                <w:color w:val="auto"/>
                <w:sz w:val="24"/>
                <w:szCs w:val="24"/>
                <w:highlight w:val="none"/>
                <w:lang w:val="en-US" w:eastAsia="zh-CN"/>
              </w:rPr>
              <w:t>10</w:t>
            </w:r>
            <w:r>
              <w:rPr>
                <w:rFonts w:hint="default" w:ascii="Times New Roman" w:hAnsi="Times New Roman" w:cs="Times New Roman"/>
                <w:color w:val="auto"/>
                <w:sz w:val="24"/>
                <w:szCs w:val="24"/>
                <w:highlight w:val="none"/>
                <w:lang w:val="zh-CN"/>
              </w:rPr>
              <w:t>日，连续监测</w:t>
            </w:r>
            <w:r>
              <w:rPr>
                <w:rFonts w:hint="default" w:ascii="Times New Roman" w:hAnsi="Times New Roman" w:cs="Times New Roman"/>
                <w:color w:val="auto"/>
                <w:sz w:val="24"/>
                <w:szCs w:val="24"/>
                <w:highlight w:val="none"/>
              </w:rPr>
              <w:t>3</w:t>
            </w:r>
            <w:r>
              <w:rPr>
                <w:rFonts w:hint="default" w:ascii="Times New Roman" w:hAnsi="Times New Roman" w:cs="Times New Roman"/>
                <w:color w:val="auto"/>
                <w:sz w:val="24"/>
                <w:szCs w:val="24"/>
                <w:highlight w:val="none"/>
                <w:lang w:val="zh-CN"/>
              </w:rPr>
              <w:t>天。</w:t>
            </w:r>
          </w:p>
          <w:p w14:paraId="4D8C57F9">
            <w:pPr>
              <w:spacing w:line="360" w:lineRule="auto"/>
              <w:ind w:firstLine="480" w:firstLineChars="200"/>
              <w:rPr>
                <w:rFonts w:hint="default" w:ascii="Times New Roman" w:hAnsi="Times New Roman" w:cs="Times New Roman"/>
                <w:color w:val="auto"/>
                <w:sz w:val="24"/>
                <w:szCs w:val="24"/>
                <w:highlight w:val="none"/>
                <w:lang w:val="zh-CN"/>
              </w:rPr>
            </w:pPr>
            <w:r>
              <w:rPr>
                <w:rFonts w:hint="default" w:ascii="Times New Roman" w:hAnsi="Times New Roman" w:cs="Times New Roman"/>
                <w:color w:val="auto"/>
                <w:sz w:val="24"/>
                <w:szCs w:val="24"/>
                <w:highlight w:val="none"/>
                <w:lang w:val="zh-CN"/>
              </w:rPr>
              <w:fldChar w:fldCharType="begin"/>
            </w:r>
            <w:r>
              <w:rPr>
                <w:rFonts w:hint="default" w:ascii="Times New Roman" w:hAnsi="Times New Roman" w:cs="Times New Roman"/>
                <w:color w:val="auto"/>
                <w:sz w:val="24"/>
                <w:szCs w:val="24"/>
                <w:highlight w:val="none"/>
                <w:lang w:val="zh-CN"/>
              </w:rPr>
              <w:instrText xml:space="preserve"> = 3 \* GB3 \* MERGEFORMAT </w:instrText>
            </w:r>
            <w:r>
              <w:rPr>
                <w:rFonts w:hint="default" w:ascii="Times New Roman" w:hAnsi="Times New Roman" w:cs="Times New Roman"/>
                <w:color w:val="auto"/>
                <w:sz w:val="24"/>
                <w:szCs w:val="24"/>
                <w:highlight w:val="none"/>
                <w:lang w:val="zh-CN"/>
              </w:rPr>
              <w:fldChar w:fldCharType="separate"/>
            </w:r>
            <w:r>
              <w:rPr>
                <w:rFonts w:hint="default" w:ascii="Times New Roman" w:hAnsi="Times New Roman" w:cs="Times New Roman"/>
                <w:color w:val="auto"/>
                <w:sz w:val="24"/>
                <w:szCs w:val="24"/>
                <w:highlight w:val="none"/>
              </w:rPr>
              <w:t>③</w:t>
            </w:r>
            <w:r>
              <w:rPr>
                <w:rFonts w:hint="default" w:ascii="Times New Roman" w:hAnsi="Times New Roman" w:cs="Times New Roman"/>
                <w:color w:val="auto"/>
                <w:sz w:val="24"/>
                <w:szCs w:val="24"/>
                <w:highlight w:val="none"/>
                <w:lang w:val="zh-CN"/>
              </w:rPr>
              <w:fldChar w:fldCharType="end"/>
            </w:r>
            <w:r>
              <w:rPr>
                <w:rFonts w:hint="default" w:ascii="Times New Roman" w:hAnsi="Times New Roman" w:cs="Times New Roman"/>
                <w:color w:val="auto"/>
                <w:sz w:val="24"/>
                <w:szCs w:val="24"/>
                <w:highlight w:val="none"/>
                <w:lang w:val="zh-CN"/>
              </w:rPr>
              <w:t>监测点位</w:t>
            </w:r>
          </w:p>
          <w:p w14:paraId="1C4C4470">
            <w:pPr>
              <w:spacing w:line="360" w:lineRule="auto"/>
              <w:ind w:firstLine="480" w:firstLineChars="200"/>
              <w:rPr>
                <w:rFonts w:hint="default" w:ascii="Times New Roman" w:hAnsi="Times New Roman" w:eastAsia="宋体" w:cs="Times New Roman"/>
                <w:color w:val="auto"/>
                <w:kern w:val="2"/>
                <w:sz w:val="24"/>
                <w:szCs w:val="24"/>
                <w:highlight w:val="none"/>
                <w:lang w:val="zh-CN" w:eastAsia="zh-CN" w:bidi="ar-SA"/>
              </w:rPr>
            </w:pPr>
            <w:r>
              <w:rPr>
                <w:rFonts w:hint="default" w:ascii="Times New Roman" w:hAnsi="Times New Roman" w:eastAsia="宋体" w:cs="Times New Roman"/>
                <w:color w:val="auto"/>
                <w:kern w:val="2"/>
                <w:sz w:val="24"/>
                <w:szCs w:val="24"/>
                <w:highlight w:val="none"/>
                <w:lang w:val="zh-CN" w:eastAsia="zh-CN" w:bidi="ar-SA"/>
              </w:rPr>
              <w:t>监测点位置具体见表3-2和图3-1。</w:t>
            </w:r>
          </w:p>
          <w:p w14:paraId="2DC715BE">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表3-2 项目环境空气现状监测布点一览表</w:t>
            </w:r>
          </w:p>
          <w:tbl>
            <w:tblPr>
              <w:tblStyle w:val="17"/>
              <w:tblW w:w="487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70"/>
              <w:gridCol w:w="1530"/>
              <w:gridCol w:w="1321"/>
              <w:gridCol w:w="1708"/>
              <w:gridCol w:w="979"/>
              <w:gridCol w:w="1369"/>
            </w:tblGrid>
            <w:tr w14:paraId="4507AD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26" w:type="pct"/>
                  <w:vMerge w:val="restart"/>
                  <w:tcBorders>
                    <w:tl2br w:val="nil"/>
                    <w:tr2bl w:val="nil"/>
                  </w:tcBorders>
                  <w:vAlign w:val="center"/>
                </w:tcPr>
                <w:p w14:paraId="298BEB0B">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监测点名称</w:t>
                  </w:r>
                </w:p>
              </w:tc>
              <w:tc>
                <w:tcPr>
                  <w:tcW w:w="1681" w:type="pct"/>
                  <w:gridSpan w:val="2"/>
                  <w:tcBorders>
                    <w:tl2br w:val="nil"/>
                    <w:tr2bl w:val="nil"/>
                  </w:tcBorders>
                  <w:vAlign w:val="center"/>
                </w:tcPr>
                <w:p w14:paraId="4C27909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监测点坐标/°</w:t>
                  </w:r>
                </w:p>
              </w:tc>
              <w:tc>
                <w:tcPr>
                  <w:tcW w:w="1007" w:type="pct"/>
                  <w:vMerge w:val="restart"/>
                  <w:tcBorders>
                    <w:tl2br w:val="nil"/>
                    <w:tr2bl w:val="nil"/>
                  </w:tcBorders>
                  <w:vAlign w:val="center"/>
                </w:tcPr>
                <w:p w14:paraId="5EDAD73A">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w:t>
                  </w:r>
                </w:p>
              </w:tc>
              <w:tc>
                <w:tcPr>
                  <w:tcW w:w="577" w:type="pct"/>
                  <w:vMerge w:val="restart"/>
                  <w:tcBorders>
                    <w:tl2br w:val="nil"/>
                    <w:tr2bl w:val="nil"/>
                  </w:tcBorders>
                  <w:vAlign w:val="center"/>
                </w:tcPr>
                <w:p w14:paraId="2ECB10DD">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相对厂址方位</w:t>
                  </w:r>
                </w:p>
              </w:tc>
              <w:tc>
                <w:tcPr>
                  <w:tcW w:w="807" w:type="pct"/>
                  <w:vMerge w:val="restart"/>
                  <w:tcBorders>
                    <w:tl2br w:val="nil"/>
                    <w:tr2bl w:val="nil"/>
                  </w:tcBorders>
                  <w:vAlign w:val="center"/>
                </w:tcPr>
                <w:p w14:paraId="0E22E146">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相对厂界</w:t>
                  </w:r>
                </w:p>
                <w:p w14:paraId="2EE65933">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距离/m</w:t>
                  </w:r>
                </w:p>
              </w:tc>
            </w:tr>
            <w:tr w14:paraId="0FD8D6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26" w:type="pct"/>
                  <w:vMerge w:val="continue"/>
                  <w:tcBorders>
                    <w:tl2br w:val="nil"/>
                    <w:tr2bl w:val="nil"/>
                  </w:tcBorders>
                  <w:vAlign w:val="center"/>
                </w:tcPr>
                <w:p w14:paraId="6A965410">
                  <w:pPr>
                    <w:jc w:val="center"/>
                    <w:rPr>
                      <w:rFonts w:hint="default" w:ascii="Times New Roman" w:hAnsi="Times New Roman" w:cs="Times New Roman"/>
                      <w:color w:val="auto"/>
                      <w:highlight w:val="none"/>
                    </w:rPr>
                  </w:pPr>
                </w:p>
              </w:tc>
              <w:tc>
                <w:tcPr>
                  <w:tcW w:w="902" w:type="pct"/>
                  <w:tcBorders>
                    <w:tl2br w:val="nil"/>
                    <w:tr2bl w:val="nil"/>
                  </w:tcBorders>
                  <w:vAlign w:val="center"/>
                </w:tcPr>
                <w:p w14:paraId="40719D99">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经度</w:t>
                  </w:r>
                </w:p>
              </w:tc>
              <w:tc>
                <w:tcPr>
                  <w:tcW w:w="778" w:type="pct"/>
                  <w:tcBorders>
                    <w:tl2br w:val="nil"/>
                    <w:tr2bl w:val="nil"/>
                  </w:tcBorders>
                  <w:vAlign w:val="center"/>
                </w:tcPr>
                <w:p w14:paraId="2C95B106">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纬度</w:t>
                  </w:r>
                </w:p>
              </w:tc>
              <w:tc>
                <w:tcPr>
                  <w:tcW w:w="1007" w:type="pct"/>
                  <w:vMerge w:val="continue"/>
                  <w:tcBorders>
                    <w:tl2br w:val="nil"/>
                    <w:tr2bl w:val="nil"/>
                  </w:tcBorders>
                  <w:vAlign w:val="center"/>
                </w:tcPr>
                <w:p w14:paraId="4BC4082F">
                  <w:pPr>
                    <w:jc w:val="center"/>
                    <w:rPr>
                      <w:rFonts w:hint="default" w:ascii="Times New Roman" w:hAnsi="Times New Roman" w:cs="Times New Roman"/>
                      <w:color w:val="auto"/>
                      <w:highlight w:val="none"/>
                    </w:rPr>
                  </w:pPr>
                </w:p>
              </w:tc>
              <w:tc>
                <w:tcPr>
                  <w:tcW w:w="577" w:type="pct"/>
                  <w:vMerge w:val="continue"/>
                  <w:tcBorders>
                    <w:tl2br w:val="nil"/>
                    <w:tr2bl w:val="nil"/>
                  </w:tcBorders>
                  <w:vAlign w:val="center"/>
                </w:tcPr>
                <w:p w14:paraId="12CEC860">
                  <w:pPr>
                    <w:jc w:val="center"/>
                    <w:rPr>
                      <w:rFonts w:hint="default" w:ascii="Times New Roman" w:hAnsi="Times New Roman" w:cs="Times New Roman"/>
                      <w:color w:val="auto"/>
                      <w:highlight w:val="none"/>
                    </w:rPr>
                  </w:pPr>
                </w:p>
              </w:tc>
              <w:tc>
                <w:tcPr>
                  <w:tcW w:w="807" w:type="pct"/>
                  <w:vMerge w:val="continue"/>
                  <w:tcBorders>
                    <w:tl2br w:val="nil"/>
                    <w:tr2bl w:val="nil"/>
                  </w:tcBorders>
                  <w:vAlign w:val="center"/>
                </w:tcPr>
                <w:p w14:paraId="77031F2B">
                  <w:pPr>
                    <w:jc w:val="center"/>
                    <w:rPr>
                      <w:rFonts w:hint="default" w:ascii="Times New Roman" w:hAnsi="Times New Roman" w:cs="Times New Roman"/>
                      <w:color w:val="auto"/>
                      <w:highlight w:val="none"/>
                    </w:rPr>
                  </w:pPr>
                </w:p>
              </w:tc>
            </w:tr>
            <w:tr w14:paraId="588C26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26" w:type="pct"/>
                  <w:tcBorders>
                    <w:tl2br w:val="nil"/>
                    <w:tr2bl w:val="nil"/>
                  </w:tcBorders>
                  <w:vAlign w:val="center"/>
                </w:tcPr>
                <w:p w14:paraId="1F5B241C">
                  <w:pPr>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w:t>
                  </w:r>
                </w:p>
              </w:tc>
              <w:tc>
                <w:tcPr>
                  <w:tcW w:w="902" w:type="pct"/>
                  <w:tcBorders>
                    <w:tl2br w:val="nil"/>
                    <w:tr2bl w:val="nil"/>
                  </w:tcBorders>
                  <w:vAlign w:val="center"/>
                </w:tcPr>
                <w:p w14:paraId="6F2E091A">
                  <w:pPr>
                    <w:jc w:val="center"/>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130.98466752</w:t>
                  </w:r>
                </w:p>
              </w:tc>
              <w:tc>
                <w:tcPr>
                  <w:tcW w:w="778" w:type="pct"/>
                  <w:tcBorders>
                    <w:tl2br w:val="nil"/>
                    <w:tr2bl w:val="nil"/>
                  </w:tcBorders>
                  <w:vAlign w:val="center"/>
                </w:tcPr>
                <w:p w14:paraId="2252F05D">
                  <w:pPr>
                    <w:jc w:val="center"/>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45.33947330</w:t>
                  </w:r>
                </w:p>
              </w:tc>
              <w:tc>
                <w:tcPr>
                  <w:tcW w:w="1007" w:type="pct"/>
                  <w:tcBorders>
                    <w:tl2br w:val="nil"/>
                    <w:tr2bl w:val="nil"/>
                  </w:tcBorders>
                  <w:vAlign w:val="center"/>
                </w:tcPr>
                <w:p w14:paraId="4290AF13">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577" w:type="pct"/>
                  <w:tcBorders>
                    <w:tl2br w:val="nil"/>
                    <w:tr2bl w:val="nil"/>
                  </w:tcBorders>
                  <w:vAlign w:val="center"/>
                </w:tcPr>
                <w:p w14:paraId="08C0A5D5">
                  <w:pPr>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东</w:t>
                  </w:r>
                </w:p>
              </w:tc>
              <w:tc>
                <w:tcPr>
                  <w:tcW w:w="807" w:type="pct"/>
                  <w:tcBorders>
                    <w:tl2br w:val="nil"/>
                    <w:tr2bl w:val="nil"/>
                  </w:tcBorders>
                  <w:vAlign w:val="center"/>
                </w:tcPr>
                <w:p w14:paraId="6E0EC149">
                  <w:pPr>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300</w:t>
                  </w:r>
                </w:p>
              </w:tc>
            </w:tr>
          </w:tbl>
          <w:p w14:paraId="45868940">
            <w:pPr>
              <w:pStyle w:val="15"/>
              <w:adjustRightInd w:val="0"/>
              <w:spacing w:before="0" w:after="0" w:line="360" w:lineRule="auto"/>
              <w:ind w:right="0" w:firstLine="0" w:firstLineChars="0"/>
              <w:jc w:val="center"/>
              <w:rPr>
                <w:rFonts w:hint="default" w:ascii="Times New Roman" w:hAnsi="Times New Roman" w:cs="Times New Roman"/>
                <w:color w:val="auto"/>
                <w:highlight w:val="none"/>
                <w:lang w:val="zh-CN"/>
              </w:rPr>
            </w:pPr>
            <w:r>
              <w:rPr>
                <w:color w:val="auto"/>
                <w:highlight w:val="none"/>
              </w:rPr>
              <mc:AlternateContent>
                <mc:Choice Requires="wps">
                  <w:drawing>
                    <wp:anchor distT="0" distB="0" distL="114300" distR="114300" simplePos="0" relativeHeight="251671552" behindDoc="0" locked="0" layoutInCell="1" allowOverlap="1">
                      <wp:simplePos x="0" y="0"/>
                      <wp:positionH relativeFrom="column">
                        <wp:posOffset>953770</wp:posOffset>
                      </wp:positionH>
                      <wp:positionV relativeFrom="paragraph">
                        <wp:posOffset>2499995</wp:posOffset>
                      </wp:positionV>
                      <wp:extent cx="131445" cy="102235"/>
                      <wp:effectExtent l="17145" t="12700" r="22860" b="18415"/>
                      <wp:wrapNone/>
                      <wp:docPr id="68" name="五角星 68"/>
                      <wp:cNvGraphicFramePr/>
                      <a:graphic xmlns:a="http://schemas.openxmlformats.org/drawingml/2006/main">
                        <a:graphicData uri="http://schemas.microsoft.com/office/word/2010/wordprocessingShape">
                          <wps:wsp>
                            <wps:cNvSpPr/>
                            <wps:spPr>
                              <a:xfrm>
                                <a:off x="0" y="0"/>
                                <a:ext cx="131445" cy="102235"/>
                              </a:xfrm>
                              <a:prstGeom prst="star5">
                                <a:avLst/>
                              </a:prstGeom>
                              <a:solidFill>
                                <a:srgbClr val="FFFFFF"/>
                              </a:solidFill>
                              <a:ln w="9525" cap="flat" cmpd="sng">
                                <a:solidFill>
                                  <a:srgbClr val="FF0000"/>
                                </a:solidFill>
                                <a:prstDash val="solid"/>
                                <a:miter/>
                                <a:headEnd type="none" w="med" len="med"/>
                                <a:tailEnd type="none" w="med" len="med"/>
                              </a:ln>
                            </wps:spPr>
                            <wps:txbx>
                              <w:txbxContent>
                                <w:p w14:paraId="23DD9852"/>
                              </w:txbxContent>
                            </wps:txbx>
                            <wps:bodyPr upright="1"/>
                          </wps:wsp>
                        </a:graphicData>
                      </a:graphic>
                    </wp:anchor>
                  </w:drawing>
                </mc:Choice>
                <mc:Fallback>
                  <w:pict>
                    <v:shape id="_x0000_s1026" o:spid="_x0000_s1026" style="position:absolute;left:0pt;margin-left:75.1pt;margin-top:196.85pt;height:8.05pt;width:10.35pt;z-index:251671552;mso-width-relative:page;mso-height-relative:page;" fillcolor="#FFFFFF" filled="t" stroked="t" coordsize="131445,102235" o:gfxdata="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S5g0bZAAAACwEAAA8AAAAAAAAAAQAgAAAAIgAA&#10;AGRycy9kb3ducmV2LnhtbFBLAQIUABQAAAAIAIdO4kALq0E5BwIAAC4EAAAOAAAAAAAAAAEAIAAA&#10;ACgBAABkcnMvZTJvRG9jLnhtbFBLBQYAAAAABgAGAFkBAAChBQAAAAA=&#10;" path="m0,39050l50207,39050,65722,0,81237,39050,131444,39050,90825,63184,106341,102234,65722,78100,25103,102234,40619,63184xe">
                      <v:path textboxrect="0,0,131445,102235" o:connectlocs="65722,0;0,39050;25103,102234;106341,102234;131444,39050" o:connectangles="247,164,82,82,0"/>
                      <v:fill on="t" focussize="0,0"/>
                      <v:stroke color="#FF0000" joinstyle="miter"/>
                      <v:imagedata o:title=""/>
                      <o:lock v:ext="edit" aspectratio="f"/>
                      <v:textbox>
                        <w:txbxContent>
                          <w:p w14:paraId="23DD9852"/>
                        </w:txbxContent>
                      </v:textbox>
                    </v:shape>
                  </w:pict>
                </mc:Fallback>
              </mc:AlternateContent>
            </w:r>
            <w:r>
              <w:rPr>
                <w:color w:val="auto"/>
                <w:sz w:val="21"/>
              </w:rPr>
              <mc:AlternateContent>
                <mc:Choice Requires="wpg">
                  <w:drawing>
                    <wp:anchor distT="0" distB="0" distL="114300" distR="114300" simplePos="0" relativeHeight="251670528" behindDoc="0" locked="0" layoutInCell="1" allowOverlap="1">
                      <wp:simplePos x="0" y="0"/>
                      <wp:positionH relativeFrom="column">
                        <wp:posOffset>4429125</wp:posOffset>
                      </wp:positionH>
                      <wp:positionV relativeFrom="paragraph">
                        <wp:posOffset>2773045</wp:posOffset>
                      </wp:positionV>
                      <wp:extent cx="1038860" cy="783590"/>
                      <wp:effectExtent l="4445" t="5080" r="23495" b="11430"/>
                      <wp:wrapNone/>
                      <wp:docPr id="47" name="组合 47"/>
                      <wp:cNvGraphicFramePr/>
                      <a:graphic xmlns:a="http://schemas.openxmlformats.org/drawingml/2006/main">
                        <a:graphicData uri="http://schemas.microsoft.com/office/word/2010/wordprocessingGroup">
                          <wpg:wgp>
                            <wpg:cNvGrpSpPr/>
                            <wpg:grpSpPr>
                              <a:xfrm>
                                <a:off x="0" y="0"/>
                                <a:ext cx="1038860" cy="783590"/>
                                <a:chOff x="10247" y="471225"/>
                                <a:chExt cx="1636" cy="1234"/>
                              </a:xfrm>
                            </wpg:grpSpPr>
                            <wps:wsp>
                              <wps:cNvPr id="65" name="文本框 20"/>
                              <wps:cNvSpPr txBox="1"/>
                              <wps:spPr>
                                <a:xfrm>
                                  <a:off x="10247" y="471225"/>
                                  <a:ext cx="1636" cy="123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0AC9801">
                                    <w:pPr>
                                      <w:jc w:val="center"/>
                                      <w:rPr>
                                        <w:rFonts w:hint="eastAsia"/>
                                        <w:b/>
                                        <w:bCs/>
                                      </w:rPr>
                                    </w:pPr>
                                    <w:r>
                                      <w:rPr>
                                        <w:rFonts w:hint="eastAsia"/>
                                        <w:b/>
                                        <w:bCs/>
                                      </w:rPr>
                                      <w:t>图例</w:t>
                                    </w:r>
                                  </w:p>
                                  <w:p w14:paraId="6BD62EC9">
                                    <w:pPr>
                                      <w:pStyle w:val="15"/>
                                      <w:ind w:firstLine="180"/>
                                      <w:rPr>
                                        <w:rFonts w:hint="eastAsia"/>
                                        <w:b w:val="0"/>
                                        <w:sz w:val="18"/>
                                        <w:szCs w:val="18"/>
                                      </w:rPr>
                                    </w:pPr>
                                    <w:r>
                                      <w:rPr>
                                        <w:rFonts w:hint="eastAsia"/>
                                        <w:szCs w:val="18"/>
                                      </w:rPr>
                                      <w:t>本项目位置</w:t>
                                    </w:r>
                                  </w:p>
                                  <w:p w14:paraId="5E254467">
                                    <w:pPr>
                                      <w:pStyle w:val="15"/>
                                      <w:ind w:firstLine="180"/>
                                      <w:rPr>
                                        <w:rFonts w:hint="eastAsia" w:ascii="Times New Roman" w:hAnsi="Times New Roman" w:eastAsia="宋体" w:cs="Times New Roman"/>
                                        <w:szCs w:val="18"/>
                                      </w:rPr>
                                    </w:pPr>
                                    <w:r>
                                      <w:rPr>
                                        <w:rFonts w:hint="eastAsia" w:ascii="Times New Roman" w:hAnsi="Times New Roman" w:eastAsia="宋体" w:cs="Times New Roman"/>
                                        <w:szCs w:val="18"/>
                                      </w:rPr>
                                      <w:t>监测点位</w:t>
                                    </w:r>
                                  </w:p>
                                </w:txbxContent>
                              </wps:txbx>
                              <wps:bodyPr upright="1"/>
                            </wps:wsp>
                            <wps:wsp>
                              <wps:cNvPr id="66" name="矩形 38"/>
                              <wps:cNvSpPr/>
                              <wps:spPr>
                                <a:xfrm>
                                  <a:off x="10355" y="471684"/>
                                  <a:ext cx="222" cy="140"/>
                                </a:xfrm>
                                <a:prstGeom prst="rect">
                                  <a:avLst/>
                                </a:prstGeom>
                                <a:solidFill>
                                  <a:srgbClr val="FFFFFF"/>
                                </a:solidFill>
                                <a:ln w="9525" cap="flat" cmpd="sng">
                                  <a:solidFill>
                                    <a:srgbClr val="0070C0"/>
                                  </a:solidFill>
                                  <a:prstDash val="solid"/>
                                  <a:miter/>
                                  <a:headEnd type="none" w="med" len="med"/>
                                  <a:tailEnd type="none" w="med" len="med"/>
                                </a:ln>
                              </wps:spPr>
                              <wps:txbx>
                                <w:txbxContent>
                                  <w:p w14:paraId="6C371BE6"/>
                                </w:txbxContent>
                              </wps:txbx>
                              <wps:bodyPr upright="1"/>
                            </wps:wsp>
                            <wps:wsp>
                              <wps:cNvPr id="67" name="五角星 59"/>
                              <wps:cNvSpPr/>
                              <wps:spPr>
                                <a:xfrm>
                                  <a:off x="10354" y="472063"/>
                                  <a:ext cx="207" cy="161"/>
                                </a:xfrm>
                                <a:prstGeom prst="star5">
                                  <a:avLst/>
                                </a:prstGeom>
                                <a:solidFill>
                                  <a:srgbClr val="FFFFFF"/>
                                </a:solidFill>
                                <a:ln w="9525" cap="flat" cmpd="sng">
                                  <a:solidFill>
                                    <a:srgbClr val="FF0000"/>
                                  </a:solidFill>
                                  <a:prstDash val="solid"/>
                                  <a:miter/>
                                  <a:headEnd type="none" w="med" len="med"/>
                                  <a:tailEnd type="none" w="med" len="med"/>
                                </a:ln>
                              </wps:spPr>
                              <wps:txbx>
                                <w:txbxContent>
                                  <w:p w14:paraId="10B1BC32"/>
                                </w:txbxContent>
                              </wps:txbx>
                              <wps:bodyPr upright="1"/>
                            </wps:wsp>
                          </wpg:wgp>
                        </a:graphicData>
                      </a:graphic>
                    </wp:anchor>
                  </w:drawing>
                </mc:Choice>
                <mc:Fallback>
                  <w:pict>
                    <v:group id="_x0000_s1026" o:spid="_x0000_s1026" o:spt="203" style="position:absolute;left:0pt;margin-left:348.75pt;margin-top:218.35pt;height:61.7pt;width:81.8pt;z-index:251670528;mso-width-relative:page;mso-height-relative:page;" coordorigin="10247,471225" coordsize="1636,1234" o:gfxdata="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">
                      <o:lock v:ext="edit" aspectratio="f"/>
                      <v:shape id="文本框 20" o:spid="_x0000_s1026" o:spt="202" type="#_x0000_t202" style="position:absolute;left:10247;top:471225;height:1234;width:1636;" fillcolor="#FFFFFF" filled="t" stroked="t" coordsize="21600,21600" o:gfxdata="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TUPP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40AC9801">
                              <w:pPr>
                                <w:jc w:val="center"/>
                                <w:rPr>
                                  <w:rFonts w:hint="eastAsia"/>
                                  <w:b/>
                                  <w:bCs/>
                                </w:rPr>
                              </w:pPr>
                              <w:r>
                                <w:rPr>
                                  <w:rFonts w:hint="eastAsia"/>
                                  <w:b/>
                                  <w:bCs/>
                                </w:rPr>
                                <w:t>图例</w:t>
                              </w:r>
                            </w:p>
                            <w:p w14:paraId="6BD62EC9">
                              <w:pPr>
                                <w:pStyle w:val="15"/>
                                <w:ind w:firstLine="180"/>
                                <w:rPr>
                                  <w:rFonts w:hint="eastAsia"/>
                                  <w:b w:val="0"/>
                                  <w:sz w:val="18"/>
                                  <w:szCs w:val="18"/>
                                </w:rPr>
                              </w:pPr>
                              <w:r>
                                <w:rPr>
                                  <w:rFonts w:hint="eastAsia"/>
                                  <w:szCs w:val="18"/>
                                </w:rPr>
                                <w:t>本项目位置</w:t>
                              </w:r>
                            </w:p>
                            <w:p w14:paraId="5E254467">
                              <w:pPr>
                                <w:pStyle w:val="15"/>
                                <w:ind w:firstLine="180"/>
                                <w:rPr>
                                  <w:rFonts w:hint="eastAsia" w:ascii="Times New Roman" w:hAnsi="Times New Roman" w:eastAsia="宋体" w:cs="Times New Roman"/>
                                  <w:szCs w:val="18"/>
                                </w:rPr>
                              </w:pPr>
                              <w:r>
                                <w:rPr>
                                  <w:rFonts w:hint="eastAsia" w:ascii="Times New Roman" w:hAnsi="Times New Roman" w:eastAsia="宋体" w:cs="Times New Roman"/>
                                  <w:szCs w:val="18"/>
                                </w:rPr>
                                <w:t>监测点位</w:t>
                              </w:r>
                            </w:p>
                          </w:txbxContent>
                        </v:textbox>
                      </v:shape>
                      <v:rect id="矩形 38" o:spid="_x0000_s1026" o:spt="1" style="position:absolute;left:10355;top:471684;height:140;width:222;" fillcolor="#FFFFFF" filled="t" stroked="t" coordsize="21600,21600" o:gfxdata="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qRMhvQAA&#10;ANsAAAAPAAAAAAAAAAEAIAAAACIAAABkcnMvZG93bnJldi54bWxQSwECFAAUAAAACACHTuJAMy8F&#10;njsAAAA5AAAAEAAAAAAAAAABACAAAAAMAQAAZHJzL3NoYXBleG1sLnhtbFBLBQYAAAAABgAGAFsB&#10;AAC2AwAAAAA=&#10;">
                        <v:fill on="t" focussize="0,0"/>
                        <v:stroke color="#0070C0" joinstyle="miter"/>
                        <v:imagedata o:title=""/>
                        <o:lock v:ext="edit" aspectratio="f"/>
                        <v:textbox>
                          <w:txbxContent>
                            <w:p w14:paraId="6C371BE6"/>
                          </w:txbxContent>
                        </v:textbox>
                      </v:rect>
                      <v:shape id="五角星 59" o:spid="_x0000_s1026" style="position:absolute;left:10354;top:472063;height:161;width:207;" fillcolor="#FFFFFF" filled="t" stroked="t" coordsize="207,161" o:gfxdata="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QaMc68AAAA&#10;2wAAAA8AAAAAAAAAAQAgAAAAIgAAAGRycy9kb3ducmV2LnhtbFBLAQIUABQAAAAIAIdO4kAzLwWe&#10;OwAAADkAAAAQAAAAAAAAAAEAIAAAAAsBAABkcnMvc2hhcGV4bWwueG1sUEsFBgAAAAAGAAYAWwEA&#10;ALUDAAAAAA==&#10;" path="m0,61l79,61,103,0,127,61,206,61,143,99,167,160,103,122,39,160,63,99xe">
                        <v:path textboxrect="0,0,207,161" o:connectlocs="103,0;0,61;39,160;167,160;206,61" o:connectangles="247,164,82,82,0"/>
                        <v:fill on="t" focussize="0,0"/>
                        <v:stroke color="#FF0000" joinstyle="miter"/>
                        <v:imagedata o:title=""/>
                        <o:lock v:ext="edit" aspectratio="f"/>
                        <v:textbox>
                          <w:txbxContent>
                            <w:p w14:paraId="10B1BC32"/>
                          </w:txbxContent>
                        </v:textbox>
                      </v:shape>
                    </v:group>
                  </w:pict>
                </mc:Fallback>
              </mc:AlternateContent>
            </w:r>
            <w:r>
              <w:rPr>
                <w:color w:val="auto"/>
                <w:highlight w:val="none"/>
              </w:rPr>
              <w:drawing>
                <wp:anchor distT="0" distB="0" distL="114300" distR="114300" simplePos="0" relativeHeight="251669504" behindDoc="0" locked="0" layoutInCell="1" allowOverlap="1">
                  <wp:simplePos x="0" y="0"/>
                  <wp:positionH relativeFrom="column">
                    <wp:posOffset>11430</wp:posOffset>
                  </wp:positionH>
                  <wp:positionV relativeFrom="paragraph">
                    <wp:posOffset>10795</wp:posOffset>
                  </wp:positionV>
                  <wp:extent cx="695325" cy="685800"/>
                  <wp:effectExtent l="0" t="0" r="9525" b="0"/>
                  <wp:wrapNone/>
                  <wp:docPr id="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
                          <pic:cNvPicPr>
                            <a:picLocks noChangeAspect="1"/>
                          </pic:cNvPicPr>
                        </pic:nvPicPr>
                        <pic:blipFill>
                          <a:blip r:embed="rId17"/>
                          <a:stretch>
                            <a:fillRect/>
                          </a:stretch>
                        </pic:blipFill>
                        <pic:spPr>
                          <a:xfrm>
                            <a:off x="0" y="0"/>
                            <a:ext cx="695325" cy="685800"/>
                          </a:xfrm>
                          <a:prstGeom prst="rect">
                            <a:avLst/>
                          </a:prstGeom>
                          <a:noFill/>
                          <a:ln>
                            <a:noFill/>
                          </a:ln>
                        </pic:spPr>
                      </pic:pic>
                    </a:graphicData>
                  </a:graphic>
                </wp:anchor>
              </w:drawing>
            </w:r>
            <w:r>
              <w:rPr>
                <w:color w:val="auto"/>
              </w:rPr>
              <w:drawing>
                <wp:inline distT="0" distB="0" distL="114300" distR="114300">
                  <wp:extent cx="5506720" cy="3564890"/>
                  <wp:effectExtent l="0" t="0" r="17780" b="16510"/>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pic:cNvPicPr>
                        </pic:nvPicPr>
                        <pic:blipFill>
                          <a:blip r:embed="rId18"/>
                          <a:stretch>
                            <a:fillRect/>
                          </a:stretch>
                        </pic:blipFill>
                        <pic:spPr>
                          <a:xfrm>
                            <a:off x="0" y="0"/>
                            <a:ext cx="5506720" cy="3564890"/>
                          </a:xfrm>
                          <a:prstGeom prst="rect">
                            <a:avLst/>
                          </a:prstGeom>
                          <a:noFill/>
                          <a:ln>
                            <a:noFill/>
                          </a:ln>
                        </pic:spPr>
                      </pic:pic>
                    </a:graphicData>
                  </a:graphic>
                </wp:inline>
              </w:drawing>
            </w:r>
          </w:p>
          <w:p w14:paraId="5F8671BD">
            <w:pPr>
              <w:jc w:val="center"/>
              <w:rPr>
                <w:rFonts w:hint="default" w:ascii="Times New Roman" w:hAnsi="Times New Roman" w:eastAsia="宋体" w:cs="Times New Roman"/>
                <w:b/>
                <w:bCs/>
                <w:color w:val="auto"/>
                <w:kern w:val="2"/>
                <w:sz w:val="24"/>
                <w:szCs w:val="24"/>
                <w:highlight w:val="none"/>
                <w:lang w:val="zh-CN" w:eastAsia="zh-CN" w:bidi="ar-SA"/>
              </w:rPr>
            </w:pPr>
            <w:r>
              <w:rPr>
                <w:rFonts w:hint="default" w:ascii="Times New Roman" w:hAnsi="Times New Roman" w:eastAsia="宋体" w:cs="Times New Roman"/>
                <w:b/>
                <w:bCs/>
                <w:color w:val="auto"/>
                <w:kern w:val="2"/>
                <w:sz w:val="24"/>
                <w:szCs w:val="24"/>
                <w:highlight w:val="none"/>
                <w:lang w:val="en-US" w:eastAsia="zh-CN" w:bidi="ar-SA"/>
              </w:rPr>
              <w:t>图3-1  项目现状监测布点图</w:t>
            </w:r>
          </w:p>
          <w:p w14:paraId="49D7D577">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 4 \* GB3 \* MERGEFORMAT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highlight w:val="none"/>
              </w:rPr>
              <w:t>④</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监测结果</w:t>
            </w:r>
          </w:p>
          <w:p w14:paraId="6D8E9952">
            <w:pPr>
              <w:spacing w:line="360" w:lineRule="auto"/>
              <w:ind w:firstLine="480" w:firstLineChars="200"/>
              <w:rPr>
                <w:rFonts w:hint="default"/>
                <w:color w:val="auto"/>
                <w:highlight w:val="none"/>
              </w:rPr>
            </w:pPr>
            <w:r>
              <w:rPr>
                <w:rFonts w:hint="default" w:ascii="Times New Roman" w:hAnsi="Times New Roman" w:cs="Times New Roman"/>
                <w:color w:val="auto"/>
                <w:sz w:val="24"/>
                <w:szCs w:val="24"/>
                <w:highlight w:val="none"/>
              </w:rPr>
              <w:t>本次环境空气质量现状监测结果见表3-3。</w:t>
            </w:r>
          </w:p>
          <w:p w14:paraId="3DB4C2A2">
            <w:pPr>
              <w:jc w:val="center"/>
              <w:rPr>
                <w:rFonts w:hint="default"/>
                <w:color w:val="auto"/>
                <w:highlight w:val="none"/>
                <w:lang w:val="en-US" w:eastAsia="zh-CN"/>
              </w:rPr>
            </w:pPr>
            <w:r>
              <w:rPr>
                <w:rFonts w:hint="default" w:ascii="Times New Roman" w:hAnsi="Times New Roman" w:eastAsia="宋体" w:cs="Times New Roman"/>
                <w:b/>
                <w:bCs/>
                <w:color w:val="auto"/>
                <w:kern w:val="2"/>
                <w:sz w:val="24"/>
                <w:szCs w:val="24"/>
                <w:highlight w:val="none"/>
                <w:lang w:val="en-US" w:eastAsia="zh-CN" w:bidi="ar-SA"/>
              </w:rPr>
              <w:t>表3-3  环境空气质量现状监测结果</w:t>
            </w:r>
          </w:p>
          <w:tbl>
            <w:tblPr>
              <w:tblStyle w:val="17"/>
              <w:tblW w:w="499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73"/>
              <w:gridCol w:w="1424"/>
              <w:gridCol w:w="1319"/>
              <w:gridCol w:w="578"/>
              <w:gridCol w:w="538"/>
              <w:gridCol w:w="974"/>
              <w:gridCol w:w="1179"/>
              <w:gridCol w:w="811"/>
              <w:gridCol w:w="812"/>
              <w:gridCol w:w="475"/>
            </w:tblGrid>
            <w:tr w14:paraId="5773D7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413" w:type="pct"/>
                  <w:vMerge w:val="restart"/>
                  <w:vAlign w:val="center"/>
                </w:tcPr>
                <w:p w14:paraId="4FFC8B6F">
                  <w:pPr>
                    <w:pStyle w:val="3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w:t>
                  </w:r>
                </w:p>
                <w:p w14:paraId="6741D954">
                  <w:pPr>
                    <w:pStyle w:val="3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点位</w:t>
                  </w:r>
                </w:p>
              </w:tc>
              <w:tc>
                <w:tcPr>
                  <w:tcW w:w="1116" w:type="pct"/>
                  <w:gridSpan w:val="2"/>
                  <w:vAlign w:val="center"/>
                </w:tcPr>
                <w:p w14:paraId="10D17F26">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监测点坐标/°</w:t>
                  </w:r>
                </w:p>
              </w:tc>
              <w:tc>
                <w:tcPr>
                  <w:tcW w:w="298" w:type="pct"/>
                  <w:vMerge w:val="restart"/>
                  <w:vAlign w:val="center"/>
                </w:tcPr>
                <w:p w14:paraId="2E2556BD">
                  <w:pPr>
                    <w:pStyle w:val="3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393" w:type="pct"/>
                  <w:vMerge w:val="restart"/>
                  <w:vAlign w:val="center"/>
                </w:tcPr>
                <w:p w14:paraId="6FE989D4">
                  <w:pPr>
                    <w:pStyle w:val="3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平均时间</w:t>
                  </w:r>
                </w:p>
              </w:tc>
              <w:tc>
                <w:tcPr>
                  <w:tcW w:w="644" w:type="pct"/>
                  <w:vMerge w:val="restart"/>
                  <w:vAlign w:val="center"/>
                </w:tcPr>
                <w:p w14:paraId="717EA713">
                  <w:pPr>
                    <w:pStyle w:val="3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评价标准</w:t>
                  </w:r>
                </w:p>
                <w:p w14:paraId="043FEC45">
                  <w:pPr>
                    <w:pStyle w:val="33"/>
                    <w:jc w:val="center"/>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μg/m</w:t>
                  </w:r>
                  <w:r>
                    <w:rPr>
                      <w:rFonts w:hint="default" w:ascii="Times New Roman" w:hAnsi="Times New Roman" w:cs="Times New Roman"/>
                      <w:color w:val="auto"/>
                      <w:highlight w:val="none"/>
                      <w:vertAlign w:val="superscript"/>
                    </w:rPr>
                    <w:t>3</w:t>
                  </w:r>
                  <w:r>
                    <w:rPr>
                      <w:rFonts w:hint="eastAsia" w:ascii="Times New Roman" w:hAnsi="Times New Roman" w:cs="Times New Roman"/>
                      <w:color w:val="auto"/>
                      <w:highlight w:val="none"/>
                      <w:vertAlign w:val="superscript"/>
                      <w:lang w:eastAsia="zh-CN"/>
                    </w:rPr>
                    <w:t>)</w:t>
                  </w:r>
                </w:p>
              </w:tc>
              <w:tc>
                <w:tcPr>
                  <w:tcW w:w="762" w:type="pct"/>
                  <w:vMerge w:val="restart"/>
                  <w:vAlign w:val="center"/>
                </w:tcPr>
                <w:p w14:paraId="7A6E74FC">
                  <w:pPr>
                    <w:pStyle w:val="3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监测浓度范围（μg/m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c>
              <w:tc>
                <w:tcPr>
                  <w:tcW w:w="534" w:type="pct"/>
                  <w:vMerge w:val="restart"/>
                  <w:vAlign w:val="center"/>
                </w:tcPr>
                <w:p w14:paraId="4F022D90">
                  <w:pPr>
                    <w:pStyle w:val="3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最大浓度占标比（%）</w:t>
                  </w:r>
                </w:p>
              </w:tc>
              <w:tc>
                <w:tcPr>
                  <w:tcW w:w="464" w:type="pct"/>
                  <w:vMerge w:val="restart"/>
                  <w:vAlign w:val="center"/>
                </w:tcPr>
                <w:p w14:paraId="1F5976E5">
                  <w:pPr>
                    <w:pStyle w:val="3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超标率（%）</w:t>
                  </w:r>
                </w:p>
              </w:tc>
              <w:tc>
                <w:tcPr>
                  <w:tcW w:w="372" w:type="pct"/>
                  <w:vMerge w:val="restart"/>
                  <w:vAlign w:val="center"/>
                </w:tcPr>
                <w:p w14:paraId="6E9810DD">
                  <w:pPr>
                    <w:pStyle w:val="3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达标情况</w:t>
                  </w:r>
                </w:p>
              </w:tc>
            </w:tr>
            <w:tr w14:paraId="5F8F80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413" w:type="pct"/>
                  <w:vMerge w:val="continue"/>
                  <w:vAlign w:val="center"/>
                </w:tcPr>
                <w:p w14:paraId="284FE197">
                  <w:pPr>
                    <w:pStyle w:val="33"/>
                    <w:jc w:val="center"/>
                    <w:rPr>
                      <w:rFonts w:hint="default" w:ascii="Times New Roman" w:hAnsi="Times New Roman" w:cs="Times New Roman"/>
                      <w:color w:val="auto"/>
                      <w:highlight w:val="none"/>
                    </w:rPr>
                  </w:pPr>
                </w:p>
              </w:tc>
              <w:tc>
                <w:tcPr>
                  <w:tcW w:w="502" w:type="pct"/>
                  <w:vAlign w:val="center"/>
                </w:tcPr>
                <w:p w14:paraId="5E5F65B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经度</w:t>
                  </w:r>
                </w:p>
              </w:tc>
              <w:tc>
                <w:tcPr>
                  <w:tcW w:w="613" w:type="pct"/>
                  <w:vAlign w:val="center"/>
                </w:tcPr>
                <w:p w14:paraId="497146C3">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纬度</w:t>
                  </w:r>
                </w:p>
              </w:tc>
              <w:tc>
                <w:tcPr>
                  <w:tcW w:w="298" w:type="pct"/>
                  <w:vMerge w:val="continue"/>
                  <w:vAlign w:val="center"/>
                </w:tcPr>
                <w:p w14:paraId="5AB53803">
                  <w:pPr>
                    <w:pStyle w:val="33"/>
                    <w:jc w:val="center"/>
                    <w:rPr>
                      <w:rFonts w:hint="default" w:ascii="Times New Roman" w:hAnsi="Times New Roman" w:cs="Times New Roman"/>
                      <w:color w:val="auto"/>
                      <w:highlight w:val="none"/>
                    </w:rPr>
                  </w:pPr>
                </w:p>
              </w:tc>
              <w:tc>
                <w:tcPr>
                  <w:tcW w:w="393" w:type="pct"/>
                  <w:vMerge w:val="continue"/>
                  <w:vAlign w:val="center"/>
                </w:tcPr>
                <w:p w14:paraId="6D1D058D">
                  <w:pPr>
                    <w:pStyle w:val="33"/>
                    <w:jc w:val="center"/>
                    <w:rPr>
                      <w:rFonts w:hint="default" w:ascii="Times New Roman" w:hAnsi="Times New Roman" w:cs="Times New Roman"/>
                      <w:color w:val="auto"/>
                      <w:highlight w:val="none"/>
                    </w:rPr>
                  </w:pPr>
                </w:p>
              </w:tc>
              <w:tc>
                <w:tcPr>
                  <w:tcW w:w="644" w:type="pct"/>
                  <w:vMerge w:val="continue"/>
                  <w:vAlign w:val="center"/>
                </w:tcPr>
                <w:p w14:paraId="1169F0D6">
                  <w:pPr>
                    <w:pStyle w:val="33"/>
                    <w:jc w:val="center"/>
                    <w:rPr>
                      <w:rFonts w:hint="default" w:ascii="Times New Roman" w:hAnsi="Times New Roman" w:cs="Times New Roman"/>
                      <w:color w:val="auto"/>
                      <w:highlight w:val="none"/>
                    </w:rPr>
                  </w:pPr>
                </w:p>
              </w:tc>
              <w:tc>
                <w:tcPr>
                  <w:tcW w:w="762" w:type="pct"/>
                  <w:vMerge w:val="continue"/>
                  <w:vAlign w:val="center"/>
                </w:tcPr>
                <w:p w14:paraId="4D34AE2E">
                  <w:pPr>
                    <w:pStyle w:val="33"/>
                    <w:jc w:val="center"/>
                    <w:rPr>
                      <w:rFonts w:hint="default" w:ascii="Times New Roman" w:hAnsi="Times New Roman" w:cs="Times New Roman"/>
                      <w:color w:val="auto"/>
                      <w:highlight w:val="none"/>
                    </w:rPr>
                  </w:pPr>
                </w:p>
              </w:tc>
              <w:tc>
                <w:tcPr>
                  <w:tcW w:w="534" w:type="pct"/>
                  <w:vMerge w:val="continue"/>
                  <w:vAlign w:val="center"/>
                </w:tcPr>
                <w:p w14:paraId="1D26C637">
                  <w:pPr>
                    <w:pStyle w:val="33"/>
                    <w:jc w:val="center"/>
                    <w:rPr>
                      <w:rFonts w:hint="default" w:ascii="Times New Roman" w:hAnsi="Times New Roman" w:cs="Times New Roman"/>
                      <w:color w:val="auto"/>
                      <w:highlight w:val="none"/>
                    </w:rPr>
                  </w:pPr>
                </w:p>
              </w:tc>
              <w:tc>
                <w:tcPr>
                  <w:tcW w:w="464" w:type="pct"/>
                  <w:vMerge w:val="continue"/>
                  <w:vAlign w:val="center"/>
                </w:tcPr>
                <w:p w14:paraId="13C4F33A">
                  <w:pPr>
                    <w:pStyle w:val="33"/>
                    <w:jc w:val="center"/>
                    <w:rPr>
                      <w:rFonts w:hint="default" w:ascii="Times New Roman" w:hAnsi="Times New Roman" w:cs="Times New Roman"/>
                      <w:color w:val="auto"/>
                      <w:highlight w:val="none"/>
                    </w:rPr>
                  </w:pPr>
                </w:p>
              </w:tc>
              <w:tc>
                <w:tcPr>
                  <w:tcW w:w="372" w:type="pct"/>
                  <w:vMerge w:val="continue"/>
                  <w:vAlign w:val="center"/>
                </w:tcPr>
                <w:p w14:paraId="4D96E550">
                  <w:pPr>
                    <w:pStyle w:val="33"/>
                    <w:jc w:val="center"/>
                    <w:rPr>
                      <w:rFonts w:hint="default" w:ascii="Times New Roman" w:hAnsi="Times New Roman" w:cs="Times New Roman"/>
                      <w:color w:val="auto"/>
                      <w:highlight w:val="none"/>
                    </w:rPr>
                  </w:pPr>
                </w:p>
              </w:tc>
            </w:tr>
            <w:tr w14:paraId="362180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413" w:type="pct"/>
                  <w:vAlign w:val="center"/>
                </w:tcPr>
                <w:p w14:paraId="4859FC6F">
                  <w:pPr>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w:t>
                  </w:r>
                </w:p>
              </w:tc>
              <w:tc>
                <w:tcPr>
                  <w:tcW w:w="502" w:type="pct"/>
                  <w:vAlign w:val="center"/>
                </w:tcPr>
                <w:p w14:paraId="79BCAD5C">
                  <w:pPr>
                    <w:jc w:val="center"/>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130.98466752</w:t>
                  </w:r>
                </w:p>
              </w:tc>
              <w:tc>
                <w:tcPr>
                  <w:tcW w:w="613" w:type="pct"/>
                  <w:vAlign w:val="center"/>
                </w:tcPr>
                <w:p w14:paraId="04C36A04">
                  <w:pPr>
                    <w:jc w:val="center"/>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45.33947330</w:t>
                  </w:r>
                </w:p>
              </w:tc>
              <w:tc>
                <w:tcPr>
                  <w:tcW w:w="298" w:type="pct"/>
                  <w:vAlign w:val="center"/>
                </w:tcPr>
                <w:p w14:paraId="690CB0F5">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TSP</w:t>
                  </w:r>
                </w:p>
              </w:tc>
              <w:tc>
                <w:tcPr>
                  <w:tcW w:w="393" w:type="pct"/>
                  <w:vAlign w:val="center"/>
                </w:tcPr>
                <w:p w14:paraId="2C4AC146">
                  <w:pPr>
                    <w:pStyle w:val="3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日均</w:t>
                  </w:r>
                </w:p>
              </w:tc>
              <w:tc>
                <w:tcPr>
                  <w:tcW w:w="644" w:type="pct"/>
                  <w:vAlign w:val="center"/>
                </w:tcPr>
                <w:p w14:paraId="2BB5BCC1">
                  <w:pPr>
                    <w:pStyle w:val="3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c>
                <w:tcPr>
                  <w:tcW w:w="762" w:type="pct"/>
                  <w:vAlign w:val="center"/>
                </w:tcPr>
                <w:p w14:paraId="6E7AA016">
                  <w:pPr>
                    <w:pStyle w:val="33"/>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90~111</w:t>
                  </w:r>
                </w:p>
              </w:tc>
              <w:tc>
                <w:tcPr>
                  <w:tcW w:w="534" w:type="pct"/>
                  <w:vAlign w:val="center"/>
                </w:tcPr>
                <w:p w14:paraId="455F4D99">
                  <w:pPr>
                    <w:pStyle w:val="33"/>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w:t>
                  </w:r>
                  <w:r>
                    <w:rPr>
                      <w:rFonts w:hint="eastAsia" w:ascii="Times New Roman" w:hAnsi="Times New Roman" w:cs="Times New Roman"/>
                      <w:color w:val="auto"/>
                      <w:highlight w:val="none"/>
                      <w:lang w:val="en-US" w:eastAsia="zh-CN"/>
                    </w:rPr>
                    <w:t>7</w:t>
                  </w:r>
                </w:p>
              </w:tc>
              <w:tc>
                <w:tcPr>
                  <w:tcW w:w="464" w:type="pct"/>
                  <w:vAlign w:val="center"/>
                </w:tcPr>
                <w:p w14:paraId="54EEFC7B">
                  <w:pPr>
                    <w:pStyle w:val="3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0</w:t>
                  </w:r>
                </w:p>
              </w:tc>
              <w:tc>
                <w:tcPr>
                  <w:tcW w:w="372" w:type="pct"/>
                  <w:vAlign w:val="center"/>
                </w:tcPr>
                <w:p w14:paraId="51E902A9">
                  <w:pPr>
                    <w:pStyle w:val="33"/>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bl>
          <w:p w14:paraId="17CB63BD">
            <w:pPr>
              <w:pStyle w:val="15"/>
              <w:widowControl w:val="0"/>
              <w:snapToGrid/>
              <w:spacing w:before="0" w:after="0"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由表3-3可知，本项目所在区域在监测时段内TSP的24小时浓度满足《环境空气质量标准》（GB3095-2012）中的二级标准限值要求</w:t>
            </w:r>
            <w:r>
              <w:rPr>
                <w:rFonts w:hint="default" w:ascii="Times New Roman" w:hAnsi="Times New Roman" w:eastAsia="宋体" w:cs="Times New Roman"/>
                <w:color w:val="auto"/>
                <w:sz w:val="24"/>
                <w:szCs w:val="24"/>
                <w:highlight w:val="none"/>
                <w:lang w:eastAsia="zh-CN"/>
              </w:rPr>
              <w:t>。</w:t>
            </w:r>
          </w:p>
          <w:p w14:paraId="7D95559F">
            <w:pPr>
              <w:spacing w:line="360" w:lineRule="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2、地表水环境</w:t>
            </w:r>
          </w:p>
          <w:p w14:paraId="1B775869">
            <w:pPr>
              <w:spacing w:line="360" w:lineRule="auto"/>
              <w:ind w:firstLine="480" w:firstLineChars="200"/>
              <w:rPr>
                <w:rFonts w:hint="default" w:ascii="Times New Roman" w:hAnsi="Times New Roman" w:cs="Times New Roman"/>
                <w:color w:val="auto"/>
                <w:sz w:val="24"/>
                <w:szCs w:val="24"/>
                <w:highlight w:val="none"/>
                <w:lang w:val="zh-TW" w:eastAsia="zh-TW"/>
              </w:rPr>
            </w:pPr>
            <w:bookmarkStart w:id="14" w:name="_Toc207005094"/>
            <w:bookmarkStart w:id="15" w:name="_Toc318898968"/>
            <w:bookmarkStart w:id="16" w:name="_Toc218321831"/>
            <w:bookmarkStart w:id="17" w:name="_Toc301514512"/>
            <w:r>
              <w:rPr>
                <w:rFonts w:hint="eastAsia"/>
                <w:color w:val="auto"/>
                <w:sz w:val="24"/>
                <w:szCs w:val="24"/>
                <w:highlight w:val="none"/>
                <w:lang w:val="en-US" w:eastAsia="zh-CN"/>
              </w:rPr>
              <w:t>根据《全国重要江河湖泊水功能区划（2011—2030年）》，本项目所在地表水断面属穆棱河鸡西市过渡区，水质目标为Ⅳ类。根据黑龙江省生态环境监测中心2024年鸡西市地表水国家考核断面水质信息公开内容可知，穆棱河知一桥断面（在鸡东县鸡古路西100m－凯北站断面之间）和穆棱河口内断面的水质满足《地表水环境质量标准》（GB3838-2002）中Ⅲ类标准，断面达标</w:t>
            </w:r>
            <w:r>
              <w:rPr>
                <w:rFonts w:hint="default" w:ascii="Times New Roman" w:hAnsi="Times New Roman" w:cs="Times New Roman"/>
                <w:color w:val="auto"/>
                <w:sz w:val="24"/>
                <w:szCs w:val="24"/>
                <w:highlight w:val="none"/>
                <w:lang w:val="zh-TW" w:eastAsia="zh-TW"/>
              </w:rPr>
              <w:t>。</w:t>
            </w:r>
          </w:p>
          <w:bookmarkEnd w:id="14"/>
          <w:bookmarkEnd w:id="15"/>
          <w:bookmarkEnd w:id="16"/>
          <w:bookmarkEnd w:id="17"/>
          <w:p w14:paraId="1D4D0593">
            <w:pPr>
              <w:spacing w:line="360" w:lineRule="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4"/>
                <w:szCs w:val="24"/>
                <w:highlight w:val="none"/>
                <w:lang w:val="en-US" w:eastAsia="zh-CN" w:bidi="ar-SA"/>
              </w:rPr>
              <w:t>3、声环境</w:t>
            </w:r>
          </w:p>
          <w:p w14:paraId="11C5020D">
            <w:pPr>
              <w:spacing w:line="360" w:lineRule="auto"/>
              <w:ind w:firstLine="480" w:firstLineChars="200"/>
              <w:rPr>
                <w:rFonts w:hint="default" w:ascii="Times New Roman" w:hAnsi="Times New Roman" w:cs="Times New Roman"/>
                <w:color w:val="auto"/>
                <w:highlight w:val="none"/>
              </w:rPr>
            </w:pPr>
            <w:r>
              <w:rPr>
                <w:rFonts w:hint="eastAsia" w:ascii="Times New Roman" w:hAnsi="Times New Roman" w:eastAsia="宋体" w:cs="Times New Roman"/>
                <w:color w:val="auto"/>
                <w:sz w:val="24"/>
                <w:szCs w:val="24"/>
                <w:highlight w:val="none"/>
                <w:lang w:val="en-US" w:eastAsia="zh-CN"/>
              </w:rPr>
              <w:t>本项目位于鸡西市城子河区，区域声环境质量良好，依据《声环境质量标准》（GB3096-2008）及《声环境功能区划分技术规范》（GB</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T15190-2014），本项目区域内存在居民、商业、工业企业等，属于居住、商业、工业混杂的区域，故本项目区域声环境执行《声环境质量标准》（GB3096-2008）2类标准。项目</w:t>
            </w:r>
            <w:r>
              <w:rPr>
                <w:rFonts w:hint="eastAsia"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0米</w:t>
            </w:r>
            <w:r>
              <w:rPr>
                <w:rFonts w:hint="eastAsia" w:cs="Times New Roman"/>
                <w:color w:val="auto"/>
                <w:sz w:val="24"/>
                <w:szCs w:val="24"/>
                <w:highlight w:val="none"/>
                <w:lang w:val="en-US" w:eastAsia="zh-CN"/>
              </w:rPr>
              <w:t>范围内</w:t>
            </w:r>
            <w:r>
              <w:rPr>
                <w:rFonts w:hint="eastAsia" w:ascii="Times New Roman" w:hAnsi="Times New Roman" w:eastAsia="宋体" w:cs="Times New Roman"/>
                <w:color w:val="auto"/>
                <w:sz w:val="24"/>
                <w:szCs w:val="24"/>
                <w:highlight w:val="none"/>
                <w:lang w:val="en-US" w:eastAsia="zh-CN"/>
              </w:rPr>
              <w:t>存</w:t>
            </w:r>
            <w:r>
              <w:rPr>
                <w:rFonts w:hint="eastAsia" w:cs="Times New Roman"/>
                <w:color w:val="auto"/>
                <w:sz w:val="24"/>
                <w:szCs w:val="24"/>
                <w:highlight w:val="none"/>
                <w:lang w:val="en-US" w:eastAsia="zh-CN"/>
              </w:rPr>
              <w:t>无声环境保护目标。</w:t>
            </w:r>
          </w:p>
        </w:tc>
      </w:tr>
      <w:tr w14:paraId="31AB30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69" w:hRule="atLeast"/>
          <w:jc w:val="center"/>
        </w:trPr>
        <w:tc>
          <w:tcPr>
            <w:tcW w:w="722" w:type="dxa"/>
            <w:vAlign w:val="center"/>
          </w:tcPr>
          <w:p w14:paraId="3EC56FFA">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环境</w:t>
            </w:r>
          </w:p>
          <w:p w14:paraId="77ED26A2">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保护</w:t>
            </w:r>
          </w:p>
          <w:p w14:paraId="6B7CB69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highlight w:val="none"/>
              </w:rPr>
              <w:t>目标</w:t>
            </w:r>
          </w:p>
        </w:tc>
        <w:tc>
          <w:tcPr>
            <w:tcW w:w="8904" w:type="dxa"/>
            <w:vAlign w:val="center"/>
          </w:tcPr>
          <w:p w14:paraId="1400FD60">
            <w:pPr>
              <w:pStyle w:val="4"/>
              <w:spacing w:line="500" w:lineRule="exact"/>
              <w:ind w:firstLine="48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w:t>
            </w:r>
            <w:r>
              <w:rPr>
                <w:rFonts w:hint="default" w:ascii="Times New Roman" w:hAnsi="Times New Roman" w:eastAsia="宋体" w:cs="Times New Roman"/>
                <w:color w:val="auto"/>
                <w:kern w:val="2"/>
                <w:sz w:val="24"/>
                <w:szCs w:val="24"/>
                <w:highlight w:val="none"/>
                <w:lang w:val="en-US" w:eastAsia="zh-CN" w:bidi="ar-SA"/>
              </w:rPr>
              <w:t>项目厂界外500m范围内</w:t>
            </w:r>
            <w:r>
              <w:rPr>
                <w:rFonts w:hint="eastAsia" w:cs="Times New Roman"/>
                <w:color w:val="auto"/>
                <w:kern w:val="2"/>
                <w:sz w:val="24"/>
                <w:szCs w:val="24"/>
                <w:highlight w:val="none"/>
                <w:lang w:val="en-US" w:eastAsia="zh-CN" w:bidi="ar-SA"/>
              </w:rPr>
              <w:t>无自然</w:t>
            </w:r>
            <w:r>
              <w:rPr>
                <w:rFonts w:hint="default" w:ascii="Times New Roman" w:hAnsi="Times New Roman" w:eastAsia="宋体" w:cs="Times New Roman"/>
                <w:color w:val="auto"/>
                <w:kern w:val="2"/>
                <w:sz w:val="24"/>
                <w:szCs w:val="24"/>
                <w:highlight w:val="none"/>
                <w:lang w:val="en-US" w:eastAsia="zh-CN" w:bidi="ar-SA"/>
              </w:rPr>
              <w:t>保护区、风景名胜区。</w:t>
            </w:r>
            <w:r>
              <w:rPr>
                <w:rFonts w:hint="default" w:ascii="Times New Roman" w:hAnsi="Times New Roman" w:eastAsia="宋体" w:cs="Times New Roman"/>
                <w:color w:val="auto"/>
                <w:kern w:val="0"/>
                <w:sz w:val="24"/>
                <w:szCs w:val="24"/>
                <w:highlight w:val="none"/>
                <w:lang w:eastAsia="zh-CN"/>
              </w:rPr>
              <w:t>项目厂界外50m范围内</w:t>
            </w:r>
            <w:r>
              <w:rPr>
                <w:rFonts w:hint="eastAsia" w:cs="Times New Roman"/>
                <w:color w:val="auto"/>
                <w:kern w:val="0"/>
                <w:sz w:val="24"/>
                <w:szCs w:val="24"/>
                <w:highlight w:val="none"/>
                <w:lang w:val="en-US" w:eastAsia="zh-CN"/>
              </w:rPr>
              <w:t>无</w:t>
            </w:r>
            <w:r>
              <w:rPr>
                <w:rFonts w:hint="default" w:ascii="Times New Roman" w:hAnsi="Times New Roman" w:eastAsia="宋体" w:cs="Times New Roman"/>
                <w:color w:val="auto"/>
                <w:kern w:val="0"/>
                <w:sz w:val="24"/>
                <w:szCs w:val="24"/>
                <w:highlight w:val="none"/>
                <w:lang w:eastAsia="zh-CN"/>
              </w:rPr>
              <w:t>声环境保护目标</w:t>
            </w:r>
            <w:r>
              <w:rPr>
                <w:rFonts w:hint="eastAsia" w:eastAsia="宋体" w:cs="Times New Roman"/>
                <w:color w:val="auto"/>
                <w:kern w:val="0"/>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bidi="ar-SA"/>
              </w:rPr>
              <w:t>项目厂界</w:t>
            </w:r>
            <w:r>
              <w:rPr>
                <w:rFonts w:hint="eastAsia" w:cs="Times New Roman"/>
                <w:color w:val="auto"/>
                <w:kern w:val="2"/>
                <w:sz w:val="24"/>
                <w:szCs w:val="24"/>
                <w:highlight w:val="none"/>
                <w:lang w:val="en-US" w:eastAsia="zh-CN" w:bidi="ar-SA"/>
              </w:rPr>
              <w:t>500</w:t>
            </w:r>
            <w:r>
              <w:rPr>
                <w:rFonts w:hint="default" w:ascii="Times New Roman" w:hAnsi="Times New Roman" w:eastAsia="宋体" w:cs="Times New Roman"/>
                <w:color w:val="auto"/>
                <w:kern w:val="2"/>
                <w:sz w:val="24"/>
                <w:szCs w:val="24"/>
                <w:highlight w:val="none"/>
                <w:lang w:val="en-US" w:eastAsia="zh-CN" w:bidi="ar-SA"/>
              </w:rPr>
              <w:t>m</w:t>
            </w:r>
            <w:r>
              <w:rPr>
                <w:rFonts w:hint="eastAsia" w:cs="Times New Roman"/>
                <w:color w:val="auto"/>
                <w:kern w:val="2"/>
                <w:sz w:val="24"/>
                <w:szCs w:val="24"/>
                <w:highlight w:val="none"/>
                <w:lang w:val="en-US" w:eastAsia="zh-CN" w:bidi="ar-SA"/>
              </w:rPr>
              <w:t>范围内</w:t>
            </w:r>
            <w:r>
              <w:rPr>
                <w:rFonts w:hint="eastAsia" w:ascii="Times New Roman" w:hAnsi="Times New Roman" w:eastAsia="宋体" w:cs="Times New Roman"/>
                <w:color w:val="auto"/>
                <w:kern w:val="2"/>
                <w:sz w:val="24"/>
                <w:szCs w:val="24"/>
                <w:highlight w:val="none"/>
                <w:lang w:val="en-US" w:eastAsia="zh-CN" w:bidi="ar-SA"/>
              </w:rPr>
              <w:t>存在居民</w:t>
            </w:r>
            <w:r>
              <w:rPr>
                <w:rFonts w:hint="default" w:ascii="Times New Roman" w:hAnsi="Times New Roman" w:eastAsia="宋体" w:cs="Times New Roman"/>
                <w:color w:val="auto"/>
                <w:kern w:val="2"/>
                <w:sz w:val="24"/>
                <w:szCs w:val="24"/>
                <w:highlight w:val="none"/>
                <w:lang w:val="en-US" w:eastAsia="zh-CN" w:bidi="ar-SA"/>
              </w:rPr>
              <w:t>。项目厂界外500m范围内无地下水集中式饮用水水源和热水、矿泉水、温泉等特殊地下水资源。</w:t>
            </w:r>
            <w:r>
              <w:rPr>
                <w:rFonts w:hint="eastAsia" w:ascii="Times New Roman" w:hAnsi="Times New Roman" w:eastAsia="宋体" w:cs="Times New Roman"/>
                <w:color w:val="auto"/>
                <w:kern w:val="2"/>
                <w:sz w:val="24"/>
                <w:szCs w:val="24"/>
                <w:highlight w:val="none"/>
                <w:lang w:val="en-US" w:eastAsia="zh-CN" w:bidi="ar-SA"/>
              </w:rPr>
              <w:t>本项目环境保护目标见下表。</w:t>
            </w:r>
          </w:p>
          <w:p w14:paraId="20F28267">
            <w:pPr>
              <w:adjustRightInd w:val="0"/>
              <w:snapToGrid w:val="0"/>
              <w:jc w:val="center"/>
              <w:rPr>
                <w:b/>
                <w:color w:val="auto"/>
                <w:sz w:val="24"/>
                <w:highlight w:val="none"/>
              </w:rPr>
            </w:pPr>
            <w:r>
              <w:rPr>
                <w:b/>
                <w:color w:val="auto"/>
                <w:sz w:val="24"/>
                <w:highlight w:val="none"/>
              </w:rPr>
              <w:t>表3-</w:t>
            </w:r>
            <w:r>
              <w:rPr>
                <w:rFonts w:hint="eastAsia"/>
                <w:b/>
                <w:color w:val="auto"/>
                <w:sz w:val="24"/>
                <w:highlight w:val="none"/>
                <w:lang w:val="en-US" w:eastAsia="zh-CN"/>
              </w:rPr>
              <w:t>4 大气</w:t>
            </w:r>
            <w:r>
              <w:rPr>
                <w:rFonts w:hint="eastAsia"/>
                <w:b/>
                <w:color w:val="auto"/>
                <w:sz w:val="24"/>
                <w:highlight w:val="none"/>
              </w:rPr>
              <w:t>环境</w:t>
            </w:r>
            <w:r>
              <w:rPr>
                <w:b/>
                <w:color w:val="auto"/>
                <w:sz w:val="24"/>
                <w:highlight w:val="none"/>
              </w:rPr>
              <w:t>保护目标一览表</w:t>
            </w:r>
          </w:p>
          <w:tbl>
            <w:tblPr>
              <w:tblStyle w:val="17"/>
              <w:tblW w:w="4998" w:type="pct"/>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189"/>
              <w:gridCol w:w="1393"/>
              <w:gridCol w:w="747"/>
              <w:gridCol w:w="717"/>
              <w:gridCol w:w="1053"/>
              <w:gridCol w:w="1716"/>
              <w:gridCol w:w="1882"/>
            </w:tblGrid>
            <w:tr w14:paraId="2CFA3E9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0" w:hRule="atLeast"/>
                <w:tblHeader/>
              </w:trPr>
              <w:tc>
                <w:tcPr>
                  <w:tcW w:w="683" w:type="pct"/>
                  <w:vMerge w:val="restart"/>
                  <w:noWrap w:val="0"/>
                  <w:vAlign w:val="center"/>
                </w:tcPr>
                <w:p w14:paraId="7FEE7772">
                  <w:pPr>
                    <w:pStyle w:val="48"/>
                    <w:rPr>
                      <w:color w:val="auto"/>
                    </w:rPr>
                  </w:pPr>
                  <w:r>
                    <w:rPr>
                      <w:color w:val="auto"/>
                    </w:rPr>
                    <w:t>环境</w:t>
                  </w:r>
                </w:p>
                <w:p w14:paraId="6345B703">
                  <w:pPr>
                    <w:pStyle w:val="48"/>
                    <w:rPr>
                      <w:color w:val="auto"/>
                    </w:rPr>
                  </w:pPr>
                  <w:r>
                    <w:rPr>
                      <w:color w:val="auto"/>
                    </w:rPr>
                    <w:t>要素</w:t>
                  </w:r>
                </w:p>
              </w:tc>
              <w:tc>
                <w:tcPr>
                  <w:tcW w:w="800" w:type="pct"/>
                  <w:vMerge w:val="restart"/>
                  <w:noWrap w:val="0"/>
                  <w:vAlign w:val="center"/>
                </w:tcPr>
                <w:p w14:paraId="02862E43">
                  <w:pPr>
                    <w:pStyle w:val="48"/>
                    <w:rPr>
                      <w:color w:val="auto"/>
                    </w:rPr>
                  </w:pPr>
                  <w:r>
                    <w:rPr>
                      <w:color w:val="auto"/>
                    </w:rPr>
                    <w:t>名称</w:t>
                  </w:r>
                </w:p>
              </w:tc>
              <w:tc>
                <w:tcPr>
                  <w:tcW w:w="429" w:type="pct"/>
                  <w:vMerge w:val="restart"/>
                  <w:noWrap w:val="0"/>
                  <w:vAlign w:val="center"/>
                </w:tcPr>
                <w:p w14:paraId="1D272465">
                  <w:pPr>
                    <w:pStyle w:val="48"/>
                    <w:rPr>
                      <w:color w:val="auto"/>
                    </w:rPr>
                  </w:pPr>
                  <w:r>
                    <w:rPr>
                      <w:color w:val="auto"/>
                    </w:rPr>
                    <w:t>保护对象</w:t>
                  </w:r>
                </w:p>
              </w:tc>
              <w:tc>
                <w:tcPr>
                  <w:tcW w:w="412" w:type="pct"/>
                  <w:vMerge w:val="restart"/>
                  <w:noWrap w:val="0"/>
                  <w:vAlign w:val="center"/>
                </w:tcPr>
                <w:p w14:paraId="6A77CB6B">
                  <w:pPr>
                    <w:pStyle w:val="48"/>
                    <w:rPr>
                      <w:color w:val="auto"/>
                    </w:rPr>
                  </w:pPr>
                  <w:r>
                    <w:rPr>
                      <w:color w:val="auto"/>
                    </w:rPr>
                    <w:t>保护内容</w:t>
                  </w:r>
                </w:p>
              </w:tc>
              <w:tc>
                <w:tcPr>
                  <w:tcW w:w="605" w:type="pct"/>
                  <w:vMerge w:val="restart"/>
                  <w:noWrap w:val="0"/>
                  <w:vAlign w:val="center"/>
                </w:tcPr>
                <w:p w14:paraId="6A5FD0F9">
                  <w:pPr>
                    <w:pStyle w:val="48"/>
                    <w:rPr>
                      <w:color w:val="auto"/>
                    </w:rPr>
                  </w:pPr>
                  <w:r>
                    <w:rPr>
                      <w:color w:val="auto"/>
                    </w:rPr>
                    <w:t>环境功能区</w:t>
                  </w:r>
                </w:p>
              </w:tc>
              <w:tc>
                <w:tcPr>
                  <w:tcW w:w="986" w:type="pct"/>
                  <w:vMerge w:val="restart"/>
                  <w:noWrap w:val="0"/>
                  <w:vAlign w:val="center"/>
                </w:tcPr>
                <w:p w14:paraId="76AF8A23">
                  <w:pPr>
                    <w:pStyle w:val="48"/>
                    <w:rPr>
                      <w:color w:val="auto"/>
                    </w:rPr>
                  </w:pPr>
                  <w:r>
                    <w:rPr>
                      <w:color w:val="auto"/>
                    </w:rPr>
                    <w:t>相对厂址方位</w:t>
                  </w:r>
                </w:p>
              </w:tc>
              <w:tc>
                <w:tcPr>
                  <w:tcW w:w="1081" w:type="pct"/>
                  <w:vMerge w:val="restart"/>
                  <w:noWrap w:val="0"/>
                  <w:vAlign w:val="center"/>
                </w:tcPr>
                <w:p w14:paraId="0B3EC553">
                  <w:pPr>
                    <w:pStyle w:val="48"/>
                    <w:rPr>
                      <w:color w:val="auto"/>
                    </w:rPr>
                  </w:pPr>
                  <w:r>
                    <w:rPr>
                      <w:color w:val="auto"/>
                    </w:rPr>
                    <w:t>距厂界距离(m)</w:t>
                  </w:r>
                </w:p>
              </w:tc>
            </w:tr>
            <w:tr w14:paraId="73144C9E">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60" w:hRule="atLeast"/>
                <w:tblHeader/>
              </w:trPr>
              <w:tc>
                <w:tcPr>
                  <w:tcW w:w="683" w:type="pct"/>
                  <w:vMerge w:val="continue"/>
                  <w:noWrap w:val="0"/>
                  <w:vAlign w:val="center"/>
                </w:tcPr>
                <w:p w14:paraId="7B0164D2">
                  <w:pPr>
                    <w:pStyle w:val="48"/>
                    <w:rPr>
                      <w:color w:val="auto"/>
                    </w:rPr>
                  </w:pPr>
                </w:p>
              </w:tc>
              <w:tc>
                <w:tcPr>
                  <w:tcW w:w="800" w:type="pct"/>
                  <w:vMerge w:val="continue"/>
                  <w:noWrap w:val="0"/>
                  <w:vAlign w:val="center"/>
                </w:tcPr>
                <w:p w14:paraId="775AB048">
                  <w:pPr>
                    <w:pStyle w:val="48"/>
                    <w:rPr>
                      <w:color w:val="auto"/>
                    </w:rPr>
                  </w:pPr>
                </w:p>
              </w:tc>
              <w:tc>
                <w:tcPr>
                  <w:tcW w:w="429" w:type="pct"/>
                  <w:vMerge w:val="continue"/>
                  <w:noWrap w:val="0"/>
                  <w:vAlign w:val="center"/>
                </w:tcPr>
                <w:p w14:paraId="43699A13">
                  <w:pPr>
                    <w:pStyle w:val="48"/>
                    <w:rPr>
                      <w:color w:val="auto"/>
                    </w:rPr>
                  </w:pPr>
                </w:p>
              </w:tc>
              <w:tc>
                <w:tcPr>
                  <w:tcW w:w="412" w:type="pct"/>
                  <w:vMerge w:val="continue"/>
                  <w:noWrap w:val="0"/>
                  <w:vAlign w:val="center"/>
                </w:tcPr>
                <w:p w14:paraId="47A25898">
                  <w:pPr>
                    <w:pStyle w:val="48"/>
                    <w:rPr>
                      <w:color w:val="auto"/>
                    </w:rPr>
                  </w:pPr>
                </w:p>
              </w:tc>
              <w:tc>
                <w:tcPr>
                  <w:tcW w:w="605" w:type="pct"/>
                  <w:vMerge w:val="continue"/>
                  <w:noWrap w:val="0"/>
                  <w:vAlign w:val="center"/>
                </w:tcPr>
                <w:p w14:paraId="73208985">
                  <w:pPr>
                    <w:pStyle w:val="48"/>
                    <w:rPr>
                      <w:color w:val="auto"/>
                    </w:rPr>
                  </w:pPr>
                </w:p>
              </w:tc>
              <w:tc>
                <w:tcPr>
                  <w:tcW w:w="986" w:type="pct"/>
                  <w:vMerge w:val="continue"/>
                  <w:noWrap w:val="0"/>
                  <w:vAlign w:val="center"/>
                </w:tcPr>
                <w:p w14:paraId="4FB2934A">
                  <w:pPr>
                    <w:pStyle w:val="48"/>
                    <w:rPr>
                      <w:color w:val="auto"/>
                    </w:rPr>
                  </w:pPr>
                </w:p>
              </w:tc>
              <w:tc>
                <w:tcPr>
                  <w:tcW w:w="1081" w:type="pct"/>
                  <w:vMerge w:val="continue"/>
                  <w:noWrap w:val="0"/>
                  <w:vAlign w:val="center"/>
                </w:tcPr>
                <w:p w14:paraId="52F53579">
                  <w:pPr>
                    <w:pStyle w:val="48"/>
                    <w:rPr>
                      <w:color w:val="auto"/>
                    </w:rPr>
                  </w:pPr>
                </w:p>
              </w:tc>
            </w:tr>
            <w:tr w14:paraId="664A1C8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blHeader/>
              </w:trPr>
              <w:tc>
                <w:tcPr>
                  <w:tcW w:w="683" w:type="pct"/>
                  <w:vMerge w:val="restart"/>
                  <w:noWrap w:val="0"/>
                  <w:vAlign w:val="center"/>
                </w:tcPr>
                <w:p w14:paraId="46246812">
                  <w:pPr>
                    <w:pStyle w:val="48"/>
                    <w:rPr>
                      <w:color w:val="auto"/>
                    </w:rPr>
                  </w:pPr>
                  <w:r>
                    <w:rPr>
                      <w:color w:val="auto"/>
                    </w:rPr>
                    <w:t>环境空气</w:t>
                  </w:r>
                </w:p>
              </w:tc>
              <w:tc>
                <w:tcPr>
                  <w:tcW w:w="800" w:type="pct"/>
                  <w:noWrap w:val="0"/>
                  <w:vAlign w:val="center"/>
                </w:tcPr>
                <w:p w14:paraId="50AAF2A5">
                  <w:pPr>
                    <w:pStyle w:val="48"/>
                    <w:rPr>
                      <w:rFonts w:hint="default" w:eastAsia="宋体"/>
                      <w:color w:val="auto"/>
                      <w:lang w:val="en-US" w:eastAsia="zh-CN"/>
                    </w:rPr>
                  </w:pPr>
                  <w:r>
                    <w:rPr>
                      <w:rFonts w:hint="eastAsia"/>
                      <w:color w:val="auto"/>
                      <w:lang w:val="en-US" w:eastAsia="zh-CN"/>
                    </w:rPr>
                    <w:t>海富家园</w:t>
                  </w:r>
                </w:p>
              </w:tc>
              <w:tc>
                <w:tcPr>
                  <w:tcW w:w="429" w:type="pct"/>
                  <w:noWrap w:val="0"/>
                  <w:vAlign w:val="center"/>
                </w:tcPr>
                <w:p w14:paraId="1CD5417C">
                  <w:pPr>
                    <w:pStyle w:val="48"/>
                    <w:rPr>
                      <w:color w:val="auto"/>
                    </w:rPr>
                  </w:pPr>
                  <w:r>
                    <w:rPr>
                      <w:color w:val="auto"/>
                    </w:rPr>
                    <w:t>居民</w:t>
                  </w:r>
                </w:p>
              </w:tc>
              <w:tc>
                <w:tcPr>
                  <w:tcW w:w="412" w:type="pct"/>
                  <w:noWrap w:val="0"/>
                  <w:vAlign w:val="center"/>
                </w:tcPr>
                <w:p w14:paraId="40078044">
                  <w:pPr>
                    <w:pStyle w:val="48"/>
                    <w:rPr>
                      <w:color w:val="auto"/>
                    </w:rPr>
                  </w:pPr>
                  <w:r>
                    <w:rPr>
                      <w:color w:val="auto"/>
                    </w:rPr>
                    <w:t>人群</w:t>
                  </w:r>
                </w:p>
              </w:tc>
              <w:tc>
                <w:tcPr>
                  <w:tcW w:w="605" w:type="pct"/>
                  <w:noWrap w:val="0"/>
                  <w:vAlign w:val="center"/>
                </w:tcPr>
                <w:p w14:paraId="1B97398E">
                  <w:pPr>
                    <w:pStyle w:val="48"/>
                    <w:rPr>
                      <w:rFonts w:hint="eastAsia"/>
                      <w:color w:val="auto"/>
                    </w:rPr>
                  </w:pPr>
                  <w:r>
                    <w:rPr>
                      <w:color w:val="auto"/>
                    </w:rPr>
                    <w:t>二类</w:t>
                  </w:r>
                  <w:r>
                    <w:rPr>
                      <w:rFonts w:hint="eastAsia"/>
                      <w:color w:val="auto"/>
                    </w:rPr>
                    <w:t>区</w:t>
                  </w:r>
                </w:p>
              </w:tc>
              <w:tc>
                <w:tcPr>
                  <w:tcW w:w="986" w:type="pct"/>
                  <w:noWrap w:val="0"/>
                  <w:vAlign w:val="center"/>
                </w:tcPr>
                <w:p w14:paraId="16079588">
                  <w:pPr>
                    <w:pStyle w:val="48"/>
                    <w:rPr>
                      <w:rFonts w:hint="default" w:eastAsia="宋体"/>
                      <w:color w:val="auto"/>
                      <w:lang w:val="en-US" w:eastAsia="zh-CN"/>
                    </w:rPr>
                  </w:pPr>
                  <w:r>
                    <w:rPr>
                      <w:rFonts w:hint="eastAsia"/>
                      <w:color w:val="auto"/>
                      <w:lang w:val="en-US" w:eastAsia="zh-CN"/>
                    </w:rPr>
                    <w:t>西南</w:t>
                  </w:r>
                </w:p>
              </w:tc>
              <w:tc>
                <w:tcPr>
                  <w:tcW w:w="1081" w:type="pct"/>
                  <w:noWrap w:val="0"/>
                  <w:vAlign w:val="center"/>
                </w:tcPr>
                <w:p w14:paraId="77E69853">
                  <w:pPr>
                    <w:pStyle w:val="48"/>
                    <w:rPr>
                      <w:rFonts w:hint="default" w:eastAsia="宋体"/>
                      <w:color w:val="auto"/>
                      <w:lang w:val="en-US" w:eastAsia="zh-CN"/>
                    </w:rPr>
                  </w:pPr>
                  <w:r>
                    <w:rPr>
                      <w:rFonts w:hint="eastAsia" w:eastAsia="宋体"/>
                      <w:color w:val="auto"/>
                      <w:lang w:val="en-US" w:eastAsia="zh-CN"/>
                    </w:rPr>
                    <w:t>300</w:t>
                  </w:r>
                </w:p>
              </w:tc>
            </w:tr>
            <w:tr w14:paraId="45232B30">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blHeader/>
              </w:trPr>
              <w:tc>
                <w:tcPr>
                  <w:tcW w:w="683" w:type="pct"/>
                  <w:vMerge w:val="continue"/>
                  <w:noWrap w:val="0"/>
                  <w:vAlign w:val="center"/>
                </w:tcPr>
                <w:p w14:paraId="016D851A">
                  <w:pPr>
                    <w:pStyle w:val="48"/>
                    <w:rPr>
                      <w:color w:val="auto"/>
                    </w:rPr>
                  </w:pPr>
                </w:p>
              </w:tc>
              <w:tc>
                <w:tcPr>
                  <w:tcW w:w="800" w:type="pct"/>
                  <w:noWrap w:val="0"/>
                  <w:vAlign w:val="center"/>
                </w:tcPr>
                <w:p w14:paraId="5DCD226B">
                  <w:pPr>
                    <w:pStyle w:val="48"/>
                    <w:rPr>
                      <w:rFonts w:hint="default" w:eastAsia="宋体"/>
                      <w:color w:val="auto"/>
                      <w:lang w:val="en-US" w:eastAsia="zh-CN"/>
                    </w:rPr>
                  </w:pPr>
                  <w:r>
                    <w:rPr>
                      <w:rFonts w:hint="eastAsia"/>
                      <w:color w:val="auto"/>
                      <w:lang w:val="en-US" w:eastAsia="zh-CN"/>
                    </w:rPr>
                    <w:t>幸福家园</w:t>
                  </w:r>
                </w:p>
              </w:tc>
              <w:tc>
                <w:tcPr>
                  <w:tcW w:w="429" w:type="pct"/>
                  <w:noWrap w:val="0"/>
                  <w:vAlign w:val="center"/>
                </w:tcPr>
                <w:p w14:paraId="5B1EBFD1">
                  <w:pPr>
                    <w:pStyle w:val="48"/>
                    <w:rPr>
                      <w:color w:val="auto"/>
                    </w:rPr>
                  </w:pPr>
                  <w:r>
                    <w:rPr>
                      <w:color w:val="auto"/>
                    </w:rPr>
                    <w:t>居民</w:t>
                  </w:r>
                </w:p>
              </w:tc>
              <w:tc>
                <w:tcPr>
                  <w:tcW w:w="412" w:type="pct"/>
                  <w:noWrap w:val="0"/>
                  <w:vAlign w:val="center"/>
                </w:tcPr>
                <w:p w14:paraId="7210E569">
                  <w:pPr>
                    <w:pStyle w:val="48"/>
                    <w:rPr>
                      <w:rFonts w:hint="eastAsia" w:eastAsia="宋体"/>
                      <w:color w:val="auto"/>
                      <w:lang w:val="en-US" w:eastAsia="zh-CN"/>
                    </w:rPr>
                  </w:pPr>
                  <w:r>
                    <w:rPr>
                      <w:rFonts w:hint="eastAsia"/>
                      <w:color w:val="auto"/>
                      <w:lang w:val="en-US" w:eastAsia="zh-CN"/>
                    </w:rPr>
                    <w:t>人群</w:t>
                  </w:r>
                </w:p>
              </w:tc>
              <w:tc>
                <w:tcPr>
                  <w:tcW w:w="605" w:type="pct"/>
                  <w:noWrap w:val="0"/>
                  <w:vAlign w:val="center"/>
                </w:tcPr>
                <w:p w14:paraId="1B106430">
                  <w:pPr>
                    <w:pStyle w:val="48"/>
                    <w:rPr>
                      <w:color w:val="auto"/>
                    </w:rPr>
                  </w:pPr>
                  <w:r>
                    <w:rPr>
                      <w:color w:val="auto"/>
                    </w:rPr>
                    <w:t>二类</w:t>
                  </w:r>
                  <w:r>
                    <w:rPr>
                      <w:rFonts w:hint="eastAsia"/>
                      <w:color w:val="auto"/>
                    </w:rPr>
                    <w:t>区</w:t>
                  </w:r>
                </w:p>
              </w:tc>
              <w:tc>
                <w:tcPr>
                  <w:tcW w:w="986" w:type="pct"/>
                  <w:noWrap w:val="0"/>
                  <w:vAlign w:val="center"/>
                </w:tcPr>
                <w:p w14:paraId="42956382">
                  <w:pPr>
                    <w:pStyle w:val="48"/>
                    <w:rPr>
                      <w:rFonts w:hint="eastAsia" w:eastAsia="宋体"/>
                      <w:color w:val="auto"/>
                      <w:lang w:val="en-US" w:eastAsia="zh-CN"/>
                    </w:rPr>
                  </w:pPr>
                  <w:r>
                    <w:rPr>
                      <w:rFonts w:hint="eastAsia"/>
                      <w:color w:val="auto"/>
                      <w:lang w:val="en-US" w:eastAsia="zh-CN"/>
                    </w:rPr>
                    <w:t>南</w:t>
                  </w:r>
                </w:p>
              </w:tc>
              <w:tc>
                <w:tcPr>
                  <w:tcW w:w="1081" w:type="pct"/>
                  <w:noWrap w:val="0"/>
                  <w:vAlign w:val="center"/>
                </w:tcPr>
                <w:p w14:paraId="51CECF35">
                  <w:pPr>
                    <w:pStyle w:val="48"/>
                    <w:rPr>
                      <w:rFonts w:hint="default" w:eastAsia="宋体"/>
                      <w:color w:val="auto"/>
                      <w:lang w:val="en-US" w:eastAsia="zh-CN"/>
                    </w:rPr>
                  </w:pPr>
                  <w:r>
                    <w:rPr>
                      <w:rFonts w:hint="eastAsia"/>
                      <w:color w:val="auto"/>
                      <w:lang w:val="en-US" w:eastAsia="zh-CN"/>
                    </w:rPr>
                    <w:t>230</w:t>
                  </w:r>
                </w:p>
              </w:tc>
            </w:tr>
            <w:tr w14:paraId="7B92B70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blHeader/>
              </w:trPr>
              <w:tc>
                <w:tcPr>
                  <w:tcW w:w="683" w:type="pct"/>
                  <w:vMerge w:val="continue"/>
                  <w:noWrap w:val="0"/>
                  <w:vAlign w:val="center"/>
                </w:tcPr>
                <w:p w14:paraId="4235F23D">
                  <w:pPr>
                    <w:pStyle w:val="48"/>
                    <w:rPr>
                      <w:color w:val="auto"/>
                    </w:rPr>
                  </w:pPr>
                </w:p>
              </w:tc>
              <w:tc>
                <w:tcPr>
                  <w:tcW w:w="800" w:type="pct"/>
                  <w:noWrap w:val="0"/>
                  <w:vAlign w:val="center"/>
                </w:tcPr>
                <w:p w14:paraId="1B36B734">
                  <w:pPr>
                    <w:pStyle w:val="48"/>
                    <w:rPr>
                      <w:rFonts w:hint="default"/>
                      <w:color w:val="auto"/>
                      <w:lang w:val="en-US" w:eastAsia="zh-CN"/>
                    </w:rPr>
                  </w:pPr>
                  <w:r>
                    <w:rPr>
                      <w:rFonts w:hint="eastAsia"/>
                      <w:color w:val="auto"/>
                      <w:lang w:val="en-US" w:eastAsia="zh-CN"/>
                    </w:rPr>
                    <w:t>城矿新园</w:t>
                  </w:r>
                </w:p>
              </w:tc>
              <w:tc>
                <w:tcPr>
                  <w:tcW w:w="429" w:type="pct"/>
                  <w:noWrap w:val="0"/>
                  <w:vAlign w:val="center"/>
                </w:tcPr>
                <w:p w14:paraId="727AFF55">
                  <w:pPr>
                    <w:pStyle w:val="48"/>
                    <w:rPr>
                      <w:rFonts w:hint="eastAsia" w:eastAsia="宋体"/>
                      <w:color w:val="auto"/>
                      <w:lang w:val="en-US" w:eastAsia="zh-CN"/>
                    </w:rPr>
                  </w:pPr>
                  <w:r>
                    <w:rPr>
                      <w:rFonts w:hint="eastAsia"/>
                      <w:color w:val="auto"/>
                      <w:lang w:val="en-US" w:eastAsia="zh-CN"/>
                    </w:rPr>
                    <w:t>居民</w:t>
                  </w:r>
                </w:p>
              </w:tc>
              <w:tc>
                <w:tcPr>
                  <w:tcW w:w="412" w:type="pct"/>
                  <w:noWrap w:val="0"/>
                  <w:vAlign w:val="center"/>
                </w:tcPr>
                <w:p w14:paraId="505A8A4F">
                  <w:pPr>
                    <w:pStyle w:val="48"/>
                    <w:ind w:firstLine="0" w:firstLineChars="0"/>
                    <w:rPr>
                      <w:rFonts w:hint="eastAsia"/>
                      <w:color w:val="auto"/>
                      <w:lang w:val="en-US" w:eastAsia="zh-CN"/>
                    </w:rPr>
                  </w:pPr>
                  <w:r>
                    <w:rPr>
                      <w:rFonts w:hint="eastAsia"/>
                      <w:color w:val="auto"/>
                      <w:lang w:val="en-US" w:eastAsia="zh-CN"/>
                    </w:rPr>
                    <w:t>人群</w:t>
                  </w:r>
                </w:p>
              </w:tc>
              <w:tc>
                <w:tcPr>
                  <w:tcW w:w="605" w:type="pct"/>
                  <w:noWrap w:val="0"/>
                  <w:vAlign w:val="center"/>
                </w:tcPr>
                <w:p w14:paraId="2D61DB7F">
                  <w:pPr>
                    <w:pStyle w:val="48"/>
                    <w:ind w:firstLine="0" w:firstLineChars="0"/>
                    <w:rPr>
                      <w:color w:val="auto"/>
                    </w:rPr>
                  </w:pPr>
                  <w:r>
                    <w:rPr>
                      <w:color w:val="auto"/>
                    </w:rPr>
                    <w:t>二类</w:t>
                  </w:r>
                  <w:r>
                    <w:rPr>
                      <w:rFonts w:hint="eastAsia"/>
                      <w:color w:val="auto"/>
                    </w:rPr>
                    <w:t>区</w:t>
                  </w:r>
                </w:p>
              </w:tc>
              <w:tc>
                <w:tcPr>
                  <w:tcW w:w="986" w:type="pct"/>
                  <w:noWrap w:val="0"/>
                  <w:vAlign w:val="center"/>
                </w:tcPr>
                <w:p w14:paraId="3368CA24">
                  <w:pPr>
                    <w:pStyle w:val="48"/>
                    <w:rPr>
                      <w:rFonts w:hint="eastAsia" w:eastAsia="宋体"/>
                      <w:color w:val="auto"/>
                      <w:lang w:val="en-US" w:eastAsia="zh-CN"/>
                    </w:rPr>
                  </w:pPr>
                  <w:r>
                    <w:rPr>
                      <w:rFonts w:hint="eastAsia"/>
                      <w:color w:val="auto"/>
                      <w:lang w:val="en-US" w:eastAsia="zh-CN"/>
                    </w:rPr>
                    <w:t>南</w:t>
                  </w:r>
                </w:p>
              </w:tc>
              <w:tc>
                <w:tcPr>
                  <w:tcW w:w="1081" w:type="pct"/>
                  <w:noWrap w:val="0"/>
                  <w:vAlign w:val="center"/>
                </w:tcPr>
                <w:p w14:paraId="3DDCAEBE">
                  <w:pPr>
                    <w:pStyle w:val="48"/>
                    <w:rPr>
                      <w:rFonts w:hint="default"/>
                      <w:color w:val="auto"/>
                      <w:lang w:val="en-US" w:eastAsia="zh-CN"/>
                    </w:rPr>
                  </w:pPr>
                  <w:r>
                    <w:rPr>
                      <w:rFonts w:hint="eastAsia"/>
                      <w:color w:val="auto"/>
                      <w:lang w:val="en-US" w:eastAsia="zh-CN"/>
                    </w:rPr>
                    <w:t>460</w:t>
                  </w:r>
                </w:p>
              </w:tc>
            </w:tr>
            <w:tr w14:paraId="6570A97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blHeader/>
              </w:trPr>
              <w:tc>
                <w:tcPr>
                  <w:tcW w:w="683" w:type="pct"/>
                  <w:vMerge w:val="continue"/>
                  <w:noWrap w:val="0"/>
                  <w:vAlign w:val="center"/>
                </w:tcPr>
                <w:p w14:paraId="5267EB8A">
                  <w:pPr>
                    <w:pStyle w:val="48"/>
                    <w:rPr>
                      <w:color w:val="auto"/>
                    </w:rPr>
                  </w:pPr>
                </w:p>
              </w:tc>
              <w:tc>
                <w:tcPr>
                  <w:tcW w:w="800" w:type="pct"/>
                  <w:noWrap w:val="0"/>
                  <w:vAlign w:val="center"/>
                </w:tcPr>
                <w:p w14:paraId="1B495C53">
                  <w:pPr>
                    <w:pStyle w:val="48"/>
                    <w:rPr>
                      <w:rFonts w:hint="default"/>
                      <w:color w:val="auto"/>
                      <w:lang w:val="en-US" w:eastAsia="zh-CN"/>
                    </w:rPr>
                  </w:pPr>
                  <w:r>
                    <w:rPr>
                      <w:rFonts w:hint="eastAsia"/>
                      <w:color w:val="auto"/>
                      <w:lang w:val="en-US" w:eastAsia="zh-CN"/>
                    </w:rPr>
                    <w:t>城子河就业服务中心</w:t>
                  </w:r>
                </w:p>
              </w:tc>
              <w:tc>
                <w:tcPr>
                  <w:tcW w:w="429" w:type="pct"/>
                  <w:noWrap w:val="0"/>
                  <w:vAlign w:val="center"/>
                </w:tcPr>
                <w:p w14:paraId="2F9C3FF9">
                  <w:pPr>
                    <w:pStyle w:val="48"/>
                    <w:rPr>
                      <w:rFonts w:hint="default" w:eastAsia="宋体"/>
                      <w:color w:val="auto"/>
                      <w:lang w:val="en-US" w:eastAsia="zh-CN"/>
                    </w:rPr>
                  </w:pPr>
                  <w:r>
                    <w:rPr>
                      <w:rFonts w:hint="eastAsia"/>
                      <w:color w:val="auto"/>
                      <w:lang w:val="en-US" w:eastAsia="zh-CN"/>
                    </w:rPr>
                    <w:t>机关</w:t>
                  </w:r>
                </w:p>
              </w:tc>
              <w:tc>
                <w:tcPr>
                  <w:tcW w:w="412" w:type="pct"/>
                  <w:noWrap w:val="0"/>
                  <w:vAlign w:val="center"/>
                </w:tcPr>
                <w:p w14:paraId="1A39F41C">
                  <w:pPr>
                    <w:pStyle w:val="48"/>
                    <w:ind w:firstLine="0" w:firstLineChars="0"/>
                    <w:rPr>
                      <w:rFonts w:hint="eastAsia"/>
                      <w:color w:val="auto"/>
                      <w:lang w:val="en-US" w:eastAsia="zh-CN"/>
                    </w:rPr>
                  </w:pPr>
                  <w:r>
                    <w:rPr>
                      <w:rFonts w:hint="eastAsia"/>
                      <w:color w:val="auto"/>
                      <w:lang w:val="en-US" w:eastAsia="zh-CN"/>
                    </w:rPr>
                    <w:t>办公人员</w:t>
                  </w:r>
                </w:p>
              </w:tc>
              <w:tc>
                <w:tcPr>
                  <w:tcW w:w="605" w:type="pct"/>
                  <w:noWrap w:val="0"/>
                  <w:vAlign w:val="center"/>
                </w:tcPr>
                <w:p w14:paraId="1FB30D52">
                  <w:pPr>
                    <w:pStyle w:val="48"/>
                    <w:ind w:firstLine="0" w:firstLineChars="0"/>
                    <w:rPr>
                      <w:color w:val="auto"/>
                    </w:rPr>
                  </w:pPr>
                  <w:r>
                    <w:rPr>
                      <w:rFonts w:hint="eastAsia"/>
                      <w:color w:val="auto"/>
                      <w:lang w:val="en-US" w:eastAsia="zh-CN"/>
                    </w:rPr>
                    <w:t>二类区</w:t>
                  </w:r>
                </w:p>
              </w:tc>
              <w:tc>
                <w:tcPr>
                  <w:tcW w:w="986" w:type="pct"/>
                  <w:noWrap w:val="0"/>
                  <w:vAlign w:val="center"/>
                </w:tcPr>
                <w:p w14:paraId="45500BFD">
                  <w:pPr>
                    <w:pStyle w:val="48"/>
                    <w:rPr>
                      <w:rFonts w:hint="eastAsia" w:eastAsia="宋体"/>
                      <w:color w:val="auto"/>
                      <w:lang w:val="en-US" w:eastAsia="zh-CN"/>
                    </w:rPr>
                  </w:pPr>
                  <w:r>
                    <w:rPr>
                      <w:rFonts w:hint="eastAsia"/>
                      <w:color w:val="auto"/>
                      <w:lang w:val="en-US" w:eastAsia="zh-CN"/>
                    </w:rPr>
                    <w:t>东南</w:t>
                  </w:r>
                </w:p>
              </w:tc>
              <w:tc>
                <w:tcPr>
                  <w:tcW w:w="1081" w:type="pct"/>
                  <w:noWrap w:val="0"/>
                  <w:vAlign w:val="center"/>
                </w:tcPr>
                <w:p w14:paraId="682E397A">
                  <w:pPr>
                    <w:pStyle w:val="48"/>
                    <w:rPr>
                      <w:rFonts w:hint="default"/>
                      <w:color w:val="auto"/>
                      <w:lang w:val="en-US" w:eastAsia="zh-CN"/>
                    </w:rPr>
                  </w:pPr>
                  <w:r>
                    <w:rPr>
                      <w:rFonts w:hint="eastAsia"/>
                      <w:color w:val="auto"/>
                      <w:lang w:val="en-US" w:eastAsia="zh-CN"/>
                    </w:rPr>
                    <w:t>330</w:t>
                  </w:r>
                </w:p>
              </w:tc>
            </w:tr>
            <w:tr w14:paraId="570BBF6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blHeader/>
              </w:trPr>
              <w:tc>
                <w:tcPr>
                  <w:tcW w:w="683" w:type="pct"/>
                  <w:vMerge w:val="continue"/>
                  <w:noWrap w:val="0"/>
                  <w:vAlign w:val="center"/>
                </w:tcPr>
                <w:p w14:paraId="08F8A7C3">
                  <w:pPr>
                    <w:pStyle w:val="48"/>
                    <w:rPr>
                      <w:color w:val="auto"/>
                    </w:rPr>
                  </w:pPr>
                </w:p>
              </w:tc>
              <w:tc>
                <w:tcPr>
                  <w:tcW w:w="800" w:type="pct"/>
                  <w:noWrap w:val="0"/>
                  <w:vAlign w:val="center"/>
                </w:tcPr>
                <w:p w14:paraId="113C21B7">
                  <w:pPr>
                    <w:pStyle w:val="48"/>
                    <w:rPr>
                      <w:rFonts w:hint="default"/>
                      <w:color w:val="auto"/>
                      <w:lang w:val="en-US" w:eastAsia="zh-CN"/>
                    </w:rPr>
                  </w:pPr>
                  <w:r>
                    <w:rPr>
                      <w:rFonts w:hint="eastAsia"/>
                      <w:color w:val="auto"/>
                      <w:lang w:val="en-US" w:eastAsia="zh-CN"/>
                    </w:rPr>
                    <w:t>玉城新苑</w:t>
                  </w:r>
                </w:p>
              </w:tc>
              <w:tc>
                <w:tcPr>
                  <w:tcW w:w="429" w:type="pct"/>
                  <w:noWrap w:val="0"/>
                  <w:vAlign w:val="center"/>
                </w:tcPr>
                <w:p w14:paraId="73C10AB9">
                  <w:pPr>
                    <w:pStyle w:val="48"/>
                    <w:rPr>
                      <w:rFonts w:hint="eastAsia" w:eastAsia="宋体"/>
                      <w:color w:val="auto"/>
                      <w:lang w:val="en-US" w:eastAsia="zh-CN"/>
                    </w:rPr>
                  </w:pPr>
                  <w:r>
                    <w:rPr>
                      <w:rFonts w:hint="eastAsia"/>
                      <w:color w:val="auto"/>
                      <w:lang w:val="en-US" w:eastAsia="zh-CN"/>
                    </w:rPr>
                    <w:t>居民</w:t>
                  </w:r>
                </w:p>
              </w:tc>
              <w:tc>
                <w:tcPr>
                  <w:tcW w:w="412" w:type="pct"/>
                  <w:noWrap w:val="0"/>
                  <w:vAlign w:val="center"/>
                </w:tcPr>
                <w:p w14:paraId="56AD2B63">
                  <w:pPr>
                    <w:pStyle w:val="48"/>
                    <w:ind w:firstLine="0" w:firstLineChars="0"/>
                    <w:rPr>
                      <w:rFonts w:hint="eastAsia"/>
                      <w:color w:val="auto"/>
                      <w:lang w:val="en-US" w:eastAsia="zh-CN"/>
                    </w:rPr>
                  </w:pPr>
                  <w:r>
                    <w:rPr>
                      <w:rFonts w:hint="eastAsia"/>
                      <w:color w:val="auto"/>
                      <w:lang w:val="en-US" w:eastAsia="zh-CN"/>
                    </w:rPr>
                    <w:t>人群</w:t>
                  </w:r>
                </w:p>
              </w:tc>
              <w:tc>
                <w:tcPr>
                  <w:tcW w:w="605" w:type="pct"/>
                  <w:noWrap w:val="0"/>
                  <w:vAlign w:val="center"/>
                </w:tcPr>
                <w:p w14:paraId="55A9ECDD">
                  <w:pPr>
                    <w:pStyle w:val="48"/>
                    <w:ind w:firstLine="0" w:firstLineChars="0"/>
                    <w:rPr>
                      <w:color w:val="auto"/>
                    </w:rPr>
                  </w:pPr>
                  <w:r>
                    <w:rPr>
                      <w:color w:val="auto"/>
                    </w:rPr>
                    <w:t>二类</w:t>
                  </w:r>
                  <w:r>
                    <w:rPr>
                      <w:rFonts w:hint="eastAsia"/>
                      <w:color w:val="auto"/>
                    </w:rPr>
                    <w:t>区</w:t>
                  </w:r>
                </w:p>
              </w:tc>
              <w:tc>
                <w:tcPr>
                  <w:tcW w:w="986" w:type="pct"/>
                  <w:noWrap w:val="0"/>
                  <w:vAlign w:val="center"/>
                </w:tcPr>
                <w:p w14:paraId="391BCE12">
                  <w:pPr>
                    <w:pStyle w:val="48"/>
                    <w:rPr>
                      <w:rFonts w:hint="eastAsia" w:eastAsia="宋体"/>
                      <w:color w:val="auto"/>
                      <w:lang w:val="en-US" w:eastAsia="zh-CN"/>
                    </w:rPr>
                  </w:pPr>
                  <w:r>
                    <w:rPr>
                      <w:rFonts w:hint="eastAsia"/>
                      <w:color w:val="auto"/>
                      <w:lang w:val="en-US" w:eastAsia="zh-CN"/>
                    </w:rPr>
                    <w:t>东南</w:t>
                  </w:r>
                </w:p>
              </w:tc>
              <w:tc>
                <w:tcPr>
                  <w:tcW w:w="1081" w:type="pct"/>
                  <w:noWrap w:val="0"/>
                  <w:vAlign w:val="center"/>
                </w:tcPr>
                <w:p w14:paraId="4F7765FB">
                  <w:pPr>
                    <w:pStyle w:val="48"/>
                    <w:rPr>
                      <w:rFonts w:hint="default"/>
                      <w:color w:val="auto"/>
                      <w:lang w:val="en-US" w:eastAsia="zh-CN"/>
                    </w:rPr>
                  </w:pPr>
                  <w:r>
                    <w:rPr>
                      <w:rFonts w:hint="eastAsia"/>
                      <w:color w:val="auto"/>
                      <w:lang w:val="en-US" w:eastAsia="zh-CN"/>
                    </w:rPr>
                    <w:t>370</w:t>
                  </w:r>
                </w:p>
              </w:tc>
            </w:tr>
          </w:tbl>
          <w:p w14:paraId="76E8AD06">
            <w:pPr>
              <w:adjustRightInd w:val="0"/>
              <w:snapToGrid w:val="0"/>
              <w:spacing w:line="360" w:lineRule="auto"/>
              <w:rPr>
                <w:rFonts w:hint="default" w:ascii="Times New Roman" w:hAnsi="Times New Roman" w:eastAsia="宋体" w:cs="Times New Roman"/>
                <w:color w:val="auto"/>
                <w:kern w:val="0"/>
                <w:sz w:val="24"/>
                <w:szCs w:val="24"/>
                <w:highlight w:val="none"/>
                <w:lang w:eastAsia="zh-CN"/>
              </w:rPr>
            </w:pPr>
          </w:p>
        </w:tc>
      </w:tr>
      <w:tr w14:paraId="71E0D1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722" w:type="dxa"/>
            <w:tcMar>
              <w:left w:w="28" w:type="dxa"/>
              <w:right w:w="28" w:type="dxa"/>
            </w:tcMar>
            <w:vAlign w:val="center"/>
          </w:tcPr>
          <w:p w14:paraId="641E4A2E">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污染</w:t>
            </w:r>
          </w:p>
          <w:p w14:paraId="5852941B">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物排</w:t>
            </w:r>
          </w:p>
          <w:p w14:paraId="780649CE">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放控</w:t>
            </w:r>
          </w:p>
          <w:p w14:paraId="3654AC37">
            <w:pPr>
              <w:adjustRightInd w:val="0"/>
              <w:snapToGrid w:val="0"/>
              <w:jc w:val="center"/>
              <w:rPr>
                <w:rFonts w:hint="default" w:ascii="Times New Roman" w:hAnsi="Times New Roman" w:cs="Times New Roman"/>
                <w:color w:val="auto"/>
                <w:kern w:val="0"/>
                <w:sz w:val="24"/>
                <w:highlight w:val="none"/>
              </w:rPr>
            </w:pPr>
            <w:r>
              <w:rPr>
                <w:rFonts w:hint="eastAsia" w:cs="Times New Roman"/>
                <w:color w:val="auto"/>
                <w:kern w:val="0"/>
                <w:sz w:val="24"/>
                <w:highlight w:val="none"/>
                <w:lang w:eastAsia="zh-CN"/>
              </w:rPr>
              <w:t>指标</w:t>
            </w:r>
          </w:p>
          <w:p w14:paraId="4558437C">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准</w:t>
            </w:r>
          </w:p>
        </w:tc>
        <w:tc>
          <w:tcPr>
            <w:tcW w:w="8904" w:type="dxa"/>
            <w:vAlign w:val="center"/>
          </w:tcPr>
          <w:p w14:paraId="5B03B1B6">
            <w:pPr>
              <w:keepNext w:val="0"/>
              <w:keepLines w:val="0"/>
              <w:pageBreakBefore w:val="0"/>
              <w:widowControl w:val="0"/>
              <w:kinsoku/>
              <w:wordWrap/>
              <w:overflowPunct/>
              <w:topLinePunct w:val="0"/>
              <w:autoSpaceDE/>
              <w:autoSpaceDN/>
              <w:bidi w:val="0"/>
              <w:adjustRightInd w:val="0"/>
              <w:snapToGrid w:val="0"/>
              <w:spacing w:line="400" w:lineRule="exact"/>
              <w:ind w:firstLine="482" w:firstLineChars="200"/>
              <w:textAlignment w:val="auto"/>
              <w:rPr>
                <w:rFonts w:hint="eastAsia" w:eastAsia="宋体"/>
                <w:color w:val="auto"/>
                <w:kern w:val="0"/>
                <w:sz w:val="24"/>
                <w:highlight w:val="none"/>
                <w:lang w:val="en-US" w:eastAsia="zh-CN"/>
              </w:rPr>
            </w:pPr>
            <w:r>
              <w:rPr>
                <w:rFonts w:hint="eastAsia"/>
                <w:b/>
                <w:bCs/>
                <w:color w:val="auto"/>
                <w:kern w:val="0"/>
                <w:sz w:val="24"/>
                <w:highlight w:val="none"/>
                <w:lang w:val="en-US" w:eastAsia="zh-CN"/>
              </w:rPr>
              <w:t>1</w:t>
            </w:r>
            <w:r>
              <w:rPr>
                <w:b/>
                <w:bCs/>
                <w:color w:val="auto"/>
                <w:kern w:val="0"/>
                <w:sz w:val="24"/>
                <w:highlight w:val="none"/>
              </w:rPr>
              <w:t>、废</w:t>
            </w:r>
            <w:r>
              <w:rPr>
                <w:rFonts w:hint="eastAsia"/>
                <w:b/>
                <w:bCs/>
                <w:color w:val="auto"/>
                <w:kern w:val="0"/>
                <w:sz w:val="24"/>
                <w:highlight w:val="none"/>
                <w:lang w:val="en-US" w:eastAsia="zh-CN"/>
              </w:rPr>
              <w:t>气</w:t>
            </w:r>
          </w:p>
          <w:p w14:paraId="409012E3">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color w:val="auto"/>
                <w:kern w:val="0"/>
                <w:sz w:val="24"/>
                <w:highlight w:val="none"/>
              </w:rPr>
            </w:pPr>
            <w:r>
              <w:rPr>
                <w:rFonts w:hint="eastAsia"/>
                <w:color w:val="auto"/>
                <w:kern w:val="0"/>
                <w:sz w:val="24"/>
                <w:highlight w:val="none"/>
              </w:rPr>
              <w:t>施工期废气执行《大气污染物综合排放标准》（GB16297-1996）表2中的无组织排放限值；</w:t>
            </w:r>
            <w:r>
              <w:rPr>
                <w:color w:val="auto"/>
                <w:kern w:val="0"/>
                <w:sz w:val="24"/>
                <w:highlight w:val="none"/>
              </w:rPr>
              <w:t>运营期生产过程中产生的</w:t>
            </w:r>
            <w:r>
              <w:rPr>
                <w:rFonts w:hint="eastAsia"/>
                <w:color w:val="auto"/>
                <w:kern w:val="0"/>
                <w:sz w:val="24"/>
                <w:highlight w:val="none"/>
                <w:lang w:val="en-US" w:eastAsia="zh-CN"/>
              </w:rPr>
              <w:t>粉尘</w:t>
            </w:r>
            <w:r>
              <w:rPr>
                <w:color w:val="auto"/>
                <w:kern w:val="0"/>
                <w:sz w:val="24"/>
                <w:highlight w:val="none"/>
              </w:rPr>
              <w:t>执行《</w:t>
            </w:r>
            <w:r>
              <w:rPr>
                <w:rFonts w:hint="eastAsia"/>
                <w:color w:val="auto"/>
                <w:kern w:val="0"/>
                <w:sz w:val="24"/>
                <w:highlight w:val="none"/>
                <w:lang w:val="en-US" w:eastAsia="zh-CN"/>
              </w:rPr>
              <w:t>煤炭工业污染物</w:t>
            </w:r>
            <w:r>
              <w:rPr>
                <w:color w:val="auto"/>
                <w:kern w:val="0"/>
                <w:sz w:val="24"/>
                <w:highlight w:val="none"/>
              </w:rPr>
              <w:t>排放标准》（GB</w:t>
            </w:r>
            <w:r>
              <w:rPr>
                <w:rFonts w:hint="eastAsia"/>
                <w:color w:val="auto"/>
                <w:kern w:val="0"/>
                <w:sz w:val="24"/>
                <w:highlight w:val="none"/>
                <w:lang w:val="en-US" w:eastAsia="zh-CN"/>
              </w:rPr>
              <w:t>20426</w:t>
            </w:r>
            <w:r>
              <w:rPr>
                <w:color w:val="auto"/>
                <w:kern w:val="0"/>
                <w:sz w:val="24"/>
                <w:highlight w:val="none"/>
              </w:rPr>
              <w:t>-</w:t>
            </w:r>
            <w:r>
              <w:rPr>
                <w:rFonts w:hint="eastAsia"/>
                <w:color w:val="auto"/>
                <w:kern w:val="0"/>
                <w:sz w:val="24"/>
                <w:highlight w:val="none"/>
                <w:lang w:val="en-US" w:eastAsia="zh-CN"/>
              </w:rPr>
              <w:t>200</w:t>
            </w:r>
            <w:r>
              <w:rPr>
                <w:color w:val="auto"/>
                <w:kern w:val="0"/>
                <w:sz w:val="24"/>
                <w:highlight w:val="none"/>
              </w:rPr>
              <w:t>6）表</w:t>
            </w:r>
            <w:r>
              <w:rPr>
                <w:rFonts w:hint="eastAsia"/>
                <w:color w:val="auto"/>
                <w:kern w:val="0"/>
                <w:sz w:val="24"/>
                <w:highlight w:val="none"/>
                <w:lang w:val="en-US" w:eastAsia="zh-CN"/>
              </w:rPr>
              <w:t>5</w:t>
            </w:r>
            <w:r>
              <w:rPr>
                <w:color w:val="auto"/>
                <w:kern w:val="0"/>
                <w:sz w:val="24"/>
                <w:highlight w:val="none"/>
              </w:rPr>
              <w:t>中的</w:t>
            </w:r>
            <w:r>
              <w:rPr>
                <w:rFonts w:hint="eastAsia"/>
                <w:color w:val="auto"/>
                <w:kern w:val="0"/>
                <w:sz w:val="24"/>
                <w:highlight w:val="none"/>
                <w:lang w:val="en-US" w:eastAsia="zh-CN"/>
              </w:rPr>
              <w:t>煤炭贮存场所</w:t>
            </w:r>
            <w:r>
              <w:rPr>
                <w:color w:val="auto"/>
                <w:kern w:val="0"/>
                <w:sz w:val="24"/>
                <w:highlight w:val="none"/>
              </w:rPr>
              <w:t>无组织排放限值，具体见下表</w:t>
            </w:r>
            <w:r>
              <w:rPr>
                <w:rFonts w:hint="eastAsia"/>
                <w:color w:val="auto"/>
                <w:kern w:val="0"/>
                <w:sz w:val="24"/>
                <w:highlight w:val="none"/>
              </w:rPr>
              <w:t>3-</w:t>
            </w:r>
            <w:r>
              <w:rPr>
                <w:rFonts w:hint="eastAsia"/>
                <w:color w:val="auto"/>
                <w:kern w:val="0"/>
                <w:sz w:val="24"/>
                <w:highlight w:val="none"/>
                <w:lang w:val="en-US" w:eastAsia="zh-CN"/>
              </w:rPr>
              <w:t>5、3-6</w:t>
            </w:r>
            <w:r>
              <w:rPr>
                <w:color w:val="auto"/>
                <w:kern w:val="0"/>
                <w:sz w:val="24"/>
                <w:highlight w:val="none"/>
              </w:rPr>
              <w:t>。</w:t>
            </w:r>
          </w:p>
          <w:p w14:paraId="37000C58">
            <w:pPr>
              <w:adjustRightInd w:val="0"/>
              <w:snapToGrid w:val="0"/>
              <w:jc w:val="center"/>
              <w:rPr>
                <w:rFonts w:hint="default" w:eastAsia="宋体"/>
                <w:b/>
                <w:bCs/>
                <w:color w:val="auto"/>
                <w:kern w:val="0"/>
                <w:szCs w:val="21"/>
                <w:highlight w:val="none"/>
                <w:lang w:val="en-US" w:eastAsia="zh-CN"/>
              </w:rPr>
            </w:pPr>
            <w:r>
              <w:rPr>
                <w:rFonts w:hint="eastAsia"/>
                <w:b/>
                <w:bCs/>
                <w:color w:val="auto"/>
                <w:kern w:val="0"/>
                <w:szCs w:val="21"/>
                <w:highlight w:val="none"/>
                <w:lang w:val="en-US" w:eastAsia="zh-CN"/>
              </w:rPr>
              <w:t xml:space="preserve">       </w:t>
            </w:r>
            <w:r>
              <w:rPr>
                <w:rFonts w:hint="eastAsia" w:ascii="Times New Roman" w:hAnsi="Times New Roman" w:eastAsia="宋体" w:cs="Times New Roman"/>
                <w:b/>
                <w:bCs/>
                <w:color w:val="auto"/>
                <w:kern w:val="2"/>
                <w:sz w:val="24"/>
                <w:szCs w:val="24"/>
                <w:highlight w:val="none"/>
                <w:lang w:val="en-US" w:eastAsia="zh-CN" w:bidi="ar-SA"/>
              </w:rPr>
              <w:t xml:space="preserve">       </w:t>
            </w:r>
            <w:r>
              <w:rPr>
                <w:rFonts w:hint="default" w:ascii="Times New Roman" w:hAnsi="Times New Roman" w:eastAsia="宋体" w:cs="Times New Roman"/>
                <w:b/>
                <w:bCs/>
                <w:color w:val="auto"/>
                <w:kern w:val="2"/>
                <w:sz w:val="24"/>
                <w:szCs w:val="24"/>
                <w:highlight w:val="none"/>
                <w:lang w:val="en-US" w:eastAsia="zh-CN" w:bidi="ar-SA"/>
              </w:rPr>
              <w:t>表3-</w:t>
            </w:r>
            <w:r>
              <w:rPr>
                <w:rFonts w:hint="eastAsia" w:cs="Times New Roman"/>
                <w:b/>
                <w:bCs/>
                <w:color w:val="auto"/>
                <w:kern w:val="2"/>
                <w:sz w:val="24"/>
                <w:szCs w:val="24"/>
                <w:highlight w:val="none"/>
                <w:lang w:val="en-US" w:eastAsia="zh-CN" w:bidi="ar-SA"/>
              </w:rPr>
              <w:t>5</w:t>
            </w:r>
            <w:r>
              <w:rPr>
                <w:rFonts w:hint="default" w:ascii="Times New Roman" w:hAnsi="Times New Roman" w:eastAsia="宋体" w:cs="Times New Roman"/>
                <w:b/>
                <w:bCs/>
                <w:color w:val="auto"/>
                <w:kern w:val="2"/>
                <w:sz w:val="24"/>
                <w:szCs w:val="24"/>
                <w:highlight w:val="none"/>
                <w:lang w:val="en-US" w:eastAsia="zh-CN" w:bidi="ar-SA"/>
              </w:rPr>
              <w:t xml:space="preserve">  大气污染物</w:t>
            </w:r>
            <w:r>
              <w:rPr>
                <w:rFonts w:hint="eastAsia" w:ascii="Times New Roman" w:hAnsi="Times New Roman" w:eastAsia="宋体" w:cs="Times New Roman"/>
                <w:b/>
                <w:bCs/>
                <w:color w:val="auto"/>
                <w:kern w:val="2"/>
                <w:sz w:val="24"/>
                <w:szCs w:val="24"/>
                <w:highlight w:val="none"/>
                <w:lang w:val="en-US" w:eastAsia="zh-CN" w:bidi="ar-SA"/>
              </w:rPr>
              <w:t xml:space="preserve">排放标准    </w:t>
            </w:r>
            <w:r>
              <w:rPr>
                <w:rFonts w:hint="eastAsia"/>
                <w:b/>
                <w:bCs/>
                <w:color w:val="auto"/>
                <w:kern w:val="0"/>
                <w:szCs w:val="21"/>
                <w:highlight w:val="none"/>
                <w:lang w:val="en-US" w:eastAsia="zh-CN"/>
              </w:rPr>
              <w:t xml:space="preserve">     </w:t>
            </w:r>
            <w:r>
              <w:rPr>
                <w:b/>
                <w:color w:val="auto"/>
                <w:szCs w:val="21"/>
                <w:highlight w:val="none"/>
              </w:rPr>
              <w:t>单位：mg/m</w:t>
            </w:r>
            <w:r>
              <w:rPr>
                <w:b/>
                <w:color w:val="auto"/>
                <w:szCs w:val="21"/>
                <w:highlight w:val="none"/>
                <w:vertAlign w:val="superscript"/>
              </w:rPr>
              <w:t>3</w:t>
            </w:r>
          </w:p>
          <w:tbl>
            <w:tblPr>
              <w:tblStyle w:val="17"/>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60" w:type="dxa"/>
                <w:bottom w:w="0" w:type="dxa"/>
                <w:right w:w="60" w:type="dxa"/>
              </w:tblCellMar>
            </w:tblPr>
            <w:tblGrid>
              <w:gridCol w:w="2427"/>
              <w:gridCol w:w="3772"/>
              <w:gridCol w:w="2498"/>
            </w:tblGrid>
            <w:tr w14:paraId="7C73ACE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312" w:hRule="atLeast"/>
                <w:jc w:val="center"/>
              </w:trPr>
              <w:tc>
                <w:tcPr>
                  <w:tcW w:w="1395" w:type="pct"/>
                  <w:noWrap w:val="0"/>
                  <w:vAlign w:val="center"/>
                </w:tcPr>
                <w:p w14:paraId="019AA53E">
                  <w:pPr>
                    <w:adjustRightInd w:val="0"/>
                    <w:snapToGrid w:val="0"/>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污染物</w:t>
                  </w:r>
                </w:p>
              </w:tc>
              <w:tc>
                <w:tcPr>
                  <w:tcW w:w="3604" w:type="pct"/>
                  <w:gridSpan w:val="2"/>
                  <w:noWrap w:val="0"/>
                  <w:vAlign w:val="center"/>
                </w:tcPr>
                <w:p w14:paraId="39938D30">
                  <w:pPr>
                    <w:adjustRightInd w:val="0"/>
                    <w:snapToGrid w:val="0"/>
                    <w:jc w:val="center"/>
                    <w:rPr>
                      <w:color w:val="auto"/>
                      <w:kern w:val="0"/>
                      <w:szCs w:val="21"/>
                      <w:highlight w:val="none"/>
                    </w:rPr>
                  </w:pPr>
                  <w:r>
                    <w:rPr>
                      <w:color w:val="auto"/>
                      <w:szCs w:val="21"/>
                      <w:highlight w:val="none"/>
                    </w:rPr>
                    <w:t>无组织排放监控浓度限值（mg/m</w:t>
                  </w:r>
                  <w:r>
                    <w:rPr>
                      <w:color w:val="auto"/>
                      <w:szCs w:val="21"/>
                      <w:highlight w:val="none"/>
                      <w:vertAlign w:val="superscript"/>
                    </w:rPr>
                    <w:t>3</w:t>
                  </w:r>
                  <w:r>
                    <w:rPr>
                      <w:color w:val="auto"/>
                      <w:szCs w:val="21"/>
                      <w:highlight w:val="none"/>
                    </w:rPr>
                    <w:t>）</w:t>
                  </w:r>
                </w:p>
              </w:tc>
            </w:tr>
            <w:tr w14:paraId="2D98951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255" w:hRule="atLeast"/>
                <w:jc w:val="center"/>
              </w:trPr>
              <w:tc>
                <w:tcPr>
                  <w:tcW w:w="1395" w:type="pct"/>
                  <w:noWrap w:val="0"/>
                  <w:vAlign w:val="center"/>
                </w:tcPr>
                <w:p w14:paraId="7DF44141">
                  <w:pPr>
                    <w:adjustRightInd w:val="0"/>
                    <w:snapToGrid w:val="0"/>
                    <w:jc w:val="center"/>
                    <w:rPr>
                      <w:color w:val="auto"/>
                      <w:kern w:val="0"/>
                      <w:szCs w:val="21"/>
                      <w:highlight w:val="none"/>
                    </w:rPr>
                  </w:pPr>
                  <w:r>
                    <w:rPr>
                      <w:color w:val="auto"/>
                      <w:kern w:val="0"/>
                      <w:szCs w:val="21"/>
                      <w:highlight w:val="none"/>
                    </w:rPr>
                    <w:t>颗粒物</w:t>
                  </w:r>
                </w:p>
              </w:tc>
              <w:tc>
                <w:tcPr>
                  <w:tcW w:w="2168" w:type="pct"/>
                  <w:noWrap w:val="0"/>
                  <w:vAlign w:val="center"/>
                </w:tcPr>
                <w:p w14:paraId="7058B086">
                  <w:pPr>
                    <w:jc w:val="center"/>
                    <w:rPr>
                      <w:color w:val="auto"/>
                      <w:kern w:val="0"/>
                      <w:szCs w:val="21"/>
                      <w:highlight w:val="none"/>
                    </w:rPr>
                  </w:pPr>
                  <w:r>
                    <w:rPr>
                      <w:color w:val="auto"/>
                      <w:szCs w:val="21"/>
                      <w:highlight w:val="none"/>
                    </w:rPr>
                    <w:t>周界外浓度最高点</w:t>
                  </w:r>
                </w:p>
              </w:tc>
              <w:tc>
                <w:tcPr>
                  <w:tcW w:w="1436" w:type="pct"/>
                  <w:noWrap w:val="0"/>
                  <w:vAlign w:val="center"/>
                </w:tcPr>
                <w:p w14:paraId="14301657">
                  <w:pPr>
                    <w:jc w:val="center"/>
                    <w:rPr>
                      <w:color w:val="auto"/>
                      <w:kern w:val="0"/>
                      <w:szCs w:val="21"/>
                      <w:highlight w:val="none"/>
                    </w:rPr>
                  </w:pPr>
                  <w:r>
                    <w:rPr>
                      <w:color w:val="auto"/>
                      <w:szCs w:val="21"/>
                      <w:highlight w:val="none"/>
                    </w:rPr>
                    <w:t>1.0</w:t>
                  </w:r>
                </w:p>
              </w:tc>
            </w:tr>
          </w:tbl>
          <w:p w14:paraId="5FB371C1">
            <w:pPr>
              <w:adjustRightInd w:val="0"/>
              <w:snapToGrid w:val="0"/>
              <w:jc w:val="center"/>
              <w:rPr>
                <w:rFonts w:hint="default" w:eastAsia="宋体"/>
                <w:b/>
                <w:bCs/>
                <w:color w:val="auto"/>
                <w:kern w:val="0"/>
                <w:szCs w:val="21"/>
                <w:highlight w:val="none"/>
                <w:lang w:val="en-US" w:eastAsia="zh-CN"/>
              </w:rPr>
            </w:pPr>
            <w:r>
              <w:rPr>
                <w:rFonts w:hint="eastAsia" w:ascii="Times New Roman" w:hAnsi="Times New Roman" w:eastAsia="宋体" w:cs="Times New Roman"/>
                <w:b/>
                <w:bCs/>
                <w:color w:val="auto"/>
                <w:kern w:val="2"/>
                <w:sz w:val="24"/>
                <w:szCs w:val="24"/>
                <w:highlight w:val="none"/>
                <w:lang w:val="en-US" w:eastAsia="zh-CN" w:bidi="ar-SA"/>
              </w:rPr>
              <w:t xml:space="preserve"> </w:t>
            </w:r>
            <w:r>
              <w:rPr>
                <w:rFonts w:hint="default" w:ascii="Times New Roman" w:hAnsi="Times New Roman" w:eastAsia="宋体" w:cs="Times New Roman"/>
                <w:b/>
                <w:bCs/>
                <w:color w:val="auto"/>
                <w:kern w:val="2"/>
                <w:sz w:val="24"/>
                <w:szCs w:val="24"/>
                <w:highlight w:val="none"/>
                <w:lang w:val="en-US" w:eastAsia="zh-CN" w:bidi="ar-SA"/>
              </w:rPr>
              <w:t>表3-</w:t>
            </w:r>
            <w:r>
              <w:rPr>
                <w:rFonts w:hint="eastAsia" w:cs="Times New Roman"/>
                <w:b/>
                <w:bCs/>
                <w:color w:val="auto"/>
                <w:kern w:val="2"/>
                <w:sz w:val="24"/>
                <w:szCs w:val="24"/>
                <w:highlight w:val="none"/>
                <w:lang w:val="en-US" w:eastAsia="zh-CN" w:bidi="ar-SA"/>
              </w:rPr>
              <w:t>6</w:t>
            </w:r>
            <w:r>
              <w:rPr>
                <w:rFonts w:hint="default" w:ascii="Times New Roman" w:hAnsi="Times New Roman" w:eastAsia="宋体" w:cs="Times New Roman"/>
                <w:b/>
                <w:bCs/>
                <w:color w:val="auto"/>
                <w:kern w:val="2"/>
                <w:sz w:val="24"/>
                <w:szCs w:val="24"/>
                <w:highlight w:val="none"/>
                <w:lang w:val="en-US" w:eastAsia="zh-CN" w:bidi="ar-SA"/>
              </w:rPr>
              <w:t xml:space="preserve">  煤炭工业污染物排放标准</w:t>
            </w:r>
            <w:r>
              <w:rPr>
                <w:rFonts w:hint="eastAsia" w:ascii="Times New Roman" w:hAnsi="Times New Roman" w:eastAsia="宋体" w:cs="Times New Roman"/>
                <w:b/>
                <w:bCs/>
                <w:color w:val="auto"/>
                <w:kern w:val="2"/>
                <w:sz w:val="24"/>
                <w:szCs w:val="24"/>
                <w:highlight w:val="none"/>
                <w:lang w:val="en-US" w:eastAsia="zh-CN" w:bidi="ar-SA"/>
              </w:rPr>
              <w:t xml:space="preserve">    </w:t>
            </w:r>
            <w:r>
              <w:rPr>
                <w:rFonts w:hint="eastAsia"/>
                <w:b/>
                <w:bCs/>
                <w:color w:val="auto"/>
                <w:kern w:val="0"/>
                <w:szCs w:val="21"/>
                <w:highlight w:val="none"/>
                <w:lang w:val="en-US" w:eastAsia="zh-CN"/>
              </w:rPr>
              <w:t xml:space="preserve">     </w:t>
            </w:r>
            <w:r>
              <w:rPr>
                <w:b/>
                <w:color w:val="auto"/>
                <w:szCs w:val="21"/>
                <w:highlight w:val="none"/>
              </w:rPr>
              <w:t>单位：mg/m</w:t>
            </w:r>
            <w:r>
              <w:rPr>
                <w:b/>
                <w:color w:val="auto"/>
                <w:szCs w:val="21"/>
                <w:highlight w:val="none"/>
                <w:vertAlign w:val="superscript"/>
              </w:rPr>
              <w:t>3</w:t>
            </w:r>
          </w:p>
          <w:tbl>
            <w:tblPr>
              <w:tblStyle w:val="17"/>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60" w:type="dxa"/>
                <w:bottom w:w="0" w:type="dxa"/>
                <w:right w:w="60" w:type="dxa"/>
              </w:tblCellMar>
            </w:tblPr>
            <w:tblGrid>
              <w:gridCol w:w="2427"/>
              <w:gridCol w:w="3772"/>
              <w:gridCol w:w="2498"/>
            </w:tblGrid>
            <w:tr w14:paraId="23430D7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312" w:hRule="atLeast"/>
                <w:jc w:val="center"/>
              </w:trPr>
              <w:tc>
                <w:tcPr>
                  <w:tcW w:w="1395" w:type="pct"/>
                  <w:noWrap w:val="0"/>
                  <w:vAlign w:val="center"/>
                </w:tcPr>
                <w:p w14:paraId="21D2BB28">
                  <w:pPr>
                    <w:adjustRightInd w:val="0"/>
                    <w:snapToGrid w:val="0"/>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污染物</w:t>
                  </w:r>
                </w:p>
              </w:tc>
              <w:tc>
                <w:tcPr>
                  <w:tcW w:w="3604" w:type="pct"/>
                  <w:gridSpan w:val="2"/>
                  <w:noWrap w:val="0"/>
                  <w:vAlign w:val="center"/>
                </w:tcPr>
                <w:p w14:paraId="15237659">
                  <w:pPr>
                    <w:adjustRightInd w:val="0"/>
                    <w:snapToGrid w:val="0"/>
                    <w:jc w:val="center"/>
                    <w:rPr>
                      <w:color w:val="auto"/>
                      <w:kern w:val="0"/>
                      <w:szCs w:val="21"/>
                      <w:highlight w:val="none"/>
                    </w:rPr>
                  </w:pPr>
                  <w:r>
                    <w:rPr>
                      <w:color w:val="auto"/>
                      <w:szCs w:val="21"/>
                      <w:highlight w:val="none"/>
                    </w:rPr>
                    <w:t>无组织排放监控浓度限值（mg/m</w:t>
                  </w:r>
                  <w:r>
                    <w:rPr>
                      <w:color w:val="auto"/>
                      <w:szCs w:val="21"/>
                      <w:highlight w:val="none"/>
                      <w:vertAlign w:val="superscript"/>
                    </w:rPr>
                    <w:t>3</w:t>
                  </w:r>
                  <w:r>
                    <w:rPr>
                      <w:color w:val="auto"/>
                      <w:szCs w:val="21"/>
                      <w:highlight w:val="none"/>
                    </w:rPr>
                    <w:t>）</w:t>
                  </w:r>
                </w:p>
              </w:tc>
            </w:tr>
            <w:tr w14:paraId="7B7AF76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jc w:val="center"/>
              </w:trPr>
              <w:tc>
                <w:tcPr>
                  <w:tcW w:w="1395" w:type="pct"/>
                  <w:noWrap w:val="0"/>
                  <w:vAlign w:val="center"/>
                </w:tcPr>
                <w:p w14:paraId="059FD2C7">
                  <w:pPr>
                    <w:adjustRightInd w:val="0"/>
                    <w:snapToGrid w:val="0"/>
                    <w:jc w:val="center"/>
                    <w:rPr>
                      <w:color w:val="auto"/>
                      <w:kern w:val="0"/>
                      <w:szCs w:val="21"/>
                      <w:highlight w:val="none"/>
                    </w:rPr>
                  </w:pPr>
                  <w:r>
                    <w:rPr>
                      <w:color w:val="auto"/>
                      <w:kern w:val="0"/>
                      <w:szCs w:val="21"/>
                      <w:highlight w:val="none"/>
                    </w:rPr>
                    <w:t>颗粒物</w:t>
                  </w:r>
                </w:p>
              </w:tc>
              <w:tc>
                <w:tcPr>
                  <w:tcW w:w="2168" w:type="pct"/>
                  <w:noWrap w:val="0"/>
                  <w:vAlign w:val="center"/>
                </w:tcPr>
                <w:p w14:paraId="01044DE9">
                  <w:pPr>
                    <w:jc w:val="center"/>
                    <w:rPr>
                      <w:color w:val="auto"/>
                      <w:kern w:val="0"/>
                      <w:szCs w:val="21"/>
                      <w:highlight w:val="none"/>
                    </w:rPr>
                  </w:pPr>
                  <w:r>
                    <w:rPr>
                      <w:color w:val="auto"/>
                      <w:szCs w:val="21"/>
                      <w:highlight w:val="none"/>
                    </w:rPr>
                    <w:t>周界外浓度最高点</w:t>
                  </w:r>
                </w:p>
              </w:tc>
              <w:tc>
                <w:tcPr>
                  <w:tcW w:w="1436" w:type="pct"/>
                  <w:noWrap w:val="0"/>
                  <w:vAlign w:val="center"/>
                </w:tcPr>
                <w:p w14:paraId="3B3CF000">
                  <w:pPr>
                    <w:jc w:val="center"/>
                    <w:rPr>
                      <w:color w:val="auto"/>
                      <w:kern w:val="0"/>
                      <w:szCs w:val="21"/>
                      <w:highlight w:val="none"/>
                    </w:rPr>
                  </w:pPr>
                  <w:r>
                    <w:rPr>
                      <w:color w:val="auto"/>
                      <w:szCs w:val="21"/>
                      <w:highlight w:val="none"/>
                    </w:rPr>
                    <w:t>1.0</w:t>
                  </w:r>
                </w:p>
              </w:tc>
            </w:tr>
          </w:tbl>
          <w:p w14:paraId="789955CA">
            <w:pPr>
              <w:keepNext w:val="0"/>
              <w:keepLines w:val="0"/>
              <w:pageBreakBefore w:val="0"/>
              <w:widowControl w:val="0"/>
              <w:kinsoku/>
              <w:wordWrap/>
              <w:overflowPunct/>
              <w:topLinePunct w:val="0"/>
              <w:autoSpaceDE/>
              <w:autoSpaceDN/>
              <w:bidi w:val="0"/>
              <w:adjustRightInd w:val="0"/>
              <w:snapToGrid w:val="0"/>
              <w:spacing w:line="400" w:lineRule="exact"/>
              <w:ind w:firstLine="482" w:firstLineChars="200"/>
              <w:textAlignment w:val="auto"/>
              <w:rPr>
                <w:b/>
                <w:bCs/>
                <w:color w:val="auto"/>
                <w:kern w:val="0"/>
                <w:sz w:val="24"/>
                <w:highlight w:val="none"/>
              </w:rPr>
            </w:pPr>
            <w:r>
              <w:rPr>
                <w:b/>
                <w:bCs/>
                <w:color w:val="auto"/>
                <w:kern w:val="0"/>
                <w:sz w:val="24"/>
                <w:highlight w:val="none"/>
              </w:rPr>
              <w:t>2、废水</w:t>
            </w:r>
          </w:p>
          <w:p w14:paraId="441EBE05">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textAlignment w:val="auto"/>
              <w:rPr>
                <w:color w:val="auto"/>
                <w:kern w:val="0"/>
                <w:sz w:val="24"/>
                <w:highlight w:val="none"/>
              </w:rPr>
            </w:pPr>
            <w:r>
              <w:rPr>
                <w:color w:val="auto"/>
                <w:kern w:val="0"/>
                <w:sz w:val="24"/>
                <w:highlight w:val="none"/>
              </w:rPr>
              <w:t>本项目无生产废水，生活污水排入防渗旱厕，定期清掏外运。</w:t>
            </w:r>
          </w:p>
          <w:p w14:paraId="4E7BAC52">
            <w:pPr>
              <w:keepNext w:val="0"/>
              <w:keepLines w:val="0"/>
              <w:pageBreakBefore w:val="0"/>
              <w:widowControl w:val="0"/>
              <w:kinsoku/>
              <w:wordWrap/>
              <w:overflowPunct/>
              <w:topLinePunct w:val="0"/>
              <w:autoSpaceDE/>
              <w:autoSpaceDN/>
              <w:bidi w:val="0"/>
              <w:adjustRightInd w:val="0"/>
              <w:snapToGrid w:val="0"/>
              <w:spacing w:line="400" w:lineRule="exact"/>
              <w:ind w:firstLine="482" w:firstLineChars="200"/>
              <w:textAlignment w:val="auto"/>
              <w:rPr>
                <w:b/>
                <w:bCs/>
                <w:color w:val="auto"/>
                <w:kern w:val="0"/>
                <w:sz w:val="24"/>
                <w:highlight w:val="none"/>
              </w:rPr>
            </w:pPr>
            <w:r>
              <w:rPr>
                <w:b/>
                <w:bCs/>
                <w:color w:val="auto"/>
                <w:kern w:val="0"/>
                <w:sz w:val="24"/>
                <w:highlight w:val="none"/>
              </w:rPr>
              <w:t>3、噪声</w:t>
            </w:r>
          </w:p>
          <w:p w14:paraId="5D07EED7">
            <w:pPr>
              <w:keepNext w:val="0"/>
              <w:keepLines w:val="0"/>
              <w:pageBreakBefore w:val="0"/>
              <w:widowControl w:val="0"/>
              <w:kinsoku/>
              <w:wordWrap/>
              <w:overflowPunct/>
              <w:topLinePunct w:val="0"/>
              <w:autoSpaceDE/>
              <w:autoSpaceDN/>
              <w:bidi w:val="0"/>
              <w:adjustRightInd w:val="0"/>
              <w:spacing w:line="400" w:lineRule="exact"/>
              <w:ind w:firstLine="480" w:firstLineChars="200"/>
              <w:textAlignment w:val="auto"/>
              <w:rPr>
                <w:color w:val="auto"/>
                <w:kern w:val="0"/>
                <w:sz w:val="24"/>
                <w:highlight w:val="none"/>
              </w:rPr>
            </w:pPr>
            <w:r>
              <w:rPr>
                <w:color w:val="auto"/>
                <w:sz w:val="24"/>
                <w:szCs w:val="28"/>
                <w:highlight w:val="none"/>
              </w:rPr>
              <w:t>施工期执行</w:t>
            </w:r>
            <w:r>
              <w:rPr>
                <w:rFonts w:hint="eastAsia"/>
                <w:color w:val="auto"/>
                <w:sz w:val="24"/>
                <w:szCs w:val="28"/>
                <w:highlight w:val="none"/>
              </w:rPr>
              <w:t>《建筑施工噪声排放标准》（GB12523-2025）；</w:t>
            </w:r>
            <w:r>
              <w:rPr>
                <w:color w:val="auto"/>
                <w:kern w:val="0"/>
                <w:sz w:val="24"/>
                <w:highlight w:val="none"/>
              </w:rPr>
              <w:t>项目</w:t>
            </w:r>
            <w:r>
              <w:rPr>
                <w:rFonts w:hint="eastAsia"/>
                <w:color w:val="auto"/>
                <w:kern w:val="0"/>
                <w:sz w:val="24"/>
                <w:highlight w:val="none"/>
              </w:rPr>
              <w:t>厂界</w:t>
            </w:r>
            <w:r>
              <w:rPr>
                <w:color w:val="auto"/>
                <w:kern w:val="0"/>
                <w:sz w:val="24"/>
                <w:highlight w:val="none"/>
              </w:rPr>
              <w:t>噪声执行《工业企业厂界环境噪声排放标准》（GB12348-2008）中的</w:t>
            </w:r>
            <w:r>
              <w:rPr>
                <w:rFonts w:hint="eastAsia"/>
                <w:color w:val="auto"/>
                <w:kern w:val="0"/>
                <w:sz w:val="24"/>
                <w:highlight w:val="none"/>
                <w:lang w:val="en-US" w:eastAsia="zh-CN"/>
              </w:rPr>
              <w:t>2</w:t>
            </w:r>
            <w:r>
              <w:rPr>
                <w:color w:val="auto"/>
                <w:kern w:val="0"/>
                <w:sz w:val="24"/>
                <w:highlight w:val="none"/>
              </w:rPr>
              <w:t>类标准</w:t>
            </w:r>
            <w:r>
              <w:rPr>
                <w:rFonts w:hint="eastAsia"/>
                <w:color w:val="auto"/>
                <w:kern w:val="0"/>
                <w:sz w:val="24"/>
                <w:highlight w:val="none"/>
              </w:rPr>
              <w:t>，</w:t>
            </w:r>
            <w:r>
              <w:rPr>
                <w:color w:val="auto"/>
                <w:kern w:val="0"/>
                <w:sz w:val="24"/>
                <w:highlight w:val="none"/>
              </w:rPr>
              <w:t>标准值见表3-</w:t>
            </w:r>
            <w:r>
              <w:rPr>
                <w:rFonts w:hint="eastAsia"/>
                <w:color w:val="auto"/>
                <w:kern w:val="0"/>
                <w:sz w:val="24"/>
                <w:highlight w:val="none"/>
                <w:lang w:val="en-US" w:eastAsia="zh-CN"/>
              </w:rPr>
              <w:t>7</w:t>
            </w:r>
            <w:r>
              <w:rPr>
                <w:color w:val="auto"/>
                <w:kern w:val="0"/>
                <w:sz w:val="24"/>
                <w:highlight w:val="none"/>
              </w:rPr>
              <w:t>。</w:t>
            </w:r>
            <w:bookmarkStart w:id="18" w:name="_Ref196743448"/>
          </w:p>
          <w:p w14:paraId="279951C2">
            <w:pPr>
              <w:adjustRightInd w:val="0"/>
              <w:snapToGrid w:val="0"/>
              <w:jc w:val="center"/>
              <w:rPr>
                <w:b/>
                <w:bCs/>
                <w:color w:val="auto"/>
                <w:kern w:val="0"/>
                <w:szCs w:val="21"/>
                <w:highlight w:val="none"/>
              </w:rPr>
            </w:pPr>
            <w:r>
              <w:rPr>
                <w:rFonts w:hint="eastAsia" w:ascii="Times New Roman" w:hAnsi="Times New Roman" w:eastAsia="宋体" w:cs="Times New Roman"/>
                <w:b/>
                <w:bCs/>
                <w:color w:val="auto"/>
                <w:kern w:val="2"/>
                <w:sz w:val="24"/>
                <w:szCs w:val="24"/>
                <w:highlight w:val="none"/>
                <w:lang w:val="en-US" w:eastAsia="zh-CN" w:bidi="ar-SA"/>
              </w:rPr>
              <w:t>表</w:t>
            </w:r>
            <w:bookmarkEnd w:id="18"/>
            <w:r>
              <w:rPr>
                <w:rFonts w:hint="eastAsia" w:ascii="Times New Roman" w:hAnsi="Times New Roman" w:eastAsia="宋体" w:cs="Times New Roman"/>
                <w:b/>
                <w:bCs/>
                <w:color w:val="auto"/>
                <w:kern w:val="2"/>
                <w:sz w:val="24"/>
                <w:szCs w:val="24"/>
                <w:highlight w:val="none"/>
                <w:lang w:val="en-US" w:eastAsia="zh-CN" w:bidi="ar-SA"/>
              </w:rPr>
              <w:t>3-7  噪声排放标准</w:t>
            </w:r>
            <w:r>
              <w:rPr>
                <w:b/>
                <w:bCs/>
                <w:color w:val="auto"/>
                <w:kern w:val="0"/>
                <w:szCs w:val="21"/>
                <w:highlight w:val="none"/>
              </w:rPr>
              <w:t xml:space="preserve">  单位：dB（A）</w:t>
            </w:r>
          </w:p>
          <w:tbl>
            <w:tblPr>
              <w:tblStyle w:val="17"/>
              <w:tblW w:w="5000" w:type="pct"/>
              <w:jc w:val="center"/>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2175"/>
              <w:gridCol w:w="2175"/>
              <w:gridCol w:w="2175"/>
              <w:gridCol w:w="2175"/>
            </w:tblGrid>
            <w:tr w14:paraId="6975A843">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1250" w:type="pct"/>
                  <w:vMerge w:val="restart"/>
                  <w:noWrap w:val="0"/>
                  <w:tcMar>
                    <w:top w:w="17" w:type="dxa"/>
                    <w:left w:w="17" w:type="dxa"/>
                    <w:bottom w:w="0" w:type="dxa"/>
                    <w:right w:w="17" w:type="dxa"/>
                  </w:tcMar>
                  <w:vAlign w:val="center"/>
                </w:tcPr>
                <w:p w14:paraId="7966190F">
                  <w:pPr>
                    <w:adjustRightInd w:val="0"/>
                    <w:snapToGrid w:val="0"/>
                    <w:jc w:val="center"/>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时段</w:t>
                  </w:r>
                </w:p>
              </w:tc>
              <w:tc>
                <w:tcPr>
                  <w:tcW w:w="1250" w:type="pct"/>
                  <w:vMerge w:val="restart"/>
                  <w:noWrap w:val="0"/>
                  <w:tcMar>
                    <w:top w:w="17" w:type="dxa"/>
                    <w:left w:w="17" w:type="dxa"/>
                    <w:bottom w:w="0" w:type="dxa"/>
                    <w:right w:w="17" w:type="dxa"/>
                  </w:tcMar>
                  <w:vAlign w:val="center"/>
                </w:tcPr>
                <w:p w14:paraId="77E60DFD">
                  <w:pPr>
                    <w:adjustRightInd w:val="0"/>
                    <w:snapToGrid w:val="0"/>
                    <w:jc w:val="center"/>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标准</w:t>
                  </w:r>
                </w:p>
              </w:tc>
              <w:tc>
                <w:tcPr>
                  <w:tcW w:w="2501" w:type="pct"/>
                  <w:gridSpan w:val="2"/>
                  <w:noWrap w:val="0"/>
                  <w:tcMar>
                    <w:top w:w="17" w:type="dxa"/>
                    <w:left w:w="17" w:type="dxa"/>
                    <w:bottom w:w="0" w:type="dxa"/>
                    <w:right w:w="17" w:type="dxa"/>
                  </w:tcMar>
                  <w:vAlign w:val="center"/>
                </w:tcPr>
                <w:p w14:paraId="6D48718F">
                  <w:pPr>
                    <w:adjustRightInd w:val="0"/>
                    <w:snapToGrid w:val="0"/>
                    <w:jc w:val="center"/>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标准值</w:t>
                  </w:r>
                </w:p>
              </w:tc>
            </w:tr>
            <w:tr w14:paraId="25AAC6BF">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21" w:hRule="atLeast"/>
                <w:jc w:val="center"/>
              </w:trPr>
              <w:tc>
                <w:tcPr>
                  <w:tcW w:w="1250" w:type="pct"/>
                  <w:vMerge w:val="continue"/>
                  <w:noWrap w:val="0"/>
                  <w:vAlign w:val="center"/>
                </w:tcPr>
                <w:p w14:paraId="481E9A24">
                  <w:pPr>
                    <w:adjustRightInd w:val="0"/>
                    <w:snapToGrid w:val="0"/>
                    <w:jc w:val="center"/>
                    <w:rPr>
                      <w:rFonts w:ascii="Times New Roman" w:hAnsi="Times New Roman" w:eastAsia="宋体" w:cs="Times New Roman"/>
                      <w:color w:val="auto"/>
                      <w:kern w:val="0"/>
                      <w:szCs w:val="21"/>
                      <w:highlight w:val="none"/>
                    </w:rPr>
                  </w:pPr>
                </w:p>
              </w:tc>
              <w:tc>
                <w:tcPr>
                  <w:tcW w:w="1250" w:type="pct"/>
                  <w:vMerge w:val="continue"/>
                  <w:noWrap w:val="0"/>
                  <w:vAlign w:val="center"/>
                </w:tcPr>
                <w:p w14:paraId="0031FA8D">
                  <w:pPr>
                    <w:adjustRightInd w:val="0"/>
                    <w:snapToGrid w:val="0"/>
                    <w:jc w:val="center"/>
                    <w:rPr>
                      <w:rFonts w:ascii="Times New Roman" w:hAnsi="Times New Roman" w:eastAsia="宋体" w:cs="Times New Roman"/>
                      <w:color w:val="auto"/>
                      <w:kern w:val="0"/>
                      <w:szCs w:val="21"/>
                      <w:highlight w:val="none"/>
                    </w:rPr>
                  </w:pPr>
                </w:p>
              </w:tc>
              <w:tc>
                <w:tcPr>
                  <w:tcW w:w="1250" w:type="pct"/>
                  <w:noWrap w:val="0"/>
                  <w:tcMar>
                    <w:top w:w="17" w:type="dxa"/>
                    <w:left w:w="17" w:type="dxa"/>
                    <w:bottom w:w="0" w:type="dxa"/>
                    <w:right w:w="17" w:type="dxa"/>
                  </w:tcMar>
                  <w:vAlign w:val="center"/>
                </w:tcPr>
                <w:p w14:paraId="159CC52C">
                  <w:pPr>
                    <w:adjustRightInd w:val="0"/>
                    <w:snapToGrid w:val="0"/>
                    <w:jc w:val="center"/>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昼间</w:t>
                  </w:r>
                </w:p>
              </w:tc>
              <w:tc>
                <w:tcPr>
                  <w:tcW w:w="1251" w:type="pct"/>
                  <w:noWrap w:val="0"/>
                  <w:tcMar>
                    <w:top w:w="17" w:type="dxa"/>
                    <w:left w:w="17" w:type="dxa"/>
                    <w:bottom w:w="0" w:type="dxa"/>
                    <w:right w:w="17" w:type="dxa"/>
                  </w:tcMar>
                  <w:vAlign w:val="center"/>
                </w:tcPr>
                <w:p w14:paraId="086DF2B8">
                  <w:pPr>
                    <w:adjustRightInd w:val="0"/>
                    <w:snapToGrid w:val="0"/>
                    <w:jc w:val="center"/>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夜间</w:t>
                  </w:r>
                </w:p>
              </w:tc>
            </w:tr>
            <w:tr w14:paraId="5C79A50C">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46" w:hRule="atLeast"/>
                <w:jc w:val="center"/>
              </w:trPr>
              <w:tc>
                <w:tcPr>
                  <w:tcW w:w="1250" w:type="pct"/>
                  <w:noWrap w:val="0"/>
                  <w:vAlign w:val="center"/>
                </w:tcPr>
                <w:p w14:paraId="5A386D5B">
                  <w:pPr>
                    <w:adjustRightInd w:val="0"/>
                    <w:snapToGrid w:val="0"/>
                    <w:jc w:val="center"/>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施工期</w:t>
                  </w:r>
                </w:p>
              </w:tc>
              <w:tc>
                <w:tcPr>
                  <w:tcW w:w="1250" w:type="pct"/>
                  <w:noWrap w:val="0"/>
                  <w:vAlign w:val="center"/>
                </w:tcPr>
                <w:p w14:paraId="58D5079E">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eastAsia="zh-CN"/>
                    </w:rPr>
                    <w:t>GB 12523-2025</w:t>
                  </w:r>
                  <w:r>
                    <w:rPr>
                      <w:rFonts w:hint="eastAsia" w:cs="Times New Roman"/>
                      <w:color w:val="auto"/>
                      <w:kern w:val="0"/>
                      <w:szCs w:val="21"/>
                      <w:highlight w:val="none"/>
                      <w:lang w:val="en-US" w:eastAsia="zh-CN"/>
                    </w:rPr>
                    <w:t>25</w:t>
                  </w:r>
                </w:p>
              </w:tc>
              <w:tc>
                <w:tcPr>
                  <w:tcW w:w="1250" w:type="pct"/>
                  <w:noWrap w:val="0"/>
                  <w:tcMar>
                    <w:top w:w="17" w:type="dxa"/>
                    <w:left w:w="17" w:type="dxa"/>
                    <w:bottom w:w="0" w:type="dxa"/>
                    <w:right w:w="17" w:type="dxa"/>
                  </w:tcMar>
                  <w:vAlign w:val="center"/>
                </w:tcPr>
                <w:p w14:paraId="023B3222">
                  <w:pPr>
                    <w:adjustRightInd w:val="0"/>
                    <w:snapToGrid w:val="0"/>
                    <w:jc w:val="center"/>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70</w:t>
                  </w:r>
                </w:p>
              </w:tc>
              <w:tc>
                <w:tcPr>
                  <w:tcW w:w="1251" w:type="pct"/>
                  <w:noWrap w:val="0"/>
                  <w:tcMar>
                    <w:top w:w="17" w:type="dxa"/>
                    <w:left w:w="17" w:type="dxa"/>
                    <w:bottom w:w="0" w:type="dxa"/>
                    <w:right w:w="17" w:type="dxa"/>
                  </w:tcMar>
                  <w:vAlign w:val="center"/>
                </w:tcPr>
                <w:p w14:paraId="3C018579">
                  <w:pPr>
                    <w:adjustRightInd w:val="0"/>
                    <w:snapToGrid w:val="0"/>
                    <w:jc w:val="center"/>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55</w:t>
                  </w:r>
                </w:p>
              </w:tc>
            </w:tr>
            <w:tr w14:paraId="014C13EB">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1250" w:type="pct"/>
                  <w:noWrap w:val="0"/>
                  <w:vAlign w:val="center"/>
                </w:tcPr>
                <w:p w14:paraId="29B40DE9">
                  <w:pPr>
                    <w:adjustRightInd w:val="0"/>
                    <w:snapToGrid w:val="0"/>
                    <w:jc w:val="center"/>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运营期</w:t>
                  </w:r>
                </w:p>
              </w:tc>
              <w:tc>
                <w:tcPr>
                  <w:tcW w:w="1250" w:type="pct"/>
                  <w:noWrap w:val="0"/>
                  <w:vAlign w:val="center"/>
                </w:tcPr>
                <w:p w14:paraId="155AF221">
                  <w:pPr>
                    <w:adjustRightInd w:val="0"/>
                    <w:snapToGrid w:val="0"/>
                    <w:jc w:val="center"/>
                    <w:rPr>
                      <w:rFonts w:hint="eastAsia"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 xml:space="preserve">GB12348-2008 </w:t>
                  </w:r>
                  <w:r>
                    <w:rPr>
                      <w:rFonts w:hint="eastAsia" w:ascii="Times New Roman" w:hAnsi="Times New Roman" w:eastAsia="宋体" w:cs="Times New Roman"/>
                      <w:color w:val="auto"/>
                      <w:kern w:val="0"/>
                      <w:szCs w:val="21"/>
                      <w:highlight w:val="none"/>
                      <w:lang w:val="en-US" w:eastAsia="zh-CN"/>
                    </w:rPr>
                    <w:t xml:space="preserve"> </w:t>
                  </w:r>
                  <w:r>
                    <w:rPr>
                      <w:rFonts w:ascii="Times New Roman" w:hAnsi="Times New Roman" w:eastAsia="宋体" w:cs="Times New Roman"/>
                      <w:color w:val="auto"/>
                      <w:kern w:val="0"/>
                      <w:szCs w:val="21"/>
                      <w:highlight w:val="none"/>
                    </w:rPr>
                    <w:t>2类</w:t>
                  </w:r>
                </w:p>
              </w:tc>
              <w:tc>
                <w:tcPr>
                  <w:tcW w:w="1250" w:type="pct"/>
                  <w:noWrap w:val="0"/>
                  <w:tcMar>
                    <w:top w:w="17" w:type="dxa"/>
                    <w:left w:w="17" w:type="dxa"/>
                    <w:bottom w:w="0" w:type="dxa"/>
                    <w:right w:w="17" w:type="dxa"/>
                  </w:tcMar>
                  <w:vAlign w:val="center"/>
                </w:tcPr>
                <w:p w14:paraId="30499408">
                  <w:pPr>
                    <w:adjustRightInd w:val="0"/>
                    <w:snapToGrid w:val="0"/>
                    <w:jc w:val="center"/>
                    <w:rPr>
                      <w:rFonts w:hint="eastAsia" w:ascii="Times New Roman" w:hAnsi="Times New Roman" w:eastAsia="宋体" w:cs="Times New Roman"/>
                      <w:color w:val="auto"/>
                      <w:kern w:val="0"/>
                      <w:szCs w:val="21"/>
                      <w:highlight w:val="none"/>
                      <w:lang w:val="en-US" w:eastAsia="zh-CN"/>
                    </w:rPr>
                  </w:pPr>
                  <w:r>
                    <w:rPr>
                      <w:rFonts w:ascii="Times New Roman" w:hAnsi="Times New Roman" w:eastAsia="宋体" w:cs="Times New Roman"/>
                      <w:color w:val="auto"/>
                      <w:kern w:val="0"/>
                      <w:szCs w:val="21"/>
                      <w:highlight w:val="none"/>
                    </w:rPr>
                    <w:t>6</w:t>
                  </w:r>
                  <w:r>
                    <w:rPr>
                      <w:rFonts w:hint="eastAsia" w:cs="Times New Roman"/>
                      <w:color w:val="auto"/>
                      <w:kern w:val="0"/>
                      <w:szCs w:val="21"/>
                      <w:highlight w:val="none"/>
                      <w:lang w:val="en-US" w:eastAsia="zh-CN"/>
                    </w:rPr>
                    <w:t>0</w:t>
                  </w:r>
                </w:p>
              </w:tc>
              <w:tc>
                <w:tcPr>
                  <w:tcW w:w="1251" w:type="pct"/>
                  <w:noWrap w:val="0"/>
                  <w:tcMar>
                    <w:top w:w="17" w:type="dxa"/>
                    <w:left w:w="17" w:type="dxa"/>
                    <w:bottom w:w="0" w:type="dxa"/>
                    <w:right w:w="17" w:type="dxa"/>
                  </w:tcMar>
                  <w:vAlign w:val="center"/>
                </w:tcPr>
                <w:p w14:paraId="17D188E3">
                  <w:pPr>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5</w:t>
                  </w:r>
                  <w:r>
                    <w:rPr>
                      <w:rFonts w:hint="eastAsia" w:cs="Times New Roman"/>
                      <w:color w:val="auto"/>
                      <w:kern w:val="0"/>
                      <w:szCs w:val="21"/>
                      <w:highlight w:val="none"/>
                      <w:lang w:val="en-US" w:eastAsia="zh-CN"/>
                    </w:rPr>
                    <w:t>0</w:t>
                  </w:r>
                </w:p>
              </w:tc>
            </w:tr>
          </w:tbl>
          <w:p w14:paraId="56D6E206">
            <w:pPr>
              <w:spacing w:line="360" w:lineRule="auto"/>
              <w:ind w:firstLine="482" w:firstLineChars="200"/>
              <w:rPr>
                <w:rFonts w:hint="default" w:ascii="Times New Roman" w:hAnsi="Times New Roman" w:eastAsia="宋体" w:cs="Times New Roman"/>
                <w:b/>
                <w:bCs/>
                <w:color w:val="auto"/>
                <w:kern w:val="0"/>
                <w:sz w:val="24"/>
                <w:szCs w:val="24"/>
                <w:highlight w:val="none"/>
                <w:lang w:val="en-US" w:eastAsia="zh-CN" w:bidi="ar-SA"/>
              </w:rPr>
            </w:pPr>
            <w:r>
              <w:rPr>
                <w:rFonts w:hint="eastAsia" w:cs="Times New Roman"/>
                <w:b/>
                <w:bCs/>
                <w:color w:val="auto"/>
                <w:kern w:val="0"/>
                <w:sz w:val="24"/>
                <w:szCs w:val="24"/>
                <w:highlight w:val="none"/>
                <w:lang w:val="en-US" w:eastAsia="zh-CN" w:bidi="ar-SA"/>
              </w:rPr>
              <w:t>4、</w:t>
            </w:r>
            <w:r>
              <w:rPr>
                <w:rFonts w:hint="default" w:ascii="Times New Roman" w:hAnsi="Times New Roman" w:eastAsia="宋体" w:cs="Times New Roman"/>
                <w:b/>
                <w:bCs/>
                <w:color w:val="auto"/>
                <w:kern w:val="0"/>
                <w:sz w:val="24"/>
                <w:szCs w:val="24"/>
                <w:highlight w:val="none"/>
                <w:lang w:val="en-US" w:eastAsia="zh-CN" w:bidi="ar-SA"/>
              </w:rPr>
              <w:t>固体废物</w:t>
            </w:r>
          </w:p>
          <w:p w14:paraId="6E655F80">
            <w:pPr>
              <w:pStyle w:val="15"/>
              <w:spacing w:before="0" w:after="0" w:line="360" w:lineRule="auto"/>
              <w:ind w:right="0" w:firstLine="480" w:firstLineChars="200"/>
              <w:rPr>
                <w:rFonts w:hint="default" w:ascii="Times New Roman" w:hAnsi="Times New Roman" w:cs="Times New Roman"/>
                <w:color w:val="auto"/>
                <w:highlight w:val="none"/>
              </w:rPr>
            </w:pPr>
            <w:r>
              <w:rPr>
                <w:rFonts w:hint="eastAsia" w:cs="Times New Roman"/>
                <w:color w:val="auto"/>
                <w:sz w:val="24"/>
                <w:szCs w:val="24"/>
                <w:highlight w:val="none"/>
                <w:lang w:val="en-US" w:eastAsia="zh-CN"/>
              </w:rPr>
              <w:t>固体废物执行</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固体废物分类与代码目录》，</w:t>
            </w:r>
            <w:r>
              <w:rPr>
                <w:rFonts w:hint="default" w:ascii="Times New Roman" w:hAnsi="Times New Roman" w:cs="Times New Roman"/>
                <w:color w:val="auto"/>
                <w:sz w:val="24"/>
                <w:szCs w:val="24"/>
                <w:highlight w:val="none"/>
              </w:rPr>
              <w:t>固体废物污染物控制标准：一般固废执行《一般工业固体废物贮存和填埋污染控制标准》（GB18599-2020）标准要求</w:t>
            </w:r>
            <w:r>
              <w:rPr>
                <w:rFonts w:hint="eastAsia" w:cs="Times New Roman"/>
                <w:color w:val="auto"/>
                <w:sz w:val="24"/>
                <w:szCs w:val="24"/>
                <w:highlight w:val="none"/>
                <w:lang w:eastAsia="zh-CN"/>
              </w:rPr>
              <w:t>；</w:t>
            </w:r>
            <w:r>
              <w:rPr>
                <w:rFonts w:hint="eastAsia"/>
                <w:color w:val="auto"/>
                <w:sz w:val="24"/>
                <w:szCs w:val="28"/>
                <w:highlight w:val="none"/>
              </w:rPr>
              <w:t>危险废物贮存执行《危险废物贮存污染控制标准》（GB18597-20</w:t>
            </w:r>
            <w:r>
              <w:rPr>
                <w:rFonts w:hint="eastAsia"/>
                <w:color w:val="auto"/>
                <w:sz w:val="24"/>
                <w:szCs w:val="28"/>
                <w:highlight w:val="none"/>
                <w:lang w:val="en-US" w:eastAsia="zh-CN"/>
              </w:rPr>
              <w:t>23</w:t>
            </w:r>
            <w:r>
              <w:rPr>
                <w:rFonts w:hint="eastAsia"/>
                <w:color w:val="auto"/>
                <w:sz w:val="24"/>
                <w:szCs w:val="28"/>
                <w:highlight w:val="none"/>
              </w:rPr>
              <w:t>）</w:t>
            </w:r>
            <w:r>
              <w:rPr>
                <w:rFonts w:hint="default" w:ascii="Times New Roman" w:hAnsi="Times New Roman" w:cs="Times New Roman"/>
                <w:color w:val="auto"/>
                <w:sz w:val="24"/>
                <w:szCs w:val="24"/>
                <w:highlight w:val="none"/>
              </w:rPr>
              <w:t>。</w:t>
            </w:r>
          </w:p>
        </w:tc>
      </w:tr>
      <w:tr w14:paraId="75CE71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08" w:hRule="atLeast"/>
          <w:jc w:val="center"/>
        </w:trPr>
        <w:tc>
          <w:tcPr>
            <w:tcW w:w="722" w:type="dxa"/>
            <w:vAlign w:val="center"/>
          </w:tcPr>
          <w:p w14:paraId="4A081F83">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总量</w:t>
            </w:r>
          </w:p>
          <w:p w14:paraId="695FABE7">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控制</w:t>
            </w:r>
          </w:p>
          <w:p w14:paraId="0153E697">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指标</w:t>
            </w:r>
          </w:p>
        </w:tc>
        <w:tc>
          <w:tcPr>
            <w:tcW w:w="8904" w:type="dxa"/>
            <w:vAlign w:val="center"/>
          </w:tcPr>
          <w:p w14:paraId="76235D3A">
            <w:pPr>
              <w:jc w:val="both"/>
              <w:rPr>
                <w:rFonts w:hint="default" w:ascii="Times New Roman" w:hAnsi="Times New Roman" w:eastAsia="宋体" w:cs="Times New Roman"/>
                <w:b/>
                <w:bCs/>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无</w:t>
            </w:r>
          </w:p>
          <w:p w14:paraId="66DB45A5">
            <w:pPr>
              <w:jc w:val="both"/>
              <w:rPr>
                <w:rFonts w:hint="default" w:ascii="Times New Roman" w:hAnsi="Times New Roman" w:eastAsia="宋体" w:cs="Times New Roman"/>
                <w:b/>
                <w:bCs/>
                <w:color w:val="auto"/>
                <w:kern w:val="2"/>
                <w:sz w:val="24"/>
                <w:szCs w:val="24"/>
                <w:highlight w:val="none"/>
                <w:lang w:val="en-US" w:eastAsia="zh-CN" w:bidi="ar-SA"/>
              </w:rPr>
            </w:pPr>
          </w:p>
          <w:p w14:paraId="7DCF85FD">
            <w:pPr>
              <w:rPr>
                <w:rFonts w:hint="default" w:ascii="Times New Roman" w:hAnsi="Times New Roman" w:cs="Times New Roman"/>
                <w:color w:val="auto"/>
                <w:highlight w:val="none"/>
              </w:rPr>
            </w:pPr>
          </w:p>
        </w:tc>
      </w:tr>
    </w:tbl>
    <w:p w14:paraId="083DB7A8">
      <w:pPr>
        <w:pStyle w:val="14"/>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6"/>
          <w:szCs w:val="36"/>
          <w:highlight w:val="none"/>
        </w:rPr>
        <w:br w:type="page"/>
      </w:r>
      <w:bookmarkStart w:id="19" w:name="_Toc8382"/>
      <w:r>
        <w:rPr>
          <w:rFonts w:hint="default" w:ascii="Times New Roman" w:hAnsi="Times New Roman" w:eastAsia="黑体" w:cs="Times New Roman"/>
          <w:snapToGrid w:val="0"/>
          <w:color w:val="auto"/>
          <w:sz w:val="30"/>
          <w:szCs w:val="30"/>
          <w:highlight w:val="none"/>
        </w:rPr>
        <w:t>四、主要环境影响和保护措施</w:t>
      </w:r>
      <w:bookmarkEnd w:id="19"/>
    </w:p>
    <w:tbl>
      <w:tblPr>
        <w:tblStyle w:val="17"/>
        <w:tblW w:w="96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35"/>
        <w:gridCol w:w="9003"/>
      </w:tblGrid>
      <w:tr w14:paraId="4C491E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65" w:hRule="atLeast"/>
          <w:jc w:val="center"/>
        </w:trPr>
        <w:tc>
          <w:tcPr>
            <w:tcW w:w="635" w:type="dxa"/>
            <w:tcMar>
              <w:left w:w="28" w:type="dxa"/>
              <w:right w:w="28" w:type="dxa"/>
            </w:tcMar>
            <w:vAlign w:val="center"/>
          </w:tcPr>
          <w:p w14:paraId="0564427A">
            <w:pPr>
              <w:pStyle w:val="14"/>
              <w:adjustRightInd w:val="0"/>
              <w:snapToGrid w:val="0"/>
              <w:spacing w:before="0" w:beforeAutospacing="0" w:after="0" w:afterAutospacing="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施工</w:t>
            </w:r>
          </w:p>
          <w:p w14:paraId="73AEE2E4">
            <w:pPr>
              <w:pStyle w:val="14"/>
              <w:adjustRightInd w:val="0"/>
              <w:snapToGrid w:val="0"/>
              <w:spacing w:before="0" w:beforeAutospacing="0" w:after="0" w:afterAutospacing="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期环</w:t>
            </w:r>
          </w:p>
          <w:p w14:paraId="778BE172">
            <w:pPr>
              <w:pStyle w:val="14"/>
              <w:adjustRightInd w:val="0"/>
              <w:snapToGrid w:val="0"/>
              <w:spacing w:before="0" w:beforeAutospacing="0" w:after="0" w:afterAutospacing="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境保</w:t>
            </w:r>
          </w:p>
          <w:p w14:paraId="44628860">
            <w:pPr>
              <w:pStyle w:val="14"/>
              <w:adjustRightInd w:val="0"/>
              <w:snapToGrid w:val="0"/>
              <w:spacing w:before="0" w:beforeAutospacing="0" w:after="0" w:afterAutospacing="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护措</w:t>
            </w:r>
          </w:p>
          <w:p w14:paraId="35BDF3F8">
            <w:pPr>
              <w:pStyle w:val="14"/>
              <w:adjustRightInd w:val="0"/>
              <w:snapToGrid w:val="0"/>
              <w:spacing w:before="0" w:beforeAutospacing="0" w:after="0" w:afterAutospacing="0"/>
              <w:jc w:val="center"/>
              <w:rPr>
                <w:rFonts w:hint="default" w:ascii="Times New Roman" w:hAnsi="Times New Roman" w:cs="Times New Roman"/>
                <w:bCs/>
                <w:color w:val="auto"/>
                <w:kern w:val="2"/>
                <w:szCs w:val="24"/>
                <w:highlight w:val="none"/>
              </w:rPr>
            </w:pPr>
            <w:r>
              <w:rPr>
                <w:rFonts w:hint="default" w:ascii="Times New Roman" w:hAnsi="Times New Roman" w:cs="Times New Roman"/>
                <w:color w:val="auto"/>
                <w:kern w:val="2"/>
                <w:szCs w:val="24"/>
                <w:highlight w:val="none"/>
              </w:rPr>
              <w:t>施</w:t>
            </w:r>
          </w:p>
        </w:tc>
        <w:tc>
          <w:tcPr>
            <w:tcW w:w="9003" w:type="dxa"/>
            <w:vAlign w:val="center"/>
          </w:tcPr>
          <w:p w14:paraId="39220A53">
            <w:pPr>
              <w:numPr>
                <w:ilvl w:val="0"/>
                <w:numId w:val="3"/>
              </w:numPr>
              <w:adjustRightInd w:val="0"/>
              <w:snapToGrid w:val="0"/>
              <w:spacing w:line="360" w:lineRule="auto"/>
              <w:jc w:val="left"/>
              <w:rPr>
                <w:b/>
                <w:color w:val="auto"/>
                <w:sz w:val="24"/>
                <w:szCs w:val="28"/>
                <w:highlight w:val="none"/>
              </w:rPr>
            </w:pPr>
            <w:r>
              <w:rPr>
                <w:rFonts w:hint="eastAsia"/>
                <w:b/>
                <w:color w:val="auto"/>
                <w:sz w:val="24"/>
                <w:szCs w:val="28"/>
                <w:highlight w:val="none"/>
              </w:rPr>
              <w:t>施工扬尘</w:t>
            </w:r>
          </w:p>
          <w:p w14:paraId="6DA4E695">
            <w:pPr>
              <w:adjustRightInd w:val="0"/>
              <w:snapToGrid w:val="0"/>
              <w:spacing w:line="360" w:lineRule="auto"/>
              <w:ind w:firstLine="480" w:firstLineChars="200"/>
              <w:rPr>
                <w:rFonts w:hint="eastAsia" w:eastAsia="宋体"/>
                <w:color w:val="auto"/>
                <w:sz w:val="24"/>
                <w:highlight w:val="none"/>
                <w:lang w:eastAsia="zh-CN"/>
              </w:rPr>
            </w:pPr>
            <w:r>
              <w:rPr>
                <w:color w:val="auto"/>
                <w:sz w:val="24"/>
                <w:highlight w:val="none"/>
              </w:rPr>
              <w:t>为了减少施工期的环境空气污染，施工现场周边应设置围挡，对施工现场内的施工道路进行硬质覆盖</w:t>
            </w:r>
            <w:r>
              <w:rPr>
                <w:rFonts w:hint="eastAsia"/>
                <w:color w:val="auto"/>
                <w:sz w:val="24"/>
                <w:highlight w:val="none"/>
                <w:lang w:eastAsia="zh-CN"/>
              </w:rPr>
              <w:t>；对</w:t>
            </w:r>
            <w:r>
              <w:rPr>
                <w:rFonts w:hint="eastAsia"/>
                <w:color w:val="auto"/>
                <w:sz w:val="24"/>
                <w:highlight w:val="none"/>
                <w:lang w:val="en-US" w:eastAsia="zh-CN"/>
              </w:rPr>
              <w:t>施工</w:t>
            </w:r>
            <w:r>
              <w:rPr>
                <w:color w:val="auto"/>
                <w:sz w:val="24"/>
                <w:highlight w:val="none"/>
              </w:rPr>
              <w:t>材料</w:t>
            </w:r>
            <w:r>
              <w:rPr>
                <w:rFonts w:hint="eastAsia"/>
                <w:color w:val="auto"/>
                <w:sz w:val="24"/>
                <w:highlight w:val="none"/>
                <w:lang w:eastAsia="zh-CN"/>
              </w:rPr>
              <w:t>（</w:t>
            </w:r>
            <w:r>
              <w:rPr>
                <w:rFonts w:hint="eastAsia"/>
                <w:color w:val="auto"/>
                <w:sz w:val="24"/>
                <w:highlight w:val="none"/>
                <w:lang w:val="en-US" w:eastAsia="zh-CN"/>
              </w:rPr>
              <w:t>如砂石等</w:t>
            </w:r>
            <w:r>
              <w:rPr>
                <w:rFonts w:hint="eastAsia"/>
                <w:color w:val="auto"/>
                <w:sz w:val="24"/>
                <w:highlight w:val="none"/>
                <w:lang w:eastAsia="zh-CN"/>
              </w:rPr>
              <w:t>）</w:t>
            </w:r>
            <w:r>
              <w:rPr>
                <w:color w:val="auto"/>
                <w:sz w:val="24"/>
                <w:highlight w:val="none"/>
              </w:rPr>
              <w:t>采取遮盖措施；建筑材料运输车要用苫布盖好；现场装卸产生扬尘的物质、清理平整场地等活动时应当采取湿式作业等有效防尘措施。施工单位应当按照有关规定使用预拌混凝土，不得擅自在施工现场搅拌混凝土。施工车辆必须装有尾气净化装置，使污染降到最低。严格执行文明施工，建筑材料不允许乱堆乱放，弃土石渣每天清除。</w:t>
            </w:r>
            <w:r>
              <w:rPr>
                <w:rFonts w:hint="eastAsia"/>
                <w:color w:val="auto"/>
                <w:sz w:val="24"/>
                <w:highlight w:val="none"/>
              </w:rPr>
              <w:t>在落实以上措施后，施工期废气排放浓度能够满足《大气污染物综合排放标准》（GB16297-1996）表2中的无组织排放限值，对周围环境影响较小</w:t>
            </w:r>
            <w:r>
              <w:rPr>
                <w:rFonts w:hint="eastAsia"/>
                <w:color w:val="auto"/>
                <w:lang w:eastAsia="zh-CN"/>
              </w:rPr>
              <w:t>。</w:t>
            </w:r>
          </w:p>
          <w:p w14:paraId="01FD99B5">
            <w:pPr>
              <w:numPr>
                <w:ilvl w:val="0"/>
                <w:numId w:val="3"/>
              </w:numPr>
              <w:adjustRightInd w:val="0"/>
              <w:snapToGrid w:val="0"/>
              <w:spacing w:line="360" w:lineRule="auto"/>
              <w:jc w:val="left"/>
              <w:rPr>
                <w:b/>
                <w:color w:val="auto"/>
                <w:sz w:val="24"/>
                <w:szCs w:val="28"/>
                <w:highlight w:val="none"/>
              </w:rPr>
            </w:pPr>
            <w:r>
              <w:rPr>
                <w:rFonts w:hint="eastAsia"/>
                <w:b/>
                <w:color w:val="auto"/>
                <w:sz w:val="24"/>
                <w:szCs w:val="28"/>
                <w:highlight w:val="none"/>
              </w:rPr>
              <w:t>废水</w:t>
            </w:r>
          </w:p>
          <w:p w14:paraId="1021233D">
            <w:pPr>
              <w:spacing w:line="360" w:lineRule="auto"/>
              <w:ind w:firstLine="480" w:firstLineChars="200"/>
              <w:rPr>
                <w:bCs/>
                <w:color w:val="auto"/>
                <w:sz w:val="24"/>
                <w:highlight w:val="none"/>
              </w:rPr>
            </w:pPr>
            <w:r>
              <w:rPr>
                <w:rFonts w:hint="eastAsia"/>
                <w:color w:val="auto"/>
                <w:sz w:val="24"/>
                <w:highlight w:val="none"/>
              </w:rPr>
              <w:t>施工废水主要包括施工人员的生活污水，以及运输车辆轮胎的冲洗废水。生活污水将排入临时防渗旱厕，定期清掏外运进行堆肥处理，不外排。施工期间设置临时洗车区域及沉淀池，运输车辆轮胎的冲洗废水排入沉淀池，经沉淀后全部回用于混凝土养护、场地洒水降尘等环节，做到废水不外排，施工</w:t>
            </w:r>
            <w:r>
              <w:rPr>
                <w:rFonts w:hint="eastAsia"/>
                <w:color w:val="auto"/>
                <w:sz w:val="24"/>
                <w:highlight w:val="none"/>
                <w:lang w:eastAsia="zh-CN"/>
              </w:rPr>
              <w:t>期间</w:t>
            </w:r>
            <w:r>
              <w:rPr>
                <w:rFonts w:hint="eastAsia"/>
                <w:color w:val="auto"/>
                <w:sz w:val="24"/>
                <w:highlight w:val="none"/>
              </w:rPr>
              <w:t>所产生的废水均能妥善处理，不会对周边环境造成不良影响。</w:t>
            </w:r>
          </w:p>
          <w:p w14:paraId="0AB0EBA4">
            <w:pPr>
              <w:numPr>
                <w:ilvl w:val="0"/>
                <w:numId w:val="3"/>
              </w:numPr>
              <w:adjustRightInd w:val="0"/>
              <w:snapToGrid w:val="0"/>
              <w:spacing w:line="360" w:lineRule="auto"/>
              <w:jc w:val="left"/>
              <w:rPr>
                <w:b/>
                <w:color w:val="auto"/>
                <w:sz w:val="24"/>
                <w:szCs w:val="28"/>
                <w:highlight w:val="none"/>
              </w:rPr>
            </w:pPr>
            <w:r>
              <w:rPr>
                <w:rFonts w:hint="eastAsia"/>
                <w:b/>
                <w:color w:val="auto"/>
                <w:sz w:val="24"/>
                <w:szCs w:val="28"/>
                <w:highlight w:val="none"/>
              </w:rPr>
              <w:t>噪声</w:t>
            </w:r>
          </w:p>
          <w:p w14:paraId="558A6A12">
            <w:pPr>
              <w:adjustRightInd w:val="0"/>
              <w:snapToGrid w:val="0"/>
              <w:spacing w:line="360" w:lineRule="auto"/>
              <w:ind w:firstLine="480" w:firstLineChars="200"/>
              <w:rPr>
                <w:color w:val="auto"/>
                <w:sz w:val="24"/>
                <w:highlight w:val="none"/>
              </w:rPr>
            </w:pPr>
            <w:r>
              <w:rPr>
                <w:color w:val="auto"/>
                <w:sz w:val="24"/>
                <w:highlight w:val="none"/>
              </w:rPr>
              <w:t>施工过程中要做到文明施工，施工机械要采取减振措施，使用低噪声设备，大型施工机械应异地使用，对不能异地使用的应采取封闭措施，如高噪声的施工设备圆锯等必须封闭使用或四周加设隔声屏障，杜绝夜间施工现象。采取上述措施，施工场界噪声能够达到</w:t>
            </w:r>
            <w:r>
              <w:rPr>
                <w:color w:val="auto"/>
                <w:sz w:val="24"/>
                <w:szCs w:val="28"/>
                <w:highlight w:val="none"/>
              </w:rPr>
              <w:t>《建筑施工噪声排放标准》（GB12523-20</w:t>
            </w:r>
            <w:r>
              <w:rPr>
                <w:rFonts w:hint="eastAsia"/>
                <w:color w:val="auto"/>
                <w:sz w:val="24"/>
                <w:szCs w:val="28"/>
                <w:highlight w:val="none"/>
                <w:lang w:val="en-US" w:eastAsia="zh-CN"/>
              </w:rPr>
              <w:t>25</w:t>
            </w:r>
            <w:r>
              <w:rPr>
                <w:color w:val="auto"/>
                <w:sz w:val="24"/>
                <w:szCs w:val="28"/>
                <w:highlight w:val="none"/>
              </w:rPr>
              <w:t>）</w:t>
            </w:r>
            <w:r>
              <w:rPr>
                <w:color w:val="auto"/>
                <w:sz w:val="24"/>
                <w:highlight w:val="none"/>
              </w:rPr>
              <w:t>标准值，故施工期噪声对周围环境影响会减小。</w:t>
            </w:r>
          </w:p>
          <w:p w14:paraId="6F74B193">
            <w:pPr>
              <w:numPr>
                <w:ilvl w:val="0"/>
                <w:numId w:val="3"/>
              </w:numPr>
              <w:adjustRightInd w:val="0"/>
              <w:snapToGrid w:val="0"/>
              <w:spacing w:line="360" w:lineRule="auto"/>
              <w:jc w:val="left"/>
              <w:rPr>
                <w:b/>
                <w:color w:val="auto"/>
                <w:sz w:val="24"/>
                <w:szCs w:val="28"/>
                <w:highlight w:val="none"/>
              </w:rPr>
            </w:pPr>
            <w:r>
              <w:rPr>
                <w:rFonts w:hint="eastAsia"/>
                <w:b/>
                <w:color w:val="auto"/>
                <w:sz w:val="24"/>
                <w:szCs w:val="28"/>
                <w:highlight w:val="none"/>
              </w:rPr>
              <w:t>固废</w:t>
            </w:r>
          </w:p>
          <w:p w14:paraId="079995BB">
            <w:pPr>
              <w:adjustRightInd w:val="0"/>
              <w:snapToGrid w:val="0"/>
              <w:spacing w:line="360" w:lineRule="auto"/>
              <w:ind w:firstLine="480" w:firstLineChars="200"/>
              <w:rPr>
                <w:rFonts w:hint="default"/>
                <w:color w:val="auto"/>
                <w:highlight w:val="none"/>
              </w:rPr>
            </w:pPr>
            <w:r>
              <w:rPr>
                <w:color w:val="auto"/>
                <w:sz w:val="24"/>
                <w:highlight w:val="none"/>
              </w:rPr>
              <w:t>建筑垃圾及生活垃圾要随产随清，驶出施工现场的车辆，应清除轮胎上的泥土。将建筑垃圾运至市政指定地点倾倒，生活垃圾及时清运至指定地点</w:t>
            </w:r>
            <w:r>
              <w:rPr>
                <w:rFonts w:hint="default" w:ascii="Times New Roman" w:hAnsi="Times New Roman" w:cs="Times New Roman"/>
                <w:color w:val="auto"/>
                <w:sz w:val="24"/>
                <w:highlight w:val="none"/>
                <w:lang w:eastAsia="zh-CN"/>
              </w:rPr>
              <w:t>。</w:t>
            </w:r>
          </w:p>
        </w:tc>
      </w:tr>
      <w:tr w14:paraId="5E5EE3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16" w:hRule="atLeast"/>
          <w:jc w:val="center"/>
        </w:trPr>
        <w:tc>
          <w:tcPr>
            <w:tcW w:w="635" w:type="dxa"/>
            <w:tcMar>
              <w:left w:w="28" w:type="dxa"/>
              <w:right w:w="28" w:type="dxa"/>
            </w:tcMar>
            <w:vAlign w:val="center"/>
          </w:tcPr>
          <w:p w14:paraId="463CCA3B">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运营</w:t>
            </w:r>
          </w:p>
          <w:p w14:paraId="7A646F41">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期环</w:t>
            </w:r>
          </w:p>
          <w:p w14:paraId="08397424">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境影</w:t>
            </w:r>
          </w:p>
          <w:p w14:paraId="69B4295F">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响和</w:t>
            </w:r>
          </w:p>
          <w:p w14:paraId="274A6F83">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保护</w:t>
            </w:r>
          </w:p>
          <w:p w14:paraId="66091CE7">
            <w:pPr>
              <w:adjustRightInd w:val="0"/>
              <w:snapToGrid w:val="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措施</w:t>
            </w:r>
          </w:p>
        </w:tc>
        <w:tc>
          <w:tcPr>
            <w:tcW w:w="9003" w:type="dxa"/>
          </w:tcPr>
          <w:p w14:paraId="66DE102E">
            <w:pPr>
              <w:adjustRightInd w:val="0"/>
              <w:snapToGrid w:val="0"/>
              <w:spacing w:line="360" w:lineRule="auto"/>
              <w:rPr>
                <w:rFonts w:hint="eastAsia"/>
                <w:color w:val="auto"/>
                <w:highlight w:val="none"/>
              </w:rPr>
            </w:pPr>
            <w:r>
              <w:rPr>
                <w:b/>
                <w:color w:val="auto"/>
                <w:sz w:val="24"/>
                <w:highlight w:val="none"/>
              </w:rPr>
              <w:t>1、废气</w:t>
            </w:r>
          </w:p>
          <w:p w14:paraId="63996CCD">
            <w:pPr>
              <w:adjustRightInd w:val="0"/>
              <w:snapToGrid w:val="0"/>
              <w:spacing w:line="360" w:lineRule="auto"/>
              <w:ind w:firstLine="480" w:firstLineChars="200"/>
              <w:rPr>
                <w:bCs/>
                <w:color w:val="auto"/>
                <w:sz w:val="24"/>
                <w:highlight w:val="none"/>
              </w:rPr>
            </w:pPr>
            <w:r>
              <w:rPr>
                <w:bCs/>
                <w:color w:val="auto"/>
                <w:sz w:val="24"/>
                <w:highlight w:val="none"/>
              </w:rPr>
              <w:t>（</w:t>
            </w:r>
            <w:r>
              <w:rPr>
                <w:rFonts w:hint="eastAsia"/>
                <w:bCs/>
                <w:color w:val="auto"/>
                <w:sz w:val="24"/>
                <w:highlight w:val="none"/>
                <w:lang w:val="en-US" w:eastAsia="zh-CN"/>
              </w:rPr>
              <w:t>1</w:t>
            </w:r>
            <w:r>
              <w:rPr>
                <w:bCs/>
                <w:color w:val="auto"/>
                <w:sz w:val="24"/>
                <w:highlight w:val="none"/>
              </w:rPr>
              <w:t>）项目废气污染源</w:t>
            </w:r>
          </w:p>
          <w:p w14:paraId="5EA51565">
            <w:pPr>
              <w:adjustRightInd w:val="0"/>
              <w:snapToGrid w:val="0"/>
              <w:spacing w:line="360" w:lineRule="auto"/>
              <w:ind w:firstLine="480" w:firstLineChars="200"/>
              <w:rPr>
                <w:rFonts w:hint="eastAsia"/>
                <w:bCs/>
                <w:color w:val="auto"/>
                <w:sz w:val="24"/>
                <w:highlight w:val="none"/>
              </w:rPr>
            </w:pPr>
            <w:r>
              <w:rPr>
                <w:rFonts w:hint="eastAsia"/>
                <w:bCs/>
                <w:color w:val="auto"/>
                <w:sz w:val="24"/>
                <w:highlight w:val="none"/>
              </w:rPr>
              <w:t>本项目煤炭储存过程会产生少量二氧化硫，项目运输、装卸频次较高，不会长期大量堆存，运行过</w:t>
            </w:r>
            <w:r>
              <w:rPr>
                <w:rFonts w:hint="eastAsia"/>
                <w:bCs/>
                <w:color w:val="auto"/>
                <w:sz w:val="24"/>
                <w:highlight w:val="none"/>
                <w:lang w:eastAsia="zh-CN"/>
              </w:rPr>
              <w:t>程中</w:t>
            </w:r>
            <w:r>
              <w:rPr>
                <w:rFonts w:hint="eastAsia"/>
                <w:bCs/>
                <w:color w:val="auto"/>
                <w:sz w:val="24"/>
                <w:highlight w:val="none"/>
              </w:rPr>
              <w:t>洒水除尘可降低煤炭堆存温度，二氧化硫排放量较少，产生的环境影响较小。本项目废气污染物主要为储煤场扬尘及车辆运输过程扬尘。</w:t>
            </w:r>
          </w:p>
          <w:p w14:paraId="59AC6944">
            <w:pPr>
              <w:adjustRightInd w:val="0"/>
              <w:snapToGrid w:val="0"/>
              <w:spacing w:line="360" w:lineRule="auto"/>
              <w:ind w:firstLine="480" w:firstLineChars="200"/>
              <w:rPr>
                <w:rFonts w:hint="eastAsia" w:eastAsia="宋体"/>
                <w:bCs/>
                <w:color w:val="auto"/>
                <w:sz w:val="24"/>
                <w:highlight w:val="none"/>
                <w:lang w:eastAsia="zh-CN"/>
              </w:rPr>
            </w:pPr>
            <w:r>
              <w:rPr>
                <w:rFonts w:hint="eastAsia"/>
                <w:bCs/>
                <w:color w:val="auto"/>
                <w:sz w:val="24"/>
                <w:highlight w:val="none"/>
              </w:rPr>
              <w:t>①</w:t>
            </w:r>
            <w:r>
              <w:rPr>
                <w:rFonts w:hint="eastAsia"/>
                <w:bCs/>
                <w:color w:val="auto"/>
                <w:sz w:val="24"/>
                <w:highlight w:val="none"/>
                <w:lang w:val="en-US" w:eastAsia="zh-CN"/>
              </w:rPr>
              <w:t>储煤场扬尘</w:t>
            </w:r>
          </w:p>
          <w:p w14:paraId="6B7E9E37">
            <w:pPr>
              <w:adjustRightInd w:val="0"/>
              <w:snapToGrid w:val="0"/>
              <w:spacing w:line="360" w:lineRule="auto"/>
              <w:ind w:firstLine="480" w:firstLineChars="200"/>
              <w:rPr>
                <w:rFonts w:ascii="Times New Roman" w:hAnsi="Times New Roman" w:eastAsia="宋体" w:cs="Times New Roman"/>
                <w:bCs/>
                <w:color w:val="auto"/>
                <w:sz w:val="24"/>
                <w:highlight w:val="none"/>
              </w:rPr>
            </w:pPr>
            <w:r>
              <w:rPr>
                <w:rFonts w:ascii="Times New Roman" w:hAnsi="Times New Roman" w:eastAsia="宋体" w:cs="Times New Roman"/>
                <w:bCs/>
                <w:color w:val="auto"/>
                <w:sz w:val="24"/>
                <w:highlight w:val="none"/>
              </w:rPr>
              <w:t>根据</w:t>
            </w:r>
            <w:r>
              <w:rPr>
                <w:rFonts w:hint="eastAsia" w:cs="Times New Roman"/>
                <w:bCs/>
                <w:color w:val="auto"/>
                <w:sz w:val="24"/>
                <w:highlight w:val="none"/>
                <w:lang w:eastAsia="zh-CN"/>
              </w:rPr>
              <w:t>《扬尘源颗粒物排放清单编制技术指南（试行）》</w:t>
            </w:r>
            <w:r>
              <w:rPr>
                <w:rFonts w:ascii="Times New Roman" w:hAnsi="Times New Roman" w:eastAsia="宋体" w:cs="Times New Roman"/>
                <w:bCs/>
                <w:color w:val="auto"/>
                <w:sz w:val="24"/>
                <w:highlight w:val="none"/>
              </w:rPr>
              <w:t>，</w:t>
            </w:r>
            <w:r>
              <w:rPr>
                <w:rFonts w:hint="eastAsia" w:eastAsia="宋体" w:cs="Times New Roman"/>
                <w:bCs/>
                <w:color w:val="auto"/>
                <w:sz w:val="24"/>
                <w:highlight w:val="none"/>
                <w:lang w:val="en-US" w:eastAsia="zh-CN"/>
              </w:rPr>
              <w:t>储煤场</w:t>
            </w:r>
            <w:r>
              <w:rPr>
                <w:rFonts w:ascii="Times New Roman" w:hAnsi="Times New Roman" w:eastAsia="宋体" w:cs="Times New Roman"/>
                <w:bCs/>
                <w:color w:val="auto"/>
                <w:sz w:val="24"/>
                <w:highlight w:val="none"/>
              </w:rPr>
              <w:t>的扬尘源排放量是装卸、运输引起的扬尘与堆积存放期间风蚀的加和，计算公式如下：</w:t>
            </w:r>
          </w:p>
          <w:p w14:paraId="6BC55A37">
            <w:pPr>
              <w:spacing w:line="360" w:lineRule="auto"/>
              <w:ind w:firstLine="420"/>
              <w:rPr>
                <w:color w:val="auto"/>
                <w:sz w:val="21"/>
                <w:szCs w:val="22"/>
                <w:highlight w:val="none"/>
              </w:rPr>
            </w:pPr>
            <w:r>
              <w:rPr>
                <w:color w:val="auto"/>
                <w:sz w:val="21"/>
                <w:szCs w:val="22"/>
                <w:highlight w:val="none"/>
              </w:rPr>
              <w:t xml:space="preserve">      </w:t>
            </w:r>
            <w:r>
              <w:rPr>
                <w:color w:val="auto"/>
                <w:sz w:val="21"/>
                <w:szCs w:val="22"/>
                <w:highlight w:val="none"/>
              </w:rPr>
              <w:drawing>
                <wp:inline distT="0" distB="0" distL="114300" distR="114300">
                  <wp:extent cx="3779520" cy="716280"/>
                  <wp:effectExtent l="0" t="0" r="11430" b="7620"/>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19"/>
                          <a:stretch>
                            <a:fillRect/>
                          </a:stretch>
                        </pic:blipFill>
                        <pic:spPr>
                          <a:xfrm>
                            <a:off x="0" y="0"/>
                            <a:ext cx="3779520" cy="716280"/>
                          </a:xfrm>
                          <a:prstGeom prst="rect">
                            <a:avLst/>
                          </a:prstGeom>
                          <a:noFill/>
                          <a:ln>
                            <a:noFill/>
                          </a:ln>
                        </pic:spPr>
                      </pic:pic>
                    </a:graphicData>
                  </a:graphic>
                </wp:inline>
              </w:drawing>
            </w:r>
          </w:p>
          <w:p w14:paraId="3FDF6E7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rFonts w:ascii="Times New Roman" w:hAnsi="Times New Roman" w:eastAsia="宋体" w:cs="Times New Roman"/>
                <w:bCs/>
                <w:color w:val="auto"/>
                <w:sz w:val="24"/>
                <w:highlight w:val="none"/>
              </w:rPr>
              <w:t>式中：</w:t>
            </w:r>
            <w:r>
              <w:rPr>
                <w:color w:val="auto"/>
                <w:sz w:val="24"/>
                <w:szCs w:val="32"/>
                <w:highlight w:val="none"/>
              </w:rPr>
              <w:t>W</w:t>
            </w:r>
            <w:r>
              <w:rPr>
                <w:color w:val="auto"/>
                <w:sz w:val="24"/>
                <w:szCs w:val="32"/>
                <w:highlight w:val="none"/>
                <w:vertAlign w:val="subscript"/>
              </w:rPr>
              <w:t>Y</w:t>
            </w:r>
            <w:r>
              <w:rPr>
                <w:color w:val="auto"/>
                <w:sz w:val="24"/>
                <w:szCs w:val="32"/>
                <w:highlight w:val="none"/>
              </w:rPr>
              <w:t>——堆场扬尘源中颗粒物总排放量，t/a；</w:t>
            </w:r>
          </w:p>
          <w:p w14:paraId="69E79220">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E</w:t>
            </w:r>
            <w:r>
              <w:rPr>
                <w:color w:val="auto"/>
                <w:sz w:val="24"/>
                <w:szCs w:val="32"/>
                <w:highlight w:val="none"/>
                <w:vertAlign w:val="subscript"/>
              </w:rPr>
              <w:t>h</w:t>
            </w:r>
            <w:r>
              <w:rPr>
                <w:color w:val="auto"/>
                <w:sz w:val="24"/>
                <w:szCs w:val="32"/>
                <w:highlight w:val="none"/>
              </w:rPr>
              <w:t>——堆场装卸运输过程的扬尘颗粒物排放系数，kg/t；</w:t>
            </w:r>
          </w:p>
          <w:p w14:paraId="54A6EE8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m——每年料堆物料装卸总次数；</w:t>
            </w:r>
          </w:p>
          <w:p w14:paraId="20F6BB3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G</w:t>
            </w:r>
            <w:r>
              <w:rPr>
                <w:color w:val="auto"/>
                <w:sz w:val="24"/>
                <w:szCs w:val="32"/>
                <w:highlight w:val="none"/>
                <w:vertAlign w:val="subscript"/>
              </w:rPr>
              <w:t>Yi</w:t>
            </w:r>
            <w:r>
              <w:rPr>
                <w:color w:val="auto"/>
                <w:sz w:val="24"/>
                <w:szCs w:val="32"/>
                <w:highlight w:val="none"/>
              </w:rPr>
              <w:t>——第i次装卸过程的物料装卸量t；</w:t>
            </w:r>
          </w:p>
          <w:p w14:paraId="6F75099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E</w:t>
            </w:r>
            <w:r>
              <w:rPr>
                <w:color w:val="auto"/>
                <w:sz w:val="24"/>
                <w:szCs w:val="32"/>
                <w:highlight w:val="none"/>
                <w:vertAlign w:val="subscript"/>
              </w:rPr>
              <w:t>w</w:t>
            </w:r>
            <w:r>
              <w:rPr>
                <w:color w:val="auto"/>
                <w:sz w:val="24"/>
                <w:szCs w:val="32"/>
                <w:highlight w:val="none"/>
              </w:rPr>
              <w:t>——料堆受到风蚀作用的颗粒物排放系数，kg/m</w:t>
            </w:r>
            <w:r>
              <w:rPr>
                <w:color w:val="auto"/>
                <w:sz w:val="24"/>
                <w:szCs w:val="32"/>
                <w:highlight w:val="none"/>
                <w:vertAlign w:val="superscript"/>
              </w:rPr>
              <w:t>2</w:t>
            </w:r>
            <w:r>
              <w:rPr>
                <w:color w:val="auto"/>
                <w:sz w:val="24"/>
                <w:szCs w:val="32"/>
                <w:highlight w:val="none"/>
              </w:rPr>
              <w:t>；</w:t>
            </w:r>
          </w:p>
          <w:p w14:paraId="66418838">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A</w:t>
            </w:r>
            <w:r>
              <w:rPr>
                <w:color w:val="auto"/>
                <w:sz w:val="24"/>
                <w:szCs w:val="32"/>
                <w:highlight w:val="none"/>
                <w:vertAlign w:val="subscript"/>
              </w:rPr>
              <w:t>Y</w:t>
            </w:r>
            <w:r>
              <w:rPr>
                <w:color w:val="auto"/>
                <w:sz w:val="24"/>
                <w:szCs w:val="32"/>
                <w:highlight w:val="none"/>
              </w:rPr>
              <w:t>——料堆表面积；</w:t>
            </w:r>
          </w:p>
          <w:p w14:paraId="0698386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bCs/>
                <w:color w:val="auto"/>
                <w:sz w:val="24"/>
                <w:highlight w:val="none"/>
              </w:rPr>
            </w:pPr>
            <w:r>
              <w:rPr>
                <w:color w:val="auto"/>
                <w:sz w:val="24"/>
                <w:szCs w:val="32"/>
                <w:highlight w:val="none"/>
              </w:rPr>
              <w:t>装卸、运输物料过程扬尘排放系数的估算：</w:t>
            </w:r>
          </w:p>
          <w:p w14:paraId="47B776BB">
            <w:pPr>
              <w:adjustRightInd w:val="0"/>
              <w:snapToGrid w:val="0"/>
              <w:spacing w:line="360" w:lineRule="auto"/>
              <w:jc w:val="center"/>
              <w:rPr>
                <w:bCs/>
                <w:color w:val="auto"/>
                <w:szCs w:val="21"/>
                <w:highlight w:val="none"/>
              </w:rPr>
            </w:pPr>
            <w:r>
              <w:rPr>
                <w:color w:val="auto"/>
                <w:kern w:val="0"/>
                <w:sz w:val="24"/>
                <w:szCs w:val="20"/>
                <w:highlight w:val="none"/>
              </w:rPr>
              <w:drawing>
                <wp:inline distT="0" distB="0" distL="114300" distR="114300">
                  <wp:extent cx="2546350" cy="735965"/>
                  <wp:effectExtent l="0" t="0" r="6350" b="6985"/>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20"/>
                          <a:stretch>
                            <a:fillRect/>
                          </a:stretch>
                        </pic:blipFill>
                        <pic:spPr>
                          <a:xfrm>
                            <a:off x="0" y="0"/>
                            <a:ext cx="2546350" cy="735965"/>
                          </a:xfrm>
                          <a:prstGeom prst="rect">
                            <a:avLst/>
                          </a:prstGeom>
                          <a:noFill/>
                          <a:ln>
                            <a:noFill/>
                          </a:ln>
                        </pic:spPr>
                      </pic:pic>
                    </a:graphicData>
                  </a:graphic>
                </wp:inline>
              </w:drawing>
            </w:r>
          </w:p>
          <w:p w14:paraId="27531CF2">
            <w:pPr>
              <w:adjustRightInd w:val="0"/>
              <w:snapToGrid w:val="0"/>
              <w:spacing w:line="360" w:lineRule="auto"/>
              <w:ind w:firstLine="480" w:firstLineChars="200"/>
              <w:rPr>
                <w:bCs/>
                <w:color w:val="auto"/>
                <w:sz w:val="24"/>
                <w:highlight w:val="none"/>
              </w:rPr>
            </w:pPr>
            <w:r>
              <w:rPr>
                <w:bCs/>
                <w:color w:val="auto"/>
                <w:sz w:val="24"/>
                <w:highlight w:val="none"/>
              </w:rPr>
              <w:t>式中：E</w:t>
            </w:r>
            <w:r>
              <w:rPr>
                <w:bCs/>
                <w:color w:val="auto"/>
                <w:sz w:val="24"/>
                <w:highlight w:val="none"/>
                <w:vertAlign w:val="subscript"/>
              </w:rPr>
              <w:t>h</w:t>
            </w:r>
            <w:r>
              <w:rPr>
                <w:bCs/>
                <w:color w:val="auto"/>
                <w:sz w:val="24"/>
                <w:highlight w:val="none"/>
              </w:rPr>
              <w:t>为堆场装卸扬尘的排放系数，kg/t；</w:t>
            </w:r>
          </w:p>
          <w:p w14:paraId="6F7B46D1">
            <w:pPr>
              <w:adjustRightInd w:val="0"/>
              <w:snapToGrid w:val="0"/>
              <w:spacing w:line="360" w:lineRule="auto"/>
              <w:ind w:firstLine="1200" w:firstLineChars="500"/>
              <w:rPr>
                <w:bCs/>
                <w:color w:val="auto"/>
                <w:sz w:val="24"/>
                <w:highlight w:val="none"/>
              </w:rPr>
            </w:pPr>
            <w:r>
              <w:rPr>
                <w:bCs/>
                <w:color w:val="auto"/>
                <w:sz w:val="24"/>
                <w:highlight w:val="none"/>
              </w:rPr>
              <w:t>k</w:t>
            </w:r>
            <w:r>
              <w:rPr>
                <w:bCs/>
                <w:color w:val="auto"/>
                <w:sz w:val="24"/>
                <w:highlight w:val="none"/>
                <w:vertAlign w:val="subscript"/>
              </w:rPr>
              <w:t>i</w:t>
            </w:r>
            <w:r>
              <w:rPr>
                <w:bCs/>
                <w:color w:val="auto"/>
                <w:sz w:val="24"/>
                <w:highlight w:val="none"/>
              </w:rPr>
              <w:t>为物料的粒度乘数，根据</w:t>
            </w:r>
            <w:r>
              <w:rPr>
                <w:rFonts w:hint="eastAsia"/>
                <w:bCs/>
                <w:color w:val="auto"/>
                <w:sz w:val="24"/>
                <w:highlight w:val="none"/>
                <w:lang w:eastAsia="zh-CN"/>
              </w:rPr>
              <w:t>《扬尘源颗粒物排放清单编制技术指南（试行）》</w:t>
            </w:r>
            <w:r>
              <w:rPr>
                <w:bCs/>
                <w:color w:val="auto"/>
                <w:sz w:val="24"/>
                <w:highlight w:val="none"/>
              </w:rPr>
              <w:t>中表10，TSP取0.74；</w:t>
            </w:r>
          </w:p>
          <w:p w14:paraId="1AEF39BD">
            <w:pPr>
              <w:adjustRightInd w:val="0"/>
              <w:snapToGrid w:val="0"/>
              <w:spacing w:line="360" w:lineRule="auto"/>
              <w:ind w:firstLine="1200" w:firstLineChars="500"/>
              <w:rPr>
                <w:bCs/>
                <w:color w:val="auto"/>
                <w:sz w:val="24"/>
                <w:highlight w:val="none"/>
              </w:rPr>
            </w:pPr>
            <w:r>
              <w:rPr>
                <w:bCs/>
                <w:color w:val="auto"/>
                <w:sz w:val="24"/>
                <w:highlight w:val="none"/>
              </w:rPr>
              <w:t>u为地面平均风速，m/s，本次评价u取当地年平均风速u=2.59m/s；</w:t>
            </w:r>
          </w:p>
          <w:p w14:paraId="674576AA">
            <w:pPr>
              <w:adjustRightInd w:val="0"/>
              <w:snapToGrid w:val="0"/>
              <w:spacing w:line="360" w:lineRule="auto"/>
              <w:ind w:firstLine="1200" w:firstLineChars="500"/>
              <w:rPr>
                <w:bCs/>
                <w:color w:val="auto"/>
                <w:sz w:val="24"/>
                <w:highlight w:val="none"/>
              </w:rPr>
            </w:pPr>
            <w:r>
              <w:rPr>
                <w:bCs/>
                <w:color w:val="auto"/>
                <w:sz w:val="24"/>
                <w:highlight w:val="none"/>
              </w:rPr>
              <w:t>M为物料含水率，%。根据</w:t>
            </w:r>
            <w:r>
              <w:rPr>
                <w:rFonts w:hint="eastAsia"/>
                <w:bCs/>
                <w:color w:val="auto"/>
                <w:sz w:val="24"/>
                <w:highlight w:val="none"/>
                <w:lang w:eastAsia="zh-CN"/>
              </w:rPr>
              <w:t>《扬尘源颗粒物排放清单编制技术指南（试行）》</w:t>
            </w:r>
            <w:r>
              <w:rPr>
                <w:bCs/>
                <w:color w:val="auto"/>
                <w:sz w:val="24"/>
                <w:highlight w:val="none"/>
              </w:rPr>
              <w:t>中表11各种行业堆场物料的含水率参考值，取</w:t>
            </w:r>
            <w:r>
              <w:rPr>
                <w:rFonts w:hint="eastAsia"/>
                <w:bCs/>
                <w:color w:val="auto"/>
                <w:sz w:val="24"/>
                <w:highlight w:val="none"/>
                <w:lang w:val="en-US" w:eastAsia="zh-CN"/>
              </w:rPr>
              <w:t>6.9</w:t>
            </w:r>
            <w:r>
              <w:rPr>
                <w:bCs/>
                <w:color w:val="auto"/>
                <w:sz w:val="24"/>
                <w:highlight w:val="none"/>
              </w:rPr>
              <w:t>%；</w:t>
            </w:r>
          </w:p>
          <w:p w14:paraId="625BA8D2">
            <w:pPr>
              <w:adjustRightInd w:val="0"/>
              <w:snapToGrid w:val="0"/>
              <w:spacing w:line="360" w:lineRule="auto"/>
              <w:ind w:firstLine="1200" w:firstLineChars="500"/>
              <w:rPr>
                <w:bCs/>
                <w:color w:val="auto"/>
                <w:sz w:val="24"/>
                <w:highlight w:val="none"/>
              </w:rPr>
            </w:pPr>
            <w:r>
              <w:rPr>
                <w:bCs/>
                <w:color w:val="auto"/>
                <w:sz w:val="24"/>
                <w:highlight w:val="none"/>
              </w:rPr>
              <w:t>η为污染控制技术对扬尘的去除效率，根据</w:t>
            </w:r>
            <w:r>
              <w:rPr>
                <w:rFonts w:hint="eastAsia"/>
                <w:bCs/>
                <w:color w:val="auto"/>
                <w:sz w:val="24"/>
                <w:highlight w:val="none"/>
                <w:lang w:eastAsia="zh-CN"/>
              </w:rPr>
              <w:t>《扬尘源颗粒物排放清单编制技术指南（试行）》</w:t>
            </w:r>
            <w:r>
              <w:rPr>
                <w:bCs/>
                <w:color w:val="auto"/>
                <w:sz w:val="24"/>
                <w:highlight w:val="none"/>
              </w:rPr>
              <w:t>中表12，</w:t>
            </w:r>
            <w:r>
              <w:rPr>
                <w:rFonts w:hint="eastAsia"/>
                <w:bCs/>
                <w:color w:val="auto"/>
                <w:sz w:val="24"/>
                <w:highlight w:val="none"/>
              </w:rPr>
              <w:t>料堆的三边用围挡遮围</w:t>
            </w:r>
            <w:r>
              <w:rPr>
                <w:bCs/>
                <w:color w:val="auto"/>
                <w:sz w:val="24"/>
                <w:highlight w:val="none"/>
              </w:rPr>
              <w:t>，TSP控制效率为</w:t>
            </w:r>
            <w:r>
              <w:rPr>
                <w:rFonts w:hint="eastAsia"/>
                <w:bCs/>
                <w:color w:val="auto"/>
                <w:sz w:val="24"/>
                <w:highlight w:val="none"/>
                <w:lang w:val="en-US" w:eastAsia="zh-CN"/>
              </w:rPr>
              <w:t>90</w:t>
            </w:r>
            <w:r>
              <w:rPr>
                <w:bCs/>
                <w:color w:val="auto"/>
                <w:sz w:val="24"/>
                <w:highlight w:val="none"/>
              </w:rPr>
              <w:t>%。</w:t>
            </w:r>
          </w:p>
          <w:p w14:paraId="440E2FB0">
            <w:pPr>
              <w:adjustRightInd w:val="0"/>
              <w:snapToGrid w:val="0"/>
              <w:spacing w:line="360" w:lineRule="auto"/>
              <w:ind w:firstLine="480" w:firstLineChars="200"/>
              <w:rPr>
                <w:rFonts w:ascii="Times New Roman" w:hAnsi="Times New Roman" w:eastAsia="宋体" w:cs="Times New Roman"/>
                <w:bCs/>
                <w:color w:val="auto"/>
                <w:sz w:val="24"/>
                <w:highlight w:val="none"/>
              </w:rPr>
            </w:pPr>
            <w:r>
              <w:rPr>
                <w:rFonts w:ascii="Times New Roman" w:hAnsi="Times New Roman" w:eastAsia="宋体" w:cs="Times New Roman"/>
                <w:bCs/>
                <w:color w:val="auto"/>
                <w:sz w:val="24"/>
                <w:highlight w:val="none"/>
              </w:rPr>
              <w:t>堆场风蚀扬尘排放系数的计算方法：</w:t>
            </w:r>
          </w:p>
          <w:p w14:paraId="555D2BE6">
            <w:pPr>
              <w:spacing w:line="240" w:lineRule="auto"/>
              <w:ind w:firstLine="420"/>
              <w:rPr>
                <w:color w:val="auto"/>
                <w:sz w:val="21"/>
                <w:szCs w:val="22"/>
                <w:highlight w:val="none"/>
              </w:rPr>
            </w:pPr>
            <w:r>
              <w:rPr>
                <w:color w:val="auto"/>
                <w:sz w:val="21"/>
                <w:szCs w:val="22"/>
                <w:highlight w:val="none"/>
              </w:rPr>
              <w:t xml:space="preserve">  </w:t>
            </w:r>
            <w:r>
              <w:rPr>
                <w:color w:val="auto"/>
                <w:sz w:val="21"/>
                <w:szCs w:val="22"/>
                <w:highlight w:val="none"/>
              </w:rPr>
              <w:drawing>
                <wp:inline distT="0" distB="0" distL="114300" distR="114300">
                  <wp:extent cx="4404360" cy="1607820"/>
                  <wp:effectExtent l="0" t="0" r="15240" b="11430"/>
                  <wp:docPr id="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pic:cNvPicPr>
                            <a:picLocks noChangeAspect="1"/>
                          </pic:cNvPicPr>
                        </pic:nvPicPr>
                        <pic:blipFill>
                          <a:blip r:embed="rId21"/>
                          <a:stretch>
                            <a:fillRect/>
                          </a:stretch>
                        </pic:blipFill>
                        <pic:spPr>
                          <a:xfrm>
                            <a:off x="0" y="0"/>
                            <a:ext cx="4404360" cy="1607820"/>
                          </a:xfrm>
                          <a:prstGeom prst="rect">
                            <a:avLst/>
                          </a:prstGeom>
                          <a:noFill/>
                          <a:ln>
                            <a:noFill/>
                          </a:ln>
                        </pic:spPr>
                      </pic:pic>
                    </a:graphicData>
                  </a:graphic>
                </wp:inline>
              </w:drawing>
            </w:r>
          </w:p>
          <w:p w14:paraId="57BEFE42">
            <w:pPr>
              <w:spacing w:line="240" w:lineRule="auto"/>
              <w:ind w:firstLine="420"/>
              <w:jc w:val="center"/>
              <w:rPr>
                <w:color w:val="auto"/>
                <w:sz w:val="21"/>
                <w:szCs w:val="22"/>
                <w:highlight w:val="none"/>
              </w:rPr>
            </w:pPr>
            <w:r>
              <w:rPr>
                <w:color w:val="auto"/>
                <w:sz w:val="21"/>
                <w:szCs w:val="22"/>
                <w:highlight w:val="none"/>
              </w:rPr>
              <w:drawing>
                <wp:inline distT="0" distB="0" distL="114300" distR="114300">
                  <wp:extent cx="2682240" cy="518160"/>
                  <wp:effectExtent l="0" t="0" r="3810" b="15240"/>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22"/>
                          <a:stretch>
                            <a:fillRect/>
                          </a:stretch>
                        </pic:blipFill>
                        <pic:spPr>
                          <a:xfrm>
                            <a:off x="0" y="0"/>
                            <a:ext cx="2682240" cy="518160"/>
                          </a:xfrm>
                          <a:prstGeom prst="rect">
                            <a:avLst/>
                          </a:prstGeom>
                          <a:noFill/>
                          <a:ln>
                            <a:noFill/>
                          </a:ln>
                        </pic:spPr>
                      </pic:pic>
                    </a:graphicData>
                  </a:graphic>
                </wp:inline>
              </w:drawing>
            </w:r>
          </w:p>
          <w:p w14:paraId="1959C276">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式中：E</w:t>
            </w:r>
            <w:r>
              <w:rPr>
                <w:color w:val="auto"/>
                <w:sz w:val="24"/>
                <w:szCs w:val="32"/>
                <w:highlight w:val="none"/>
                <w:vertAlign w:val="subscript"/>
              </w:rPr>
              <w:t>w</w:t>
            </w:r>
            <w:r>
              <w:rPr>
                <w:color w:val="auto"/>
                <w:sz w:val="24"/>
                <w:szCs w:val="32"/>
                <w:highlight w:val="none"/>
              </w:rPr>
              <w:t>——堆场风蚀扬尘的排放系数，kg/m</w:t>
            </w:r>
            <w:r>
              <w:rPr>
                <w:color w:val="auto"/>
                <w:sz w:val="24"/>
                <w:szCs w:val="32"/>
                <w:highlight w:val="none"/>
                <w:vertAlign w:val="superscript"/>
              </w:rPr>
              <w:t>2</w:t>
            </w:r>
            <w:r>
              <w:rPr>
                <w:color w:val="auto"/>
                <w:sz w:val="24"/>
                <w:szCs w:val="32"/>
                <w:highlight w:val="none"/>
              </w:rPr>
              <w:t>；</w:t>
            </w:r>
          </w:p>
          <w:p w14:paraId="141434E5">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k</w:t>
            </w:r>
            <w:r>
              <w:rPr>
                <w:color w:val="auto"/>
                <w:sz w:val="24"/>
                <w:szCs w:val="32"/>
                <w:highlight w:val="none"/>
                <w:vertAlign w:val="subscript"/>
              </w:rPr>
              <w:t>i</w:t>
            </w:r>
            <w:r>
              <w:rPr>
                <w:color w:val="auto"/>
                <w:sz w:val="24"/>
                <w:szCs w:val="32"/>
                <w:highlight w:val="none"/>
              </w:rPr>
              <w:t>——物料的粒度乘数，TSP取1.0；</w:t>
            </w:r>
          </w:p>
          <w:p w14:paraId="117C337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n——料堆每年受扰动的次数；</w:t>
            </w:r>
          </w:p>
          <w:p w14:paraId="1CCA9132">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P</w:t>
            </w:r>
            <w:r>
              <w:rPr>
                <w:color w:val="auto"/>
                <w:sz w:val="24"/>
                <w:szCs w:val="32"/>
                <w:highlight w:val="none"/>
                <w:vertAlign w:val="subscript"/>
              </w:rPr>
              <w:t>i</w:t>
            </w:r>
            <w:r>
              <w:rPr>
                <w:color w:val="auto"/>
                <w:sz w:val="24"/>
                <w:szCs w:val="32"/>
                <w:highlight w:val="none"/>
              </w:rPr>
              <w:t>——第i次扰动中观测的最大风速的风蚀潜势，g/m</w:t>
            </w:r>
            <w:r>
              <w:rPr>
                <w:color w:val="auto"/>
                <w:sz w:val="24"/>
                <w:szCs w:val="32"/>
                <w:highlight w:val="none"/>
                <w:vertAlign w:val="superscript"/>
              </w:rPr>
              <w:t>2</w:t>
            </w:r>
            <w:r>
              <w:rPr>
                <w:color w:val="auto"/>
                <w:sz w:val="24"/>
                <w:szCs w:val="32"/>
                <w:highlight w:val="none"/>
              </w:rPr>
              <w:t>；</w:t>
            </w:r>
          </w:p>
          <w:p w14:paraId="40333476">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drawing>
                <wp:inline distT="0" distB="0" distL="114300" distR="114300">
                  <wp:extent cx="121920" cy="213360"/>
                  <wp:effectExtent l="0" t="0" r="11430" b="15240"/>
                  <wp:docPr id="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
                          <pic:cNvPicPr>
                            <a:picLocks noChangeAspect="1"/>
                          </pic:cNvPicPr>
                        </pic:nvPicPr>
                        <pic:blipFill>
                          <a:blip r:embed="rId23"/>
                          <a:stretch>
                            <a:fillRect/>
                          </a:stretch>
                        </pic:blipFill>
                        <pic:spPr>
                          <a:xfrm>
                            <a:off x="0" y="0"/>
                            <a:ext cx="121920" cy="213360"/>
                          </a:xfrm>
                          <a:prstGeom prst="rect">
                            <a:avLst/>
                          </a:prstGeom>
                          <a:noFill/>
                          <a:ln>
                            <a:noFill/>
                          </a:ln>
                        </pic:spPr>
                      </pic:pic>
                    </a:graphicData>
                  </a:graphic>
                </wp:inline>
              </w:drawing>
            </w:r>
            <w:r>
              <w:rPr>
                <w:color w:val="auto"/>
                <w:sz w:val="24"/>
                <w:szCs w:val="32"/>
                <w:highlight w:val="none"/>
              </w:rPr>
              <w:t>——污染控制技术对扬尘的去除效率；</w:t>
            </w:r>
          </w:p>
          <w:p w14:paraId="6E47B3E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u*——摩擦风速，m/s；</w:t>
            </w:r>
          </w:p>
          <w:p w14:paraId="1FF5F1A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u</w:t>
            </w:r>
            <w:r>
              <w:rPr>
                <w:color w:val="auto"/>
                <w:sz w:val="24"/>
                <w:szCs w:val="32"/>
                <w:highlight w:val="none"/>
                <w:vertAlign w:val="subscript"/>
              </w:rPr>
              <w:t>t</w:t>
            </w:r>
            <w:r>
              <w:rPr>
                <w:color w:val="auto"/>
                <w:sz w:val="24"/>
                <w:szCs w:val="32"/>
                <w:highlight w:val="none"/>
              </w:rPr>
              <w:t>*——阈值摩擦风速，即起尘的临界摩擦风速，取1.</w:t>
            </w:r>
            <w:r>
              <w:rPr>
                <w:rFonts w:hint="eastAsia"/>
                <w:color w:val="auto"/>
                <w:sz w:val="24"/>
                <w:szCs w:val="32"/>
                <w:highlight w:val="none"/>
                <w:lang w:val="en-US" w:eastAsia="zh-CN"/>
              </w:rPr>
              <w:t>02</w:t>
            </w:r>
            <w:r>
              <w:rPr>
                <w:color w:val="auto"/>
                <w:sz w:val="24"/>
                <w:szCs w:val="32"/>
                <w:highlight w:val="none"/>
              </w:rPr>
              <w:t>m/s；</w:t>
            </w:r>
          </w:p>
          <w:p w14:paraId="47B531DF">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u（z）——地面风速；</w:t>
            </w:r>
          </w:p>
          <w:p w14:paraId="4D743908">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z——地面风速</w:t>
            </w:r>
            <w:r>
              <w:rPr>
                <w:rFonts w:hint="eastAsia"/>
                <w:color w:val="auto"/>
                <w:sz w:val="24"/>
                <w:szCs w:val="32"/>
                <w:highlight w:val="none"/>
                <w:lang w:eastAsia="zh-CN"/>
              </w:rPr>
              <w:t>监测</w:t>
            </w:r>
            <w:r>
              <w:rPr>
                <w:color w:val="auto"/>
                <w:sz w:val="24"/>
                <w:szCs w:val="32"/>
                <w:highlight w:val="none"/>
              </w:rPr>
              <w:t>高度，取</w:t>
            </w:r>
            <w:r>
              <w:rPr>
                <w:rFonts w:hint="eastAsia"/>
                <w:color w:val="auto"/>
                <w:sz w:val="24"/>
                <w:szCs w:val="32"/>
                <w:highlight w:val="none"/>
                <w:lang w:val="en-US" w:eastAsia="zh-CN"/>
              </w:rPr>
              <w:t>3</w:t>
            </w:r>
            <w:r>
              <w:rPr>
                <w:color w:val="auto"/>
                <w:sz w:val="24"/>
                <w:szCs w:val="32"/>
                <w:highlight w:val="none"/>
              </w:rPr>
              <w:t>m；</w:t>
            </w:r>
          </w:p>
          <w:p w14:paraId="6AD74B6E">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z</w:t>
            </w:r>
            <w:r>
              <w:rPr>
                <w:color w:val="auto"/>
                <w:sz w:val="24"/>
                <w:szCs w:val="32"/>
                <w:highlight w:val="none"/>
                <w:vertAlign w:val="subscript"/>
              </w:rPr>
              <w:t>0</w:t>
            </w:r>
            <w:r>
              <w:rPr>
                <w:color w:val="auto"/>
                <w:sz w:val="24"/>
                <w:szCs w:val="32"/>
                <w:highlight w:val="none"/>
              </w:rPr>
              <w:t>——地面粗糙度，m，郊区取值0.2；</w:t>
            </w:r>
          </w:p>
          <w:p w14:paraId="5FA97ED0">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0.4——冯卡门常数，无量纲。</w:t>
            </w:r>
          </w:p>
          <w:p w14:paraId="001FA47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经计算：</w:t>
            </w:r>
          </w:p>
          <w:p w14:paraId="6DE4E2D3">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color w:val="auto"/>
                <w:sz w:val="24"/>
                <w:szCs w:val="32"/>
                <w:highlight w:val="none"/>
              </w:rPr>
            </w:pPr>
            <w:r>
              <w:rPr>
                <w:color w:val="auto"/>
                <w:sz w:val="24"/>
                <w:szCs w:val="32"/>
                <w:highlight w:val="none"/>
              </w:rPr>
              <w:t>项目所在区域u*=0.3</w:t>
            </w:r>
            <w:r>
              <w:rPr>
                <w:rFonts w:hint="eastAsia"/>
                <w:color w:val="auto"/>
                <w:sz w:val="24"/>
                <w:szCs w:val="32"/>
                <w:highlight w:val="none"/>
                <w:lang w:val="en-US" w:eastAsia="zh-CN"/>
              </w:rPr>
              <w:t>82</w:t>
            </w:r>
            <w:r>
              <w:rPr>
                <w:color w:val="auto"/>
                <w:sz w:val="24"/>
                <w:szCs w:val="32"/>
                <w:highlight w:val="none"/>
              </w:rPr>
              <w:t>＜ut*=1.</w:t>
            </w:r>
            <w:r>
              <w:rPr>
                <w:rFonts w:hint="eastAsia"/>
                <w:color w:val="auto"/>
                <w:sz w:val="24"/>
                <w:szCs w:val="32"/>
                <w:highlight w:val="none"/>
                <w:lang w:val="en-US" w:eastAsia="zh-CN"/>
              </w:rPr>
              <w:t>02</w:t>
            </w:r>
            <w:r>
              <w:rPr>
                <w:color w:val="auto"/>
                <w:sz w:val="24"/>
                <w:szCs w:val="32"/>
                <w:highlight w:val="none"/>
              </w:rPr>
              <w:t>，其Pi取0，因此不考虑堆场风蚀扬尘的排放。</w:t>
            </w:r>
          </w:p>
          <w:p w14:paraId="76CAD97E">
            <w:pPr>
              <w:adjustRightInd w:val="0"/>
              <w:snapToGrid w:val="0"/>
              <w:spacing w:line="360" w:lineRule="auto"/>
              <w:ind w:firstLine="480" w:firstLineChars="200"/>
              <w:rPr>
                <w:rFonts w:hint="eastAsia" w:eastAsia="宋体"/>
                <w:color w:val="auto"/>
                <w:highlight w:val="none"/>
                <w:lang w:val="en-US" w:eastAsia="zh-CN"/>
              </w:rPr>
            </w:pPr>
            <w:r>
              <w:rPr>
                <w:bCs/>
                <w:color w:val="auto"/>
                <w:sz w:val="24"/>
                <w:highlight w:val="none"/>
              </w:rPr>
              <w:t>经计算可知，E</w:t>
            </w:r>
            <w:r>
              <w:rPr>
                <w:bCs/>
                <w:color w:val="auto"/>
                <w:sz w:val="24"/>
                <w:highlight w:val="none"/>
                <w:vertAlign w:val="subscript"/>
              </w:rPr>
              <w:t>h</w:t>
            </w:r>
            <w:r>
              <w:rPr>
                <w:bCs/>
                <w:color w:val="auto"/>
                <w:sz w:val="24"/>
                <w:highlight w:val="none"/>
              </w:rPr>
              <w:t>为0.</w:t>
            </w:r>
            <w:r>
              <w:rPr>
                <w:rFonts w:hint="eastAsia"/>
                <w:bCs/>
                <w:color w:val="auto"/>
                <w:sz w:val="24"/>
                <w:highlight w:val="none"/>
                <w:lang w:val="en-US" w:eastAsia="zh-CN"/>
              </w:rPr>
              <w:t>016</w:t>
            </w:r>
            <w:r>
              <w:rPr>
                <w:bCs/>
                <w:color w:val="auto"/>
                <w:sz w:val="24"/>
                <w:highlight w:val="none"/>
              </w:rPr>
              <w:t>kg/t，本项目</w:t>
            </w:r>
            <w:r>
              <w:rPr>
                <w:rFonts w:hint="eastAsia"/>
                <w:bCs/>
                <w:color w:val="auto"/>
                <w:sz w:val="24"/>
                <w:highlight w:val="none"/>
                <w:lang w:val="en-US" w:eastAsia="zh-CN"/>
              </w:rPr>
              <w:t>储煤场用于煤炭堆放</w:t>
            </w:r>
            <w:r>
              <w:rPr>
                <w:bCs/>
                <w:color w:val="auto"/>
                <w:sz w:val="24"/>
                <w:highlight w:val="none"/>
              </w:rPr>
              <w:t>，</w:t>
            </w:r>
            <w:r>
              <w:rPr>
                <w:rFonts w:hint="eastAsia"/>
                <w:bCs/>
                <w:color w:val="auto"/>
                <w:sz w:val="24"/>
                <w:highlight w:val="none"/>
                <w:lang w:val="en-US" w:eastAsia="zh-CN"/>
              </w:rPr>
              <w:t>煤炭堆场区域建设闭合防风抑尘网高3m、长120m，孔隙率50%与围墙形成闭合区域，储煤场内堆存煤炭使用绿网进行苫盖，煤场装卸过程采取洒水车降尘，</w:t>
            </w:r>
            <w:r>
              <w:rPr>
                <w:bCs/>
                <w:color w:val="auto"/>
                <w:sz w:val="24"/>
                <w:highlight w:val="none"/>
              </w:rPr>
              <w:t>对粉尘控制效率为</w:t>
            </w:r>
            <w:r>
              <w:rPr>
                <w:rFonts w:hint="eastAsia"/>
                <w:bCs/>
                <w:color w:val="auto"/>
                <w:sz w:val="24"/>
                <w:highlight w:val="none"/>
                <w:lang w:val="en-US" w:eastAsia="zh-CN"/>
              </w:rPr>
              <w:t>90</w:t>
            </w:r>
            <w:r>
              <w:rPr>
                <w:bCs/>
                <w:color w:val="auto"/>
                <w:sz w:val="24"/>
                <w:highlight w:val="none"/>
              </w:rPr>
              <w:t>%。项目年装卸量约为</w:t>
            </w:r>
            <w:r>
              <w:rPr>
                <w:rFonts w:hint="eastAsia"/>
                <w:bCs/>
                <w:color w:val="auto"/>
                <w:sz w:val="24"/>
                <w:highlight w:val="none"/>
                <w:lang w:val="en-US" w:eastAsia="zh-CN"/>
              </w:rPr>
              <w:t>8</w:t>
            </w:r>
            <w:r>
              <w:rPr>
                <w:bCs/>
                <w:color w:val="auto"/>
                <w:sz w:val="24"/>
                <w:highlight w:val="none"/>
              </w:rPr>
              <w:t>0</w:t>
            </w:r>
            <w:r>
              <w:rPr>
                <w:rFonts w:hint="eastAsia"/>
                <w:bCs/>
                <w:color w:val="auto"/>
                <w:sz w:val="24"/>
                <w:highlight w:val="none"/>
                <w:lang w:val="en-US" w:eastAsia="zh-CN"/>
              </w:rPr>
              <w:t>0</w:t>
            </w:r>
            <w:r>
              <w:rPr>
                <w:bCs/>
                <w:color w:val="auto"/>
                <w:sz w:val="24"/>
                <w:highlight w:val="none"/>
              </w:rPr>
              <w:t>0t，经计算本项目卸料时粉尘产生量为</w:t>
            </w:r>
            <w:r>
              <w:rPr>
                <w:rFonts w:hint="eastAsia"/>
                <w:bCs/>
                <w:color w:val="auto"/>
                <w:sz w:val="24"/>
                <w:highlight w:val="none"/>
                <w:lang w:val="en-US" w:eastAsia="zh-CN"/>
              </w:rPr>
              <w:t>1.304</w:t>
            </w:r>
            <w:r>
              <w:rPr>
                <w:bCs/>
                <w:color w:val="auto"/>
                <w:sz w:val="24"/>
                <w:highlight w:val="none"/>
              </w:rPr>
              <w:t>t/a，排放量为</w:t>
            </w:r>
            <w:r>
              <w:rPr>
                <w:rFonts w:hint="eastAsia"/>
                <w:bCs/>
                <w:color w:val="auto"/>
                <w:sz w:val="24"/>
                <w:highlight w:val="none"/>
                <w:lang w:val="en-US" w:eastAsia="zh-CN"/>
              </w:rPr>
              <w:t>0.1304</w:t>
            </w:r>
            <w:r>
              <w:rPr>
                <w:bCs/>
                <w:color w:val="auto"/>
                <w:sz w:val="24"/>
                <w:highlight w:val="none"/>
              </w:rPr>
              <w:t>t/a</w:t>
            </w:r>
            <w:r>
              <w:rPr>
                <w:rFonts w:hint="eastAsia"/>
                <w:bCs/>
                <w:color w:val="auto"/>
                <w:sz w:val="24"/>
                <w:highlight w:val="none"/>
                <w:lang w:val="en-US" w:eastAsia="zh-CN"/>
              </w:rPr>
              <w:t>。</w:t>
            </w:r>
          </w:p>
          <w:p w14:paraId="1F97D9E8">
            <w:pPr>
              <w:adjustRightInd w:val="0"/>
              <w:snapToGrid w:val="0"/>
              <w:spacing w:line="360" w:lineRule="auto"/>
              <w:ind w:firstLine="480" w:firstLineChars="200"/>
              <w:rPr>
                <w:bCs/>
                <w:color w:val="auto"/>
                <w:sz w:val="24"/>
                <w:highlight w:val="none"/>
              </w:rPr>
            </w:pPr>
            <w:r>
              <w:rPr>
                <w:rFonts w:hint="eastAsia"/>
                <w:bCs/>
                <w:color w:val="auto"/>
                <w:sz w:val="24"/>
                <w:highlight w:val="none"/>
              </w:rPr>
              <w:t>②</w:t>
            </w:r>
            <w:r>
              <w:rPr>
                <w:bCs/>
                <w:color w:val="auto"/>
                <w:sz w:val="24"/>
                <w:highlight w:val="none"/>
              </w:rPr>
              <w:t>运输车辆过程扬尘</w:t>
            </w:r>
          </w:p>
          <w:p w14:paraId="77C8D456">
            <w:pPr>
              <w:adjustRightInd w:val="0"/>
              <w:snapToGrid w:val="0"/>
              <w:spacing w:line="360" w:lineRule="auto"/>
              <w:ind w:firstLine="480" w:firstLineChars="200"/>
              <w:rPr>
                <w:bCs/>
                <w:color w:val="auto"/>
                <w:sz w:val="24"/>
                <w:highlight w:val="none"/>
              </w:rPr>
            </w:pPr>
            <w:r>
              <w:rPr>
                <w:bCs/>
                <w:color w:val="auto"/>
                <w:sz w:val="24"/>
                <w:highlight w:val="none"/>
              </w:rPr>
              <w:t>本项目</w:t>
            </w:r>
            <w:r>
              <w:rPr>
                <w:rFonts w:hint="eastAsia"/>
                <w:bCs/>
                <w:color w:val="auto"/>
                <w:sz w:val="24"/>
                <w:highlight w:val="none"/>
                <w:lang w:val="en-US" w:eastAsia="zh-CN"/>
              </w:rPr>
              <w:t>煤炭</w:t>
            </w:r>
            <w:r>
              <w:rPr>
                <w:bCs/>
                <w:color w:val="auto"/>
                <w:sz w:val="24"/>
                <w:highlight w:val="none"/>
              </w:rPr>
              <w:t>拉运出厂过程中汽车道路行驶引起扬尘。本项目厂区地面硬化</w:t>
            </w:r>
            <w:r>
              <w:rPr>
                <w:rFonts w:hint="eastAsia"/>
                <w:bCs/>
                <w:color w:val="auto"/>
                <w:sz w:val="24"/>
                <w:highlight w:val="none"/>
                <w:lang w:val="en-US" w:eastAsia="zh-CN"/>
              </w:rPr>
              <w:t>未进行铺装</w:t>
            </w:r>
            <w:r>
              <w:rPr>
                <w:bCs/>
                <w:color w:val="auto"/>
                <w:sz w:val="24"/>
                <w:highlight w:val="none"/>
              </w:rPr>
              <w:t>，根据</w:t>
            </w:r>
            <w:r>
              <w:rPr>
                <w:rFonts w:hint="eastAsia"/>
                <w:bCs/>
                <w:color w:val="auto"/>
                <w:sz w:val="24"/>
                <w:highlight w:val="none"/>
                <w:lang w:eastAsia="zh-CN"/>
              </w:rPr>
              <w:t>《扬尘源颗粒物排放清单编制技术指南（试行）》</w:t>
            </w:r>
            <w:r>
              <w:rPr>
                <w:bCs/>
                <w:color w:val="auto"/>
                <w:sz w:val="24"/>
                <w:highlight w:val="none"/>
              </w:rPr>
              <w:t>中对于未铺装道路，扬尘排放系数计算公式如下：</w:t>
            </w:r>
          </w:p>
          <w:p w14:paraId="334D81A3">
            <w:pPr>
              <w:adjustRightInd w:val="0"/>
              <w:snapToGrid w:val="0"/>
              <w:spacing w:line="360" w:lineRule="auto"/>
              <w:jc w:val="center"/>
              <w:rPr>
                <w:bCs/>
                <w:color w:val="auto"/>
                <w:szCs w:val="21"/>
                <w:highlight w:val="none"/>
              </w:rPr>
            </w:pPr>
            <w:r>
              <w:rPr>
                <w:color w:val="auto"/>
                <w:kern w:val="0"/>
                <w:sz w:val="24"/>
                <w:szCs w:val="20"/>
                <w:highlight w:val="none"/>
              </w:rPr>
              <w:drawing>
                <wp:inline distT="0" distB="0" distL="114300" distR="114300">
                  <wp:extent cx="3314700" cy="762000"/>
                  <wp:effectExtent l="0" t="0" r="0" b="0"/>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24"/>
                          <a:stretch>
                            <a:fillRect/>
                          </a:stretch>
                        </pic:blipFill>
                        <pic:spPr>
                          <a:xfrm>
                            <a:off x="0" y="0"/>
                            <a:ext cx="3314700" cy="762000"/>
                          </a:xfrm>
                          <a:prstGeom prst="rect">
                            <a:avLst/>
                          </a:prstGeom>
                          <a:noFill/>
                          <a:ln>
                            <a:noFill/>
                          </a:ln>
                        </pic:spPr>
                      </pic:pic>
                    </a:graphicData>
                  </a:graphic>
                </wp:inline>
              </w:drawing>
            </w:r>
          </w:p>
          <w:p w14:paraId="7844E6FE">
            <w:pPr>
              <w:adjustRightInd w:val="0"/>
              <w:snapToGrid w:val="0"/>
              <w:spacing w:line="360" w:lineRule="auto"/>
              <w:ind w:firstLine="480" w:firstLineChars="200"/>
              <w:rPr>
                <w:bCs/>
                <w:color w:val="auto"/>
                <w:sz w:val="24"/>
                <w:highlight w:val="none"/>
              </w:rPr>
            </w:pPr>
            <w:r>
              <w:rPr>
                <w:bCs/>
                <w:color w:val="auto"/>
                <w:sz w:val="24"/>
                <w:highlight w:val="none"/>
              </w:rPr>
              <w:t>式中：E</w:t>
            </w:r>
            <w:r>
              <w:rPr>
                <w:bCs/>
                <w:color w:val="auto"/>
                <w:sz w:val="24"/>
                <w:highlight w:val="none"/>
                <w:vertAlign w:val="subscript"/>
              </w:rPr>
              <w:t>UPi</w:t>
            </w:r>
            <w:r>
              <w:rPr>
                <w:bCs/>
                <w:color w:val="auto"/>
                <w:sz w:val="24"/>
                <w:highlight w:val="none"/>
              </w:rPr>
              <w:t>—</w:t>
            </w:r>
            <w:r>
              <w:rPr>
                <w:rFonts w:hint="eastAsia"/>
                <w:bCs/>
                <w:color w:val="auto"/>
                <w:sz w:val="24"/>
                <w:highlight w:val="none"/>
                <w:lang w:val="en-US" w:eastAsia="zh-CN"/>
              </w:rPr>
              <w:t>未</w:t>
            </w:r>
            <w:r>
              <w:rPr>
                <w:bCs/>
                <w:color w:val="auto"/>
                <w:sz w:val="24"/>
                <w:highlight w:val="none"/>
              </w:rPr>
              <w:t>铺装道路扬尘中PMi排放系数，g/km；</w:t>
            </w:r>
          </w:p>
          <w:p w14:paraId="1CC7CF89">
            <w:pPr>
              <w:adjustRightInd w:val="0"/>
              <w:snapToGrid w:val="0"/>
              <w:spacing w:line="360" w:lineRule="auto"/>
              <w:ind w:firstLine="1200" w:firstLineChars="500"/>
              <w:rPr>
                <w:bCs/>
                <w:color w:val="auto"/>
                <w:sz w:val="24"/>
                <w:highlight w:val="none"/>
              </w:rPr>
            </w:pPr>
            <w:r>
              <w:rPr>
                <w:bCs/>
                <w:color w:val="auto"/>
                <w:sz w:val="24"/>
                <w:highlight w:val="none"/>
              </w:rPr>
              <w:t>k</w:t>
            </w:r>
            <w:r>
              <w:rPr>
                <w:bCs/>
                <w:color w:val="auto"/>
                <w:sz w:val="24"/>
                <w:highlight w:val="none"/>
                <w:vertAlign w:val="subscript"/>
              </w:rPr>
              <w:t>i</w:t>
            </w:r>
            <w:r>
              <w:rPr>
                <w:bCs/>
                <w:color w:val="auto"/>
                <w:sz w:val="24"/>
                <w:highlight w:val="none"/>
              </w:rPr>
              <w:t>—产生的扬尘中PMi的粒度乘数，TSP取1691.4g/km；a取0.3，b取0.3；</w:t>
            </w:r>
          </w:p>
          <w:p w14:paraId="57775A1C">
            <w:pPr>
              <w:adjustRightInd w:val="0"/>
              <w:snapToGrid w:val="0"/>
              <w:spacing w:line="360" w:lineRule="auto"/>
              <w:ind w:firstLine="1200" w:firstLineChars="500"/>
              <w:rPr>
                <w:bCs/>
                <w:color w:val="auto"/>
                <w:sz w:val="24"/>
                <w:highlight w:val="none"/>
              </w:rPr>
            </w:pPr>
            <w:r>
              <w:rPr>
                <w:bCs/>
                <w:color w:val="auto"/>
                <w:sz w:val="24"/>
                <w:highlight w:val="none"/>
              </w:rPr>
              <w:t>s—道路表面有效积尘率，取40%；</w:t>
            </w:r>
          </w:p>
          <w:p w14:paraId="67ABD664">
            <w:pPr>
              <w:adjustRightInd w:val="0"/>
              <w:snapToGrid w:val="0"/>
              <w:spacing w:line="360" w:lineRule="auto"/>
              <w:ind w:firstLine="1200" w:firstLineChars="500"/>
              <w:rPr>
                <w:bCs/>
                <w:color w:val="auto"/>
                <w:sz w:val="24"/>
                <w:highlight w:val="none"/>
              </w:rPr>
            </w:pPr>
            <w:r>
              <w:rPr>
                <w:bCs/>
                <w:color w:val="auto"/>
                <w:sz w:val="24"/>
                <w:highlight w:val="none"/>
              </w:rPr>
              <w:t>v—平均车速，取15km/h；</w:t>
            </w:r>
          </w:p>
          <w:p w14:paraId="550EC615">
            <w:pPr>
              <w:adjustRightInd w:val="0"/>
              <w:snapToGrid w:val="0"/>
              <w:spacing w:line="360" w:lineRule="auto"/>
              <w:ind w:firstLine="1200" w:firstLineChars="500"/>
              <w:rPr>
                <w:bCs/>
                <w:color w:val="auto"/>
                <w:sz w:val="24"/>
                <w:highlight w:val="none"/>
              </w:rPr>
            </w:pPr>
            <w:r>
              <w:rPr>
                <w:bCs/>
                <w:color w:val="auto"/>
                <w:sz w:val="24"/>
                <w:highlight w:val="none"/>
              </w:rPr>
              <w:t>M—道路积尘含水率，取10%；</w:t>
            </w:r>
          </w:p>
          <w:p w14:paraId="0311E08F">
            <w:pPr>
              <w:adjustRightInd w:val="0"/>
              <w:snapToGrid w:val="0"/>
              <w:spacing w:line="360" w:lineRule="auto"/>
              <w:ind w:firstLine="1200" w:firstLineChars="500"/>
              <w:rPr>
                <w:bCs/>
                <w:color w:val="auto"/>
                <w:sz w:val="24"/>
                <w:highlight w:val="none"/>
              </w:rPr>
            </w:pPr>
            <w:r>
              <w:rPr>
                <w:bCs/>
                <w:color w:val="auto"/>
                <w:sz w:val="24"/>
                <w:highlight w:val="none"/>
              </w:rPr>
              <w:t>η—污染控制技术对扬尘的去除效率，本项目采取洒水2次/天，根据</w:t>
            </w:r>
            <w:r>
              <w:rPr>
                <w:rFonts w:hint="eastAsia"/>
                <w:bCs/>
                <w:color w:val="auto"/>
                <w:sz w:val="24"/>
                <w:highlight w:val="none"/>
                <w:lang w:eastAsia="zh-CN"/>
              </w:rPr>
              <w:t>《扬尘源颗粒物排放清单编制技术指南（试行）》</w:t>
            </w:r>
            <w:r>
              <w:rPr>
                <w:bCs/>
                <w:color w:val="auto"/>
                <w:sz w:val="24"/>
                <w:highlight w:val="none"/>
              </w:rPr>
              <w:t>，去除效率取66%。</w:t>
            </w:r>
          </w:p>
          <w:p w14:paraId="55558E79">
            <w:pPr>
              <w:adjustRightInd w:val="0"/>
              <w:snapToGrid w:val="0"/>
              <w:spacing w:line="360" w:lineRule="auto"/>
              <w:ind w:firstLine="480" w:firstLineChars="200"/>
              <w:rPr>
                <w:bCs/>
                <w:color w:val="auto"/>
                <w:sz w:val="24"/>
                <w:highlight w:val="none"/>
              </w:rPr>
            </w:pPr>
            <w:r>
              <w:rPr>
                <w:bCs/>
                <w:color w:val="auto"/>
                <w:sz w:val="24"/>
                <w:highlight w:val="none"/>
              </w:rPr>
              <w:t>通过计算，未铺装道路扬尘量为25.23g/km。项目厂区内道路长度</w:t>
            </w:r>
            <w:r>
              <w:rPr>
                <w:rFonts w:hint="eastAsia"/>
                <w:bCs/>
                <w:color w:val="auto"/>
                <w:sz w:val="24"/>
                <w:highlight w:val="none"/>
                <w:lang w:val="en-US" w:eastAsia="zh-CN"/>
              </w:rPr>
              <w:t>0.15</w:t>
            </w:r>
            <w:r>
              <w:rPr>
                <w:bCs/>
                <w:color w:val="auto"/>
                <w:sz w:val="24"/>
                <w:highlight w:val="none"/>
              </w:rPr>
              <w:t>km，运输车辆载重按</w:t>
            </w:r>
            <w:r>
              <w:rPr>
                <w:rFonts w:hint="eastAsia"/>
                <w:bCs/>
                <w:color w:val="auto"/>
                <w:sz w:val="24"/>
                <w:highlight w:val="none"/>
                <w:lang w:val="en-US" w:eastAsia="zh-CN"/>
              </w:rPr>
              <w:t>2</w:t>
            </w:r>
            <w:r>
              <w:rPr>
                <w:bCs/>
                <w:color w:val="auto"/>
                <w:sz w:val="24"/>
                <w:highlight w:val="none"/>
              </w:rPr>
              <w:t>0t/辆计，项目运输</w:t>
            </w:r>
            <w:r>
              <w:rPr>
                <w:rFonts w:hint="eastAsia"/>
                <w:bCs/>
                <w:color w:val="auto"/>
                <w:sz w:val="24"/>
                <w:highlight w:val="none"/>
                <w:lang w:val="en-US" w:eastAsia="zh-CN"/>
              </w:rPr>
              <w:t>煤炭</w:t>
            </w:r>
            <w:r>
              <w:rPr>
                <w:bCs/>
                <w:color w:val="auto"/>
                <w:sz w:val="24"/>
                <w:highlight w:val="none"/>
              </w:rPr>
              <w:t>约为</w:t>
            </w:r>
            <w:r>
              <w:rPr>
                <w:rFonts w:hint="eastAsia"/>
                <w:bCs/>
                <w:color w:val="auto"/>
                <w:sz w:val="24"/>
                <w:highlight w:val="none"/>
                <w:lang w:val="en-US" w:eastAsia="zh-CN"/>
              </w:rPr>
              <w:t>8000</w:t>
            </w:r>
            <w:r>
              <w:rPr>
                <w:bCs/>
                <w:color w:val="auto"/>
                <w:sz w:val="24"/>
                <w:highlight w:val="none"/>
              </w:rPr>
              <w:t>t/a，因此运输次数为</w:t>
            </w:r>
            <w:r>
              <w:rPr>
                <w:rFonts w:hint="eastAsia"/>
                <w:bCs/>
                <w:color w:val="auto"/>
                <w:sz w:val="24"/>
                <w:highlight w:val="none"/>
                <w:lang w:val="en-US" w:eastAsia="zh-CN"/>
              </w:rPr>
              <w:t>400</w:t>
            </w:r>
            <w:r>
              <w:rPr>
                <w:bCs/>
                <w:color w:val="auto"/>
                <w:sz w:val="24"/>
                <w:highlight w:val="none"/>
              </w:rPr>
              <w:t>次/a。物料运输车辆全部采用苫布覆盖，控制车速，厂区内每天洒水两次，降尘效率66%，本项目</w:t>
            </w:r>
            <w:r>
              <w:rPr>
                <w:rFonts w:hint="eastAsia"/>
                <w:bCs/>
                <w:color w:val="auto"/>
                <w:sz w:val="24"/>
                <w:highlight w:val="none"/>
                <w:lang w:val="en-US" w:eastAsia="zh-CN"/>
              </w:rPr>
              <w:t>车辆</w:t>
            </w:r>
            <w:r>
              <w:rPr>
                <w:bCs/>
                <w:color w:val="auto"/>
                <w:sz w:val="24"/>
                <w:highlight w:val="none"/>
              </w:rPr>
              <w:t>运输粉尘</w:t>
            </w:r>
            <w:r>
              <w:rPr>
                <w:rFonts w:hint="eastAsia"/>
                <w:bCs/>
                <w:color w:val="auto"/>
                <w:sz w:val="24"/>
                <w:highlight w:val="none"/>
                <w:lang w:val="en-US" w:eastAsia="zh-CN"/>
              </w:rPr>
              <w:t>排放</w:t>
            </w:r>
            <w:r>
              <w:rPr>
                <w:bCs/>
                <w:color w:val="auto"/>
                <w:sz w:val="24"/>
                <w:highlight w:val="none"/>
              </w:rPr>
              <w:t>量为</w:t>
            </w:r>
            <w:r>
              <w:rPr>
                <w:rFonts w:hint="eastAsia"/>
                <w:bCs/>
                <w:color w:val="auto"/>
                <w:sz w:val="24"/>
                <w:highlight w:val="none"/>
              </w:rPr>
              <w:t>0.</w:t>
            </w:r>
            <w:r>
              <w:rPr>
                <w:rFonts w:hint="eastAsia"/>
                <w:bCs/>
                <w:color w:val="auto"/>
                <w:sz w:val="24"/>
                <w:highlight w:val="none"/>
                <w:lang w:val="en-US" w:eastAsia="zh-CN"/>
              </w:rPr>
              <w:t>0032</w:t>
            </w:r>
            <w:r>
              <w:rPr>
                <w:bCs/>
                <w:color w:val="auto"/>
                <w:sz w:val="24"/>
                <w:highlight w:val="none"/>
              </w:rPr>
              <w:t>t/a，物料</w:t>
            </w:r>
            <w:r>
              <w:rPr>
                <w:rFonts w:hint="eastAsia"/>
                <w:bCs/>
                <w:color w:val="auto"/>
                <w:sz w:val="24"/>
                <w:highlight w:val="none"/>
                <w:lang w:val="en-US" w:eastAsia="zh-CN"/>
              </w:rPr>
              <w:t>运输</w:t>
            </w:r>
            <w:r>
              <w:rPr>
                <w:bCs/>
                <w:color w:val="auto"/>
                <w:sz w:val="24"/>
                <w:highlight w:val="none"/>
              </w:rPr>
              <w:t>过程中粉尘产生量</w:t>
            </w:r>
            <w:r>
              <w:rPr>
                <w:rFonts w:hint="eastAsia"/>
                <w:bCs/>
                <w:color w:val="auto"/>
                <w:sz w:val="24"/>
                <w:highlight w:val="none"/>
                <w:lang w:val="en-US" w:eastAsia="zh-CN"/>
              </w:rPr>
              <w:t>0.0094t/a</w:t>
            </w:r>
            <w:r>
              <w:rPr>
                <w:bCs/>
                <w:color w:val="auto"/>
                <w:sz w:val="24"/>
                <w:highlight w:val="none"/>
              </w:rPr>
              <w:t>。</w:t>
            </w:r>
          </w:p>
          <w:p w14:paraId="473BF185">
            <w:pPr>
              <w:adjustRightInd w:val="0"/>
              <w:snapToGrid w:val="0"/>
              <w:jc w:val="center"/>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表4-1  废气源强核算表</w:t>
            </w:r>
          </w:p>
          <w:tbl>
            <w:tblPr>
              <w:tblStyle w:val="17"/>
              <w:tblW w:w="0" w:type="auto"/>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4"/>
              <w:gridCol w:w="492"/>
              <w:gridCol w:w="701"/>
              <w:gridCol w:w="645"/>
              <w:gridCol w:w="825"/>
              <w:gridCol w:w="524"/>
              <w:gridCol w:w="1700"/>
              <w:gridCol w:w="454"/>
              <w:gridCol w:w="652"/>
              <w:gridCol w:w="698"/>
              <w:gridCol w:w="778"/>
              <w:gridCol w:w="794"/>
            </w:tblGrid>
            <w:tr w14:paraId="2342D9C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24" w:type="dxa"/>
                  <w:vMerge w:val="restart"/>
                  <w:noWrap w:val="0"/>
                  <w:vAlign w:val="center"/>
                </w:tcPr>
                <w:p w14:paraId="21D30787">
                  <w:pPr>
                    <w:jc w:val="center"/>
                    <w:rPr>
                      <w:color w:val="auto"/>
                      <w:kern w:val="0"/>
                      <w:szCs w:val="21"/>
                      <w:highlight w:val="none"/>
                    </w:rPr>
                  </w:pPr>
                  <w:r>
                    <w:rPr>
                      <w:color w:val="auto"/>
                      <w:kern w:val="0"/>
                      <w:szCs w:val="21"/>
                      <w:highlight w:val="none"/>
                    </w:rPr>
                    <w:t>排放源</w:t>
                  </w:r>
                </w:p>
              </w:tc>
              <w:tc>
                <w:tcPr>
                  <w:tcW w:w="492" w:type="dxa"/>
                  <w:vMerge w:val="restart"/>
                  <w:noWrap w:val="0"/>
                  <w:vAlign w:val="center"/>
                </w:tcPr>
                <w:p w14:paraId="7F765018">
                  <w:pPr>
                    <w:jc w:val="center"/>
                    <w:rPr>
                      <w:color w:val="auto"/>
                      <w:szCs w:val="21"/>
                      <w:highlight w:val="none"/>
                    </w:rPr>
                  </w:pPr>
                  <w:r>
                    <w:rPr>
                      <w:color w:val="auto"/>
                      <w:kern w:val="0"/>
                      <w:szCs w:val="21"/>
                      <w:highlight w:val="none"/>
                    </w:rPr>
                    <w:t>污染物</w:t>
                  </w:r>
                </w:p>
              </w:tc>
              <w:tc>
                <w:tcPr>
                  <w:tcW w:w="2695" w:type="dxa"/>
                  <w:gridSpan w:val="4"/>
                  <w:noWrap w:val="0"/>
                  <w:vAlign w:val="center"/>
                </w:tcPr>
                <w:p w14:paraId="7C02FD7A">
                  <w:pPr>
                    <w:jc w:val="center"/>
                    <w:rPr>
                      <w:color w:val="auto"/>
                      <w:szCs w:val="21"/>
                      <w:highlight w:val="none"/>
                    </w:rPr>
                  </w:pPr>
                  <w:r>
                    <w:rPr>
                      <w:color w:val="auto"/>
                      <w:kern w:val="0"/>
                      <w:szCs w:val="21"/>
                      <w:highlight w:val="none"/>
                    </w:rPr>
                    <w:t>污染物产生</w:t>
                  </w:r>
                </w:p>
              </w:tc>
              <w:tc>
                <w:tcPr>
                  <w:tcW w:w="2154" w:type="dxa"/>
                  <w:gridSpan w:val="2"/>
                  <w:noWrap w:val="0"/>
                  <w:vAlign w:val="center"/>
                </w:tcPr>
                <w:p w14:paraId="3DB9D56B">
                  <w:pPr>
                    <w:jc w:val="center"/>
                    <w:rPr>
                      <w:color w:val="auto"/>
                      <w:szCs w:val="21"/>
                      <w:highlight w:val="none"/>
                    </w:rPr>
                  </w:pPr>
                  <w:r>
                    <w:rPr>
                      <w:color w:val="auto"/>
                      <w:kern w:val="0"/>
                      <w:szCs w:val="21"/>
                      <w:highlight w:val="none"/>
                    </w:rPr>
                    <w:t>治理措施</w:t>
                  </w:r>
                </w:p>
              </w:tc>
              <w:tc>
                <w:tcPr>
                  <w:tcW w:w="2922" w:type="dxa"/>
                  <w:gridSpan w:val="4"/>
                  <w:noWrap w:val="0"/>
                  <w:vAlign w:val="center"/>
                </w:tcPr>
                <w:p w14:paraId="74421262">
                  <w:pPr>
                    <w:jc w:val="center"/>
                    <w:rPr>
                      <w:color w:val="auto"/>
                      <w:szCs w:val="21"/>
                      <w:highlight w:val="none"/>
                    </w:rPr>
                  </w:pPr>
                  <w:r>
                    <w:rPr>
                      <w:color w:val="auto"/>
                      <w:kern w:val="0"/>
                      <w:szCs w:val="21"/>
                      <w:highlight w:val="none"/>
                    </w:rPr>
                    <w:t>污染物排放</w:t>
                  </w:r>
                </w:p>
              </w:tc>
            </w:tr>
            <w:tr w14:paraId="5480418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1" w:hRule="atLeast"/>
                <w:jc w:val="center"/>
              </w:trPr>
              <w:tc>
                <w:tcPr>
                  <w:tcW w:w="524" w:type="dxa"/>
                  <w:vMerge w:val="continue"/>
                  <w:noWrap w:val="0"/>
                  <w:vAlign w:val="center"/>
                </w:tcPr>
                <w:p w14:paraId="533CAB42">
                  <w:pPr>
                    <w:jc w:val="center"/>
                    <w:rPr>
                      <w:color w:val="auto"/>
                      <w:szCs w:val="21"/>
                      <w:highlight w:val="none"/>
                    </w:rPr>
                  </w:pPr>
                </w:p>
              </w:tc>
              <w:tc>
                <w:tcPr>
                  <w:tcW w:w="492" w:type="dxa"/>
                  <w:vMerge w:val="continue"/>
                  <w:noWrap w:val="0"/>
                  <w:vAlign w:val="center"/>
                </w:tcPr>
                <w:p w14:paraId="3644FD16">
                  <w:pPr>
                    <w:jc w:val="center"/>
                    <w:rPr>
                      <w:color w:val="auto"/>
                      <w:szCs w:val="21"/>
                      <w:highlight w:val="none"/>
                    </w:rPr>
                  </w:pPr>
                </w:p>
              </w:tc>
              <w:tc>
                <w:tcPr>
                  <w:tcW w:w="701" w:type="dxa"/>
                  <w:noWrap w:val="0"/>
                  <w:vAlign w:val="center"/>
                </w:tcPr>
                <w:p w14:paraId="79A18B9D">
                  <w:pPr>
                    <w:jc w:val="center"/>
                    <w:rPr>
                      <w:color w:val="auto"/>
                      <w:szCs w:val="21"/>
                      <w:highlight w:val="none"/>
                    </w:rPr>
                  </w:pPr>
                  <w:r>
                    <w:rPr>
                      <w:color w:val="auto"/>
                      <w:kern w:val="0"/>
                      <w:szCs w:val="21"/>
                      <w:highlight w:val="none"/>
                    </w:rPr>
                    <w:t>核算方法</w:t>
                  </w:r>
                </w:p>
              </w:tc>
              <w:tc>
                <w:tcPr>
                  <w:tcW w:w="645" w:type="dxa"/>
                  <w:noWrap w:val="0"/>
                  <w:vAlign w:val="center"/>
                </w:tcPr>
                <w:p w14:paraId="2BC9C27E">
                  <w:pPr>
                    <w:jc w:val="center"/>
                    <w:rPr>
                      <w:color w:val="auto"/>
                      <w:szCs w:val="21"/>
                      <w:highlight w:val="none"/>
                    </w:rPr>
                  </w:pPr>
                  <w:r>
                    <w:rPr>
                      <w:color w:val="auto"/>
                      <w:kern w:val="0"/>
                      <w:szCs w:val="21"/>
                      <w:highlight w:val="none"/>
                    </w:rPr>
                    <w:t>废气量m</w:t>
                  </w:r>
                  <w:r>
                    <w:rPr>
                      <w:color w:val="auto"/>
                      <w:kern w:val="0"/>
                      <w:szCs w:val="21"/>
                      <w:highlight w:val="none"/>
                      <w:vertAlign w:val="superscript"/>
                    </w:rPr>
                    <w:t>3</w:t>
                  </w:r>
                  <w:r>
                    <w:rPr>
                      <w:color w:val="auto"/>
                      <w:kern w:val="0"/>
                      <w:szCs w:val="21"/>
                      <w:highlight w:val="none"/>
                    </w:rPr>
                    <w:t>/h</w:t>
                  </w:r>
                </w:p>
              </w:tc>
              <w:tc>
                <w:tcPr>
                  <w:tcW w:w="825" w:type="dxa"/>
                  <w:noWrap w:val="0"/>
                  <w:vAlign w:val="center"/>
                </w:tcPr>
                <w:p w14:paraId="5A287368">
                  <w:pPr>
                    <w:jc w:val="center"/>
                    <w:rPr>
                      <w:color w:val="auto"/>
                      <w:szCs w:val="21"/>
                      <w:highlight w:val="none"/>
                    </w:rPr>
                  </w:pPr>
                  <w:r>
                    <w:rPr>
                      <w:color w:val="auto"/>
                      <w:kern w:val="0"/>
                      <w:szCs w:val="21"/>
                      <w:highlight w:val="none"/>
                    </w:rPr>
                    <w:t>产生浓度mg/m</w:t>
                  </w:r>
                  <w:r>
                    <w:rPr>
                      <w:color w:val="auto"/>
                      <w:kern w:val="0"/>
                      <w:szCs w:val="21"/>
                      <w:highlight w:val="none"/>
                      <w:vertAlign w:val="superscript"/>
                    </w:rPr>
                    <w:t>3</w:t>
                  </w:r>
                </w:p>
              </w:tc>
              <w:tc>
                <w:tcPr>
                  <w:tcW w:w="524" w:type="dxa"/>
                  <w:noWrap w:val="0"/>
                  <w:vAlign w:val="center"/>
                </w:tcPr>
                <w:p w14:paraId="4B252248">
                  <w:pPr>
                    <w:jc w:val="center"/>
                    <w:rPr>
                      <w:color w:val="auto"/>
                      <w:szCs w:val="21"/>
                      <w:highlight w:val="none"/>
                    </w:rPr>
                  </w:pPr>
                  <w:r>
                    <w:rPr>
                      <w:color w:val="auto"/>
                      <w:kern w:val="0"/>
                      <w:szCs w:val="21"/>
                      <w:highlight w:val="none"/>
                    </w:rPr>
                    <w:t>产生量</w:t>
                  </w:r>
                  <w:r>
                    <w:rPr>
                      <w:rFonts w:hint="eastAsia"/>
                      <w:color w:val="auto"/>
                      <w:kern w:val="0"/>
                      <w:szCs w:val="21"/>
                      <w:highlight w:val="none"/>
                    </w:rPr>
                    <w:t>t</w:t>
                  </w:r>
                  <w:r>
                    <w:rPr>
                      <w:color w:val="auto"/>
                      <w:kern w:val="0"/>
                      <w:szCs w:val="21"/>
                      <w:highlight w:val="none"/>
                    </w:rPr>
                    <w:t>/a</w:t>
                  </w:r>
                </w:p>
              </w:tc>
              <w:tc>
                <w:tcPr>
                  <w:tcW w:w="1700" w:type="dxa"/>
                  <w:noWrap w:val="0"/>
                  <w:vAlign w:val="center"/>
                </w:tcPr>
                <w:p w14:paraId="4A43FD45">
                  <w:pPr>
                    <w:jc w:val="center"/>
                    <w:rPr>
                      <w:color w:val="auto"/>
                      <w:szCs w:val="21"/>
                      <w:highlight w:val="none"/>
                    </w:rPr>
                  </w:pPr>
                  <w:r>
                    <w:rPr>
                      <w:color w:val="auto"/>
                      <w:kern w:val="0"/>
                      <w:szCs w:val="21"/>
                      <w:highlight w:val="none"/>
                    </w:rPr>
                    <w:t>工艺</w:t>
                  </w:r>
                </w:p>
              </w:tc>
              <w:tc>
                <w:tcPr>
                  <w:tcW w:w="454" w:type="dxa"/>
                  <w:noWrap w:val="0"/>
                  <w:vAlign w:val="center"/>
                </w:tcPr>
                <w:p w14:paraId="4CA6BE17">
                  <w:pPr>
                    <w:jc w:val="center"/>
                    <w:rPr>
                      <w:color w:val="auto"/>
                      <w:szCs w:val="21"/>
                      <w:highlight w:val="none"/>
                    </w:rPr>
                  </w:pPr>
                  <w:r>
                    <w:rPr>
                      <w:color w:val="auto"/>
                      <w:kern w:val="0"/>
                      <w:szCs w:val="21"/>
                      <w:highlight w:val="none"/>
                    </w:rPr>
                    <w:t>效率</w:t>
                  </w:r>
                </w:p>
              </w:tc>
              <w:tc>
                <w:tcPr>
                  <w:tcW w:w="652" w:type="dxa"/>
                  <w:noWrap w:val="0"/>
                  <w:vAlign w:val="center"/>
                </w:tcPr>
                <w:p w14:paraId="499779C7">
                  <w:pPr>
                    <w:jc w:val="center"/>
                    <w:rPr>
                      <w:color w:val="auto"/>
                      <w:szCs w:val="21"/>
                      <w:highlight w:val="none"/>
                    </w:rPr>
                  </w:pPr>
                  <w:r>
                    <w:rPr>
                      <w:color w:val="auto"/>
                      <w:kern w:val="0"/>
                      <w:szCs w:val="21"/>
                      <w:highlight w:val="none"/>
                    </w:rPr>
                    <w:t>核算方法</w:t>
                  </w:r>
                </w:p>
              </w:tc>
              <w:tc>
                <w:tcPr>
                  <w:tcW w:w="698" w:type="dxa"/>
                  <w:noWrap w:val="0"/>
                  <w:vAlign w:val="center"/>
                </w:tcPr>
                <w:p w14:paraId="354DA9DE">
                  <w:pPr>
                    <w:jc w:val="center"/>
                    <w:rPr>
                      <w:color w:val="auto"/>
                      <w:szCs w:val="21"/>
                      <w:highlight w:val="none"/>
                    </w:rPr>
                  </w:pPr>
                  <w:r>
                    <w:rPr>
                      <w:color w:val="auto"/>
                      <w:kern w:val="0"/>
                      <w:szCs w:val="21"/>
                      <w:highlight w:val="none"/>
                    </w:rPr>
                    <w:t>废气量m</w:t>
                  </w:r>
                  <w:r>
                    <w:rPr>
                      <w:color w:val="auto"/>
                      <w:kern w:val="0"/>
                      <w:szCs w:val="21"/>
                      <w:highlight w:val="none"/>
                      <w:vertAlign w:val="superscript"/>
                    </w:rPr>
                    <w:t>3</w:t>
                  </w:r>
                  <w:r>
                    <w:rPr>
                      <w:color w:val="auto"/>
                      <w:kern w:val="0"/>
                      <w:szCs w:val="21"/>
                      <w:highlight w:val="none"/>
                    </w:rPr>
                    <w:t>/h</w:t>
                  </w:r>
                </w:p>
              </w:tc>
              <w:tc>
                <w:tcPr>
                  <w:tcW w:w="778" w:type="dxa"/>
                  <w:noWrap w:val="0"/>
                  <w:vAlign w:val="center"/>
                </w:tcPr>
                <w:p w14:paraId="6C6A32C8">
                  <w:pPr>
                    <w:jc w:val="center"/>
                    <w:rPr>
                      <w:color w:val="auto"/>
                      <w:kern w:val="0"/>
                      <w:szCs w:val="21"/>
                      <w:highlight w:val="none"/>
                    </w:rPr>
                  </w:pPr>
                  <w:r>
                    <w:rPr>
                      <w:color w:val="auto"/>
                      <w:kern w:val="0"/>
                      <w:szCs w:val="21"/>
                      <w:highlight w:val="none"/>
                    </w:rPr>
                    <w:t>排放</w:t>
                  </w:r>
                </w:p>
                <w:p w14:paraId="51B0DB5A">
                  <w:pPr>
                    <w:jc w:val="center"/>
                    <w:rPr>
                      <w:color w:val="auto"/>
                      <w:szCs w:val="21"/>
                      <w:highlight w:val="none"/>
                    </w:rPr>
                  </w:pPr>
                  <w:r>
                    <w:rPr>
                      <w:color w:val="auto"/>
                      <w:kern w:val="0"/>
                      <w:szCs w:val="21"/>
                      <w:highlight w:val="none"/>
                    </w:rPr>
                    <w:t>浓度mg/m</w:t>
                  </w:r>
                  <w:r>
                    <w:rPr>
                      <w:color w:val="auto"/>
                      <w:kern w:val="0"/>
                      <w:szCs w:val="21"/>
                      <w:highlight w:val="none"/>
                      <w:vertAlign w:val="superscript"/>
                    </w:rPr>
                    <w:t>3</w:t>
                  </w:r>
                </w:p>
              </w:tc>
              <w:tc>
                <w:tcPr>
                  <w:tcW w:w="794" w:type="dxa"/>
                  <w:noWrap w:val="0"/>
                  <w:vAlign w:val="center"/>
                </w:tcPr>
                <w:p w14:paraId="39CA519D">
                  <w:pPr>
                    <w:jc w:val="center"/>
                    <w:rPr>
                      <w:color w:val="auto"/>
                      <w:szCs w:val="21"/>
                      <w:highlight w:val="none"/>
                    </w:rPr>
                  </w:pPr>
                  <w:r>
                    <w:rPr>
                      <w:color w:val="auto"/>
                      <w:kern w:val="0"/>
                      <w:szCs w:val="21"/>
                      <w:highlight w:val="none"/>
                    </w:rPr>
                    <w:t>排放量</w:t>
                  </w:r>
                  <w:r>
                    <w:rPr>
                      <w:rFonts w:hint="eastAsia"/>
                      <w:color w:val="auto"/>
                      <w:kern w:val="0"/>
                      <w:szCs w:val="21"/>
                      <w:highlight w:val="none"/>
                    </w:rPr>
                    <w:t>t</w:t>
                  </w:r>
                  <w:r>
                    <w:rPr>
                      <w:color w:val="auto"/>
                      <w:kern w:val="0"/>
                      <w:szCs w:val="21"/>
                      <w:highlight w:val="none"/>
                    </w:rPr>
                    <w:t>/a</w:t>
                  </w:r>
                </w:p>
              </w:tc>
            </w:tr>
            <w:tr w14:paraId="3C30D1B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24" w:type="dxa"/>
                  <w:noWrap w:val="0"/>
                  <w:vAlign w:val="center"/>
                </w:tcPr>
                <w:p w14:paraId="2F55AFAA">
                  <w:pPr>
                    <w:pStyle w:val="31"/>
                    <w:rPr>
                      <w:rFonts w:hint="eastAsia"/>
                      <w:color w:val="auto"/>
                      <w:szCs w:val="21"/>
                      <w:highlight w:val="none"/>
                    </w:rPr>
                  </w:pPr>
                  <w:r>
                    <w:rPr>
                      <w:rFonts w:hint="eastAsia"/>
                      <w:color w:val="auto"/>
                      <w:szCs w:val="21"/>
                      <w:highlight w:val="none"/>
                      <w:lang w:val="en-US" w:eastAsia="zh-CN"/>
                    </w:rPr>
                    <w:t>堆场扬尘</w:t>
                  </w:r>
                </w:p>
              </w:tc>
              <w:tc>
                <w:tcPr>
                  <w:tcW w:w="492" w:type="dxa"/>
                  <w:noWrap w:val="0"/>
                  <w:vAlign w:val="center"/>
                </w:tcPr>
                <w:p w14:paraId="2AFF06FE">
                  <w:pPr>
                    <w:rPr>
                      <w:rFonts w:hint="eastAsia"/>
                      <w:color w:val="auto"/>
                      <w:szCs w:val="21"/>
                      <w:highlight w:val="none"/>
                    </w:rPr>
                  </w:pPr>
                  <w:r>
                    <w:rPr>
                      <w:rFonts w:hint="eastAsia"/>
                      <w:color w:val="auto"/>
                      <w:szCs w:val="21"/>
                      <w:highlight w:val="none"/>
                    </w:rPr>
                    <w:t>颗粒物</w:t>
                  </w:r>
                </w:p>
              </w:tc>
              <w:tc>
                <w:tcPr>
                  <w:tcW w:w="701" w:type="dxa"/>
                  <w:noWrap w:val="0"/>
                  <w:vAlign w:val="center"/>
                </w:tcPr>
                <w:p w14:paraId="14E42CCF">
                  <w:pPr>
                    <w:jc w:val="center"/>
                    <w:rPr>
                      <w:color w:val="auto"/>
                      <w:szCs w:val="21"/>
                      <w:highlight w:val="none"/>
                    </w:rPr>
                  </w:pPr>
                  <w:r>
                    <w:rPr>
                      <w:rFonts w:hint="eastAsia"/>
                      <w:color w:val="auto"/>
                      <w:szCs w:val="21"/>
                      <w:highlight w:val="none"/>
                    </w:rPr>
                    <w:t>系数法</w:t>
                  </w:r>
                </w:p>
              </w:tc>
              <w:tc>
                <w:tcPr>
                  <w:tcW w:w="645" w:type="dxa"/>
                  <w:noWrap w:val="0"/>
                  <w:vAlign w:val="center"/>
                </w:tcPr>
                <w:p w14:paraId="6211ECA8">
                  <w:pPr>
                    <w:jc w:val="center"/>
                    <w:rPr>
                      <w:color w:val="auto"/>
                      <w:szCs w:val="21"/>
                      <w:highlight w:val="none"/>
                    </w:rPr>
                  </w:pPr>
                  <w:r>
                    <w:rPr>
                      <w:rFonts w:hint="eastAsia"/>
                      <w:color w:val="auto"/>
                      <w:szCs w:val="21"/>
                      <w:highlight w:val="none"/>
                    </w:rPr>
                    <w:t>-</w:t>
                  </w:r>
                </w:p>
              </w:tc>
              <w:tc>
                <w:tcPr>
                  <w:tcW w:w="825" w:type="dxa"/>
                  <w:noWrap w:val="0"/>
                  <w:vAlign w:val="center"/>
                </w:tcPr>
                <w:p w14:paraId="5ADE3C3A">
                  <w:pPr>
                    <w:jc w:val="center"/>
                    <w:rPr>
                      <w:color w:val="auto"/>
                      <w:szCs w:val="21"/>
                      <w:highlight w:val="none"/>
                    </w:rPr>
                  </w:pPr>
                  <w:r>
                    <w:rPr>
                      <w:rFonts w:hint="eastAsia"/>
                      <w:color w:val="auto"/>
                      <w:szCs w:val="21"/>
                      <w:highlight w:val="none"/>
                    </w:rPr>
                    <w:t>-</w:t>
                  </w:r>
                </w:p>
              </w:tc>
              <w:tc>
                <w:tcPr>
                  <w:tcW w:w="524" w:type="dxa"/>
                  <w:noWrap w:val="0"/>
                  <w:vAlign w:val="center"/>
                </w:tcPr>
                <w:p w14:paraId="4E12F839">
                  <w:pPr>
                    <w:jc w:val="center"/>
                    <w:rPr>
                      <w:rFonts w:hint="default" w:eastAsia="宋体"/>
                      <w:color w:val="auto"/>
                      <w:szCs w:val="21"/>
                      <w:highlight w:val="none"/>
                      <w:lang w:val="en-US" w:eastAsia="zh-CN"/>
                    </w:rPr>
                  </w:pPr>
                  <w:r>
                    <w:rPr>
                      <w:rFonts w:hint="eastAsia"/>
                      <w:color w:val="auto"/>
                      <w:szCs w:val="21"/>
                      <w:highlight w:val="none"/>
                      <w:lang w:val="en-US" w:eastAsia="zh-CN"/>
                    </w:rPr>
                    <w:t>1.304</w:t>
                  </w:r>
                </w:p>
              </w:tc>
              <w:tc>
                <w:tcPr>
                  <w:tcW w:w="1700" w:type="dxa"/>
                  <w:noWrap w:val="0"/>
                  <w:vAlign w:val="center"/>
                </w:tcPr>
                <w:p w14:paraId="196910D8">
                  <w:pPr>
                    <w:jc w:val="center"/>
                    <w:rPr>
                      <w:color w:val="auto"/>
                      <w:szCs w:val="21"/>
                      <w:highlight w:val="none"/>
                    </w:rPr>
                  </w:pPr>
                  <w:r>
                    <w:rPr>
                      <w:rFonts w:hint="eastAsia"/>
                      <w:color w:val="auto"/>
                      <w:kern w:val="0"/>
                      <w:szCs w:val="21"/>
                      <w:highlight w:val="none"/>
                      <w:lang w:val="en-US" w:eastAsia="zh-CN"/>
                    </w:rPr>
                    <w:t>煤炭堆场区域建设闭合防风抑尘网高3m、长120m，孔隙率50%与围墙形成闭合区域，储煤场内堆存煤炭使用绿网进行苫盖，定期洒水降尘</w:t>
                  </w:r>
                  <w:r>
                    <w:rPr>
                      <w:color w:val="auto"/>
                      <w:kern w:val="0"/>
                      <w:szCs w:val="21"/>
                      <w:highlight w:val="none"/>
                    </w:rPr>
                    <w:t>效率</w:t>
                  </w:r>
                </w:p>
              </w:tc>
              <w:tc>
                <w:tcPr>
                  <w:tcW w:w="454" w:type="dxa"/>
                  <w:noWrap w:val="0"/>
                  <w:vAlign w:val="center"/>
                </w:tcPr>
                <w:p w14:paraId="1FCA1750">
                  <w:pPr>
                    <w:jc w:val="center"/>
                    <w:rPr>
                      <w:color w:val="auto"/>
                      <w:kern w:val="0"/>
                      <w:szCs w:val="21"/>
                      <w:highlight w:val="none"/>
                    </w:rPr>
                  </w:pPr>
                  <w:r>
                    <w:rPr>
                      <w:rFonts w:hint="eastAsia"/>
                      <w:color w:val="auto"/>
                      <w:kern w:val="0"/>
                      <w:szCs w:val="21"/>
                      <w:highlight w:val="none"/>
                      <w:lang w:val="en-US" w:eastAsia="zh-CN"/>
                    </w:rPr>
                    <w:t>9</w:t>
                  </w:r>
                  <w:r>
                    <w:rPr>
                      <w:color w:val="auto"/>
                      <w:kern w:val="0"/>
                      <w:szCs w:val="21"/>
                      <w:highlight w:val="none"/>
                    </w:rPr>
                    <w:t>0%</w:t>
                  </w:r>
                </w:p>
              </w:tc>
              <w:tc>
                <w:tcPr>
                  <w:tcW w:w="652" w:type="dxa"/>
                  <w:noWrap w:val="0"/>
                  <w:vAlign w:val="center"/>
                </w:tcPr>
                <w:p w14:paraId="5924753C">
                  <w:pPr>
                    <w:jc w:val="center"/>
                    <w:rPr>
                      <w:rFonts w:hint="eastAsia" w:eastAsia="宋体"/>
                      <w:color w:val="auto"/>
                      <w:szCs w:val="21"/>
                      <w:highlight w:val="none"/>
                      <w:lang w:eastAsia="zh-CN"/>
                    </w:rPr>
                  </w:pPr>
                  <w:r>
                    <w:rPr>
                      <w:rFonts w:hint="eastAsia"/>
                      <w:color w:val="auto"/>
                      <w:szCs w:val="21"/>
                      <w:highlight w:val="none"/>
                      <w:lang w:val="en-US" w:eastAsia="zh-CN"/>
                    </w:rPr>
                    <w:t>系数法</w:t>
                  </w:r>
                </w:p>
              </w:tc>
              <w:tc>
                <w:tcPr>
                  <w:tcW w:w="698" w:type="dxa"/>
                  <w:noWrap w:val="0"/>
                  <w:vAlign w:val="center"/>
                </w:tcPr>
                <w:p w14:paraId="596696F1">
                  <w:pPr>
                    <w:jc w:val="center"/>
                    <w:rPr>
                      <w:color w:val="auto"/>
                      <w:szCs w:val="21"/>
                      <w:highlight w:val="none"/>
                    </w:rPr>
                  </w:pPr>
                  <w:r>
                    <w:rPr>
                      <w:rFonts w:hint="eastAsia"/>
                      <w:color w:val="auto"/>
                      <w:szCs w:val="21"/>
                      <w:highlight w:val="none"/>
                    </w:rPr>
                    <w:t>-</w:t>
                  </w:r>
                </w:p>
              </w:tc>
              <w:tc>
                <w:tcPr>
                  <w:tcW w:w="778" w:type="dxa"/>
                  <w:noWrap w:val="0"/>
                  <w:vAlign w:val="center"/>
                </w:tcPr>
                <w:p w14:paraId="37297F99">
                  <w:pPr>
                    <w:jc w:val="center"/>
                    <w:rPr>
                      <w:color w:val="auto"/>
                      <w:szCs w:val="21"/>
                      <w:highlight w:val="none"/>
                    </w:rPr>
                  </w:pPr>
                  <w:r>
                    <w:rPr>
                      <w:rFonts w:hint="eastAsia"/>
                      <w:color w:val="auto"/>
                      <w:szCs w:val="21"/>
                      <w:highlight w:val="none"/>
                    </w:rPr>
                    <w:t>-</w:t>
                  </w:r>
                </w:p>
              </w:tc>
              <w:tc>
                <w:tcPr>
                  <w:tcW w:w="794" w:type="dxa"/>
                  <w:noWrap w:val="0"/>
                  <w:vAlign w:val="center"/>
                </w:tcPr>
                <w:p w14:paraId="24F57A92">
                  <w:pPr>
                    <w:jc w:val="center"/>
                    <w:rPr>
                      <w:rFonts w:hint="default" w:eastAsia="宋体"/>
                      <w:color w:val="auto"/>
                      <w:szCs w:val="21"/>
                      <w:highlight w:val="none"/>
                      <w:lang w:val="en-US" w:eastAsia="zh-CN"/>
                    </w:rPr>
                  </w:pPr>
                  <w:r>
                    <w:rPr>
                      <w:rFonts w:hint="eastAsia"/>
                      <w:color w:val="auto"/>
                      <w:szCs w:val="21"/>
                      <w:highlight w:val="none"/>
                      <w:lang w:val="en-US" w:eastAsia="zh-CN"/>
                    </w:rPr>
                    <w:t>0.134</w:t>
                  </w:r>
                </w:p>
              </w:tc>
            </w:tr>
            <w:tr w14:paraId="46900CC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24" w:type="dxa"/>
                  <w:noWrap w:val="0"/>
                  <w:vAlign w:val="center"/>
                </w:tcPr>
                <w:p w14:paraId="7E648A68">
                  <w:pPr>
                    <w:rPr>
                      <w:rFonts w:hint="eastAsia"/>
                      <w:color w:val="auto"/>
                      <w:szCs w:val="21"/>
                      <w:highlight w:val="none"/>
                    </w:rPr>
                  </w:pPr>
                  <w:r>
                    <w:rPr>
                      <w:rFonts w:hint="eastAsia"/>
                      <w:color w:val="auto"/>
                      <w:szCs w:val="21"/>
                      <w:highlight w:val="none"/>
                      <w:lang w:val="en-US" w:eastAsia="zh-CN"/>
                    </w:rPr>
                    <w:t>运输扬尘</w:t>
                  </w:r>
                </w:p>
              </w:tc>
              <w:tc>
                <w:tcPr>
                  <w:tcW w:w="492" w:type="dxa"/>
                  <w:noWrap w:val="0"/>
                  <w:vAlign w:val="center"/>
                </w:tcPr>
                <w:p w14:paraId="6627C221">
                  <w:pPr>
                    <w:rPr>
                      <w:rFonts w:hint="eastAsia"/>
                      <w:color w:val="auto"/>
                      <w:szCs w:val="21"/>
                      <w:highlight w:val="none"/>
                    </w:rPr>
                  </w:pPr>
                  <w:r>
                    <w:rPr>
                      <w:rFonts w:hint="eastAsia"/>
                      <w:color w:val="auto"/>
                      <w:szCs w:val="21"/>
                      <w:highlight w:val="none"/>
                    </w:rPr>
                    <w:t>颗粒物</w:t>
                  </w:r>
                </w:p>
              </w:tc>
              <w:tc>
                <w:tcPr>
                  <w:tcW w:w="701" w:type="dxa"/>
                  <w:noWrap w:val="0"/>
                  <w:vAlign w:val="center"/>
                </w:tcPr>
                <w:p w14:paraId="0EE68266">
                  <w:pPr>
                    <w:jc w:val="center"/>
                    <w:rPr>
                      <w:color w:val="auto"/>
                      <w:szCs w:val="21"/>
                      <w:highlight w:val="none"/>
                    </w:rPr>
                  </w:pPr>
                  <w:r>
                    <w:rPr>
                      <w:color w:val="auto"/>
                      <w:szCs w:val="21"/>
                      <w:highlight w:val="none"/>
                    </w:rPr>
                    <w:t>系数法</w:t>
                  </w:r>
                </w:p>
              </w:tc>
              <w:tc>
                <w:tcPr>
                  <w:tcW w:w="645" w:type="dxa"/>
                  <w:noWrap w:val="0"/>
                  <w:vAlign w:val="center"/>
                </w:tcPr>
                <w:p w14:paraId="4AFDD8B4">
                  <w:pPr>
                    <w:jc w:val="center"/>
                    <w:rPr>
                      <w:color w:val="auto"/>
                      <w:szCs w:val="21"/>
                      <w:highlight w:val="none"/>
                    </w:rPr>
                  </w:pPr>
                  <w:r>
                    <w:rPr>
                      <w:rFonts w:hint="eastAsia"/>
                      <w:color w:val="auto"/>
                      <w:szCs w:val="21"/>
                      <w:highlight w:val="none"/>
                    </w:rPr>
                    <w:t>-</w:t>
                  </w:r>
                </w:p>
              </w:tc>
              <w:tc>
                <w:tcPr>
                  <w:tcW w:w="825" w:type="dxa"/>
                  <w:noWrap w:val="0"/>
                  <w:vAlign w:val="center"/>
                </w:tcPr>
                <w:p w14:paraId="275AF82D">
                  <w:pPr>
                    <w:jc w:val="center"/>
                    <w:rPr>
                      <w:color w:val="auto"/>
                      <w:szCs w:val="21"/>
                      <w:highlight w:val="none"/>
                    </w:rPr>
                  </w:pPr>
                  <w:r>
                    <w:rPr>
                      <w:rFonts w:hint="eastAsia"/>
                      <w:color w:val="auto"/>
                      <w:szCs w:val="21"/>
                      <w:highlight w:val="none"/>
                    </w:rPr>
                    <w:t>-</w:t>
                  </w:r>
                </w:p>
              </w:tc>
              <w:tc>
                <w:tcPr>
                  <w:tcW w:w="524" w:type="dxa"/>
                  <w:noWrap w:val="0"/>
                  <w:vAlign w:val="center"/>
                </w:tcPr>
                <w:p w14:paraId="5AF58659">
                  <w:pPr>
                    <w:jc w:val="center"/>
                    <w:rPr>
                      <w:rFonts w:hint="default" w:eastAsia="宋体"/>
                      <w:color w:val="auto"/>
                      <w:szCs w:val="21"/>
                      <w:highlight w:val="none"/>
                      <w:lang w:val="en-US" w:eastAsia="zh-CN"/>
                    </w:rPr>
                  </w:pPr>
                  <w:r>
                    <w:rPr>
                      <w:rFonts w:hint="eastAsia"/>
                      <w:color w:val="auto"/>
                      <w:szCs w:val="21"/>
                      <w:highlight w:val="none"/>
                      <w:lang w:val="en-US" w:eastAsia="zh-CN"/>
                    </w:rPr>
                    <w:t>0.0094</w:t>
                  </w:r>
                </w:p>
              </w:tc>
              <w:tc>
                <w:tcPr>
                  <w:tcW w:w="1700" w:type="dxa"/>
                  <w:noWrap w:val="0"/>
                  <w:vAlign w:val="center"/>
                </w:tcPr>
                <w:p w14:paraId="56EF0295">
                  <w:pPr>
                    <w:adjustRightInd w:val="0"/>
                    <w:snapToGrid w:val="0"/>
                    <w:jc w:val="center"/>
                    <w:rPr>
                      <w:color w:val="auto"/>
                      <w:szCs w:val="21"/>
                      <w:highlight w:val="none"/>
                    </w:rPr>
                  </w:pPr>
                  <w:r>
                    <w:rPr>
                      <w:color w:val="auto"/>
                      <w:szCs w:val="21"/>
                      <w:highlight w:val="none"/>
                    </w:rPr>
                    <w:t>加盖苫布、控制车速、道路洒水抑尘</w:t>
                  </w:r>
                </w:p>
              </w:tc>
              <w:tc>
                <w:tcPr>
                  <w:tcW w:w="454" w:type="dxa"/>
                  <w:noWrap w:val="0"/>
                  <w:vAlign w:val="center"/>
                </w:tcPr>
                <w:p w14:paraId="5DFDA6F6">
                  <w:pPr>
                    <w:adjustRightInd w:val="0"/>
                    <w:snapToGrid w:val="0"/>
                    <w:jc w:val="center"/>
                    <w:rPr>
                      <w:color w:val="auto"/>
                      <w:szCs w:val="21"/>
                      <w:highlight w:val="none"/>
                    </w:rPr>
                  </w:pPr>
                  <w:r>
                    <w:rPr>
                      <w:color w:val="auto"/>
                      <w:szCs w:val="21"/>
                      <w:highlight w:val="none"/>
                    </w:rPr>
                    <w:t>66%</w:t>
                  </w:r>
                </w:p>
              </w:tc>
              <w:tc>
                <w:tcPr>
                  <w:tcW w:w="652" w:type="dxa"/>
                  <w:noWrap w:val="0"/>
                  <w:vAlign w:val="center"/>
                </w:tcPr>
                <w:p w14:paraId="62B82535">
                  <w:pPr>
                    <w:jc w:val="center"/>
                    <w:rPr>
                      <w:rFonts w:hint="eastAsia" w:eastAsia="宋体"/>
                      <w:color w:val="auto"/>
                      <w:szCs w:val="21"/>
                      <w:highlight w:val="none"/>
                      <w:lang w:eastAsia="zh-CN"/>
                    </w:rPr>
                  </w:pPr>
                  <w:r>
                    <w:rPr>
                      <w:rFonts w:hint="eastAsia"/>
                      <w:color w:val="auto"/>
                      <w:szCs w:val="21"/>
                      <w:highlight w:val="none"/>
                      <w:lang w:val="en-US" w:eastAsia="zh-CN"/>
                    </w:rPr>
                    <w:t>系数法</w:t>
                  </w:r>
                </w:p>
              </w:tc>
              <w:tc>
                <w:tcPr>
                  <w:tcW w:w="698" w:type="dxa"/>
                  <w:noWrap w:val="0"/>
                  <w:vAlign w:val="center"/>
                </w:tcPr>
                <w:p w14:paraId="639D2DDE">
                  <w:pPr>
                    <w:jc w:val="center"/>
                    <w:rPr>
                      <w:color w:val="auto"/>
                      <w:szCs w:val="21"/>
                      <w:highlight w:val="none"/>
                    </w:rPr>
                  </w:pPr>
                  <w:r>
                    <w:rPr>
                      <w:rFonts w:hint="eastAsia"/>
                      <w:color w:val="auto"/>
                      <w:szCs w:val="21"/>
                      <w:highlight w:val="none"/>
                    </w:rPr>
                    <w:t>-</w:t>
                  </w:r>
                </w:p>
              </w:tc>
              <w:tc>
                <w:tcPr>
                  <w:tcW w:w="778" w:type="dxa"/>
                  <w:noWrap w:val="0"/>
                  <w:vAlign w:val="center"/>
                </w:tcPr>
                <w:p w14:paraId="61DDD88F">
                  <w:pPr>
                    <w:jc w:val="center"/>
                    <w:rPr>
                      <w:color w:val="auto"/>
                      <w:szCs w:val="21"/>
                      <w:highlight w:val="none"/>
                    </w:rPr>
                  </w:pPr>
                  <w:r>
                    <w:rPr>
                      <w:rFonts w:hint="eastAsia"/>
                      <w:color w:val="auto"/>
                      <w:szCs w:val="21"/>
                      <w:highlight w:val="none"/>
                    </w:rPr>
                    <w:t>-</w:t>
                  </w:r>
                </w:p>
              </w:tc>
              <w:tc>
                <w:tcPr>
                  <w:tcW w:w="794" w:type="dxa"/>
                  <w:noWrap w:val="0"/>
                  <w:vAlign w:val="center"/>
                </w:tcPr>
                <w:p w14:paraId="1B400599">
                  <w:pPr>
                    <w:jc w:val="center"/>
                    <w:rPr>
                      <w:rFonts w:hint="default" w:eastAsia="宋体"/>
                      <w:color w:val="auto"/>
                      <w:szCs w:val="21"/>
                      <w:highlight w:val="none"/>
                      <w:lang w:val="en-US" w:eastAsia="zh-CN"/>
                    </w:rPr>
                  </w:pPr>
                  <w:r>
                    <w:rPr>
                      <w:rFonts w:hint="eastAsia"/>
                      <w:color w:val="auto"/>
                      <w:szCs w:val="21"/>
                      <w:highlight w:val="none"/>
                      <w:lang w:val="en-US" w:eastAsia="zh-CN"/>
                    </w:rPr>
                    <w:t>0.0032</w:t>
                  </w:r>
                </w:p>
              </w:tc>
            </w:tr>
          </w:tbl>
          <w:p w14:paraId="60A04029">
            <w:pPr>
              <w:numPr>
                <w:ilvl w:val="0"/>
                <w:numId w:val="0"/>
              </w:num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2</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大气环境影响分析</w:t>
            </w:r>
          </w:p>
          <w:p w14:paraId="0972024E">
            <w:pPr>
              <w:numPr>
                <w:ilvl w:val="0"/>
                <w:numId w:val="0"/>
              </w:numPr>
              <w:adjustRightInd w:val="0"/>
              <w:snapToGrid w:val="0"/>
              <w:spacing w:line="360" w:lineRule="auto"/>
              <w:ind w:firstLine="480" w:firstLineChars="200"/>
              <w:rPr>
                <w:rFonts w:hint="eastAsia" w:ascii="Times New Roman" w:hAnsi="Times New Roman" w:eastAsia="宋体" w:cs="Times New Roman"/>
                <w:bCs/>
                <w:color w:val="auto"/>
                <w:sz w:val="24"/>
                <w:highlight w:val="none"/>
                <w:lang w:eastAsia="zh-CN"/>
              </w:rPr>
            </w:pPr>
            <w:r>
              <w:rPr>
                <w:rFonts w:hint="eastAsia"/>
                <w:bCs/>
                <w:color w:val="auto"/>
                <w:sz w:val="24"/>
                <w:highlight w:val="none"/>
              </w:rPr>
              <w:t>本项目所在区域为环境质量达标区，本项目</w:t>
            </w:r>
            <w:r>
              <w:rPr>
                <w:rFonts w:hint="eastAsia"/>
                <w:bCs/>
                <w:color w:val="auto"/>
                <w:sz w:val="24"/>
                <w:highlight w:val="none"/>
                <w:lang w:val="en-US" w:eastAsia="zh-CN"/>
              </w:rPr>
              <w:t>仅用于煤炭储存和转运</w:t>
            </w:r>
            <w:r>
              <w:rPr>
                <w:rFonts w:hint="eastAsia"/>
                <w:bCs/>
                <w:color w:val="auto"/>
                <w:sz w:val="24"/>
                <w:highlight w:val="none"/>
                <w:lang w:eastAsia="zh-CN"/>
              </w:rPr>
              <w:t>，</w:t>
            </w:r>
            <w:r>
              <w:rPr>
                <w:rFonts w:hint="eastAsia"/>
                <w:bCs/>
                <w:color w:val="auto"/>
                <w:sz w:val="24"/>
                <w:highlight w:val="none"/>
                <w:lang w:val="en-US" w:eastAsia="zh-CN"/>
              </w:rPr>
              <w:t>项目仅在</w:t>
            </w:r>
            <w:r>
              <w:rPr>
                <w:rFonts w:hint="eastAsia"/>
                <w:bCs/>
                <w:color w:val="auto"/>
                <w:sz w:val="24"/>
                <w:highlight w:val="none"/>
              </w:rPr>
              <w:t>物料装卸、堆存</w:t>
            </w:r>
            <w:r>
              <w:rPr>
                <w:rFonts w:hint="eastAsia"/>
                <w:bCs/>
                <w:color w:val="auto"/>
                <w:sz w:val="24"/>
                <w:highlight w:val="none"/>
                <w:lang w:eastAsia="zh-CN"/>
              </w:rPr>
              <w:t>、</w:t>
            </w:r>
            <w:r>
              <w:rPr>
                <w:rFonts w:hint="eastAsia"/>
                <w:bCs/>
                <w:color w:val="auto"/>
                <w:sz w:val="24"/>
                <w:highlight w:val="none"/>
                <w:lang w:val="en-US" w:eastAsia="zh-CN"/>
              </w:rPr>
              <w:t>运输过程中产生粉尘，煤炭堆场区域建设闭合防风抑尘网高3m、长120m，孔隙率50%与围墙形成闭合区域，储煤场内堆存煤炭使用绿网进行苫盖，储煤场内部地面硬化，日常生产中对煤场</w:t>
            </w:r>
            <w:r>
              <w:rPr>
                <w:rFonts w:hint="eastAsia"/>
                <w:bCs/>
                <w:color w:val="auto"/>
                <w:sz w:val="24"/>
                <w:highlight w:val="none"/>
              </w:rPr>
              <w:t>进行洒水</w:t>
            </w:r>
            <w:r>
              <w:rPr>
                <w:rFonts w:hint="eastAsia"/>
                <w:bCs/>
                <w:color w:val="auto"/>
                <w:sz w:val="24"/>
                <w:highlight w:val="none"/>
                <w:lang w:val="en-US" w:eastAsia="zh-CN"/>
              </w:rPr>
              <w:t>降尘</w:t>
            </w:r>
            <w:r>
              <w:rPr>
                <w:rFonts w:hint="eastAsia"/>
                <w:bCs/>
                <w:color w:val="auto"/>
                <w:sz w:val="24"/>
                <w:highlight w:val="none"/>
              </w:rPr>
              <w:t>，</w:t>
            </w:r>
            <w:r>
              <w:rPr>
                <w:rFonts w:hint="eastAsia"/>
                <w:bCs/>
                <w:color w:val="auto"/>
                <w:sz w:val="24"/>
                <w:highlight w:val="none"/>
                <w:lang w:val="en-US" w:eastAsia="zh-CN"/>
              </w:rPr>
              <w:t>储存煤炭使用绿网进行苫盖，并</w:t>
            </w:r>
            <w:r>
              <w:rPr>
                <w:rFonts w:hint="eastAsia"/>
                <w:bCs/>
                <w:color w:val="auto"/>
                <w:sz w:val="24"/>
                <w:highlight w:val="none"/>
              </w:rPr>
              <w:t>保持地面清洁，</w:t>
            </w:r>
            <w:r>
              <w:rPr>
                <w:rFonts w:hint="default" w:ascii="Times New Roman" w:hAnsi="Times New Roman" w:cs="Times New Roman"/>
                <w:bCs/>
                <w:color w:val="auto"/>
                <w:sz w:val="24"/>
                <w:highlight w:val="none"/>
                <w:lang w:val="en-US" w:eastAsia="zh-CN"/>
              </w:rPr>
              <w:t>运输车辆日常装卸过程中尽量减少煤炭落料过程中高差</w:t>
            </w:r>
            <w:r>
              <w:rPr>
                <w:rFonts w:hint="eastAsia" w:ascii="Times New Roman" w:hAnsi="Times New Roman" w:cs="Times New Roman"/>
                <w:bCs/>
                <w:color w:val="auto"/>
                <w:sz w:val="24"/>
                <w:highlight w:val="none"/>
                <w:lang w:val="en-US" w:eastAsia="zh-CN"/>
              </w:rPr>
              <w:t>，</w:t>
            </w:r>
            <w:r>
              <w:rPr>
                <w:rFonts w:hint="eastAsia"/>
                <w:bCs/>
                <w:color w:val="auto"/>
                <w:sz w:val="24"/>
                <w:highlight w:val="none"/>
              </w:rPr>
              <w:t>对运输车辆进行苫盖</w:t>
            </w:r>
            <w:r>
              <w:rPr>
                <w:rFonts w:hint="eastAsia"/>
                <w:bCs/>
                <w:color w:val="auto"/>
                <w:sz w:val="24"/>
                <w:highlight w:val="none"/>
                <w:lang w:eastAsia="zh-CN"/>
              </w:rPr>
              <w:t>，</w:t>
            </w:r>
            <w:r>
              <w:rPr>
                <w:rFonts w:hint="eastAsia"/>
                <w:bCs/>
                <w:color w:val="auto"/>
                <w:sz w:val="24"/>
                <w:highlight w:val="none"/>
                <w:lang w:val="en-US" w:eastAsia="zh-CN"/>
              </w:rPr>
              <w:t>粉尘</w:t>
            </w:r>
            <w:r>
              <w:rPr>
                <w:rFonts w:hint="eastAsia"/>
                <w:bCs/>
                <w:color w:val="auto"/>
                <w:sz w:val="24"/>
                <w:highlight w:val="none"/>
              </w:rPr>
              <w:t>排放浓度满足《煤炭工业污染物排放标准》（GB20426-2006）表</w:t>
            </w:r>
            <w:r>
              <w:rPr>
                <w:rFonts w:hint="eastAsia"/>
                <w:bCs/>
                <w:color w:val="auto"/>
                <w:sz w:val="24"/>
                <w:highlight w:val="none"/>
                <w:lang w:val="en-US" w:eastAsia="zh-CN"/>
              </w:rPr>
              <w:t>5</w:t>
            </w:r>
            <w:r>
              <w:rPr>
                <w:rFonts w:hint="eastAsia"/>
                <w:bCs/>
                <w:color w:val="auto"/>
                <w:sz w:val="24"/>
                <w:highlight w:val="none"/>
              </w:rPr>
              <w:t>中无组织排放限值</w:t>
            </w:r>
            <w:r>
              <w:rPr>
                <w:rFonts w:hint="eastAsia"/>
                <w:bCs/>
                <w:color w:val="auto"/>
                <w:sz w:val="24"/>
                <w:highlight w:val="none"/>
                <w:lang w:eastAsia="zh-CN"/>
              </w:rPr>
              <w:t>。</w:t>
            </w:r>
          </w:p>
          <w:p w14:paraId="1B780974">
            <w:pPr>
              <w:numPr>
                <w:ilvl w:val="0"/>
                <w:numId w:val="0"/>
              </w:numPr>
              <w:adjustRightInd w:val="0"/>
              <w:snapToGrid w:val="0"/>
              <w:spacing w:line="360" w:lineRule="auto"/>
              <w:ind w:firstLine="480" w:firstLineChars="200"/>
              <w:rPr>
                <w:rFonts w:hint="default"/>
                <w:bCs/>
                <w:color w:val="auto"/>
                <w:sz w:val="24"/>
                <w:highlight w:val="none"/>
                <w:lang w:val="en-US" w:eastAsia="zh-CN"/>
              </w:rPr>
            </w:pPr>
            <w:r>
              <w:rPr>
                <w:rFonts w:hint="eastAsia"/>
                <w:bCs/>
                <w:color w:val="auto"/>
                <w:sz w:val="24"/>
                <w:highlight w:val="none"/>
                <w:lang w:eastAsia="zh-CN"/>
              </w:rPr>
              <w:t>（</w:t>
            </w:r>
            <w:r>
              <w:rPr>
                <w:rFonts w:hint="eastAsia"/>
                <w:bCs/>
                <w:color w:val="auto"/>
                <w:sz w:val="24"/>
                <w:highlight w:val="none"/>
                <w:lang w:val="en-US" w:eastAsia="zh-CN"/>
              </w:rPr>
              <w:t>3</w:t>
            </w:r>
            <w:r>
              <w:rPr>
                <w:rFonts w:hint="eastAsia"/>
                <w:bCs/>
                <w:color w:val="auto"/>
                <w:sz w:val="24"/>
                <w:highlight w:val="none"/>
                <w:lang w:eastAsia="zh-CN"/>
              </w:rPr>
              <w:t>）</w:t>
            </w:r>
            <w:r>
              <w:rPr>
                <w:rFonts w:hint="eastAsia"/>
                <w:bCs/>
                <w:color w:val="auto"/>
                <w:sz w:val="24"/>
                <w:highlight w:val="none"/>
                <w:lang w:val="en-US" w:eastAsia="zh-CN"/>
              </w:rPr>
              <w:t>环保措施有效性分析</w:t>
            </w:r>
          </w:p>
          <w:p w14:paraId="6AB895BF">
            <w:pPr>
              <w:numPr>
                <w:ilvl w:val="0"/>
                <w:numId w:val="0"/>
              </w:numPr>
              <w:adjustRightInd w:val="0"/>
              <w:snapToGrid w:val="0"/>
              <w:spacing w:line="360" w:lineRule="auto"/>
              <w:ind w:firstLine="480" w:firstLineChars="200"/>
              <w:rPr>
                <w:rFonts w:hint="default"/>
                <w:bCs/>
                <w:color w:val="auto"/>
                <w:sz w:val="24"/>
                <w:highlight w:val="none"/>
                <w:lang w:val="en-US" w:eastAsia="zh-CN"/>
              </w:rPr>
            </w:pPr>
            <w:r>
              <w:rPr>
                <w:rFonts w:hint="eastAsia"/>
                <w:bCs/>
                <w:color w:val="auto"/>
                <w:sz w:val="24"/>
                <w:highlight w:val="none"/>
                <w:lang w:val="en-US" w:eastAsia="zh-CN"/>
              </w:rPr>
              <w:t>本</w:t>
            </w:r>
            <w:r>
              <w:rPr>
                <w:rFonts w:hint="eastAsia" w:ascii="Times New Roman" w:hAnsi="Times New Roman" w:eastAsia="宋体" w:cs="Times New Roman"/>
                <w:bCs/>
                <w:color w:val="auto"/>
                <w:sz w:val="24"/>
                <w:highlight w:val="none"/>
                <w:lang w:val="en-US" w:eastAsia="zh-CN"/>
              </w:rPr>
              <w:t>环评要求项目</w:t>
            </w:r>
            <w:r>
              <w:rPr>
                <w:rFonts w:hint="eastAsia"/>
                <w:bCs/>
                <w:color w:val="auto"/>
                <w:sz w:val="24"/>
                <w:highlight w:val="none"/>
                <w:lang w:val="en-US" w:eastAsia="zh-CN"/>
              </w:rPr>
              <w:t>煤炭堆场区域建设闭合防风抑尘网高3m、长120m，孔隙率50%与围墙形成闭合区域，是储煤场内堆存煤炭</w:t>
            </w:r>
            <w:r>
              <w:rPr>
                <w:rFonts w:hint="eastAsia" w:ascii="Times New Roman" w:hAnsi="Times New Roman" w:eastAsia="宋体" w:cs="Times New Roman"/>
                <w:bCs/>
                <w:color w:val="auto"/>
                <w:sz w:val="24"/>
                <w:highlight w:val="none"/>
                <w:lang w:val="en-US" w:eastAsia="zh-CN"/>
              </w:rPr>
              <w:t>的最大高度</w:t>
            </w:r>
            <w:r>
              <w:rPr>
                <w:rFonts w:hint="eastAsia" w:cs="Times New Roman"/>
                <w:bCs/>
                <w:color w:val="auto"/>
                <w:sz w:val="24"/>
                <w:highlight w:val="none"/>
                <w:lang w:val="en-US" w:eastAsia="zh-CN"/>
              </w:rPr>
              <w:t>2.5</w:t>
            </w:r>
            <w:r>
              <w:rPr>
                <w:rFonts w:hint="eastAsia" w:ascii="Times New Roman" w:hAnsi="Times New Roman" w:eastAsia="宋体" w:cs="Times New Roman"/>
                <w:bCs/>
                <w:color w:val="auto"/>
                <w:sz w:val="24"/>
                <w:highlight w:val="none"/>
                <w:lang w:val="en-US" w:eastAsia="zh-CN"/>
              </w:rPr>
              <w:t>m的1</w:t>
            </w:r>
            <w:r>
              <w:rPr>
                <w:rFonts w:hint="eastAsia" w:cs="Times New Roman"/>
                <w:bCs/>
                <w:color w:val="auto"/>
                <w:sz w:val="24"/>
                <w:highlight w:val="none"/>
                <w:lang w:val="en-US" w:eastAsia="zh-CN"/>
              </w:rPr>
              <w:t>.2</w:t>
            </w:r>
            <w:r>
              <w:rPr>
                <w:rFonts w:hint="eastAsia" w:ascii="Times New Roman" w:hAnsi="Times New Roman" w:eastAsia="宋体" w:cs="Times New Roman"/>
                <w:bCs/>
                <w:color w:val="auto"/>
                <w:sz w:val="24"/>
                <w:highlight w:val="none"/>
                <w:lang w:val="en-US" w:eastAsia="zh-CN"/>
              </w:rPr>
              <w:t>倍</w:t>
            </w:r>
            <w:r>
              <w:rPr>
                <w:rFonts w:hint="eastAsia"/>
                <w:bCs/>
                <w:color w:val="auto"/>
                <w:sz w:val="24"/>
                <w:highlight w:val="none"/>
                <w:lang w:val="en-US" w:eastAsia="zh-CN"/>
              </w:rPr>
              <w:t>，贮存的煤炭使用绿网进行苫盖，定期对储煤场进行洒水降尘、储煤场厂区地面硬化，对进出储煤场运输车辆进行苫盖，在严格落实以上措施后，项目能够满足《鸡西市储煤场环境综合整治验收标准》中大气污染治理措施要求</w:t>
            </w:r>
          </w:p>
          <w:p w14:paraId="3E5EF9A8">
            <w:pPr>
              <w:numPr>
                <w:ilvl w:val="0"/>
                <w:numId w:val="0"/>
              </w:numPr>
              <w:adjustRightInd w:val="0"/>
              <w:snapToGrid w:val="0"/>
              <w:spacing w:line="360" w:lineRule="auto"/>
              <w:ind w:firstLine="480" w:firstLineChars="200"/>
              <w:rPr>
                <w:bCs/>
                <w:color w:val="auto"/>
                <w:sz w:val="24"/>
                <w:highlight w:val="none"/>
              </w:rPr>
            </w:pPr>
            <w:r>
              <w:rPr>
                <w:rFonts w:hint="eastAsia"/>
                <w:bCs/>
                <w:color w:val="auto"/>
                <w:sz w:val="24"/>
                <w:highlight w:val="none"/>
                <w:lang w:eastAsia="zh-CN"/>
              </w:rPr>
              <w:t>（</w:t>
            </w:r>
            <w:r>
              <w:rPr>
                <w:rFonts w:hint="eastAsia"/>
                <w:bCs/>
                <w:color w:val="auto"/>
                <w:sz w:val="24"/>
                <w:highlight w:val="none"/>
                <w:lang w:val="en-US" w:eastAsia="zh-CN"/>
              </w:rPr>
              <w:t>4</w:t>
            </w:r>
            <w:r>
              <w:rPr>
                <w:rFonts w:hint="eastAsia"/>
                <w:bCs/>
                <w:color w:val="auto"/>
                <w:sz w:val="24"/>
                <w:highlight w:val="none"/>
                <w:lang w:eastAsia="zh-CN"/>
              </w:rPr>
              <w:t>）</w:t>
            </w:r>
            <w:r>
              <w:rPr>
                <w:bCs/>
                <w:color w:val="auto"/>
                <w:sz w:val="24"/>
                <w:highlight w:val="none"/>
              </w:rPr>
              <w:t>监测要求</w:t>
            </w:r>
          </w:p>
          <w:p w14:paraId="5258CE6F">
            <w:pPr>
              <w:adjustRightInd w:val="0"/>
              <w:snapToGrid w:val="0"/>
              <w:spacing w:line="360" w:lineRule="auto"/>
              <w:ind w:firstLine="480" w:firstLineChars="200"/>
              <w:rPr>
                <w:bCs/>
                <w:color w:val="auto"/>
                <w:sz w:val="24"/>
                <w:highlight w:val="none"/>
              </w:rPr>
            </w:pPr>
            <w:r>
              <w:rPr>
                <w:bCs/>
                <w:color w:val="auto"/>
                <w:sz w:val="24"/>
                <w:highlight w:val="none"/>
              </w:rPr>
              <w:t>根据《排污单位自行监测技术指南 总则》（HJ819-2017），废气监测要求详见表4-</w:t>
            </w:r>
            <w:r>
              <w:rPr>
                <w:rFonts w:hint="eastAsia"/>
                <w:bCs/>
                <w:color w:val="auto"/>
                <w:sz w:val="24"/>
                <w:highlight w:val="none"/>
                <w:lang w:val="en-US" w:eastAsia="zh-CN"/>
              </w:rPr>
              <w:t>2</w:t>
            </w:r>
            <w:r>
              <w:rPr>
                <w:bCs/>
                <w:color w:val="auto"/>
                <w:sz w:val="24"/>
                <w:highlight w:val="none"/>
              </w:rPr>
              <w:t>。</w:t>
            </w:r>
          </w:p>
          <w:p w14:paraId="2E3432E2">
            <w:pPr>
              <w:adjustRightInd w:val="0"/>
              <w:snapToGrid w:val="0"/>
              <w:jc w:val="center"/>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表4-2  监测要求</w:t>
            </w:r>
          </w:p>
          <w:tbl>
            <w:tblPr>
              <w:tblStyle w:val="17"/>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4"/>
              <w:gridCol w:w="1138"/>
              <w:gridCol w:w="1150"/>
              <w:gridCol w:w="1237"/>
              <w:gridCol w:w="4148"/>
            </w:tblGrid>
            <w:tr w14:paraId="6759B4A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noWrap w:val="0"/>
                  <w:vAlign w:val="center"/>
                </w:tcPr>
                <w:p w14:paraId="40F1071C">
                  <w:pPr>
                    <w:adjustRightInd w:val="0"/>
                    <w:snapToGrid w:val="0"/>
                    <w:jc w:val="center"/>
                    <w:rPr>
                      <w:rFonts w:hint="eastAsia"/>
                      <w:bCs/>
                      <w:color w:val="auto"/>
                      <w:szCs w:val="21"/>
                      <w:highlight w:val="none"/>
                    </w:rPr>
                  </w:pPr>
                  <w:r>
                    <w:rPr>
                      <w:rFonts w:hint="eastAsia"/>
                      <w:bCs/>
                      <w:color w:val="auto"/>
                      <w:szCs w:val="21"/>
                      <w:highlight w:val="none"/>
                    </w:rPr>
                    <w:t>监测类别</w:t>
                  </w:r>
                </w:p>
              </w:tc>
              <w:tc>
                <w:tcPr>
                  <w:tcW w:w="1138" w:type="dxa"/>
                  <w:noWrap w:val="0"/>
                  <w:vAlign w:val="center"/>
                </w:tcPr>
                <w:p w14:paraId="15473BDD">
                  <w:pPr>
                    <w:adjustRightInd w:val="0"/>
                    <w:snapToGrid w:val="0"/>
                    <w:jc w:val="center"/>
                    <w:rPr>
                      <w:bCs/>
                      <w:color w:val="auto"/>
                      <w:szCs w:val="21"/>
                      <w:highlight w:val="none"/>
                    </w:rPr>
                  </w:pPr>
                  <w:r>
                    <w:rPr>
                      <w:bCs/>
                      <w:color w:val="auto"/>
                      <w:szCs w:val="21"/>
                      <w:highlight w:val="none"/>
                    </w:rPr>
                    <w:t>监测点位</w:t>
                  </w:r>
                </w:p>
              </w:tc>
              <w:tc>
                <w:tcPr>
                  <w:tcW w:w="1150" w:type="dxa"/>
                  <w:noWrap w:val="0"/>
                  <w:vAlign w:val="center"/>
                </w:tcPr>
                <w:p w14:paraId="48761AF2">
                  <w:pPr>
                    <w:adjustRightInd w:val="0"/>
                    <w:snapToGrid w:val="0"/>
                    <w:jc w:val="center"/>
                    <w:rPr>
                      <w:bCs/>
                      <w:color w:val="auto"/>
                      <w:szCs w:val="21"/>
                      <w:highlight w:val="none"/>
                    </w:rPr>
                  </w:pPr>
                  <w:r>
                    <w:rPr>
                      <w:bCs/>
                      <w:color w:val="auto"/>
                      <w:szCs w:val="21"/>
                      <w:highlight w:val="none"/>
                    </w:rPr>
                    <w:t>监测因子</w:t>
                  </w:r>
                </w:p>
              </w:tc>
              <w:tc>
                <w:tcPr>
                  <w:tcW w:w="1237" w:type="dxa"/>
                  <w:noWrap w:val="0"/>
                  <w:vAlign w:val="center"/>
                </w:tcPr>
                <w:p w14:paraId="1584AE46">
                  <w:pPr>
                    <w:adjustRightInd w:val="0"/>
                    <w:snapToGrid w:val="0"/>
                    <w:jc w:val="center"/>
                    <w:rPr>
                      <w:bCs/>
                      <w:color w:val="auto"/>
                      <w:szCs w:val="21"/>
                      <w:highlight w:val="none"/>
                    </w:rPr>
                  </w:pPr>
                  <w:r>
                    <w:rPr>
                      <w:bCs/>
                      <w:color w:val="auto"/>
                      <w:szCs w:val="21"/>
                      <w:highlight w:val="none"/>
                    </w:rPr>
                    <w:t>监测频次</w:t>
                  </w:r>
                </w:p>
              </w:tc>
              <w:tc>
                <w:tcPr>
                  <w:tcW w:w="4148" w:type="dxa"/>
                  <w:noWrap w:val="0"/>
                  <w:vAlign w:val="center"/>
                </w:tcPr>
                <w:p w14:paraId="0D658AB0">
                  <w:pPr>
                    <w:adjustRightInd w:val="0"/>
                    <w:snapToGrid w:val="0"/>
                    <w:jc w:val="center"/>
                    <w:rPr>
                      <w:rFonts w:hint="eastAsia"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执行标准</w:t>
                  </w:r>
                </w:p>
              </w:tc>
            </w:tr>
            <w:tr w14:paraId="7393E68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4" w:type="dxa"/>
                  <w:noWrap w:val="0"/>
                  <w:vAlign w:val="center"/>
                </w:tcPr>
                <w:p w14:paraId="2015BB1F">
                  <w:pPr>
                    <w:adjustRightInd w:val="0"/>
                    <w:snapToGrid w:val="0"/>
                    <w:jc w:val="center"/>
                    <w:rPr>
                      <w:bCs/>
                      <w:color w:val="auto"/>
                      <w:szCs w:val="21"/>
                      <w:highlight w:val="none"/>
                    </w:rPr>
                  </w:pPr>
                  <w:r>
                    <w:rPr>
                      <w:rFonts w:hint="eastAsia"/>
                      <w:bCs/>
                      <w:color w:val="auto"/>
                      <w:szCs w:val="21"/>
                      <w:highlight w:val="none"/>
                    </w:rPr>
                    <w:t>无组织废气</w:t>
                  </w:r>
                </w:p>
              </w:tc>
              <w:tc>
                <w:tcPr>
                  <w:tcW w:w="1138" w:type="dxa"/>
                  <w:noWrap w:val="0"/>
                  <w:vAlign w:val="center"/>
                </w:tcPr>
                <w:p w14:paraId="28C5DFF2">
                  <w:pPr>
                    <w:adjustRightInd w:val="0"/>
                    <w:snapToGrid w:val="0"/>
                    <w:jc w:val="center"/>
                    <w:rPr>
                      <w:bCs/>
                      <w:color w:val="auto"/>
                      <w:szCs w:val="21"/>
                      <w:highlight w:val="none"/>
                    </w:rPr>
                  </w:pPr>
                  <w:r>
                    <w:rPr>
                      <w:bCs/>
                      <w:color w:val="auto"/>
                      <w:szCs w:val="21"/>
                      <w:highlight w:val="none"/>
                    </w:rPr>
                    <w:t>厂界</w:t>
                  </w:r>
                </w:p>
              </w:tc>
              <w:tc>
                <w:tcPr>
                  <w:tcW w:w="1150" w:type="dxa"/>
                  <w:noWrap w:val="0"/>
                  <w:vAlign w:val="center"/>
                </w:tcPr>
                <w:p w14:paraId="62D82763">
                  <w:pPr>
                    <w:adjustRightInd w:val="0"/>
                    <w:snapToGrid w:val="0"/>
                    <w:jc w:val="center"/>
                    <w:rPr>
                      <w:rFonts w:hint="default" w:eastAsia="宋体"/>
                      <w:bCs/>
                      <w:color w:val="auto"/>
                      <w:szCs w:val="21"/>
                      <w:highlight w:val="none"/>
                      <w:lang w:val="en-US" w:eastAsia="zh-CN"/>
                    </w:rPr>
                  </w:pPr>
                  <w:r>
                    <w:rPr>
                      <w:bCs/>
                      <w:color w:val="auto"/>
                      <w:szCs w:val="21"/>
                      <w:highlight w:val="none"/>
                    </w:rPr>
                    <w:t>颗粒物</w:t>
                  </w:r>
                  <w:r>
                    <w:rPr>
                      <w:rFonts w:hint="eastAsia"/>
                      <w:bCs/>
                      <w:color w:val="auto"/>
                      <w:szCs w:val="21"/>
                      <w:highlight w:val="none"/>
                      <w:lang w:eastAsia="zh-CN"/>
                    </w:rPr>
                    <w:t>、</w:t>
                  </w:r>
                  <w:r>
                    <w:rPr>
                      <w:rFonts w:hint="eastAsia"/>
                      <w:bCs/>
                      <w:color w:val="auto"/>
                      <w:szCs w:val="21"/>
                      <w:highlight w:val="none"/>
                      <w:lang w:val="en-US" w:eastAsia="zh-CN"/>
                    </w:rPr>
                    <w:t>二氧化硫</w:t>
                  </w:r>
                </w:p>
              </w:tc>
              <w:tc>
                <w:tcPr>
                  <w:tcW w:w="1237" w:type="dxa"/>
                  <w:noWrap w:val="0"/>
                  <w:vAlign w:val="center"/>
                </w:tcPr>
                <w:p w14:paraId="66085395">
                  <w:pPr>
                    <w:adjustRightInd w:val="0"/>
                    <w:snapToGrid w:val="0"/>
                    <w:jc w:val="center"/>
                    <w:rPr>
                      <w:bCs/>
                      <w:color w:val="auto"/>
                      <w:szCs w:val="21"/>
                      <w:highlight w:val="none"/>
                    </w:rPr>
                  </w:pPr>
                  <w:r>
                    <w:rPr>
                      <w:bCs/>
                      <w:color w:val="auto"/>
                      <w:szCs w:val="21"/>
                      <w:highlight w:val="none"/>
                    </w:rPr>
                    <w:t>1次/年</w:t>
                  </w:r>
                </w:p>
              </w:tc>
              <w:tc>
                <w:tcPr>
                  <w:tcW w:w="4148" w:type="dxa"/>
                  <w:noWrap w:val="0"/>
                  <w:vAlign w:val="center"/>
                </w:tcPr>
                <w:p w14:paraId="27B0A40C">
                  <w:pPr>
                    <w:adjustRightInd w:val="0"/>
                    <w:snapToGrid w:val="0"/>
                    <w:jc w:val="center"/>
                    <w:rPr>
                      <w:rFonts w:hint="eastAsia"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w:t>
                  </w:r>
                  <w:r>
                    <w:rPr>
                      <w:rFonts w:hint="eastAsia" w:ascii="Times New Roman" w:hAnsi="Times New Roman" w:eastAsia="宋体" w:cs="Times New Roman"/>
                      <w:bCs/>
                      <w:color w:val="auto"/>
                      <w:szCs w:val="21"/>
                      <w:highlight w:val="none"/>
                      <w:lang w:val="en-US" w:eastAsia="zh-CN"/>
                    </w:rPr>
                    <w:t>煤炭工业污染物</w:t>
                  </w:r>
                  <w:r>
                    <w:rPr>
                      <w:rFonts w:hint="eastAsia" w:ascii="Times New Roman" w:hAnsi="Times New Roman" w:eastAsia="宋体" w:cs="Times New Roman"/>
                      <w:bCs/>
                      <w:color w:val="auto"/>
                      <w:szCs w:val="21"/>
                      <w:highlight w:val="none"/>
                    </w:rPr>
                    <w:t>排放标准》（GB</w:t>
                  </w:r>
                  <w:r>
                    <w:rPr>
                      <w:rFonts w:hint="eastAsia" w:ascii="Times New Roman" w:hAnsi="Times New Roman" w:eastAsia="宋体" w:cs="Times New Roman"/>
                      <w:bCs/>
                      <w:color w:val="auto"/>
                      <w:szCs w:val="21"/>
                      <w:highlight w:val="none"/>
                      <w:lang w:val="en-US" w:eastAsia="zh-CN"/>
                    </w:rPr>
                    <w:t>20426</w:t>
                  </w:r>
                  <w:r>
                    <w:rPr>
                      <w:rFonts w:hint="eastAsia" w:ascii="Times New Roman" w:hAnsi="Times New Roman" w:eastAsia="宋体" w:cs="Times New Roman"/>
                      <w:bCs/>
                      <w:color w:val="auto"/>
                      <w:szCs w:val="21"/>
                      <w:highlight w:val="none"/>
                    </w:rPr>
                    <w:t>-</w:t>
                  </w:r>
                  <w:r>
                    <w:rPr>
                      <w:rFonts w:hint="eastAsia" w:ascii="Times New Roman" w:hAnsi="Times New Roman" w:eastAsia="宋体" w:cs="Times New Roman"/>
                      <w:bCs/>
                      <w:color w:val="auto"/>
                      <w:szCs w:val="21"/>
                      <w:highlight w:val="none"/>
                      <w:lang w:val="en-US" w:eastAsia="zh-CN"/>
                    </w:rPr>
                    <w:t>200</w:t>
                  </w:r>
                  <w:r>
                    <w:rPr>
                      <w:rFonts w:hint="eastAsia" w:ascii="Times New Roman" w:hAnsi="Times New Roman" w:eastAsia="宋体" w:cs="Times New Roman"/>
                      <w:bCs/>
                      <w:color w:val="auto"/>
                      <w:szCs w:val="21"/>
                      <w:highlight w:val="none"/>
                    </w:rPr>
                    <w:t>6）</w:t>
                  </w:r>
                </w:p>
              </w:tc>
            </w:tr>
          </w:tbl>
          <w:p w14:paraId="35750DC4">
            <w:pPr>
              <w:adjustRightInd w:val="0"/>
              <w:snapToGrid w:val="0"/>
              <w:spacing w:line="360" w:lineRule="auto"/>
              <w:rPr>
                <w:b/>
                <w:color w:val="auto"/>
                <w:sz w:val="24"/>
                <w:highlight w:val="none"/>
              </w:rPr>
            </w:pPr>
            <w:r>
              <w:rPr>
                <w:b/>
                <w:color w:val="auto"/>
                <w:sz w:val="24"/>
                <w:highlight w:val="none"/>
              </w:rPr>
              <w:t>2、废水</w:t>
            </w:r>
          </w:p>
          <w:p w14:paraId="0329BFEC">
            <w:pPr>
              <w:adjustRightInd w:val="0"/>
              <w:snapToGrid w:val="0"/>
              <w:spacing w:line="360" w:lineRule="auto"/>
              <w:ind w:firstLine="480" w:firstLineChars="200"/>
              <w:rPr>
                <w:rFonts w:hint="eastAsia" w:eastAsia="宋体"/>
                <w:color w:val="auto"/>
                <w:sz w:val="24"/>
                <w:szCs w:val="24"/>
                <w:highlight w:val="none"/>
                <w:lang w:eastAsia="zh-CN"/>
              </w:rPr>
            </w:pPr>
            <w:r>
              <w:rPr>
                <w:bCs/>
                <w:color w:val="auto"/>
                <w:sz w:val="24"/>
                <w:highlight w:val="none"/>
              </w:rPr>
              <w:t>（</w:t>
            </w:r>
            <w:r>
              <w:rPr>
                <w:rFonts w:hint="eastAsia"/>
                <w:bCs/>
                <w:color w:val="auto"/>
                <w:sz w:val="24"/>
                <w:highlight w:val="none"/>
                <w:lang w:val="en-US" w:eastAsia="zh-CN"/>
              </w:rPr>
              <w:t>1</w:t>
            </w:r>
            <w:r>
              <w:rPr>
                <w:bCs/>
                <w:color w:val="auto"/>
                <w:sz w:val="24"/>
                <w:highlight w:val="none"/>
              </w:rPr>
              <w:t>）项目废</w:t>
            </w:r>
            <w:r>
              <w:rPr>
                <w:rFonts w:hint="eastAsia"/>
                <w:bCs/>
                <w:color w:val="auto"/>
                <w:sz w:val="24"/>
                <w:highlight w:val="none"/>
                <w:lang w:val="en-US" w:eastAsia="zh-CN"/>
              </w:rPr>
              <w:t>水源强</w:t>
            </w:r>
          </w:p>
          <w:p w14:paraId="3100320F">
            <w:pPr>
              <w:adjustRightInd w:val="0"/>
              <w:snapToGrid w:val="0"/>
              <w:spacing w:line="360" w:lineRule="auto"/>
              <w:ind w:firstLine="480" w:firstLineChars="200"/>
              <w:rPr>
                <w:rFonts w:hint="eastAsia" w:eastAsia="宋体"/>
                <w:color w:val="auto"/>
                <w:sz w:val="24"/>
                <w:szCs w:val="24"/>
                <w:highlight w:val="none"/>
                <w:lang w:eastAsia="zh-CN"/>
              </w:rPr>
            </w:pPr>
            <w:r>
              <w:rPr>
                <w:color w:val="auto"/>
                <w:sz w:val="24"/>
                <w:szCs w:val="24"/>
                <w:highlight w:val="none"/>
              </w:rPr>
              <w:t>本项目</w:t>
            </w:r>
            <w:r>
              <w:rPr>
                <w:rFonts w:hint="eastAsia"/>
                <w:color w:val="auto"/>
                <w:sz w:val="24"/>
                <w:szCs w:val="24"/>
                <w:highlight w:val="none"/>
                <w:lang w:val="en-US" w:eastAsia="zh-CN"/>
              </w:rPr>
              <w:t>用水外购，</w:t>
            </w:r>
            <w:r>
              <w:rPr>
                <w:color w:val="auto"/>
                <w:sz w:val="24"/>
                <w:szCs w:val="24"/>
                <w:highlight w:val="none"/>
              </w:rPr>
              <w:t>运营期用水主要为职工生活用水</w:t>
            </w:r>
            <w:r>
              <w:rPr>
                <w:rFonts w:hint="eastAsia"/>
                <w:color w:val="auto"/>
                <w:sz w:val="24"/>
                <w:szCs w:val="24"/>
                <w:highlight w:val="none"/>
                <w:lang w:eastAsia="zh-CN"/>
              </w:rPr>
              <w:t>、</w:t>
            </w:r>
            <w:r>
              <w:rPr>
                <w:rFonts w:hint="eastAsia"/>
                <w:color w:val="auto"/>
                <w:sz w:val="24"/>
                <w:szCs w:val="24"/>
                <w:highlight w:val="none"/>
                <w:lang w:val="en-US" w:eastAsia="zh-CN"/>
              </w:rPr>
              <w:t>堆场及道路洒水</w:t>
            </w:r>
            <w:r>
              <w:rPr>
                <w:rFonts w:hint="eastAsia"/>
                <w:color w:val="auto"/>
                <w:sz w:val="24"/>
                <w:szCs w:val="24"/>
                <w:highlight w:val="none"/>
              </w:rPr>
              <w:t>以及</w:t>
            </w:r>
            <w:r>
              <w:rPr>
                <w:rFonts w:hint="eastAsia"/>
                <w:color w:val="auto"/>
                <w:sz w:val="24"/>
                <w:szCs w:val="24"/>
                <w:highlight w:val="none"/>
                <w:lang w:val="en-US" w:eastAsia="zh-CN"/>
              </w:rPr>
              <w:t>初期</w:t>
            </w:r>
            <w:r>
              <w:rPr>
                <w:rFonts w:hint="eastAsia"/>
                <w:color w:val="auto"/>
                <w:sz w:val="24"/>
                <w:szCs w:val="24"/>
                <w:highlight w:val="none"/>
              </w:rPr>
              <w:t>汇集雨水</w:t>
            </w:r>
            <w:r>
              <w:rPr>
                <w:rFonts w:hint="eastAsia"/>
                <w:color w:val="auto"/>
                <w:sz w:val="24"/>
                <w:szCs w:val="24"/>
                <w:highlight w:val="none"/>
                <w:lang w:eastAsia="zh-CN"/>
              </w:rPr>
              <w:t>。</w:t>
            </w:r>
          </w:p>
          <w:p w14:paraId="187FBC27">
            <w:pPr>
              <w:adjustRightInd w:val="0"/>
              <w:snapToGrid w:val="0"/>
              <w:spacing w:line="360" w:lineRule="auto"/>
              <w:ind w:firstLine="480" w:firstLineChars="200"/>
              <w:rPr>
                <w:rFonts w:hint="default"/>
                <w:bCs/>
                <w:color w:val="auto"/>
                <w:sz w:val="24"/>
                <w:highlight w:val="none"/>
                <w:lang w:val="en-US" w:eastAsia="zh-CN"/>
              </w:rPr>
            </w:pPr>
            <w:r>
              <w:rPr>
                <w:rFonts w:hint="eastAsia"/>
                <w:bCs/>
                <w:color w:val="auto"/>
                <w:sz w:val="24"/>
                <w:highlight w:val="none"/>
                <w:lang w:val="en-US" w:eastAsia="zh-CN"/>
              </w:rPr>
              <w:t>1</w:t>
            </w:r>
            <w:r>
              <w:rPr>
                <w:rFonts w:hint="eastAsia"/>
                <w:bCs/>
                <w:color w:val="auto"/>
                <w:sz w:val="24"/>
                <w:highlight w:val="none"/>
                <w:lang w:eastAsia="zh-CN"/>
              </w:rPr>
              <w:t>）</w:t>
            </w:r>
            <w:r>
              <w:rPr>
                <w:rFonts w:hint="eastAsia"/>
                <w:bCs/>
                <w:color w:val="auto"/>
                <w:sz w:val="24"/>
                <w:highlight w:val="none"/>
                <w:lang w:val="en-US" w:eastAsia="zh-CN"/>
              </w:rPr>
              <w:t>生活污水</w:t>
            </w:r>
          </w:p>
          <w:p w14:paraId="310A9A4A">
            <w:pPr>
              <w:adjustRightInd w:val="0"/>
              <w:snapToGrid w:val="0"/>
              <w:spacing w:line="360" w:lineRule="auto"/>
              <w:ind w:firstLine="480" w:firstLineChars="200"/>
              <w:rPr>
                <w:rFonts w:hint="eastAsia"/>
                <w:bCs/>
                <w:color w:val="auto"/>
                <w:sz w:val="24"/>
                <w:highlight w:val="none"/>
              </w:rPr>
            </w:pPr>
            <w:r>
              <w:rPr>
                <w:color w:val="auto"/>
                <w:sz w:val="24"/>
                <w:szCs w:val="24"/>
                <w:highlight w:val="none"/>
              </w:rPr>
              <w:t>生活污水产生量为</w:t>
            </w:r>
            <w:r>
              <w:rPr>
                <w:rFonts w:hint="eastAsia"/>
                <w:color w:val="auto"/>
                <w:sz w:val="24"/>
                <w:szCs w:val="24"/>
                <w:highlight w:val="none"/>
              </w:rPr>
              <w:t>0</w:t>
            </w:r>
            <w:r>
              <w:rPr>
                <w:rFonts w:hint="eastAsia"/>
                <w:color w:val="auto"/>
                <w:sz w:val="24"/>
                <w:szCs w:val="24"/>
                <w:highlight w:val="none"/>
                <w:lang w:val="en-US" w:eastAsia="zh-CN"/>
              </w:rPr>
              <w:t>.128</w:t>
            </w:r>
            <w:r>
              <w:rPr>
                <w:rFonts w:hint="eastAsia"/>
                <w:color w:val="auto"/>
                <w:sz w:val="24"/>
                <w:szCs w:val="24"/>
                <w:highlight w:val="none"/>
              </w:rPr>
              <w:t>m</w:t>
            </w:r>
            <w:r>
              <w:rPr>
                <w:rFonts w:hint="eastAsia"/>
                <w:color w:val="auto"/>
                <w:sz w:val="24"/>
                <w:szCs w:val="24"/>
                <w:highlight w:val="none"/>
                <w:vertAlign w:val="superscript"/>
              </w:rPr>
              <w:t>3</w:t>
            </w:r>
            <w:r>
              <w:rPr>
                <w:color w:val="auto"/>
                <w:sz w:val="24"/>
                <w:szCs w:val="24"/>
                <w:highlight w:val="none"/>
              </w:rPr>
              <w:t>/d，年产生量为</w:t>
            </w:r>
            <w:r>
              <w:rPr>
                <w:rFonts w:hint="eastAsia"/>
                <w:color w:val="auto"/>
                <w:sz w:val="24"/>
                <w:szCs w:val="24"/>
                <w:highlight w:val="none"/>
                <w:lang w:val="en-US" w:eastAsia="zh-CN"/>
              </w:rPr>
              <w:t>38.4</w:t>
            </w:r>
            <w:r>
              <w:rPr>
                <w:rFonts w:hint="eastAsia"/>
                <w:color w:val="auto"/>
                <w:sz w:val="24"/>
                <w:szCs w:val="24"/>
                <w:highlight w:val="none"/>
              </w:rPr>
              <w:t>m</w:t>
            </w:r>
            <w:r>
              <w:rPr>
                <w:rFonts w:hint="eastAsia"/>
                <w:color w:val="auto"/>
                <w:sz w:val="24"/>
                <w:szCs w:val="24"/>
                <w:highlight w:val="none"/>
                <w:vertAlign w:val="superscript"/>
              </w:rPr>
              <w:t>3</w:t>
            </w:r>
            <w:r>
              <w:rPr>
                <w:color w:val="auto"/>
                <w:sz w:val="24"/>
                <w:szCs w:val="24"/>
                <w:highlight w:val="none"/>
              </w:rPr>
              <w:t>，排入防渗旱厕，</w:t>
            </w:r>
            <w:r>
              <w:rPr>
                <w:bCs/>
                <w:color w:val="auto"/>
                <w:sz w:val="24"/>
                <w:highlight w:val="none"/>
              </w:rPr>
              <w:t>定期清掏外运</w:t>
            </w:r>
            <w:r>
              <w:rPr>
                <w:rFonts w:hint="eastAsia"/>
                <w:bCs/>
                <w:color w:val="auto"/>
                <w:sz w:val="24"/>
                <w:highlight w:val="none"/>
              </w:rPr>
              <w:t>，不外排。</w:t>
            </w:r>
          </w:p>
          <w:p w14:paraId="5191E9B3">
            <w:pPr>
              <w:numPr>
                <w:ilvl w:val="0"/>
                <w:numId w:val="0"/>
              </w:num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2）</w:t>
            </w:r>
            <w:r>
              <w:rPr>
                <w:rFonts w:hint="eastAsia" w:cs="Times New Roman"/>
                <w:bCs/>
                <w:color w:val="auto"/>
                <w:sz w:val="24"/>
                <w:highlight w:val="none"/>
                <w:lang w:val="en-US" w:eastAsia="zh-CN"/>
              </w:rPr>
              <w:t>道路及堆场洒</w:t>
            </w:r>
            <w:r>
              <w:rPr>
                <w:rFonts w:hint="eastAsia" w:ascii="Times New Roman" w:hAnsi="Times New Roman" w:eastAsia="宋体" w:cs="Times New Roman"/>
                <w:bCs/>
                <w:color w:val="auto"/>
                <w:sz w:val="24"/>
                <w:highlight w:val="none"/>
                <w:lang w:val="en-US" w:eastAsia="zh-CN"/>
              </w:rPr>
              <w:t>水</w:t>
            </w:r>
          </w:p>
          <w:p w14:paraId="1DF8DA05">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储煤场日常工作中通过对堆场及道路进行洒水降尘，减少粉尘产生。</w:t>
            </w:r>
            <w:r>
              <w:rPr>
                <w:rFonts w:hint="eastAsia" w:cs="Times New Roman"/>
                <w:color w:val="auto"/>
                <w:sz w:val="24"/>
                <w:szCs w:val="24"/>
                <w:highlight w:val="none"/>
                <w:lang w:val="en-US" w:eastAsia="zh-CN"/>
              </w:rPr>
              <w:t>年洒水用量为666</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eastAsia" w:cs="Times New Roman"/>
                <w:color w:val="auto"/>
                <w:sz w:val="24"/>
                <w:szCs w:val="24"/>
                <w:highlight w:val="none"/>
                <w:vertAlign w:val="baseline"/>
                <w:lang w:eastAsia="zh-CN"/>
              </w:rPr>
              <w:t>（</w:t>
            </w:r>
            <w:r>
              <w:rPr>
                <w:rFonts w:hint="eastAsia" w:cs="Times New Roman"/>
                <w:color w:val="auto"/>
                <w:sz w:val="24"/>
                <w:highlight w:val="none"/>
                <w:lang w:val="en-US" w:eastAsia="zh-CN"/>
              </w:rPr>
              <w:t>3.7</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/d</w:t>
            </w:r>
            <w:r>
              <w:rPr>
                <w:rFonts w:hint="eastAsia" w:cs="Times New Roman"/>
                <w:color w:val="auto"/>
                <w:sz w:val="24"/>
                <w:szCs w:val="24"/>
                <w:highlight w:val="none"/>
                <w:vertAlign w:val="baseline"/>
                <w:lang w:eastAsia="zh-CN"/>
              </w:rPr>
              <w:t>），</w:t>
            </w:r>
            <w:r>
              <w:rPr>
                <w:rFonts w:hint="default" w:ascii="Times New Roman" w:hAnsi="Times New Roman" w:cs="Times New Roman"/>
                <w:bCs/>
                <w:color w:val="auto"/>
                <w:sz w:val="24"/>
                <w:highlight w:val="none"/>
                <w:lang w:val="en-US" w:eastAsia="zh-CN"/>
              </w:rPr>
              <w:t>道路及堆场洒</w:t>
            </w:r>
            <w:r>
              <w:rPr>
                <w:rFonts w:hint="default" w:ascii="Times New Roman" w:hAnsi="Times New Roman" w:eastAsia="宋体" w:cs="Times New Roman"/>
                <w:bCs/>
                <w:color w:val="auto"/>
                <w:sz w:val="24"/>
                <w:highlight w:val="none"/>
                <w:lang w:val="en-US" w:eastAsia="zh-CN"/>
              </w:rPr>
              <w:t>水</w:t>
            </w:r>
            <w:r>
              <w:rPr>
                <w:rFonts w:hint="default" w:ascii="Times New Roman" w:hAnsi="Times New Roman" w:cs="Times New Roman"/>
                <w:color w:val="auto"/>
                <w:sz w:val="24"/>
                <w:szCs w:val="24"/>
                <w:highlight w:val="none"/>
                <w:lang w:val="en-US" w:eastAsia="zh-CN"/>
              </w:rPr>
              <w:t>随空气蒸发，不外排。</w:t>
            </w:r>
          </w:p>
          <w:p w14:paraId="122E48B0">
            <w:pPr>
              <w:numPr>
                <w:ilvl w:val="0"/>
                <w:numId w:val="0"/>
              </w:num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3）径流雨水</w:t>
            </w:r>
          </w:p>
          <w:p w14:paraId="4201585B">
            <w:pPr>
              <w:numPr>
                <w:ilvl w:val="0"/>
                <w:numId w:val="0"/>
              </w:num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本项目堆场</w:t>
            </w:r>
            <w:r>
              <w:rPr>
                <w:rFonts w:hint="eastAsia" w:ascii="Times New Roman" w:hAnsi="Times New Roman" w:eastAsia="宋体" w:cs="Times New Roman"/>
                <w:bCs/>
                <w:color w:val="auto"/>
                <w:sz w:val="24"/>
                <w:highlight w:val="none"/>
                <w:lang w:val="en-US" w:eastAsia="zh-CN"/>
              </w:rPr>
              <w:t>年</w:t>
            </w:r>
            <w:r>
              <w:rPr>
                <w:rFonts w:hint="default" w:ascii="Times New Roman" w:hAnsi="Times New Roman" w:eastAsia="宋体" w:cs="Times New Roman"/>
                <w:bCs/>
                <w:color w:val="auto"/>
                <w:sz w:val="24"/>
                <w:highlight w:val="none"/>
                <w:lang w:val="en-US" w:eastAsia="zh-CN"/>
              </w:rPr>
              <w:t>汇集雨水</w:t>
            </w:r>
            <w:r>
              <w:rPr>
                <w:rFonts w:hint="eastAsia" w:ascii="Times New Roman" w:hAnsi="Times New Roman" w:eastAsia="宋体" w:cs="Times New Roman"/>
                <w:bCs/>
                <w:color w:val="auto"/>
                <w:sz w:val="24"/>
                <w:highlight w:val="none"/>
                <w:lang w:val="en-US" w:eastAsia="zh-CN"/>
              </w:rPr>
              <w:t>量</w:t>
            </w:r>
            <w:r>
              <w:rPr>
                <w:rFonts w:hint="eastAsia" w:cs="Times New Roman"/>
                <w:color w:val="auto"/>
                <w:sz w:val="24"/>
                <w:szCs w:val="24"/>
                <w:highlight w:val="none"/>
                <w:lang w:val="en-US" w:eastAsia="zh-CN"/>
              </w:rPr>
              <w:t>620.49</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eastAsia" w:cs="Times New Roman"/>
                <w:color w:val="auto"/>
                <w:sz w:val="24"/>
                <w:szCs w:val="24"/>
                <w:highlight w:val="none"/>
                <w:vertAlign w:val="baseline"/>
                <w:lang w:eastAsia="zh-CN"/>
              </w:rPr>
              <w:t>（</w:t>
            </w:r>
            <w:r>
              <w:rPr>
                <w:rFonts w:hint="eastAsia" w:cs="Times New Roman"/>
                <w:color w:val="auto"/>
                <w:sz w:val="24"/>
                <w:highlight w:val="none"/>
                <w:lang w:val="en-US" w:eastAsia="zh-CN"/>
              </w:rPr>
              <w:t>3.45</w:t>
            </w:r>
            <w:r>
              <w:rPr>
                <w:rFonts w:hint="default" w:ascii="Times New Roman" w:hAnsi="Times New Roman" w:eastAsia="宋体"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3</w:t>
            </w:r>
            <w:r>
              <w:rPr>
                <w:rFonts w:hint="default" w:ascii="Times New Roman" w:hAnsi="Times New Roman" w:eastAsia="宋体" w:cs="Times New Roman"/>
                <w:color w:val="auto"/>
                <w:sz w:val="24"/>
                <w:highlight w:val="none"/>
                <w:lang w:val="en-US" w:eastAsia="zh-CN"/>
              </w:rPr>
              <w:t>/d</w:t>
            </w:r>
            <w:r>
              <w:rPr>
                <w:rFonts w:hint="eastAsia" w:cs="Times New Roman"/>
                <w:color w:val="auto"/>
                <w:sz w:val="24"/>
                <w:szCs w:val="24"/>
                <w:highlight w:val="none"/>
                <w:vertAlign w:val="baseline"/>
                <w:lang w:eastAsia="zh-CN"/>
              </w:rPr>
              <w:t>），</w:t>
            </w:r>
            <w:r>
              <w:rPr>
                <w:rFonts w:hint="default" w:ascii="Times New Roman" w:hAnsi="Times New Roman" w:eastAsia="宋体" w:cs="Times New Roman"/>
                <w:bCs/>
                <w:color w:val="auto"/>
                <w:sz w:val="24"/>
                <w:highlight w:val="none"/>
                <w:lang w:val="en-US" w:eastAsia="zh-CN"/>
              </w:rPr>
              <w:t>主要污染因子均为SS，类比调查平均SS浓度为700mg/L。雨水收集至初期雨水收集池，回用于堆场洒水以及道路洒水抑尘等用水，不外排</w:t>
            </w:r>
            <w:r>
              <w:rPr>
                <w:rFonts w:hint="eastAsia" w:ascii="Times New Roman" w:hAnsi="Times New Roman" w:eastAsia="宋体" w:cs="Times New Roman"/>
                <w:bCs/>
                <w:color w:val="auto"/>
                <w:sz w:val="24"/>
                <w:highlight w:val="none"/>
                <w:lang w:val="en-US" w:eastAsia="zh-CN"/>
              </w:rPr>
              <w:t>。</w:t>
            </w:r>
          </w:p>
          <w:p w14:paraId="265B5576">
            <w:pPr>
              <w:numPr>
                <w:ilvl w:val="0"/>
                <w:numId w:val="0"/>
              </w:num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（2）水环境影响分析</w:t>
            </w:r>
          </w:p>
          <w:p w14:paraId="06B66574">
            <w:pPr>
              <w:numPr>
                <w:ilvl w:val="0"/>
                <w:numId w:val="0"/>
              </w:num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根据上文给排水计算可知，本项目可利用雨水量为620.49m</w:t>
            </w:r>
            <w:r>
              <w:rPr>
                <w:rFonts w:hint="eastAsia" w:ascii="Times New Roman" w:hAnsi="Times New Roman" w:eastAsia="宋体" w:cs="Times New Roman"/>
                <w:bCs/>
                <w:color w:val="auto"/>
                <w:sz w:val="24"/>
                <w:highlight w:val="none"/>
                <w:vertAlign w:val="superscript"/>
                <w:lang w:val="en-US" w:eastAsia="zh-CN"/>
              </w:rPr>
              <w:t>3</w:t>
            </w:r>
            <w:r>
              <w:rPr>
                <w:rFonts w:hint="eastAsia" w:ascii="Times New Roman" w:hAnsi="Times New Roman" w:eastAsia="宋体" w:cs="Times New Roman"/>
                <w:bCs/>
                <w:color w:val="auto"/>
                <w:sz w:val="24"/>
                <w:highlight w:val="none"/>
                <w:lang w:val="en-US" w:eastAsia="zh-CN"/>
              </w:rPr>
              <w:t>/a，项目生产降尘用水量为666m</w:t>
            </w:r>
            <w:r>
              <w:rPr>
                <w:rFonts w:hint="eastAsia" w:ascii="Times New Roman" w:hAnsi="Times New Roman" w:eastAsia="宋体" w:cs="Times New Roman"/>
                <w:bCs/>
                <w:color w:val="auto"/>
                <w:sz w:val="24"/>
                <w:highlight w:val="none"/>
                <w:vertAlign w:val="superscript"/>
                <w:lang w:val="en-US" w:eastAsia="zh-CN"/>
              </w:rPr>
              <w:t>3</w:t>
            </w:r>
            <w:r>
              <w:rPr>
                <w:rFonts w:hint="eastAsia" w:ascii="Times New Roman" w:hAnsi="Times New Roman" w:eastAsia="宋体" w:cs="Times New Roman"/>
                <w:bCs/>
                <w:color w:val="auto"/>
                <w:sz w:val="24"/>
                <w:highlight w:val="none"/>
                <w:lang w:val="en-US" w:eastAsia="zh-CN"/>
              </w:rPr>
              <w:t>/a，降尘用水采用初期雨水，其余部分外购。根据厂区地势，雨水收集池建设在厂区地势较低的西北侧，本项目设置容积为25m</w:t>
            </w:r>
            <w:r>
              <w:rPr>
                <w:rFonts w:hint="eastAsia" w:ascii="Times New Roman" w:hAnsi="Times New Roman" w:eastAsia="宋体" w:cs="Times New Roman"/>
                <w:bCs/>
                <w:color w:val="auto"/>
                <w:sz w:val="24"/>
                <w:highlight w:val="none"/>
                <w:vertAlign w:val="superscript"/>
                <w:lang w:val="en-US" w:eastAsia="zh-CN"/>
              </w:rPr>
              <w:t>3</w:t>
            </w:r>
            <w:r>
              <w:rPr>
                <w:rFonts w:hint="eastAsia" w:ascii="Times New Roman" w:hAnsi="Times New Roman" w:eastAsia="宋体" w:cs="Times New Roman"/>
                <w:bCs/>
                <w:color w:val="auto"/>
                <w:sz w:val="24"/>
                <w:highlight w:val="none"/>
                <w:lang w:val="en-US" w:eastAsia="zh-CN"/>
              </w:rPr>
              <w:t>雨水收集池用于收集初期雨水，收集沉淀后用于降尘用水。</w:t>
            </w:r>
          </w:p>
          <w:p w14:paraId="1A090D90">
            <w:pPr>
              <w:numPr>
                <w:ilvl w:val="0"/>
                <w:numId w:val="0"/>
              </w:num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综上，本项目产生的生活污水排入防渗旱厕，定期清掏，外运堆肥；生产抑尘用水全部进入物料中挥发，不外排；初期雨水导入雨水收集池沉淀后回用于生产，不外排，项目对地表水的影响在可接受范围内。</w:t>
            </w:r>
          </w:p>
          <w:p w14:paraId="72ACBE6D">
            <w:pPr>
              <w:numPr>
                <w:ilvl w:val="0"/>
                <w:numId w:val="0"/>
              </w:num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（3）环保措施可行性分析</w:t>
            </w:r>
          </w:p>
          <w:p w14:paraId="3B28724C">
            <w:pPr>
              <w:numPr>
                <w:ilvl w:val="0"/>
                <w:numId w:val="0"/>
              </w:num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本项目设置雨水收集池及导流沟对径流雨水进行收集，收集后的雨水经沉淀后回用于洒水降尘。由上文可知，本项目雨水收集池面</w:t>
            </w:r>
            <w:r>
              <w:rPr>
                <w:rFonts w:hint="eastAsia" w:cs="Times New Roman"/>
                <w:bCs/>
                <w:color w:val="auto"/>
                <w:sz w:val="24"/>
                <w:highlight w:val="none"/>
                <w:lang w:val="en-US" w:eastAsia="zh-CN"/>
              </w:rPr>
              <w:t>积是</w:t>
            </w:r>
            <w:r>
              <w:rPr>
                <w:rFonts w:hint="eastAsia" w:ascii="Times New Roman" w:hAnsi="Times New Roman" w:eastAsia="宋体" w:cs="Times New Roman"/>
                <w:bCs/>
                <w:color w:val="auto"/>
                <w:sz w:val="24"/>
                <w:highlight w:val="none"/>
                <w:lang w:val="en-US" w:eastAsia="zh-CN"/>
              </w:rPr>
              <w:t>通过鸡西市暴雨强度推导出雨水汇水量进而计算得出的，项目各雨水收集池面积均在计算结果上进行少量增加，雨水收集池池容能够满足径流雨水收集需求。</w:t>
            </w:r>
          </w:p>
          <w:p w14:paraId="4EEEFC0A">
            <w:pPr>
              <w:numPr>
                <w:ilvl w:val="0"/>
                <w:numId w:val="0"/>
              </w:num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由上式计算可知，储煤场年径流雨水量620.49m</w:t>
            </w:r>
            <w:r>
              <w:rPr>
                <w:rFonts w:hint="eastAsia" w:ascii="Times New Roman" w:hAnsi="Times New Roman" w:eastAsia="宋体" w:cs="Times New Roman"/>
                <w:bCs/>
                <w:color w:val="auto"/>
                <w:sz w:val="24"/>
                <w:highlight w:val="none"/>
                <w:vertAlign w:val="superscript"/>
                <w:lang w:val="en-US" w:eastAsia="zh-CN"/>
              </w:rPr>
              <w:t>3</w:t>
            </w:r>
            <w:r>
              <w:rPr>
                <w:rFonts w:hint="eastAsia" w:ascii="Times New Roman" w:hAnsi="Times New Roman" w:eastAsia="宋体" w:cs="Times New Roman"/>
                <w:bCs/>
                <w:color w:val="auto"/>
                <w:sz w:val="24"/>
                <w:highlight w:val="none"/>
                <w:lang w:val="en-US" w:eastAsia="zh-CN"/>
              </w:rPr>
              <w:t>，根据上文水平衡可知，堆场及道路年洒水使用量666m</w:t>
            </w:r>
            <w:r>
              <w:rPr>
                <w:rFonts w:hint="eastAsia" w:ascii="Times New Roman" w:hAnsi="Times New Roman" w:eastAsia="宋体" w:cs="Times New Roman"/>
                <w:bCs/>
                <w:color w:val="auto"/>
                <w:sz w:val="24"/>
                <w:highlight w:val="none"/>
                <w:vertAlign w:val="superscript"/>
                <w:lang w:val="en-US" w:eastAsia="zh-CN"/>
              </w:rPr>
              <w:t>3</w:t>
            </w:r>
            <w:r>
              <w:rPr>
                <w:rFonts w:hint="eastAsia" w:ascii="Times New Roman" w:hAnsi="Times New Roman" w:eastAsia="宋体" w:cs="Times New Roman"/>
                <w:bCs/>
                <w:color w:val="auto"/>
                <w:sz w:val="24"/>
                <w:highlight w:val="none"/>
                <w:lang w:val="en-US" w:eastAsia="zh-CN"/>
              </w:rPr>
              <w:t>，雨水收集池收集的径流雨水能够全部被消纳。</w:t>
            </w:r>
          </w:p>
          <w:p w14:paraId="086DCE58">
            <w:pPr>
              <w:adjustRightInd w:val="0"/>
              <w:snapToGrid w:val="0"/>
              <w:jc w:val="center"/>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表4-</w:t>
            </w:r>
            <w:r>
              <w:rPr>
                <w:rFonts w:hint="eastAsia" w:cs="Times New Roman"/>
                <w:b/>
                <w:bCs/>
                <w:color w:val="auto"/>
                <w:kern w:val="2"/>
                <w:sz w:val="24"/>
                <w:szCs w:val="24"/>
                <w:highlight w:val="none"/>
                <w:lang w:val="en-US" w:eastAsia="zh-CN" w:bidi="ar-SA"/>
              </w:rPr>
              <w:t>3</w:t>
            </w:r>
            <w:r>
              <w:rPr>
                <w:rFonts w:hint="eastAsia" w:ascii="Times New Roman" w:hAnsi="Times New Roman" w:eastAsia="宋体" w:cs="Times New Roman"/>
                <w:b/>
                <w:bCs/>
                <w:color w:val="auto"/>
                <w:kern w:val="2"/>
                <w:sz w:val="24"/>
                <w:szCs w:val="24"/>
                <w:highlight w:val="none"/>
                <w:lang w:val="en-US" w:eastAsia="zh-CN" w:bidi="ar-SA"/>
              </w:rPr>
              <w:t xml:space="preserve">  废水污染物排放源</w:t>
            </w:r>
          </w:p>
          <w:tbl>
            <w:tblPr>
              <w:tblStyle w:val="1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12"/>
              <w:gridCol w:w="1000"/>
              <w:gridCol w:w="1293"/>
              <w:gridCol w:w="1444"/>
              <w:gridCol w:w="1284"/>
              <w:gridCol w:w="2649"/>
            </w:tblGrid>
            <w:tr w14:paraId="4AD460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noWrap w:val="0"/>
                  <w:vAlign w:val="center"/>
                </w:tcPr>
                <w:p w14:paraId="20E01F6B">
                  <w:pPr>
                    <w:adjustRightInd w:val="0"/>
                    <w:snapToGrid w:val="0"/>
                    <w:jc w:val="center"/>
                    <w:rPr>
                      <w:rFonts w:hint="eastAsia"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产排污环节</w:t>
                  </w:r>
                </w:p>
              </w:tc>
              <w:tc>
                <w:tcPr>
                  <w:tcW w:w="569" w:type="pct"/>
                  <w:noWrap w:val="0"/>
                  <w:vAlign w:val="center"/>
                </w:tcPr>
                <w:p w14:paraId="74F6AAD5">
                  <w:pPr>
                    <w:adjustRightInd w:val="0"/>
                    <w:snapToGrid w:val="0"/>
                    <w:jc w:val="center"/>
                    <w:rPr>
                      <w:rFonts w:hint="eastAsia"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污染物种类</w:t>
                  </w:r>
                </w:p>
              </w:tc>
              <w:tc>
                <w:tcPr>
                  <w:tcW w:w="736" w:type="pct"/>
                  <w:noWrap w:val="0"/>
                  <w:vAlign w:val="center"/>
                </w:tcPr>
                <w:p w14:paraId="309C620C">
                  <w:pPr>
                    <w:adjustRightInd w:val="0"/>
                    <w:snapToGrid w:val="0"/>
                    <w:jc w:val="center"/>
                    <w:rPr>
                      <w:rFonts w:hint="eastAsia"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污染物产生量t/a</w:t>
                  </w:r>
                </w:p>
              </w:tc>
              <w:tc>
                <w:tcPr>
                  <w:tcW w:w="822" w:type="pct"/>
                  <w:noWrap w:val="0"/>
                  <w:vAlign w:val="center"/>
                </w:tcPr>
                <w:p w14:paraId="47FC5DD7">
                  <w:pPr>
                    <w:adjustRightInd w:val="0"/>
                    <w:snapToGrid w:val="0"/>
                    <w:jc w:val="center"/>
                    <w:rPr>
                      <w:rFonts w:hint="eastAsia"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污染物产生浓度mg/L</w:t>
                  </w:r>
                </w:p>
              </w:tc>
              <w:tc>
                <w:tcPr>
                  <w:tcW w:w="731" w:type="pct"/>
                  <w:noWrap w:val="0"/>
                  <w:vAlign w:val="center"/>
                </w:tcPr>
                <w:p w14:paraId="774ADC8E">
                  <w:pPr>
                    <w:adjustRightInd w:val="0"/>
                    <w:snapToGrid w:val="0"/>
                    <w:jc w:val="center"/>
                    <w:rPr>
                      <w:rFonts w:hint="eastAsia"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排放形式</w:t>
                  </w:r>
                </w:p>
              </w:tc>
              <w:tc>
                <w:tcPr>
                  <w:tcW w:w="1508" w:type="pct"/>
                  <w:noWrap w:val="0"/>
                  <w:vAlign w:val="center"/>
                </w:tcPr>
                <w:p w14:paraId="27345E45">
                  <w:pPr>
                    <w:adjustRightInd w:val="0"/>
                    <w:snapToGrid w:val="0"/>
                    <w:jc w:val="center"/>
                    <w:rPr>
                      <w:rFonts w:hint="eastAsia"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治理设施</w:t>
                  </w:r>
                </w:p>
              </w:tc>
            </w:tr>
            <w:tr w14:paraId="6DF09B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vMerge w:val="restart"/>
                  <w:noWrap w:val="0"/>
                  <w:vAlign w:val="center"/>
                </w:tcPr>
                <w:p w14:paraId="32A3D54C">
                  <w:pPr>
                    <w:adjustRightInd w:val="0"/>
                    <w:snapToGrid w:val="0"/>
                    <w:jc w:val="center"/>
                    <w:rPr>
                      <w:rFonts w:hint="eastAsia"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生活污水</w:t>
                  </w:r>
                </w:p>
              </w:tc>
              <w:tc>
                <w:tcPr>
                  <w:tcW w:w="569" w:type="pct"/>
                  <w:noWrap w:val="0"/>
                  <w:vAlign w:val="center"/>
                </w:tcPr>
                <w:p w14:paraId="299BCF89">
                  <w:pPr>
                    <w:adjustRightInd w:val="0"/>
                    <w:snapToGrid w:val="0"/>
                    <w:jc w:val="center"/>
                    <w:rPr>
                      <w:rFonts w:hint="eastAsia"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COD</w:t>
                  </w:r>
                </w:p>
              </w:tc>
              <w:tc>
                <w:tcPr>
                  <w:tcW w:w="736" w:type="pct"/>
                  <w:noWrap w:val="0"/>
                  <w:vAlign w:val="center"/>
                </w:tcPr>
                <w:p w14:paraId="2ED2E6D3">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rPr>
                    <w:t>0.0</w:t>
                  </w:r>
                  <w:r>
                    <w:rPr>
                      <w:rFonts w:hint="eastAsia" w:cs="Times New Roman"/>
                      <w:bCs/>
                      <w:color w:val="auto"/>
                      <w:szCs w:val="21"/>
                      <w:highlight w:val="none"/>
                      <w:lang w:val="en-US" w:eastAsia="zh-CN"/>
                    </w:rPr>
                    <w:t>403</w:t>
                  </w:r>
                </w:p>
              </w:tc>
              <w:tc>
                <w:tcPr>
                  <w:tcW w:w="822" w:type="pct"/>
                  <w:noWrap w:val="0"/>
                  <w:vAlign w:val="center"/>
                </w:tcPr>
                <w:p w14:paraId="12232024">
                  <w:pPr>
                    <w:adjustRightInd w:val="0"/>
                    <w:snapToGrid w:val="0"/>
                    <w:jc w:val="center"/>
                    <w:rPr>
                      <w:rFonts w:hint="eastAsia"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300</w:t>
                  </w:r>
                </w:p>
              </w:tc>
              <w:tc>
                <w:tcPr>
                  <w:tcW w:w="731" w:type="pct"/>
                  <w:noWrap w:val="0"/>
                  <w:vAlign w:val="center"/>
                </w:tcPr>
                <w:p w14:paraId="77F678E5">
                  <w:pPr>
                    <w:adjustRightInd w:val="0"/>
                    <w:snapToGrid w:val="0"/>
                    <w:jc w:val="center"/>
                    <w:rPr>
                      <w:rFonts w:hint="eastAsia"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不排放</w:t>
                  </w:r>
                </w:p>
              </w:tc>
              <w:tc>
                <w:tcPr>
                  <w:tcW w:w="1508" w:type="pct"/>
                  <w:vMerge w:val="restart"/>
                  <w:noWrap w:val="0"/>
                  <w:vAlign w:val="center"/>
                </w:tcPr>
                <w:p w14:paraId="09F823CE">
                  <w:pPr>
                    <w:adjustRightInd w:val="0"/>
                    <w:snapToGrid w:val="0"/>
                    <w:jc w:val="center"/>
                    <w:rPr>
                      <w:rFonts w:hint="eastAsia"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排入防渗旱厕、定期清掏</w:t>
                  </w:r>
                </w:p>
              </w:tc>
            </w:tr>
            <w:tr w14:paraId="41CE03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vMerge w:val="continue"/>
                  <w:noWrap w:val="0"/>
                  <w:vAlign w:val="center"/>
                </w:tcPr>
                <w:p w14:paraId="7C03FAFB">
                  <w:pPr>
                    <w:adjustRightInd w:val="0"/>
                    <w:snapToGrid w:val="0"/>
                    <w:jc w:val="center"/>
                    <w:rPr>
                      <w:rFonts w:hint="eastAsia" w:ascii="Times New Roman" w:hAnsi="Times New Roman" w:eastAsia="宋体" w:cs="Times New Roman"/>
                      <w:bCs/>
                      <w:color w:val="auto"/>
                      <w:szCs w:val="21"/>
                      <w:highlight w:val="none"/>
                    </w:rPr>
                  </w:pPr>
                </w:p>
              </w:tc>
              <w:tc>
                <w:tcPr>
                  <w:tcW w:w="569" w:type="pct"/>
                  <w:noWrap w:val="0"/>
                  <w:vAlign w:val="center"/>
                </w:tcPr>
                <w:p w14:paraId="64F2DB82">
                  <w:pPr>
                    <w:adjustRightInd w:val="0"/>
                    <w:snapToGrid w:val="0"/>
                    <w:jc w:val="center"/>
                    <w:rPr>
                      <w:rFonts w:hint="eastAsia"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氨氮</w:t>
                  </w:r>
                </w:p>
              </w:tc>
              <w:tc>
                <w:tcPr>
                  <w:tcW w:w="736" w:type="pct"/>
                  <w:noWrap w:val="0"/>
                  <w:vAlign w:val="center"/>
                </w:tcPr>
                <w:p w14:paraId="7C46E5FF">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rPr>
                    <w:t>0.00</w:t>
                  </w:r>
                  <w:r>
                    <w:rPr>
                      <w:rFonts w:hint="eastAsia" w:cs="Times New Roman"/>
                      <w:bCs/>
                      <w:color w:val="auto"/>
                      <w:szCs w:val="21"/>
                      <w:highlight w:val="none"/>
                      <w:lang w:val="en-US" w:eastAsia="zh-CN"/>
                    </w:rPr>
                    <w:t>169</w:t>
                  </w:r>
                </w:p>
              </w:tc>
              <w:tc>
                <w:tcPr>
                  <w:tcW w:w="822" w:type="pct"/>
                  <w:noWrap w:val="0"/>
                  <w:vAlign w:val="center"/>
                </w:tcPr>
                <w:p w14:paraId="7CA32A18">
                  <w:pPr>
                    <w:adjustRightInd w:val="0"/>
                    <w:snapToGrid w:val="0"/>
                    <w:jc w:val="center"/>
                    <w:rPr>
                      <w:rFonts w:hint="eastAsia"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20</w:t>
                  </w:r>
                </w:p>
              </w:tc>
              <w:tc>
                <w:tcPr>
                  <w:tcW w:w="731" w:type="pct"/>
                  <w:noWrap w:val="0"/>
                  <w:vAlign w:val="center"/>
                </w:tcPr>
                <w:p w14:paraId="54A5A3F2">
                  <w:pPr>
                    <w:adjustRightInd w:val="0"/>
                    <w:snapToGrid w:val="0"/>
                    <w:jc w:val="center"/>
                    <w:rPr>
                      <w:rFonts w:hint="eastAsia"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rPr>
                    <w:t>不排放</w:t>
                  </w:r>
                </w:p>
              </w:tc>
              <w:tc>
                <w:tcPr>
                  <w:tcW w:w="1508" w:type="pct"/>
                  <w:vMerge w:val="continue"/>
                  <w:noWrap w:val="0"/>
                  <w:vAlign w:val="center"/>
                </w:tcPr>
                <w:p w14:paraId="12E4382F">
                  <w:pPr>
                    <w:adjustRightInd w:val="0"/>
                    <w:snapToGrid w:val="0"/>
                    <w:jc w:val="center"/>
                    <w:rPr>
                      <w:rFonts w:hint="eastAsia" w:ascii="Times New Roman" w:hAnsi="Times New Roman" w:eastAsia="宋体" w:cs="Times New Roman"/>
                      <w:bCs/>
                      <w:color w:val="auto"/>
                      <w:szCs w:val="21"/>
                      <w:highlight w:val="none"/>
                    </w:rPr>
                  </w:pPr>
                </w:p>
              </w:tc>
            </w:tr>
            <w:tr w14:paraId="5F13C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3" w:type="pct"/>
                  <w:noWrap w:val="0"/>
                  <w:vAlign w:val="center"/>
                </w:tcPr>
                <w:p w14:paraId="4B05E121">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径流雨水</w:t>
                  </w:r>
                </w:p>
              </w:tc>
              <w:tc>
                <w:tcPr>
                  <w:tcW w:w="569" w:type="pct"/>
                  <w:noWrap w:val="0"/>
                  <w:vAlign w:val="center"/>
                </w:tcPr>
                <w:p w14:paraId="2F5AAE3D">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SS</w:t>
                  </w:r>
                </w:p>
              </w:tc>
              <w:tc>
                <w:tcPr>
                  <w:tcW w:w="736" w:type="pct"/>
                  <w:noWrap w:val="0"/>
                  <w:vAlign w:val="center"/>
                </w:tcPr>
                <w:p w14:paraId="64FB211A">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0.042</w:t>
                  </w:r>
                </w:p>
              </w:tc>
              <w:tc>
                <w:tcPr>
                  <w:tcW w:w="822" w:type="pct"/>
                  <w:noWrap w:val="0"/>
                  <w:vAlign w:val="center"/>
                </w:tcPr>
                <w:p w14:paraId="53173333">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700</w:t>
                  </w:r>
                </w:p>
              </w:tc>
              <w:tc>
                <w:tcPr>
                  <w:tcW w:w="731" w:type="pct"/>
                  <w:noWrap w:val="0"/>
                  <w:vAlign w:val="center"/>
                </w:tcPr>
                <w:p w14:paraId="7A822F17">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不排放</w:t>
                  </w:r>
                </w:p>
              </w:tc>
              <w:tc>
                <w:tcPr>
                  <w:tcW w:w="1508" w:type="pct"/>
                  <w:noWrap w:val="0"/>
                  <w:vAlign w:val="center"/>
                </w:tcPr>
                <w:p w14:paraId="5A667005">
                  <w:pPr>
                    <w:adjustRightInd w:val="0"/>
                    <w:snapToGrid w:val="0"/>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雨水经导流沟进入雨水收集池，经沉淀后回用于厂区洒水降尘</w:t>
                  </w:r>
                </w:p>
              </w:tc>
            </w:tr>
          </w:tbl>
          <w:p w14:paraId="3D1E9D0E">
            <w:pPr>
              <w:pStyle w:val="27"/>
              <w:spacing w:before="0" w:beforeLines="0" w:after="0" w:afterLines="0" w:line="360" w:lineRule="auto"/>
              <w:ind w:firstLine="0" w:firstLineChars="0"/>
              <w:textAlignment w:val="baseline"/>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3</w:t>
            </w:r>
            <w:r>
              <w:rPr>
                <w:rFonts w:hint="default" w:ascii="Times New Roman" w:hAnsi="Times New Roman" w:cs="Times New Roman"/>
                <w:b/>
                <w:bCs/>
                <w:color w:val="auto"/>
                <w:highlight w:val="none"/>
              </w:rPr>
              <w:t>、噪声</w:t>
            </w:r>
          </w:p>
          <w:p w14:paraId="24A6A4BE">
            <w:pPr>
              <w:adjustRightInd w:val="0"/>
              <w:snapToGrid w:val="0"/>
              <w:spacing w:line="360" w:lineRule="auto"/>
              <w:ind w:firstLine="480" w:firstLineChars="200"/>
              <w:rPr>
                <w:bCs/>
                <w:color w:val="auto"/>
                <w:sz w:val="24"/>
                <w:highlight w:val="none"/>
              </w:rPr>
            </w:pPr>
            <w:r>
              <w:rPr>
                <w:bCs/>
                <w:color w:val="auto"/>
                <w:sz w:val="24"/>
                <w:highlight w:val="none"/>
              </w:rPr>
              <w:t>（1）噪声污染</w:t>
            </w:r>
            <w:r>
              <w:rPr>
                <w:rFonts w:hint="eastAsia"/>
                <w:bCs/>
                <w:color w:val="auto"/>
                <w:sz w:val="24"/>
                <w:highlight w:val="none"/>
                <w:lang w:eastAsia="zh-CN"/>
              </w:rPr>
              <w:t>源</w:t>
            </w:r>
            <w:r>
              <w:rPr>
                <w:bCs/>
                <w:color w:val="auto"/>
                <w:sz w:val="24"/>
                <w:highlight w:val="none"/>
              </w:rPr>
              <w:t>强</w:t>
            </w:r>
          </w:p>
          <w:p w14:paraId="06E3D4A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Cs/>
                <w:color w:val="auto"/>
                <w:sz w:val="24"/>
                <w:highlight w:val="none"/>
              </w:rPr>
              <w:t>本项目噪声主要</w:t>
            </w:r>
            <w:r>
              <w:rPr>
                <w:rFonts w:hint="eastAsia" w:ascii="Times New Roman" w:hAnsi="Times New Roman" w:eastAsia="宋体" w:cs="Times New Roman"/>
                <w:bCs/>
                <w:color w:val="auto"/>
                <w:sz w:val="24"/>
                <w:highlight w:val="none"/>
                <w:lang w:val="en-US" w:eastAsia="zh-CN"/>
              </w:rPr>
              <w:t>为</w:t>
            </w:r>
            <w:r>
              <w:rPr>
                <w:rFonts w:hint="eastAsia" w:cs="Times New Roman"/>
                <w:bCs/>
                <w:color w:val="auto"/>
                <w:sz w:val="24"/>
                <w:highlight w:val="none"/>
                <w:lang w:val="en-US" w:eastAsia="zh-CN"/>
              </w:rPr>
              <w:t>厂区内铲车、装载机</w:t>
            </w:r>
            <w:r>
              <w:rPr>
                <w:rFonts w:hint="default" w:ascii="Times New Roman" w:hAnsi="Times New Roman" w:eastAsia="宋体" w:cs="Times New Roman"/>
                <w:color w:val="auto"/>
                <w:sz w:val="24"/>
                <w:szCs w:val="24"/>
                <w:highlight w:val="none"/>
                <w:lang w:val="en-US" w:eastAsia="zh-CN"/>
              </w:rPr>
              <w:t>设备运行产生的机械噪声。本项目针对各种机械设备的噪声，采取的治理措施有：企业在购买时选用低噪声设备；生产设备基础</w:t>
            </w:r>
            <w:r>
              <w:rPr>
                <w:rFonts w:hint="eastAsia" w:cs="Times New Roman"/>
                <w:color w:val="auto"/>
                <w:sz w:val="24"/>
                <w:szCs w:val="24"/>
                <w:highlight w:val="none"/>
                <w:lang w:val="en-US" w:eastAsia="zh-CN"/>
              </w:rPr>
              <w:t>减振</w:t>
            </w:r>
            <w:r>
              <w:rPr>
                <w:rFonts w:hint="default" w:ascii="Times New Roman" w:hAnsi="Times New Roman" w:eastAsia="宋体" w:cs="Times New Roman"/>
                <w:color w:val="auto"/>
                <w:sz w:val="24"/>
                <w:szCs w:val="24"/>
                <w:highlight w:val="none"/>
                <w:lang w:val="en-US" w:eastAsia="zh-CN"/>
              </w:rPr>
              <w:t>；平时加强设备的维护，使设备长期运行在良好状态，为了减少噪声对周围环境的影响。根据类比调查，噪声源强在</w:t>
            </w:r>
            <w:r>
              <w:rPr>
                <w:rFonts w:hint="eastAsia" w:cs="Times New Roman"/>
                <w:color w:val="auto"/>
                <w:sz w:val="24"/>
                <w:szCs w:val="24"/>
                <w:highlight w:val="none"/>
                <w:lang w:val="en-US" w:eastAsia="zh-CN"/>
              </w:rPr>
              <w:t>70</w:t>
            </w:r>
            <w:r>
              <w:rPr>
                <w:rFonts w:hint="default" w:ascii="Times New Roman" w:hAnsi="Times New Roman" w:eastAsia="宋体" w:cs="Times New Roman"/>
                <w:color w:val="auto"/>
                <w:sz w:val="24"/>
                <w:szCs w:val="24"/>
                <w:highlight w:val="none"/>
                <w:lang w:val="en-US" w:eastAsia="zh-CN"/>
              </w:rPr>
              <w:t>~8</w:t>
            </w:r>
            <w:r>
              <w:rPr>
                <w:rFonts w:hint="eastAsia"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lang w:val="en-US" w:eastAsia="zh-CN"/>
              </w:rPr>
              <w:t>dB(A)，根据工程设备噪声源强分析及对其采取噪声控制措施，通过公式计算厂界噪声值。</w:t>
            </w:r>
          </w:p>
          <w:p w14:paraId="5E116185">
            <w:pPr>
              <w:adjustRightInd w:val="0"/>
              <w:snapToGrid w:val="0"/>
              <w:jc w:val="center"/>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 xml:space="preserve"> 表4-</w:t>
            </w:r>
            <w:r>
              <w:rPr>
                <w:rFonts w:hint="eastAsia" w:cs="Times New Roman"/>
                <w:b/>
                <w:bCs/>
                <w:color w:val="auto"/>
                <w:kern w:val="2"/>
                <w:sz w:val="24"/>
                <w:szCs w:val="24"/>
                <w:highlight w:val="none"/>
                <w:lang w:val="en-US" w:eastAsia="zh-CN" w:bidi="ar-SA"/>
              </w:rPr>
              <w:t>4</w:t>
            </w:r>
            <w:r>
              <w:rPr>
                <w:rFonts w:hint="eastAsia" w:ascii="Times New Roman" w:hAnsi="Times New Roman" w:eastAsia="宋体" w:cs="Times New Roman"/>
                <w:b/>
                <w:bCs/>
                <w:color w:val="auto"/>
                <w:kern w:val="2"/>
                <w:sz w:val="24"/>
                <w:szCs w:val="24"/>
                <w:highlight w:val="none"/>
                <w:lang w:val="en-US" w:eastAsia="zh-CN" w:bidi="ar-SA"/>
              </w:rPr>
              <w:t xml:space="preserve"> 噪声源源强核算结果及相关参数一览表</w:t>
            </w:r>
          </w:p>
          <w:tbl>
            <w:tblPr>
              <w:tblStyle w:val="17"/>
              <w:tblW w:w="8836"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6"/>
              <w:gridCol w:w="910"/>
              <w:gridCol w:w="591"/>
              <w:gridCol w:w="566"/>
              <w:gridCol w:w="566"/>
              <w:gridCol w:w="566"/>
              <w:gridCol w:w="1667"/>
              <w:gridCol w:w="2249"/>
              <w:gridCol w:w="1085"/>
            </w:tblGrid>
            <w:tr w14:paraId="268513C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dxa"/>
                  <w:vMerge w:val="restart"/>
                  <w:tcBorders>
                    <w:tl2br w:val="nil"/>
                    <w:tr2bl w:val="nil"/>
                  </w:tcBorders>
                  <w:noWrap w:val="0"/>
                  <w:vAlign w:val="center"/>
                </w:tcPr>
                <w:p w14:paraId="2BA57DFC">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kern w:val="0"/>
                      <w:sz w:val="21"/>
                      <w:szCs w:val="21"/>
                      <w:highlight w:val="none"/>
                      <w:u w:val="none"/>
                      <w:lang w:val="en-US" w:eastAsia="zh-CN"/>
                    </w:rPr>
                    <w:t>序号</w:t>
                  </w:r>
                </w:p>
              </w:tc>
              <w:tc>
                <w:tcPr>
                  <w:tcW w:w="910" w:type="dxa"/>
                  <w:vMerge w:val="restart"/>
                  <w:tcBorders>
                    <w:tl2br w:val="nil"/>
                    <w:tr2bl w:val="nil"/>
                  </w:tcBorders>
                  <w:noWrap w:val="0"/>
                  <w:vAlign w:val="center"/>
                </w:tcPr>
                <w:p w14:paraId="6EDA153C">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val="en-US" w:eastAsia="zh-CN"/>
                    </w:rPr>
                    <w:t>声源名称</w:t>
                  </w:r>
                </w:p>
              </w:tc>
              <w:tc>
                <w:tcPr>
                  <w:tcW w:w="591" w:type="dxa"/>
                  <w:vMerge w:val="restart"/>
                  <w:tcBorders>
                    <w:tl2br w:val="nil"/>
                    <w:tr2bl w:val="nil"/>
                  </w:tcBorders>
                  <w:noWrap w:val="0"/>
                  <w:vAlign w:val="center"/>
                </w:tcPr>
                <w:p w14:paraId="1C72FE16">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型号</w:t>
                  </w:r>
                </w:p>
              </w:tc>
              <w:tc>
                <w:tcPr>
                  <w:tcW w:w="1698" w:type="dxa"/>
                  <w:gridSpan w:val="3"/>
                  <w:tcBorders>
                    <w:tl2br w:val="nil"/>
                    <w:tr2bl w:val="nil"/>
                  </w:tcBorders>
                  <w:noWrap w:val="0"/>
                  <w:vAlign w:val="center"/>
                </w:tcPr>
                <w:p w14:paraId="419A3922">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空间相对位置/m</w:t>
                  </w:r>
                </w:p>
              </w:tc>
              <w:tc>
                <w:tcPr>
                  <w:tcW w:w="1667" w:type="dxa"/>
                  <w:tcBorders>
                    <w:tl2br w:val="nil"/>
                    <w:tr2bl w:val="nil"/>
                  </w:tcBorders>
                  <w:noWrap w:val="0"/>
                  <w:vAlign w:val="center"/>
                </w:tcPr>
                <w:p w14:paraId="20C98122">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声源源强</w:t>
                  </w:r>
                </w:p>
              </w:tc>
              <w:tc>
                <w:tcPr>
                  <w:tcW w:w="2249" w:type="dxa"/>
                  <w:vMerge w:val="restart"/>
                  <w:tcBorders>
                    <w:tl2br w:val="nil"/>
                    <w:tr2bl w:val="nil"/>
                  </w:tcBorders>
                  <w:noWrap w:val="0"/>
                  <w:vAlign w:val="center"/>
                </w:tcPr>
                <w:p w14:paraId="438B036F">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声源控制措施</w:t>
                  </w:r>
                </w:p>
              </w:tc>
              <w:tc>
                <w:tcPr>
                  <w:tcW w:w="1085" w:type="dxa"/>
                  <w:vMerge w:val="restart"/>
                  <w:tcBorders>
                    <w:tl2br w:val="nil"/>
                    <w:tr2bl w:val="nil"/>
                  </w:tcBorders>
                  <w:noWrap w:val="0"/>
                  <w:vAlign w:val="center"/>
                </w:tcPr>
                <w:p w14:paraId="55FF8044">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auto"/>
                      <w:kern w:val="0"/>
                      <w:sz w:val="21"/>
                      <w:szCs w:val="21"/>
                      <w:highlight w:val="none"/>
                      <w:u w:val="none"/>
                    </w:rPr>
                  </w:pPr>
                  <w:r>
                    <w:rPr>
                      <w:rFonts w:hint="default" w:ascii="Times New Roman" w:hAnsi="Times New Roman" w:cs="Times New Roman"/>
                      <w:color w:val="auto"/>
                      <w:kern w:val="0"/>
                      <w:sz w:val="21"/>
                      <w:szCs w:val="21"/>
                      <w:highlight w:val="none"/>
                      <w:u w:val="none"/>
                    </w:rPr>
                    <w:t>持续时间/h</w:t>
                  </w:r>
                </w:p>
              </w:tc>
            </w:tr>
            <w:tr w14:paraId="4DFB572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dxa"/>
                  <w:vMerge w:val="continue"/>
                  <w:tcBorders>
                    <w:tl2br w:val="nil"/>
                    <w:tr2bl w:val="nil"/>
                  </w:tcBorders>
                  <w:noWrap w:val="0"/>
                  <w:vAlign w:val="center"/>
                </w:tcPr>
                <w:p w14:paraId="73C0890D">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auto"/>
                      <w:sz w:val="21"/>
                      <w:szCs w:val="21"/>
                      <w:highlight w:val="none"/>
                      <w:u w:val="none"/>
                    </w:rPr>
                  </w:pPr>
                </w:p>
              </w:tc>
              <w:tc>
                <w:tcPr>
                  <w:tcW w:w="910" w:type="dxa"/>
                  <w:vMerge w:val="continue"/>
                  <w:tcBorders>
                    <w:tl2br w:val="nil"/>
                    <w:tr2bl w:val="nil"/>
                  </w:tcBorders>
                  <w:noWrap w:val="0"/>
                  <w:vAlign w:val="center"/>
                </w:tcPr>
                <w:p w14:paraId="7C2C063C">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auto"/>
                      <w:sz w:val="21"/>
                      <w:szCs w:val="21"/>
                      <w:highlight w:val="none"/>
                      <w:u w:val="none"/>
                    </w:rPr>
                  </w:pPr>
                </w:p>
              </w:tc>
              <w:tc>
                <w:tcPr>
                  <w:tcW w:w="591" w:type="dxa"/>
                  <w:vMerge w:val="continue"/>
                  <w:tcBorders>
                    <w:tl2br w:val="nil"/>
                    <w:tr2bl w:val="nil"/>
                  </w:tcBorders>
                  <w:noWrap w:val="0"/>
                  <w:vAlign w:val="center"/>
                </w:tcPr>
                <w:p w14:paraId="113D0540">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auto"/>
                      <w:sz w:val="21"/>
                      <w:szCs w:val="21"/>
                      <w:highlight w:val="none"/>
                      <w:u w:val="none"/>
                    </w:rPr>
                  </w:pPr>
                </w:p>
              </w:tc>
              <w:tc>
                <w:tcPr>
                  <w:tcW w:w="566" w:type="dxa"/>
                  <w:tcBorders>
                    <w:tl2br w:val="nil"/>
                    <w:tr2bl w:val="nil"/>
                  </w:tcBorders>
                  <w:noWrap w:val="0"/>
                  <w:vAlign w:val="center"/>
                </w:tcPr>
                <w:p w14:paraId="60D7D2FD">
                  <w:pPr>
                    <w:keepNext w:val="0"/>
                    <w:keepLines w:val="0"/>
                    <w:pageBreakBefore w:val="0"/>
                    <w:widowControl/>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X</w:t>
                  </w:r>
                </w:p>
              </w:tc>
              <w:tc>
                <w:tcPr>
                  <w:tcW w:w="566" w:type="dxa"/>
                  <w:tcBorders>
                    <w:tl2br w:val="nil"/>
                    <w:tr2bl w:val="nil"/>
                  </w:tcBorders>
                  <w:noWrap w:val="0"/>
                  <w:vAlign w:val="center"/>
                </w:tcPr>
                <w:p w14:paraId="0A86D87B">
                  <w:pPr>
                    <w:keepNext w:val="0"/>
                    <w:keepLines w:val="0"/>
                    <w:pageBreakBefore w:val="0"/>
                    <w:widowControl/>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Y</w:t>
                  </w:r>
                </w:p>
              </w:tc>
              <w:tc>
                <w:tcPr>
                  <w:tcW w:w="566" w:type="dxa"/>
                  <w:tcBorders>
                    <w:tl2br w:val="nil"/>
                    <w:tr2bl w:val="nil"/>
                  </w:tcBorders>
                  <w:noWrap w:val="0"/>
                  <w:vAlign w:val="center"/>
                </w:tcPr>
                <w:p w14:paraId="2CE2EA5F">
                  <w:pPr>
                    <w:keepNext w:val="0"/>
                    <w:keepLines w:val="0"/>
                    <w:pageBreakBefore w:val="0"/>
                    <w:widowControl/>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Z</w:t>
                  </w:r>
                </w:p>
              </w:tc>
              <w:tc>
                <w:tcPr>
                  <w:tcW w:w="1667" w:type="dxa"/>
                  <w:tcBorders>
                    <w:tl2br w:val="nil"/>
                    <w:tr2bl w:val="nil"/>
                  </w:tcBorders>
                  <w:noWrap w:val="0"/>
                  <w:vAlign w:val="center"/>
                </w:tcPr>
                <w:p w14:paraId="503264F9">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rPr>
                    <w:t>声功率级/dB（A）</w:t>
                  </w:r>
                </w:p>
              </w:tc>
              <w:tc>
                <w:tcPr>
                  <w:tcW w:w="2249" w:type="dxa"/>
                  <w:vMerge w:val="continue"/>
                  <w:tcBorders>
                    <w:tl2br w:val="nil"/>
                    <w:tr2bl w:val="nil"/>
                  </w:tcBorders>
                  <w:noWrap w:val="0"/>
                  <w:vAlign w:val="center"/>
                </w:tcPr>
                <w:p w14:paraId="5305B2CD">
                  <w:pPr>
                    <w:keepNext w:val="0"/>
                    <w:keepLines w:val="0"/>
                    <w:pageBreakBefore w:val="0"/>
                    <w:kinsoku/>
                    <w:wordWrap/>
                    <w:overflowPunct/>
                    <w:topLinePunct w:val="0"/>
                    <w:autoSpaceDE/>
                    <w:autoSpaceDN/>
                    <w:bidi w:val="0"/>
                    <w:snapToGrid/>
                    <w:ind w:left="0" w:leftChars="0" w:right="0" w:rightChars="0"/>
                    <w:jc w:val="center"/>
                    <w:rPr>
                      <w:rFonts w:hint="default" w:ascii="Times New Roman" w:hAnsi="Times New Roman" w:cs="Times New Roman"/>
                      <w:color w:val="auto"/>
                      <w:sz w:val="21"/>
                      <w:szCs w:val="21"/>
                      <w:highlight w:val="none"/>
                      <w:u w:val="none"/>
                    </w:rPr>
                  </w:pPr>
                </w:p>
              </w:tc>
              <w:tc>
                <w:tcPr>
                  <w:tcW w:w="1085" w:type="dxa"/>
                  <w:vMerge w:val="continue"/>
                  <w:tcBorders>
                    <w:tl2br w:val="nil"/>
                    <w:tr2bl w:val="nil"/>
                  </w:tcBorders>
                  <w:noWrap w:val="0"/>
                  <w:vAlign w:val="center"/>
                </w:tcPr>
                <w:p w14:paraId="6EE44BC4">
                  <w:pPr>
                    <w:keepNext w:val="0"/>
                    <w:keepLines w:val="0"/>
                    <w:pageBreakBefore w:val="0"/>
                    <w:widowControl/>
                    <w:kinsoku/>
                    <w:wordWrap/>
                    <w:overflowPunct/>
                    <w:topLinePunct w:val="0"/>
                    <w:autoSpaceDE/>
                    <w:autoSpaceDN/>
                    <w:bidi w:val="0"/>
                    <w:snapToGrid/>
                    <w:ind w:left="0" w:leftChars="0" w:right="0" w:rightChars="0"/>
                    <w:jc w:val="left"/>
                    <w:rPr>
                      <w:rFonts w:hint="default" w:ascii="Times New Roman" w:hAnsi="Times New Roman" w:cs="Times New Roman"/>
                      <w:color w:val="auto"/>
                      <w:kern w:val="0"/>
                      <w:sz w:val="21"/>
                      <w:szCs w:val="21"/>
                      <w:highlight w:val="none"/>
                      <w:u w:val="none"/>
                    </w:rPr>
                  </w:pPr>
                </w:p>
              </w:tc>
            </w:tr>
            <w:tr w14:paraId="15F7CA7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dxa"/>
                  <w:tcBorders>
                    <w:tl2br w:val="nil"/>
                    <w:tr2bl w:val="nil"/>
                  </w:tcBorders>
                  <w:noWrap w:val="0"/>
                  <w:vAlign w:val="center"/>
                </w:tcPr>
                <w:p w14:paraId="63A84E60">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lang w:val="en-US" w:eastAsia="zh-CN"/>
                    </w:rPr>
                    <w:t>1</w:t>
                  </w:r>
                </w:p>
              </w:tc>
              <w:tc>
                <w:tcPr>
                  <w:tcW w:w="910" w:type="dxa"/>
                  <w:tcBorders>
                    <w:tl2br w:val="nil"/>
                    <w:tr2bl w:val="nil"/>
                  </w:tcBorders>
                  <w:noWrap w:val="0"/>
                  <w:vAlign w:val="center"/>
                </w:tcPr>
                <w:p w14:paraId="129C737C">
                  <w:pPr>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lang w:val="en-US" w:eastAsia="zh-CN"/>
                    </w:rPr>
                    <w:t>铲车</w:t>
                  </w:r>
                </w:p>
              </w:tc>
              <w:tc>
                <w:tcPr>
                  <w:tcW w:w="591" w:type="dxa"/>
                  <w:tcBorders>
                    <w:tl2br w:val="nil"/>
                    <w:tr2bl w:val="nil"/>
                  </w:tcBorders>
                  <w:noWrap w:val="0"/>
                  <w:vAlign w:val="center"/>
                </w:tcPr>
                <w:p w14:paraId="645635FC">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73E631FD">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7A586183">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1DB08499">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667" w:type="dxa"/>
                  <w:tcBorders>
                    <w:tl2br w:val="nil"/>
                    <w:tr2bl w:val="nil"/>
                  </w:tcBorders>
                  <w:noWrap w:val="0"/>
                  <w:vAlign w:val="center"/>
                </w:tcPr>
                <w:p w14:paraId="369D8B57">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80</w:t>
                  </w:r>
                </w:p>
              </w:tc>
              <w:tc>
                <w:tcPr>
                  <w:tcW w:w="2249" w:type="dxa"/>
                  <w:vMerge w:val="restart"/>
                  <w:tcBorders>
                    <w:tl2br w:val="nil"/>
                    <w:tr2bl w:val="nil"/>
                  </w:tcBorders>
                  <w:noWrap w:val="0"/>
                  <w:vAlign w:val="center"/>
                </w:tcPr>
                <w:p w14:paraId="5513CBD2">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rPr>
                    <w:t>低噪设备、</w:t>
                  </w:r>
                  <w:r>
                    <w:rPr>
                      <w:rFonts w:hint="default" w:ascii="Times New Roman" w:hAnsi="Times New Roman" w:eastAsia="宋体" w:cs="Times New Roman"/>
                      <w:color w:val="auto"/>
                      <w:sz w:val="21"/>
                      <w:szCs w:val="21"/>
                      <w:highlight w:val="none"/>
                      <w:lang w:val="en-US" w:eastAsia="zh-CN"/>
                    </w:rPr>
                    <w:t>加强维护、减速</w:t>
                  </w:r>
                </w:p>
              </w:tc>
              <w:tc>
                <w:tcPr>
                  <w:tcW w:w="1085" w:type="dxa"/>
                  <w:vMerge w:val="restart"/>
                  <w:tcBorders>
                    <w:tl2br w:val="nil"/>
                    <w:tr2bl w:val="nil"/>
                  </w:tcBorders>
                  <w:noWrap w:val="0"/>
                  <w:vAlign w:val="center"/>
                </w:tcPr>
                <w:p w14:paraId="5EDA3EC0">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2400</w:t>
                  </w:r>
                </w:p>
              </w:tc>
            </w:tr>
            <w:tr w14:paraId="41E55F8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dxa"/>
                  <w:tcBorders>
                    <w:tl2br w:val="nil"/>
                    <w:tr2bl w:val="nil"/>
                  </w:tcBorders>
                  <w:noWrap w:val="0"/>
                  <w:vAlign w:val="center"/>
                </w:tcPr>
                <w:p w14:paraId="498E2124">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2</w:t>
                  </w:r>
                </w:p>
              </w:tc>
              <w:tc>
                <w:tcPr>
                  <w:tcW w:w="910" w:type="dxa"/>
                  <w:tcBorders>
                    <w:tl2br w:val="nil"/>
                    <w:tr2bl w:val="nil"/>
                  </w:tcBorders>
                  <w:noWrap w:val="0"/>
                  <w:vAlign w:val="center"/>
                </w:tcPr>
                <w:p w14:paraId="295BD19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装载车</w:t>
                  </w:r>
                </w:p>
              </w:tc>
              <w:tc>
                <w:tcPr>
                  <w:tcW w:w="591" w:type="dxa"/>
                  <w:tcBorders>
                    <w:tl2br w:val="nil"/>
                    <w:tr2bl w:val="nil"/>
                  </w:tcBorders>
                  <w:noWrap w:val="0"/>
                  <w:vAlign w:val="center"/>
                </w:tcPr>
                <w:p w14:paraId="7DE056F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4B62132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63C981B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6" w:type="dxa"/>
                  <w:tcBorders>
                    <w:tl2br w:val="nil"/>
                    <w:tr2bl w:val="nil"/>
                  </w:tcBorders>
                  <w:noWrap w:val="0"/>
                  <w:vAlign w:val="center"/>
                </w:tcPr>
                <w:p w14:paraId="42580F8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667" w:type="dxa"/>
                  <w:tcBorders>
                    <w:tl2br w:val="nil"/>
                    <w:tr2bl w:val="nil"/>
                  </w:tcBorders>
                  <w:noWrap w:val="0"/>
                  <w:vAlign w:val="center"/>
                </w:tcPr>
                <w:p w14:paraId="579FAF91">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70</w:t>
                  </w:r>
                </w:p>
              </w:tc>
              <w:tc>
                <w:tcPr>
                  <w:tcW w:w="2249" w:type="dxa"/>
                  <w:vMerge w:val="continue"/>
                  <w:tcBorders>
                    <w:tl2br w:val="nil"/>
                    <w:tr2bl w:val="nil"/>
                  </w:tcBorders>
                  <w:noWrap w:val="0"/>
                  <w:vAlign w:val="center"/>
                </w:tcPr>
                <w:p w14:paraId="369578A2">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p>
              </w:tc>
              <w:tc>
                <w:tcPr>
                  <w:tcW w:w="1085" w:type="dxa"/>
                  <w:vMerge w:val="continue"/>
                  <w:tcBorders>
                    <w:tl2br w:val="nil"/>
                    <w:tr2bl w:val="nil"/>
                  </w:tcBorders>
                  <w:noWrap w:val="0"/>
                  <w:vAlign w:val="center"/>
                </w:tcPr>
                <w:p w14:paraId="23533401">
                  <w:pPr>
                    <w:keepNext w:val="0"/>
                    <w:keepLines w:val="0"/>
                    <w:pageBreakBefore w:val="0"/>
                    <w:kinsoku/>
                    <w:wordWrap/>
                    <w:overflowPunct/>
                    <w:topLinePunct w:val="0"/>
                    <w:autoSpaceDE/>
                    <w:autoSpaceDN/>
                    <w:bidi w:val="0"/>
                    <w:snapToGrid/>
                    <w:ind w:left="0" w:leftChars="0" w:right="0" w:rightChars="0"/>
                    <w:jc w:val="center"/>
                    <w:textAlignment w:val="center"/>
                    <w:rPr>
                      <w:rFonts w:hint="default" w:ascii="Times New Roman" w:hAnsi="Times New Roman" w:cs="Times New Roman"/>
                      <w:color w:val="auto"/>
                      <w:sz w:val="21"/>
                      <w:szCs w:val="21"/>
                      <w:highlight w:val="none"/>
                      <w:u w:val="none"/>
                      <w:lang w:val="en-US" w:eastAsia="zh-CN"/>
                    </w:rPr>
                  </w:pPr>
                </w:p>
              </w:tc>
            </w:tr>
          </w:tbl>
          <w:p w14:paraId="240B0D5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噪声预测按照《环境影响评价技术导则 声环境》（HJ2.4-2021）进行，按主要噪声源同时运行的不利工况进行预测分析。</w:t>
            </w:r>
          </w:p>
          <w:p w14:paraId="5AFB128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两个以上的多个噪声源同时存在时，总声级计算公式：</w:t>
            </w:r>
          </w:p>
          <w:p w14:paraId="5C1B00F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object>
                <v:shape id="_x0000_i1025" o:spt="75" type="#_x0000_t75" style="height:32.25pt;width:105.4pt;" o:ole="t" filled="f" o:preferrelative="t" stroked="f" coordsize="21600,21600">
                  <v:path/>
                  <v:fill on="f" focussize="0,0"/>
                  <v:stroke on="f"/>
                  <v:imagedata r:id="rId26" o:title=""/>
                  <o:lock v:ext="edit" aspectratio="t"/>
                  <w10:wrap type="none"/>
                  <w10:anchorlock/>
                </v:shape>
                <o:OLEObject Type="Embed" ProgID="Equation.3" ShapeID="_x0000_i1025" DrawAspect="Content" ObjectID="_1468075725" r:id="rId25">
                  <o:LockedField>false</o:LockedField>
                </o:OLEObject>
              </w:object>
            </w:r>
          </w:p>
          <w:p w14:paraId="1EFDA70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式中：Ln——评价点的总声级，dB</w:t>
            </w:r>
            <w:r>
              <w:rPr>
                <w:rFonts w:hint="default"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color w:val="auto"/>
                <w:sz w:val="24"/>
                <w:szCs w:val="24"/>
                <w:highlight w:val="none"/>
                <w:lang w:val="zh-CN" w:eastAsia="zh-CN"/>
              </w:rPr>
              <w:t>；</w:t>
            </w:r>
          </w:p>
          <w:p w14:paraId="5001D4E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en-US" w:eastAsia="zh-CN"/>
              </w:rPr>
              <w:t>n</w:t>
            </w:r>
            <w:r>
              <w:rPr>
                <w:rFonts w:hint="default" w:ascii="Times New Roman" w:hAnsi="Times New Roman" w:eastAsia="宋体" w:cs="Times New Roman"/>
                <w:color w:val="auto"/>
                <w:sz w:val="24"/>
                <w:szCs w:val="24"/>
                <w:highlight w:val="none"/>
                <w:lang w:val="zh-CN" w:eastAsia="zh-CN"/>
              </w:rPr>
              <w:t>——声源数；</w:t>
            </w:r>
          </w:p>
          <w:p w14:paraId="5D41CF0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Li——某声源对评价点的声级，dB</w:t>
            </w:r>
            <w:r>
              <w:rPr>
                <w:rFonts w:hint="default"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color w:val="auto"/>
                <w:sz w:val="24"/>
                <w:szCs w:val="24"/>
                <w:highlight w:val="none"/>
                <w:lang w:val="zh-CN" w:eastAsia="zh-CN"/>
              </w:rPr>
              <w:t>。</w:t>
            </w:r>
          </w:p>
          <w:p w14:paraId="5425731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点声源衰减模式：</w:t>
            </w:r>
          </w:p>
          <w:p w14:paraId="513A2AA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object>
                <v:shape id="_x0000_i1026" o:spt="75" type="#_x0000_t75" style="height:19.9pt;width:166.9pt;" o:ole="t" filled="f" o:preferrelative="t" stroked="f" coordsize="21600,21600">
                  <v:path/>
                  <v:fill on="f" focussize="0,0"/>
                  <v:stroke on="f"/>
                  <v:imagedata r:id="rId28" o:title=""/>
                  <o:lock v:ext="edit" aspectratio="t"/>
                  <w10:wrap type="none"/>
                  <w10:anchorlock/>
                </v:shape>
                <o:OLEObject Type="Embed" ProgID="Equation.3" ShapeID="_x0000_i1026" DrawAspect="Content" ObjectID="_1468075726" r:id="rId27">
                  <o:LockedField>false</o:LockedField>
                </o:OLEObject>
              </w:object>
            </w:r>
          </w:p>
          <w:p w14:paraId="42F34EA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式中：LP(r)——预测点声级，dB(A)；</w:t>
            </w:r>
          </w:p>
          <w:p w14:paraId="40B3A8E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L</w:t>
            </w:r>
            <w:r>
              <w:rPr>
                <w:rFonts w:hint="default" w:ascii="Times New Roman" w:hAnsi="Times New Roman" w:eastAsia="宋体" w:cs="Times New Roman"/>
                <w:color w:val="auto"/>
                <w:sz w:val="24"/>
                <w:szCs w:val="24"/>
                <w:highlight w:val="none"/>
                <w:vertAlign w:val="subscript"/>
                <w:lang w:val="en-US" w:eastAsia="zh-CN"/>
              </w:rPr>
              <w:t>P</w:t>
            </w:r>
            <w:r>
              <w:rPr>
                <w:rFonts w:hint="default" w:ascii="Times New Roman" w:hAnsi="Times New Roman" w:eastAsia="宋体" w:cs="Times New Roman"/>
                <w:color w:val="auto"/>
                <w:sz w:val="24"/>
                <w:szCs w:val="24"/>
                <w:highlight w:val="none"/>
                <w:lang w:val="en-US" w:eastAsia="zh-CN"/>
              </w:rPr>
              <w:t>(r</w:t>
            </w:r>
            <w:r>
              <w:rPr>
                <w:rFonts w:hint="default" w:ascii="Times New Roman" w:hAnsi="Times New Roman" w:eastAsia="宋体" w:cs="Times New Roman"/>
                <w:color w:val="auto"/>
                <w:sz w:val="24"/>
                <w:szCs w:val="24"/>
                <w:highlight w:val="none"/>
                <w:vertAlign w:val="subscript"/>
                <w:lang w:val="en-US" w:eastAsia="zh-CN"/>
              </w:rPr>
              <w:t>0</w:t>
            </w:r>
            <w:r>
              <w:rPr>
                <w:rFonts w:hint="default" w:ascii="Times New Roman" w:hAnsi="Times New Roman" w:eastAsia="宋体" w:cs="Times New Roman"/>
                <w:color w:val="auto"/>
                <w:sz w:val="24"/>
                <w:szCs w:val="24"/>
                <w:highlight w:val="none"/>
                <w:lang w:val="en-US" w:eastAsia="zh-CN"/>
              </w:rPr>
              <w:t>)——已知参考点声级，dB(A)；</w:t>
            </w:r>
          </w:p>
          <w:p w14:paraId="4DFD86A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r——预测点到声源距离，m；</w:t>
            </w:r>
          </w:p>
          <w:p w14:paraId="6FC71F3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r——参考点到声源距离，取1m；</w:t>
            </w:r>
          </w:p>
          <w:p w14:paraId="6FCF151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ΔL——其它因素引起的衰减量，dB(A)。</w:t>
            </w:r>
          </w:p>
          <w:p w14:paraId="4D0B4FE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噪声预测按照《环境影响评价技术导则 声环境》（HJ2.4-20</w:t>
            </w:r>
            <w:r>
              <w:rPr>
                <w:rFonts w:hint="eastAsia" w:ascii="Times New Roman" w:hAnsi="Times New Roman" w:eastAsia="宋体" w:cs="Times New Roman"/>
                <w:color w:val="auto"/>
                <w:sz w:val="24"/>
                <w:szCs w:val="24"/>
                <w:highlight w:val="none"/>
                <w:lang w:val="en-US" w:eastAsia="zh-CN"/>
              </w:rPr>
              <w:t>21</w:t>
            </w:r>
            <w:r>
              <w:rPr>
                <w:rFonts w:hint="default" w:ascii="Times New Roman" w:hAnsi="Times New Roman" w:eastAsia="宋体" w:cs="Times New Roman"/>
                <w:color w:val="auto"/>
                <w:sz w:val="24"/>
                <w:szCs w:val="24"/>
                <w:highlight w:val="none"/>
                <w:lang w:val="en-US" w:eastAsia="zh-CN"/>
              </w:rPr>
              <w:t>）进行，按主要噪声源即生产设备同时运行的不利工况进行预测分析。根据总图布置，采用噪声叠加公式和点声源噪声衰减模式预测经采取治理措施后到厂界的贡献值，并判断是否达标。预测结果见下表。</w:t>
            </w:r>
          </w:p>
          <w:p w14:paraId="63E19D0C">
            <w:pPr>
              <w:adjustRightInd w:val="0"/>
              <w:snapToGrid w:val="0"/>
              <w:jc w:val="center"/>
              <w:rPr>
                <w:rFonts w:hint="eastAsia" w:ascii="Times New Roman" w:hAnsi="Times New Roman" w:eastAsia="宋体" w:cs="Times New Roman"/>
                <w:b/>
                <w:bCs w:val="0"/>
                <w:color w:val="auto"/>
                <w:spacing w:val="0"/>
                <w:kern w:val="2"/>
                <w:sz w:val="16"/>
                <w:szCs w:val="16"/>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表4-</w:t>
            </w:r>
            <w:r>
              <w:rPr>
                <w:rFonts w:hint="eastAsia" w:cs="Times New Roman"/>
                <w:b/>
                <w:bCs/>
                <w:color w:val="auto"/>
                <w:kern w:val="2"/>
                <w:sz w:val="24"/>
                <w:szCs w:val="24"/>
                <w:highlight w:val="none"/>
                <w:lang w:val="en-US" w:eastAsia="zh-CN" w:bidi="ar-SA"/>
              </w:rPr>
              <w:t>5</w:t>
            </w:r>
            <w:r>
              <w:rPr>
                <w:rFonts w:hint="eastAsia" w:ascii="Times New Roman" w:hAnsi="Times New Roman" w:eastAsia="宋体" w:cs="Times New Roman"/>
                <w:b/>
                <w:bCs/>
                <w:color w:val="auto"/>
                <w:kern w:val="2"/>
                <w:sz w:val="24"/>
                <w:szCs w:val="24"/>
                <w:highlight w:val="none"/>
                <w:lang w:val="en-US" w:eastAsia="zh-CN" w:bidi="ar-SA"/>
              </w:rPr>
              <w:t xml:space="preserve"> 厂界噪声预测结果表            </w:t>
            </w:r>
            <w:r>
              <w:rPr>
                <w:rFonts w:hint="eastAsia" w:ascii="Times New Roman" w:hAnsi="Times New Roman" w:eastAsia="宋体" w:cs="Times New Roman"/>
                <w:b/>
                <w:bCs w:val="0"/>
                <w:color w:val="auto"/>
                <w:spacing w:val="0"/>
                <w:kern w:val="2"/>
                <w:sz w:val="16"/>
                <w:szCs w:val="16"/>
                <w:highlight w:val="none"/>
                <w:lang w:val="en-US" w:eastAsia="zh-CN" w:bidi="ar-SA"/>
              </w:rPr>
              <w:t>单位：Leq(dB)</w:t>
            </w:r>
          </w:p>
          <w:tbl>
            <w:tblPr>
              <w:tblStyle w:val="1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2271"/>
              <w:gridCol w:w="1621"/>
              <w:gridCol w:w="1622"/>
              <w:gridCol w:w="1622"/>
              <w:gridCol w:w="1646"/>
            </w:tblGrid>
            <w:tr w14:paraId="2638EA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99" w:hRule="atLeast"/>
                <w:jc w:val="center"/>
              </w:trPr>
              <w:tc>
                <w:tcPr>
                  <w:tcW w:w="1293" w:type="pct"/>
                  <w:tcBorders>
                    <w:tl2br w:val="nil"/>
                    <w:tr2bl w:val="nil"/>
                  </w:tcBorders>
                  <w:noWrap w:val="0"/>
                  <w:vAlign w:val="center"/>
                </w:tcPr>
                <w:p w14:paraId="79FFBCA1">
                  <w:pPr>
                    <w:widowControl/>
                    <w:spacing w:line="0" w:lineRule="atLeast"/>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位置</w:t>
                  </w:r>
                </w:p>
              </w:tc>
              <w:tc>
                <w:tcPr>
                  <w:tcW w:w="923" w:type="pct"/>
                  <w:tcBorders>
                    <w:tl2br w:val="nil"/>
                    <w:tr2bl w:val="nil"/>
                  </w:tcBorders>
                  <w:noWrap w:val="0"/>
                  <w:vAlign w:val="center"/>
                </w:tcPr>
                <w:p w14:paraId="67A57F29">
                  <w:pPr>
                    <w:widowControl/>
                    <w:spacing w:line="0" w:lineRule="atLeast"/>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东厂界</w:t>
                  </w:r>
                </w:p>
              </w:tc>
              <w:tc>
                <w:tcPr>
                  <w:tcW w:w="923" w:type="pct"/>
                  <w:tcBorders>
                    <w:tl2br w:val="nil"/>
                    <w:tr2bl w:val="nil"/>
                  </w:tcBorders>
                  <w:noWrap w:val="0"/>
                  <w:vAlign w:val="center"/>
                </w:tcPr>
                <w:p w14:paraId="11642665">
                  <w:pPr>
                    <w:widowControl/>
                    <w:spacing w:line="0" w:lineRule="atLeast"/>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南厂界</w:t>
                  </w:r>
                </w:p>
              </w:tc>
              <w:tc>
                <w:tcPr>
                  <w:tcW w:w="923" w:type="pct"/>
                  <w:tcBorders>
                    <w:tl2br w:val="nil"/>
                    <w:tr2bl w:val="nil"/>
                  </w:tcBorders>
                  <w:noWrap w:val="0"/>
                  <w:vAlign w:val="center"/>
                </w:tcPr>
                <w:p w14:paraId="0ADC47DB">
                  <w:pPr>
                    <w:widowControl/>
                    <w:spacing w:line="0" w:lineRule="atLeast"/>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西厂界</w:t>
                  </w:r>
                </w:p>
              </w:tc>
              <w:tc>
                <w:tcPr>
                  <w:tcW w:w="936" w:type="pct"/>
                  <w:tcBorders>
                    <w:tl2br w:val="nil"/>
                    <w:tr2bl w:val="nil"/>
                  </w:tcBorders>
                  <w:noWrap w:val="0"/>
                  <w:vAlign w:val="center"/>
                </w:tcPr>
                <w:p w14:paraId="061651FE">
                  <w:pPr>
                    <w:widowControl/>
                    <w:spacing w:line="0" w:lineRule="atLeast"/>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北厂界</w:t>
                  </w:r>
                </w:p>
              </w:tc>
            </w:tr>
            <w:tr w14:paraId="48ED6A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99" w:hRule="atLeast"/>
                <w:jc w:val="center"/>
              </w:trPr>
              <w:tc>
                <w:tcPr>
                  <w:tcW w:w="1293" w:type="pct"/>
                  <w:tcBorders>
                    <w:tl2br w:val="nil"/>
                    <w:tr2bl w:val="nil"/>
                  </w:tcBorders>
                  <w:noWrap w:val="0"/>
                  <w:vAlign w:val="center"/>
                </w:tcPr>
                <w:p w14:paraId="307C9713">
                  <w:pPr>
                    <w:pStyle w:val="31"/>
                    <w:rPr>
                      <w:rFonts w:hint="eastAsia" w:ascii="Times New Roman" w:hAnsi="Times New Roman" w:cs="Times New Roman"/>
                      <w:color w:val="auto"/>
                      <w:szCs w:val="21"/>
                      <w:highlight w:val="none"/>
                      <w:lang w:val="en-US" w:eastAsia="zh-CN"/>
                    </w:rPr>
                  </w:pPr>
                  <w:r>
                    <w:rPr>
                      <w:rFonts w:hint="eastAsia" w:cs="Times New Roman"/>
                      <w:color w:val="auto"/>
                      <w:sz w:val="21"/>
                      <w:szCs w:val="21"/>
                      <w:highlight w:val="none"/>
                      <w:lang w:val="en-US" w:eastAsia="zh-CN"/>
                    </w:rPr>
                    <w:t>贡献值</w:t>
                  </w:r>
                </w:p>
              </w:tc>
              <w:tc>
                <w:tcPr>
                  <w:tcW w:w="1621" w:type="dxa"/>
                  <w:tcBorders>
                    <w:tl2br w:val="nil"/>
                    <w:tr2bl w:val="nil"/>
                  </w:tcBorders>
                  <w:noWrap w:val="0"/>
                  <w:vAlign w:val="center"/>
                </w:tcPr>
                <w:p w14:paraId="2A1DAA5A">
                  <w:pPr>
                    <w:widowControl/>
                    <w:spacing w:line="0" w:lineRule="atLeast"/>
                    <w:jc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44.6</w:t>
                  </w:r>
                </w:p>
              </w:tc>
              <w:tc>
                <w:tcPr>
                  <w:tcW w:w="1622" w:type="dxa"/>
                  <w:tcBorders>
                    <w:tl2br w:val="nil"/>
                    <w:tr2bl w:val="nil"/>
                  </w:tcBorders>
                  <w:noWrap w:val="0"/>
                  <w:vAlign w:val="center"/>
                </w:tcPr>
                <w:p w14:paraId="471C9686">
                  <w:pPr>
                    <w:widowControl/>
                    <w:spacing w:line="0" w:lineRule="atLeast"/>
                    <w:jc w:val="center"/>
                    <w:rPr>
                      <w:rFonts w:hint="eastAsia" w:ascii="Times New Roman" w:hAnsi="Times New Roman" w:cs="Times New Roman"/>
                      <w:color w:val="auto"/>
                      <w:sz w:val="21"/>
                      <w:szCs w:val="21"/>
                      <w:highlight w:val="none"/>
                    </w:rPr>
                  </w:pPr>
                  <w:r>
                    <w:rPr>
                      <w:rFonts w:hint="eastAsia" w:cs="Times New Roman"/>
                      <w:color w:val="auto"/>
                      <w:sz w:val="21"/>
                      <w:szCs w:val="21"/>
                      <w:highlight w:val="none"/>
                      <w:lang w:val="en-US" w:eastAsia="zh-CN"/>
                    </w:rPr>
                    <w:t>42.8</w:t>
                  </w:r>
                </w:p>
              </w:tc>
              <w:tc>
                <w:tcPr>
                  <w:tcW w:w="1622" w:type="dxa"/>
                  <w:tcBorders>
                    <w:tl2br w:val="nil"/>
                    <w:tr2bl w:val="nil"/>
                  </w:tcBorders>
                  <w:noWrap w:val="0"/>
                  <w:vAlign w:val="center"/>
                </w:tcPr>
                <w:p w14:paraId="544BD41F">
                  <w:pPr>
                    <w:widowControl/>
                    <w:spacing w:line="0" w:lineRule="atLeast"/>
                    <w:jc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37.8</w:t>
                  </w:r>
                </w:p>
              </w:tc>
              <w:tc>
                <w:tcPr>
                  <w:tcW w:w="1646" w:type="dxa"/>
                  <w:tcBorders>
                    <w:tl2br w:val="nil"/>
                    <w:tr2bl w:val="nil"/>
                  </w:tcBorders>
                  <w:noWrap w:val="0"/>
                  <w:vAlign w:val="center"/>
                </w:tcPr>
                <w:p w14:paraId="7E6EAF8C">
                  <w:pPr>
                    <w:widowControl/>
                    <w:spacing w:line="0" w:lineRule="atLeast"/>
                    <w:jc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47.3</w:t>
                  </w:r>
                </w:p>
              </w:tc>
            </w:tr>
            <w:tr w14:paraId="1D3F3A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62" w:hRule="atLeast"/>
                <w:jc w:val="center"/>
              </w:trPr>
              <w:tc>
                <w:tcPr>
                  <w:tcW w:w="1293" w:type="pct"/>
                  <w:tcBorders>
                    <w:tl2br w:val="nil"/>
                    <w:tr2bl w:val="nil"/>
                  </w:tcBorders>
                  <w:noWrap w:val="0"/>
                  <w:vAlign w:val="center"/>
                </w:tcPr>
                <w:p w14:paraId="3196291D">
                  <w:pPr>
                    <w:widowControl/>
                    <w:spacing w:line="0" w:lineRule="atLeast"/>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标准值</w:t>
                  </w:r>
                </w:p>
              </w:tc>
              <w:tc>
                <w:tcPr>
                  <w:tcW w:w="3706" w:type="pct"/>
                  <w:gridSpan w:val="4"/>
                  <w:tcBorders>
                    <w:tl2br w:val="nil"/>
                    <w:tr2bl w:val="nil"/>
                  </w:tcBorders>
                  <w:noWrap w:val="0"/>
                  <w:vAlign w:val="center"/>
                </w:tcPr>
                <w:p w14:paraId="68B413CF">
                  <w:pPr>
                    <w:widowControl/>
                    <w:spacing w:line="0" w:lineRule="atLeast"/>
                    <w:jc w:val="center"/>
                    <w:rPr>
                      <w:rFonts w:hint="eastAsia"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rPr>
                    <w:t>昼间</w:t>
                  </w:r>
                  <w:r>
                    <w:rPr>
                      <w:rFonts w:hint="eastAsia" w:ascii="Times New Roman" w:hAnsi="Times New Roman" w:cs="Times New Roman"/>
                      <w:color w:val="auto"/>
                      <w:sz w:val="21"/>
                      <w:szCs w:val="21"/>
                      <w:highlight w:val="none"/>
                      <w:lang w:val="en-US" w:eastAsia="zh-CN"/>
                    </w:rPr>
                    <w:t>60/夜间50</w:t>
                  </w:r>
                </w:p>
              </w:tc>
            </w:tr>
          </w:tbl>
          <w:p w14:paraId="2B33ED18">
            <w:pPr>
              <w:adjustRightInd w:val="0"/>
              <w:snapToGrid w:val="0"/>
              <w:spacing w:line="360" w:lineRule="auto"/>
              <w:ind w:firstLine="480" w:firstLineChars="200"/>
              <w:rPr>
                <w:bCs/>
                <w:color w:val="auto"/>
                <w:sz w:val="24"/>
                <w:highlight w:val="none"/>
              </w:rPr>
            </w:pPr>
            <w:r>
              <w:rPr>
                <w:bCs/>
                <w:color w:val="auto"/>
                <w:sz w:val="24"/>
                <w:highlight w:val="none"/>
              </w:rPr>
              <w:t>本项目的噪声主要为</w:t>
            </w:r>
            <w:r>
              <w:rPr>
                <w:rFonts w:hint="eastAsia"/>
                <w:bCs/>
                <w:color w:val="auto"/>
                <w:sz w:val="24"/>
                <w:highlight w:val="none"/>
                <w:lang w:val="en-US" w:eastAsia="zh-CN"/>
              </w:rPr>
              <w:t>铲车</w:t>
            </w:r>
            <w:r>
              <w:rPr>
                <w:rFonts w:hint="eastAsia"/>
                <w:bCs/>
                <w:color w:val="auto"/>
                <w:sz w:val="24"/>
                <w:highlight w:val="none"/>
              </w:rPr>
              <w:t>、装卸车辆的</w:t>
            </w:r>
            <w:r>
              <w:rPr>
                <w:bCs/>
                <w:color w:val="auto"/>
                <w:sz w:val="24"/>
                <w:highlight w:val="none"/>
              </w:rPr>
              <w:t>噪声，在</w:t>
            </w:r>
            <w:r>
              <w:rPr>
                <w:rFonts w:hint="eastAsia"/>
                <w:bCs/>
                <w:color w:val="auto"/>
                <w:sz w:val="24"/>
                <w:highlight w:val="none"/>
                <w:lang w:val="en-US" w:eastAsia="zh-CN"/>
              </w:rPr>
              <w:t>70</w:t>
            </w:r>
            <w:r>
              <w:rPr>
                <w:bCs/>
                <w:color w:val="auto"/>
                <w:sz w:val="24"/>
                <w:highlight w:val="none"/>
              </w:rPr>
              <w:t>～</w:t>
            </w:r>
            <w:r>
              <w:rPr>
                <w:rFonts w:hint="eastAsia"/>
                <w:bCs/>
                <w:color w:val="auto"/>
                <w:sz w:val="24"/>
                <w:highlight w:val="none"/>
                <w:lang w:val="en-US" w:eastAsia="zh-CN"/>
              </w:rPr>
              <w:t>80</w:t>
            </w:r>
            <w:r>
              <w:rPr>
                <w:bCs/>
                <w:color w:val="auto"/>
                <w:sz w:val="24"/>
                <w:highlight w:val="none"/>
              </w:rPr>
              <w:t>dB(A)左右。</w:t>
            </w:r>
            <w:r>
              <w:rPr>
                <w:rFonts w:hint="eastAsia"/>
                <w:bCs/>
                <w:color w:val="auto"/>
                <w:sz w:val="24"/>
                <w:highlight w:val="none"/>
                <w:lang w:val="en-US" w:eastAsia="zh-CN"/>
              </w:rPr>
              <w:t>车辆采用低噪声设备、加强车辆维护、厂区内限速，</w:t>
            </w:r>
            <w:r>
              <w:rPr>
                <w:rFonts w:hint="eastAsia"/>
                <w:bCs/>
                <w:color w:val="auto"/>
                <w:sz w:val="24"/>
                <w:highlight w:val="none"/>
              </w:rPr>
              <w:t>车辆白天工作，夜间（22:00-06:00）禁止进行物料的装卸及运输工作</w:t>
            </w:r>
            <w:r>
              <w:rPr>
                <w:rFonts w:hint="eastAsia"/>
                <w:bCs/>
                <w:color w:val="auto"/>
                <w:sz w:val="24"/>
                <w:highlight w:val="none"/>
                <w:lang w:eastAsia="zh-CN"/>
              </w:rPr>
              <w:t>，</w:t>
            </w:r>
            <w:r>
              <w:rPr>
                <w:rFonts w:hint="eastAsia"/>
                <w:bCs/>
                <w:color w:val="auto"/>
                <w:sz w:val="24"/>
                <w:highlight w:val="none"/>
                <w:lang w:val="en-US" w:eastAsia="zh-CN"/>
              </w:rPr>
              <w:t>在采取以上</w:t>
            </w:r>
            <w:r>
              <w:rPr>
                <w:bCs/>
                <w:color w:val="auto"/>
                <w:sz w:val="24"/>
                <w:highlight w:val="none"/>
              </w:rPr>
              <w:t>降噪措施后，</w:t>
            </w:r>
            <w:r>
              <w:rPr>
                <w:rFonts w:hint="eastAsia"/>
                <w:bCs/>
                <w:color w:val="auto"/>
                <w:sz w:val="24"/>
                <w:highlight w:val="none"/>
              </w:rPr>
              <w:t>项目厂界噪声满足《工业企业厂界环境噪声排放标准》（GB12348-2008）中2类标准，本项目对周围声环境影响较小。</w:t>
            </w:r>
          </w:p>
          <w:p w14:paraId="49F6527E">
            <w:pPr>
              <w:adjustRightInd w:val="0"/>
              <w:snapToGrid w:val="0"/>
              <w:spacing w:line="360" w:lineRule="auto"/>
              <w:ind w:firstLine="480" w:firstLineChars="200"/>
              <w:rPr>
                <w:bCs/>
                <w:color w:val="auto"/>
                <w:sz w:val="24"/>
                <w:highlight w:val="none"/>
              </w:rPr>
            </w:pPr>
            <w:r>
              <w:rPr>
                <w:bCs/>
                <w:color w:val="auto"/>
                <w:sz w:val="24"/>
                <w:highlight w:val="none"/>
              </w:rPr>
              <w:t>（</w:t>
            </w:r>
            <w:r>
              <w:rPr>
                <w:rFonts w:hint="eastAsia"/>
                <w:bCs/>
                <w:color w:val="auto"/>
                <w:sz w:val="24"/>
                <w:highlight w:val="none"/>
              </w:rPr>
              <w:t>2</w:t>
            </w:r>
            <w:r>
              <w:rPr>
                <w:bCs/>
                <w:color w:val="auto"/>
                <w:sz w:val="24"/>
                <w:highlight w:val="none"/>
              </w:rPr>
              <w:t>）监测要求</w:t>
            </w:r>
          </w:p>
          <w:p w14:paraId="29C5DFF8">
            <w:pPr>
              <w:adjustRightInd w:val="0"/>
              <w:snapToGrid w:val="0"/>
              <w:spacing w:line="360" w:lineRule="auto"/>
              <w:ind w:firstLine="480" w:firstLineChars="200"/>
              <w:rPr>
                <w:bCs/>
                <w:color w:val="auto"/>
                <w:sz w:val="24"/>
                <w:highlight w:val="none"/>
              </w:rPr>
            </w:pPr>
            <w:r>
              <w:rPr>
                <w:bCs/>
                <w:color w:val="auto"/>
                <w:sz w:val="24"/>
                <w:highlight w:val="none"/>
              </w:rPr>
              <w:t>根据《排污单位自行监测技术指南 总则》（HJ819-2017），</w:t>
            </w:r>
            <w:r>
              <w:rPr>
                <w:rFonts w:hint="eastAsia"/>
                <w:bCs/>
                <w:color w:val="auto"/>
                <w:sz w:val="24"/>
                <w:highlight w:val="none"/>
              </w:rPr>
              <w:t>噪声</w:t>
            </w:r>
            <w:r>
              <w:rPr>
                <w:bCs/>
                <w:color w:val="auto"/>
                <w:sz w:val="24"/>
                <w:highlight w:val="none"/>
              </w:rPr>
              <w:t>监测要求详见表4-</w:t>
            </w:r>
            <w:r>
              <w:rPr>
                <w:rFonts w:hint="eastAsia"/>
                <w:bCs/>
                <w:color w:val="auto"/>
                <w:sz w:val="24"/>
                <w:highlight w:val="none"/>
                <w:lang w:val="en-US" w:eastAsia="zh-CN"/>
              </w:rPr>
              <w:t>6</w:t>
            </w:r>
            <w:r>
              <w:rPr>
                <w:bCs/>
                <w:color w:val="auto"/>
                <w:sz w:val="24"/>
                <w:highlight w:val="none"/>
              </w:rPr>
              <w:t>。</w:t>
            </w:r>
          </w:p>
          <w:p w14:paraId="2D874AF1">
            <w:pPr>
              <w:adjustRightInd w:val="0"/>
              <w:snapToGrid w:val="0"/>
              <w:jc w:val="center"/>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表4-</w:t>
            </w:r>
            <w:r>
              <w:rPr>
                <w:rFonts w:hint="eastAsia" w:cs="Times New Roman"/>
                <w:b/>
                <w:bCs/>
                <w:color w:val="auto"/>
                <w:kern w:val="2"/>
                <w:sz w:val="24"/>
                <w:szCs w:val="24"/>
                <w:highlight w:val="none"/>
                <w:lang w:val="en-US" w:eastAsia="zh-CN" w:bidi="ar-SA"/>
              </w:rPr>
              <w:t>6</w:t>
            </w:r>
            <w:r>
              <w:rPr>
                <w:rFonts w:hint="eastAsia" w:ascii="Times New Roman" w:hAnsi="Times New Roman" w:eastAsia="宋体" w:cs="Times New Roman"/>
                <w:b/>
                <w:bCs/>
                <w:color w:val="auto"/>
                <w:kern w:val="2"/>
                <w:sz w:val="24"/>
                <w:szCs w:val="24"/>
                <w:highlight w:val="none"/>
                <w:lang w:val="en-US" w:eastAsia="zh-CN" w:bidi="ar-SA"/>
              </w:rPr>
              <w:t xml:space="preserve">  监测要求</w:t>
            </w:r>
          </w:p>
          <w:tbl>
            <w:tblPr>
              <w:tblStyle w:val="17"/>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1493"/>
              <w:gridCol w:w="1162"/>
              <w:gridCol w:w="1414"/>
              <w:gridCol w:w="3448"/>
            </w:tblGrid>
            <w:tr w14:paraId="65B10AC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noWrap w:val="0"/>
                  <w:vAlign w:val="center"/>
                </w:tcPr>
                <w:p w14:paraId="215BF74E">
                  <w:pPr>
                    <w:adjustRightInd w:val="0"/>
                    <w:snapToGrid w:val="0"/>
                    <w:jc w:val="center"/>
                    <w:rPr>
                      <w:rFonts w:hint="eastAsia"/>
                      <w:bCs/>
                      <w:color w:val="auto"/>
                      <w:szCs w:val="21"/>
                      <w:highlight w:val="none"/>
                    </w:rPr>
                  </w:pPr>
                  <w:r>
                    <w:rPr>
                      <w:rFonts w:hint="eastAsia"/>
                      <w:bCs/>
                      <w:color w:val="auto"/>
                      <w:szCs w:val="21"/>
                      <w:highlight w:val="none"/>
                    </w:rPr>
                    <w:t>监测类别</w:t>
                  </w:r>
                </w:p>
              </w:tc>
              <w:tc>
                <w:tcPr>
                  <w:tcW w:w="1493" w:type="dxa"/>
                  <w:noWrap w:val="0"/>
                  <w:vAlign w:val="center"/>
                </w:tcPr>
                <w:p w14:paraId="34857214">
                  <w:pPr>
                    <w:adjustRightInd w:val="0"/>
                    <w:snapToGrid w:val="0"/>
                    <w:jc w:val="center"/>
                    <w:rPr>
                      <w:bCs/>
                      <w:color w:val="auto"/>
                      <w:szCs w:val="21"/>
                      <w:highlight w:val="none"/>
                    </w:rPr>
                  </w:pPr>
                  <w:r>
                    <w:rPr>
                      <w:bCs/>
                      <w:color w:val="auto"/>
                      <w:szCs w:val="21"/>
                      <w:highlight w:val="none"/>
                    </w:rPr>
                    <w:t>监测点位</w:t>
                  </w:r>
                </w:p>
              </w:tc>
              <w:tc>
                <w:tcPr>
                  <w:tcW w:w="1162" w:type="dxa"/>
                  <w:noWrap w:val="0"/>
                  <w:vAlign w:val="center"/>
                </w:tcPr>
                <w:p w14:paraId="52DE5D57">
                  <w:pPr>
                    <w:adjustRightInd w:val="0"/>
                    <w:snapToGrid w:val="0"/>
                    <w:jc w:val="center"/>
                    <w:rPr>
                      <w:bCs/>
                      <w:color w:val="auto"/>
                      <w:szCs w:val="21"/>
                      <w:highlight w:val="none"/>
                    </w:rPr>
                  </w:pPr>
                  <w:r>
                    <w:rPr>
                      <w:bCs/>
                      <w:color w:val="auto"/>
                      <w:szCs w:val="21"/>
                      <w:highlight w:val="none"/>
                    </w:rPr>
                    <w:t>监测</w:t>
                  </w:r>
                  <w:r>
                    <w:rPr>
                      <w:rFonts w:hint="eastAsia"/>
                      <w:bCs/>
                      <w:color w:val="auto"/>
                      <w:szCs w:val="21"/>
                      <w:highlight w:val="none"/>
                    </w:rPr>
                    <w:t>指标</w:t>
                  </w:r>
                </w:p>
              </w:tc>
              <w:tc>
                <w:tcPr>
                  <w:tcW w:w="1414" w:type="dxa"/>
                  <w:noWrap w:val="0"/>
                  <w:vAlign w:val="center"/>
                </w:tcPr>
                <w:p w14:paraId="0BD8BB1F">
                  <w:pPr>
                    <w:adjustRightInd w:val="0"/>
                    <w:snapToGrid w:val="0"/>
                    <w:jc w:val="center"/>
                    <w:rPr>
                      <w:bCs/>
                      <w:color w:val="auto"/>
                      <w:szCs w:val="21"/>
                      <w:highlight w:val="none"/>
                    </w:rPr>
                  </w:pPr>
                  <w:r>
                    <w:rPr>
                      <w:bCs/>
                      <w:color w:val="auto"/>
                      <w:szCs w:val="21"/>
                      <w:highlight w:val="none"/>
                    </w:rPr>
                    <w:t>监测频次</w:t>
                  </w:r>
                </w:p>
              </w:tc>
              <w:tc>
                <w:tcPr>
                  <w:tcW w:w="3448" w:type="dxa"/>
                  <w:noWrap w:val="0"/>
                  <w:vAlign w:val="center"/>
                </w:tcPr>
                <w:p w14:paraId="36D81F6C">
                  <w:pPr>
                    <w:adjustRightInd w:val="0"/>
                    <w:snapToGrid w:val="0"/>
                    <w:jc w:val="center"/>
                    <w:rPr>
                      <w:rFonts w:hint="eastAsia"/>
                      <w:bCs/>
                      <w:color w:val="auto"/>
                      <w:szCs w:val="21"/>
                      <w:highlight w:val="none"/>
                    </w:rPr>
                  </w:pPr>
                  <w:r>
                    <w:rPr>
                      <w:rFonts w:hint="eastAsia"/>
                      <w:bCs/>
                      <w:color w:val="auto"/>
                      <w:szCs w:val="21"/>
                      <w:highlight w:val="none"/>
                    </w:rPr>
                    <w:t>执行标准</w:t>
                  </w:r>
                </w:p>
              </w:tc>
            </w:tr>
            <w:tr w14:paraId="3082C95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noWrap w:val="0"/>
                  <w:vAlign w:val="center"/>
                </w:tcPr>
                <w:p w14:paraId="4BA8E3ED">
                  <w:pPr>
                    <w:adjustRightInd w:val="0"/>
                    <w:snapToGrid w:val="0"/>
                    <w:jc w:val="center"/>
                    <w:rPr>
                      <w:bCs/>
                      <w:color w:val="auto"/>
                      <w:szCs w:val="21"/>
                      <w:highlight w:val="none"/>
                    </w:rPr>
                  </w:pPr>
                  <w:r>
                    <w:rPr>
                      <w:rFonts w:hint="eastAsia"/>
                      <w:bCs/>
                      <w:color w:val="auto"/>
                      <w:szCs w:val="21"/>
                      <w:highlight w:val="none"/>
                    </w:rPr>
                    <w:t>声环境</w:t>
                  </w:r>
                </w:p>
              </w:tc>
              <w:tc>
                <w:tcPr>
                  <w:tcW w:w="1493" w:type="dxa"/>
                  <w:noWrap w:val="0"/>
                  <w:vAlign w:val="center"/>
                </w:tcPr>
                <w:p w14:paraId="339AA45E">
                  <w:pPr>
                    <w:adjustRightInd w:val="0"/>
                    <w:snapToGrid w:val="0"/>
                    <w:jc w:val="center"/>
                    <w:rPr>
                      <w:rFonts w:hint="eastAsia" w:eastAsia="宋体"/>
                      <w:bCs/>
                      <w:color w:val="auto"/>
                      <w:szCs w:val="21"/>
                      <w:highlight w:val="none"/>
                      <w:lang w:eastAsia="zh-CN"/>
                    </w:rPr>
                  </w:pPr>
                  <w:r>
                    <w:rPr>
                      <w:rFonts w:hint="eastAsia"/>
                      <w:bCs/>
                      <w:color w:val="auto"/>
                      <w:szCs w:val="21"/>
                      <w:highlight w:val="none"/>
                      <w:lang w:val="en-US" w:eastAsia="zh-CN"/>
                    </w:rPr>
                    <w:t>厂界</w:t>
                  </w:r>
                  <w:r>
                    <w:rPr>
                      <w:bCs/>
                      <w:color w:val="auto"/>
                      <w:szCs w:val="21"/>
                      <w:highlight w:val="none"/>
                    </w:rPr>
                    <w:t>四周外1m布设</w:t>
                  </w:r>
                  <w:r>
                    <w:rPr>
                      <w:rFonts w:hint="eastAsia"/>
                      <w:bCs/>
                      <w:color w:val="auto"/>
                      <w:szCs w:val="21"/>
                      <w:highlight w:val="none"/>
                      <w:lang w:val="en-US" w:eastAsia="zh-CN"/>
                    </w:rPr>
                    <w:t>监测点</w:t>
                  </w:r>
                </w:p>
              </w:tc>
              <w:tc>
                <w:tcPr>
                  <w:tcW w:w="1162" w:type="dxa"/>
                  <w:noWrap w:val="0"/>
                  <w:vAlign w:val="center"/>
                </w:tcPr>
                <w:p w14:paraId="108D67F5">
                  <w:pPr>
                    <w:adjustRightInd w:val="0"/>
                    <w:snapToGrid w:val="0"/>
                    <w:jc w:val="center"/>
                    <w:rPr>
                      <w:bCs/>
                      <w:color w:val="auto"/>
                      <w:szCs w:val="21"/>
                      <w:highlight w:val="none"/>
                    </w:rPr>
                  </w:pPr>
                  <w:r>
                    <w:rPr>
                      <w:color w:val="auto"/>
                      <w:szCs w:val="21"/>
                      <w:highlight w:val="none"/>
                    </w:rPr>
                    <w:t>连续等效A声级</w:t>
                  </w:r>
                </w:p>
              </w:tc>
              <w:tc>
                <w:tcPr>
                  <w:tcW w:w="1414" w:type="dxa"/>
                  <w:noWrap w:val="0"/>
                  <w:vAlign w:val="center"/>
                </w:tcPr>
                <w:p w14:paraId="2ECBB667">
                  <w:pPr>
                    <w:adjustRightInd w:val="0"/>
                    <w:snapToGrid w:val="0"/>
                    <w:jc w:val="center"/>
                    <w:rPr>
                      <w:bCs/>
                      <w:color w:val="auto"/>
                      <w:szCs w:val="21"/>
                      <w:highlight w:val="none"/>
                    </w:rPr>
                  </w:pPr>
                  <w:r>
                    <w:rPr>
                      <w:bCs/>
                      <w:color w:val="auto"/>
                      <w:szCs w:val="21"/>
                      <w:highlight w:val="none"/>
                    </w:rPr>
                    <w:t>每季度开展1次监测</w:t>
                  </w:r>
                </w:p>
              </w:tc>
              <w:tc>
                <w:tcPr>
                  <w:tcW w:w="3448" w:type="dxa"/>
                  <w:noWrap w:val="0"/>
                  <w:vAlign w:val="center"/>
                </w:tcPr>
                <w:p w14:paraId="3F035AC3">
                  <w:pPr>
                    <w:adjustRightInd w:val="0"/>
                    <w:snapToGrid w:val="0"/>
                    <w:jc w:val="center"/>
                    <w:rPr>
                      <w:bCs/>
                      <w:color w:val="auto"/>
                      <w:szCs w:val="21"/>
                      <w:highlight w:val="none"/>
                    </w:rPr>
                  </w:pPr>
                  <w:r>
                    <w:rPr>
                      <w:rFonts w:hint="eastAsia"/>
                      <w:bCs/>
                      <w:color w:val="auto"/>
                      <w:szCs w:val="21"/>
                      <w:highlight w:val="none"/>
                    </w:rPr>
                    <w:t>边界</w:t>
                  </w:r>
                  <w:r>
                    <w:rPr>
                      <w:bCs/>
                      <w:color w:val="auto"/>
                      <w:szCs w:val="21"/>
                      <w:highlight w:val="none"/>
                    </w:rPr>
                    <w:t>噪声满足《工业企业厂界环境噪声排放标准》（GB12348-2008）中的2类声环境功能区排放限值</w:t>
                  </w:r>
                </w:p>
              </w:tc>
            </w:tr>
          </w:tbl>
          <w:p w14:paraId="13591224">
            <w:pPr>
              <w:spacing w:line="360" w:lineRule="auto"/>
              <w:jc w:val="left"/>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val="en-US" w:eastAsia="zh-CN"/>
              </w:rPr>
              <w:t>4</w:t>
            </w:r>
            <w:r>
              <w:rPr>
                <w:rFonts w:hint="default" w:ascii="Times New Roman" w:hAnsi="Times New Roman" w:cs="Times New Roman"/>
                <w:b/>
                <w:color w:val="auto"/>
                <w:sz w:val="24"/>
                <w:highlight w:val="none"/>
              </w:rPr>
              <w:t>、固体废物</w:t>
            </w:r>
          </w:p>
          <w:p w14:paraId="4CDB24D4">
            <w:pPr>
              <w:pStyle w:val="26"/>
              <w:spacing w:line="360" w:lineRule="auto"/>
              <w:ind w:firstLineChars="200"/>
              <w:rPr>
                <w:rFonts w:hint="default" w:ascii="Times New Roman" w:hAnsi="Times New Roman" w:eastAsia="宋体" w:cs="Times New Roman"/>
                <w:color w:val="auto"/>
                <w:highlight w:val="none"/>
                <w:lang w:val="en-US" w:eastAsia="zh-CN"/>
              </w:rPr>
            </w:pPr>
            <w:r>
              <w:rPr>
                <w:rFonts w:hint="eastAsia" w:cs="Times New Roman"/>
                <w:color w:val="auto"/>
                <w:highlight w:val="none"/>
                <w:lang w:eastAsia="zh-CN"/>
              </w:rPr>
              <w:t>（</w:t>
            </w:r>
            <w:r>
              <w:rPr>
                <w:rFonts w:hint="eastAsia" w:cs="Times New Roman"/>
                <w:color w:val="auto"/>
                <w:highlight w:val="none"/>
                <w:lang w:val="en-US" w:eastAsia="zh-CN"/>
              </w:rPr>
              <w:t>1</w:t>
            </w:r>
            <w:r>
              <w:rPr>
                <w:rFonts w:hint="eastAsia" w:cs="Times New Roman"/>
                <w:color w:val="auto"/>
                <w:highlight w:val="none"/>
                <w:lang w:eastAsia="zh-CN"/>
              </w:rPr>
              <w:t>）</w:t>
            </w:r>
            <w:r>
              <w:rPr>
                <w:rFonts w:hint="eastAsia" w:cs="Times New Roman"/>
                <w:color w:val="auto"/>
                <w:highlight w:val="none"/>
                <w:lang w:val="en-US" w:eastAsia="zh-CN"/>
              </w:rPr>
              <w:t>固体废物排放信息</w:t>
            </w:r>
          </w:p>
          <w:p w14:paraId="11F628D8">
            <w:pPr>
              <w:spacing w:line="360" w:lineRule="auto"/>
              <w:ind w:firstLine="480" w:firstLineChars="200"/>
              <w:rPr>
                <w:rFonts w:hint="default" w:ascii="Times New Roman" w:hAnsi="Times New Roman" w:cs="Times New Roman"/>
                <w:color w:val="auto"/>
                <w:sz w:val="24"/>
                <w:highlight w:val="none"/>
              </w:rPr>
            </w:pPr>
            <w:r>
              <w:rPr>
                <w:rFonts w:hint="eastAsia" w:cs="Times New Roman"/>
                <w:bCs/>
                <w:color w:val="auto"/>
                <w:sz w:val="24"/>
                <w:highlight w:val="none"/>
                <w:lang w:val="en-US" w:eastAsia="zh-CN"/>
              </w:rPr>
              <w:t>1</w:t>
            </w:r>
            <w:r>
              <w:rPr>
                <w:rFonts w:hint="default" w:ascii="Times New Roman" w:hAnsi="Times New Roman" w:cs="Times New Roman"/>
                <w:bCs/>
                <w:color w:val="auto"/>
                <w:sz w:val="24"/>
                <w:highlight w:val="none"/>
                <w:lang w:val="en-US" w:eastAsia="zh-CN"/>
              </w:rPr>
              <w:t>）</w:t>
            </w:r>
            <w:r>
              <w:rPr>
                <w:rFonts w:hint="default" w:ascii="Times New Roman" w:hAnsi="Times New Roman" w:cs="Times New Roman"/>
                <w:bCs/>
                <w:color w:val="auto"/>
                <w:sz w:val="24"/>
                <w:highlight w:val="none"/>
              </w:rPr>
              <w:t>生活垃圾</w:t>
            </w:r>
          </w:p>
          <w:p w14:paraId="60C2A6D5">
            <w:pPr>
              <w:pStyle w:val="3"/>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本项目员工</w:t>
            </w:r>
            <w:r>
              <w:rPr>
                <w:rFonts w:hint="eastAsia" w:cs="Times New Roman"/>
                <w:color w:val="auto"/>
                <w:sz w:val="24"/>
                <w:highlight w:val="none"/>
                <w:lang w:val="en-US" w:eastAsia="zh-CN"/>
              </w:rPr>
              <w:t>合计2</w:t>
            </w:r>
            <w:r>
              <w:rPr>
                <w:rFonts w:hint="default" w:ascii="Times New Roman" w:hAnsi="Times New Roman" w:cs="Times New Roman"/>
                <w:color w:val="auto"/>
                <w:sz w:val="24"/>
                <w:highlight w:val="none"/>
              </w:rPr>
              <w:t>人，生活垃圾按照0.5kg/人•d计，生产天数为</w:t>
            </w:r>
            <w:r>
              <w:rPr>
                <w:rFonts w:hint="default" w:ascii="Times New Roman" w:hAnsi="Times New Roman" w:cs="Times New Roman"/>
                <w:color w:val="auto"/>
                <w:sz w:val="24"/>
                <w:highlight w:val="none"/>
                <w:lang w:val="en-US" w:eastAsia="zh-CN"/>
              </w:rPr>
              <w:t>3</w:t>
            </w:r>
            <w:r>
              <w:rPr>
                <w:rFonts w:hint="eastAsia" w:cs="Times New Roman"/>
                <w:color w:val="auto"/>
                <w:sz w:val="24"/>
                <w:highlight w:val="none"/>
                <w:lang w:val="en-US" w:eastAsia="zh-CN"/>
              </w:rPr>
              <w:t>0</w:t>
            </w:r>
            <w:r>
              <w:rPr>
                <w:rFonts w:hint="default" w:ascii="Times New Roman" w:hAnsi="Times New Roman" w:cs="Times New Roman"/>
                <w:color w:val="auto"/>
                <w:sz w:val="24"/>
                <w:highlight w:val="none"/>
              </w:rPr>
              <w:t>0天，则产生的生活垃圾量为</w:t>
            </w:r>
            <w:r>
              <w:rPr>
                <w:rFonts w:hint="eastAsia" w:cs="Times New Roman"/>
                <w:color w:val="auto"/>
                <w:sz w:val="24"/>
                <w:highlight w:val="none"/>
                <w:lang w:val="en-US" w:eastAsia="zh-CN"/>
              </w:rPr>
              <w:t>0.3</w:t>
            </w:r>
            <w:r>
              <w:rPr>
                <w:rFonts w:hint="default" w:ascii="Times New Roman" w:hAnsi="Times New Roman" w:cs="Times New Roman"/>
                <w:color w:val="auto"/>
                <w:sz w:val="24"/>
                <w:highlight w:val="none"/>
              </w:rPr>
              <w:t>t/a，集中收集，由所在地环卫部门清运处理</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固体废物产生情况见表4-</w:t>
            </w:r>
            <w:r>
              <w:rPr>
                <w:rFonts w:hint="eastAsia" w:cs="Times New Roman"/>
                <w:color w:val="auto"/>
                <w:sz w:val="24"/>
                <w:highlight w:val="none"/>
                <w:lang w:val="en-US" w:eastAsia="zh-CN"/>
              </w:rPr>
              <w:t>8</w:t>
            </w:r>
            <w:r>
              <w:rPr>
                <w:rFonts w:hint="default" w:ascii="Times New Roman" w:hAnsi="Times New Roman" w:cs="Times New Roman"/>
                <w:color w:val="auto"/>
                <w:sz w:val="24"/>
                <w:highlight w:val="none"/>
              </w:rPr>
              <w:t>。</w:t>
            </w:r>
          </w:p>
          <w:p w14:paraId="5C1C4ECB">
            <w:pPr>
              <w:adjustRightInd w:val="0"/>
              <w:snapToGrid w:val="0"/>
              <w:spacing w:line="360" w:lineRule="auto"/>
              <w:ind w:firstLine="480" w:firstLineChars="200"/>
              <w:rPr>
                <w:rFonts w:hint="default" w:cs="Times New Roman"/>
                <w:bCs/>
                <w:color w:val="auto"/>
                <w:sz w:val="24"/>
                <w:highlight w:val="none"/>
                <w:lang w:val="en-US" w:eastAsia="zh-CN"/>
              </w:rPr>
            </w:pPr>
            <w:r>
              <w:rPr>
                <w:rFonts w:hint="eastAsia" w:cs="Times New Roman"/>
                <w:bCs/>
                <w:color w:val="auto"/>
                <w:sz w:val="24"/>
                <w:highlight w:val="none"/>
                <w:lang w:val="en-US" w:eastAsia="zh-CN"/>
              </w:rPr>
              <w:t>2）雨水收集池沉渣</w:t>
            </w:r>
          </w:p>
          <w:p w14:paraId="16E7E1A6">
            <w:p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eastAsia="zh-CN"/>
              </w:rPr>
              <w:t>项目</w:t>
            </w:r>
            <w:r>
              <w:rPr>
                <w:rFonts w:hint="eastAsia" w:ascii="Times New Roman" w:hAnsi="Times New Roman" w:eastAsia="宋体" w:cs="Times New Roman"/>
                <w:bCs/>
                <w:color w:val="auto"/>
                <w:sz w:val="24"/>
                <w:highlight w:val="none"/>
                <w:lang w:val="en-US" w:eastAsia="zh-CN"/>
              </w:rPr>
              <w:t>收集雨水</w:t>
            </w:r>
            <w:r>
              <w:rPr>
                <w:rFonts w:hint="default" w:ascii="Times New Roman" w:hAnsi="Times New Roman" w:eastAsia="宋体" w:cs="Times New Roman"/>
                <w:bCs/>
                <w:color w:val="auto"/>
                <w:sz w:val="24"/>
                <w:highlight w:val="none"/>
                <w:lang w:eastAsia="zh-CN"/>
              </w:rPr>
              <w:t>经沉淀处理后循环使用，</w:t>
            </w:r>
            <w:r>
              <w:rPr>
                <w:rFonts w:hint="eastAsia" w:cs="Times New Roman"/>
                <w:bCs/>
                <w:color w:val="auto"/>
                <w:sz w:val="24"/>
                <w:highlight w:val="none"/>
                <w:lang w:eastAsia="zh-CN"/>
              </w:rPr>
              <w:t>雨水收集池</w:t>
            </w:r>
            <w:r>
              <w:rPr>
                <w:rFonts w:hint="default" w:ascii="Times New Roman" w:hAnsi="Times New Roman" w:eastAsia="宋体" w:cs="Times New Roman"/>
                <w:bCs/>
                <w:color w:val="auto"/>
                <w:sz w:val="24"/>
                <w:highlight w:val="none"/>
                <w:lang w:eastAsia="zh-CN"/>
              </w:rPr>
              <w:t>会产生少量的沉渣，主要为煤渣</w:t>
            </w:r>
            <w:r>
              <w:rPr>
                <w:rFonts w:hint="eastAsia" w:ascii="Times New Roman" w:hAnsi="Times New Roman" w:eastAsia="宋体" w:cs="Times New Roman"/>
                <w:bCs/>
                <w:color w:val="auto"/>
                <w:sz w:val="24"/>
                <w:highlight w:val="none"/>
                <w:lang w:eastAsia="zh-CN"/>
              </w:rPr>
              <w:t>、</w:t>
            </w:r>
            <w:r>
              <w:rPr>
                <w:rFonts w:hint="eastAsia" w:ascii="Times New Roman" w:hAnsi="Times New Roman" w:eastAsia="宋体" w:cs="Times New Roman"/>
                <w:bCs/>
                <w:color w:val="auto"/>
                <w:sz w:val="24"/>
                <w:highlight w:val="none"/>
                <w:lang w:val="en-US" w:eastAsia="zh-CN"/>
              </w:rPr>
              <w:t>沉渣等物质</w:t>
            </w:r>
            <w:r>
              <w:rPr>
                <w:rFonts w:hint="default" w:ascii="Times New Roman" w:hAnsi="Times New Roman" w:eastAsia="宋体" w:cs="Times New Roman"/>
                <w:bCs/>
                <w:color w:val="auto"/>
                <w:sz w:val="24"/>
                <w:highlight w:val="none"/>
                <w:lang w:eastAsia="zh-CN"/>
              </w:rPr>
              <w:t>，根</w:t>
            </w:r>
            <w:bookmarkStart w:id="38" w:name="_GoBack"/>
            <w:bookmarkEnd w:id="38"/>
            <w:r>
              <w:rPr>
                <w:rFonts w:hint="default" w:ascii="Times New Roman" w:hAnsi="Times New Roman" w:eastAsia="宋体" w:cs="Times New Roman"/>
                <w:bCs/>
                <w:color w:val="auto"/>
                <w:sz w:val="24"/>
                <w:highlight w:val="none"/>
                <w:lang w:eastAsia="zh-CN"/>
              </w:rPr>
              <w:t>据</w:t>
            </w:r>
            <w:r>
              <w:rPr>
                <w:rFonts w:hint="eastAsia" w:cs="Times New Roman"/>
                <w:bCs/>
                <w:color w:val="auto"/>
                <w:sz w:val="24"/>
                <w:highlight w:val="none"/>
                <w:lang w:val="en-US" w:eastAsia="zh-CN"/>
              </w:rPr>
              <w:t>类比同类企业</w:t>
            </w:r>
            <w:r>
              <w:rPr>
                <w:rFonts w:hint="default" w:ascii="Times New Roman" w:hAnsi="Times New Roman" w:eastAsia="宋体" w:cs="Times New Roman"/>
                <w:bCs/>
                <w:color w:val="auto"/>
                <w:sz w:val="24"/>
                <w:highlight w:val="none"/>
                <w:lang w:eastAsia="zh-CN"/>
              </w:rPr>
              <w:t>，沉渣的产生量约为</w:t>
            </w:r>
            <w:r>
              <w:rPr>
                <w:rFonts w:hint="eastAsia" w:cs="Times New Roman"/>
                <w:bCs/>
                <w:color w:val="auto"/>
                <w:sz w:val="24"/>
                <w:highlight w:val="none"/>
                <w:lang w:val="en-US" w:eastAsia="zh-CN"/>
              </w:rPr>
              <w:t>0.1</w:t>
            </w:r>
            <w:r>
              <w:rPr>
                <w:rFonts w:hint="default" w:ascii="Times New Roman" w:hAnsi="Times New Roman" w:eastAsia="宋体" w:cs="Times New Roman"/>
                <w:bCs/>
                <w:color w:val="auto"/>
                <w:sz w:val="24"/>
                <w:highlight w:val="none"/>
                <w:lang w:eastAsia="zh-CN"/>
              </w:rPr>
              <w:t>t/a，定期清理后外售综合利用。</w:t>
            </w:r>
          </w:p>
          <w:p w14:paraId="099B021B">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eastAsia" w:cs="Times New Roman"/>
                <w:bCs/>
                <w:color w:val="auto"/>
                <w:sz w:val="24"/>
                <w:highlight w:val="none"/>
                <w:lang w:val="en-US" w:eastAsia="zh-CN"/>
              </w:rPr>
              <w:t>3</w:t>
            </w:r>
            <w:r>
              <w:rPr>
                <w:rFonts w:hint="eastAsia" w:ascii="Times New Roman" w:hAnsi="Times New Roman" w:eastAsia="宋体" w:cs="Times New Roman"/>
                <w:bCs/>
                <w:color w:val="auto"/>
                <w:sz w:val="24"/>
                <w:highlight w:val="none"/>
                <w:lang w:val="en-US" w:eastAsia="zh-CN"/>
              </w:rPr>
              <w:t>）危险</w:t>
            </w:r>
            <w:r>
              <w:rPr>
                <w:rFonts w:hint="eastAsia" w:cs="Times New Roman"/>
                <w:bCs/>
                <w:color w:val="auto"/>
                <w:sz w:val="24"/>
                <w:highlight w:val="none"/>
                <w:lang w:val="en-US" w:eastAsia="zh-CN"/>
              </w:rPr>
              <w:t>废物</w:t>
            </w:r>
          </w:p>
          <w:p w14:paraId="196A5971">
            <w:pPr>
              <w:adjustRightInd w:val="0"/>
              <w:snapToGrid w:val="0"/>
              <w:spacing w:line="360" w:lineRule="auto"/>
              <w:ind w:firstLine="480" w:firstLineChars="200"/>
              <w:rPr>
                <w:rFonts w:hint="eastAsia" w:hAnsi="宋体"/>
                <w:color w:val="auto"/>
                <w:sz w:val="24"/>
                <w:szCs w:val="24"/>
                <w:highlight w:val="none"/>
                <w:lang w:eastAsia="zh-CN"/>
              </w:rPr>
            </w:pPr>
            <w:r>
              <w:rPr>
                <w:rFonts w:hint="eastAsia" w:ascii="Times New Roman" w:hAnsi="Times New Roman" w:eastAsia="宋体" w:cs="Times New Roman"/>
                <w:bCs/>
                <w:color w:val="auto"/>
                <w:sz w:val="24"/>
                <w:highlight w:val="none"/>
                <w:lang w:val="en-US" w:eastAsia="zh-CN"/>
              </w:rPr>
              <w:t>危险废物统一储存在</w:t>
            </w:r>
            <w:r>
              <w:rPr>
                <w:rFonts w:hint="eastAsia" w:cs="Times New Roman"/>
                <w:bCs/>
                <w:color w:val="auto"/>
                <w:sz w:val="24"/>
                <w:highlight w:val="none"/>
                <w:lang w:val="en-US" w:eastAsia="zh-CN"/>
              </w:rPr>
              <w:t>危险废物贮存点</w:t>
            </w:r>
            <w:r>
              <w:rPr>
                <w:rFonts w:hint="eastAsia" w:ascii="Times New Roman" w:hAnsi="Times New Roman" w:eastAsia="宋体" w:cs="Times New Roman"/>
                <w:bCs/>
                <w:color w:val="auto"/>
                <w:sz w:val="24"/>
                <w:highlight w:val="none"/>
                <w:lang w:val="en-US" w:eastAsia="zh-CN"/>
              </w:rPr>
              <w:t>内，储煤场废机油、含油抹布、含油零部件及废机油桶产生量合计0.0</w:t>
            </w:r>
            <w:r>
              <w:rPr>
                <w:rFonts w:hint="eastAsia" w:cs="Times New Roman"/>
                <w:bCs/>
                <w:color w:val="auto"/>
                <w:sz w:val="24"/>
                <w:highlight w:val="none"/>
                <w:lang w:val="en-US" w:eastAsia="zh-CN"/>
              </w:rPr>
              <w:t>2</w:t>
            </w:r>
            <w:r>
              <w:rPr>
                <w:rFonts w:hint="eastAsia" w:ascii="Times New Roman" w:hAnsi="Times New Roman" w:eastAsia="宋体" w:cs="Times New Roman"/>
                <w:bCs/>
                <w:color w:val="auto"/>
                <w:sz w:val="24"/>
                <w:highlight w:val="none"/>
                <w:lang w:val="en-US" w:eastAsia="zh-CN"/>
              </w:rPr>
              <w:t>t/a，</w:t>
            </w:r>
            <w:r>
              <w:rPr>
                <w:rFonts w:hint="eastAsia" w:ascii="Times New Roman" w:hAnsi="Times New Roman" w:eastAsia="宋体" w:cs="Times New Roman"/>
                <w:bCs/>
                <w:color w:val="auto"/>
                <w:sz w:val="24"/>
                <w:highlight w:val="none"/>
                <w:lang w:eastAsia="zh-CN"/>
              </w:rPr>
              <w:t>集中收集后，定期</w:t>
            </w:r>
            <w:r>
              <w:rPr>
                <w:rFonts w:hint="eastAsia" w:ascii="Times New Roman" w:hAnsi="Times New Roman" w:eastAsia="宋体" w:cs="Times New Roman"/>
                <w:bCs/>
                <w:color w:val="auto"/>
                <w:sz w:val="24"/>
                <w:highlight w:val="none"/>
                <w:lang w:val="en-US" w:eastAsia="zh-CN"/>
              </w:rPr>
              <w:t>交由有资质单位处理。</w:t>
            </w:r>
            <w:r>
              <w:rPr>
                <w:rFonts w:hint="eastAsia" w:cs="Times New Roman"/>
                <w:bCs/>
                <w:color w:val="auto"/>
                <w:sz w:val="24"/>
                <w:highlight w:val="none"/>
                <w:lang w:val="en-US" w:eastAsia="zh-CN"/>
              </w:rPr>
              <w:t>危险废物贮存点</w:t>
            </w:r>
            <w:r>
              <w:rPr>
                <w:rFonts w:hint="eastAsia" w:ascii="Times New Roman" w:hAnsi="Times New Roman" w:eastAsia="宋体" w:cs="Times New Roman"/>
                <w:bCs/>
                <w:color w:val="auto"/>
                <w:sz w:val="24"/>
                <w:highlight w:val="none"/>
                <w:lang w:val="en-US" w:eastAsia="zh-CN"/>
              </w:rPr>
              <w:t>地面与裙脚要用坚固、防渗的建筑材料建造，</w:t>
            </w:r>
            <w:r>
              <w:rPr>
                <w:rFonts w:hint="eastAsia" w:cs="Times New Roman"/>
                <w:bCs/>
                <w:color w:val="auto"/>
                <w:sz w:val="24"/>
                <w:highlight w:val="none"/>
                <w:lang w:val="en-US" w:eastAsia="zh-CN"/>
              </w:rPr>
              <w:t>至少</w:t>
            </w:r>
            <w:r>
              <w:rPr>
                <w:rFonts w:hint="eastAsia" w:ascii="Times New Roman" w:hAnsi="Times New Roman" w:eastAsia="宋体" w:cs="Times New Roman"/>
                <w:bCs/>
                <w:color w:val="auto"/>
                <w:sz w:val="24"/>
                <w:highlight w:val="none"/>
                <w:lang w:val="en-US" w:eastAsia="zh-CN"/>
              </w:rPr>
              <w:t>1m厚黏土层(渗透系数不大于10</w:t>
            </w:r>
            <w:r>
              <w:rPr>
                <w:rFonts w:hint="eastAsia" w:ascii="Times New Roman" w:hAnsi="Times New Roman" w:eastAsia="宋体" w:cs="Times New Roman"/>
                <w:bCs/>
                <w:color w:val="auto"/>
                <w:sz w:val="24"/>
                <w:highlight w:val="none"/>
                <w:vertAlign w:val="superscript"/>
                <w:lang w:val="en-US" w:eastAsia="zh-CN"/>
              </w:rPr>
              <w:t>-7</w:t>
            </w:r>
            <w:r>
              <w:rPr>
                <w:rFonts w:hint="eastAsia" w:ascii="Times New Roman" w:hAnsi="Times New Roman" w:eastAsia="宋体" w:cs="Times New Roman"/>
                <w:bCs/>
                <w:color w:val="auto"/>
                <w:sz w:val="24"/>
                <w:highlight w:val="none"/>
                <w:lang w:val="en-US" w:eastAsia="zh-CN"/>
              </w:rPr>
              <w:t>cm/s)，或2mm厚高密度聚乙烯膜等人工防渗材料，渗透系数不大于10</w:t>
            </w:r>
            <w:r>
              <w:rPr>
                <w:rFonts w:hint="eastAsia" w:ascii="Times New Roman" w:hAnsi="Times New Roman" w:eastAsia="宋体" w:cs="Times New Roman"/>
                <w:bCs/>
                <w:color w:val="auto"/>
                <w:sz w:val="24"/>
                <w:highlight w:val="none"/>
                <w:vertAlign w:val="superscript"/>
                <w:lang w:val="en-US" w:eastAsia="zh-CN"/>
              </w:rPr>
              <w:t>-10</w:t>
            </w:r>
            <w:r>
              <w:rPr>
                <w:rFonts w:hint="eastAsia" w:ascii="Times New Roman" w:hAnsi="Times New Roman" w:eastAsia="宋体" w:cs="Times New Roman"/>
                <w:bCs/>
                <w:color w:val="auto"/>
                <w:sz w:val="24"/>
                <w:highlight w:val="none"/>
                <w:lang w:val="en-US" w:eastAsia="zh-CN"/>
              </w:rPr>
              <w:t>cm/s)，危险废物须做好危险废物情况的记录、记录上须标明危险废物的名</w:t>
            </w:r>
            <w:r>
              <w:rPr>
                <w:rFonts w:hint="eastAsia" w:hAnsi="宋体"/>
                <w:color w:val="auto"/>
                <w:sz w:val="24"/>
                <w:szCs w:val="24"/>
                <w:highlight w:val="none"/>
                <w:lang w:val="en-US" w:eastAsia="zh-CN"/>
              </w:rPr>
              <w:t>称、来源、数量、入库时间、废物出库日期及接收单位名称。危险废物经过统一收集后再交给有资质的危险废物处置单位处理。</w:t>
            </w:r>
          </w:p>
          <w:p w14:paraId="689579C5">
            <w:pPr>
              <w:adjustRightInd w:val="0"/>
              <w:snapToGrid w:val="0"/>
              <w:jc w:val="center"/>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表4-</w:t>
            </w:r>
            <w:r>
              <w:rPr>
                <w:rFonts w:hint="eastAsia" w:cs="Times New Roman"/>
                <w:b/>
                <w:bCs/>
                <w:color w:val="auto"/>
                <w:kern w:val="2"/>
                <w:sz w:val="24"/>
                <w:szCs w:val="24"/>
                <w:highlight w:val="none"/>
                <w:lang w:val="en-US" w:eastAsia="zh-CN" w:bidi="ar-SA"/>
              </w:rPr>
              <w:t>7</w:t>
            </w:r>
            <w:r>
              <w:rPr>
                <w:rFonts w:hint="eastAsia" w:ascii="Times New Roman" w:hAnsi="Times New Roman" w:eastAsia="宋体" w:cs="Times New Roman"/>
                <w:b/>
                <w:bCs/>
                <w:color w:val="auto"/>
                <w:kern w:val="2"/>
                <w:sz w:val="24"/>
                <w:szCs w:val="24"/>
                <w:highlight w:val="none"/>
                <w:lang w:val="en-US" w:eastAsia="zh-CN" w:bidi="ar-SA"/>
              </w:rPr>
              <w:t xml:space="preserve">  固体废物排放信息</w:t>
            </w:r>
          </w:p>
          <w:tbl>
            <w:tblPr>
              <w:tblStyle w:val="17"/>
              <w:tblW w:w="4993"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5"/>
              <w:gridCol w:w="973"/>
              <w:gridCol w:w="1228"/>
              <w:gridCol w:w="1527"/>
              <w:gridCol w:w="875"/>
              <w:gridCol w:w="1237"/>
              <w:gridCol w:w="1312"/>
              <w:gridCol w:w="868"/>
            </w:tblGrid>
            <w:tr w14:paraId="7507AB1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0" w:type="pct"/>
                  <w:noWrap w:val="0"/>
                  <w:vAlign w:val="center"/>
                </w:tcPr>
                <w:p w14:paraId="4292F1EA">
                  <w:pPr>
                    <w:adjustRightInd w:val="0"/>
                    <w:snapToGrid w:val="0"/>
                    <w:jc w:val="center"/>
                    <w:rPr>
                      <w:bCs/>
                      <w:color w:val="auto"/>
                      <w:szCs w:val="21"/>
                      <w:highlight w:val="none"/>
                    </w:rPr>
                  </w:pPr>
                  <w:r>
                    <w:rPr>
                      <w:bCs/>
                      <w:color w:val="auto"/>
                      <w:szCs w:val="21"/>
                      <w:highlight w:val="none"/>
                    </w:rPr>
                    <w:t>产生环节</w:t>
                  </w:r>
                </w:p>
              </w:tc>
              <w:tc>
                <w:tcPr>
                  <w:tcW w:w="554" w:type="pct"/>
                  <w:noWrap w:val="0"/>
                  <w:vAlign w:val="center"/>
                </w:tcPr>
                <w:p w14:paraId="5F79E644">
                  <w:pPr>
                    <w:adjustRightInd w:val="0"/>
                    <w:snapToGrid w:val="0"/>
                    <w:jc w:val="center"/>
                    <w:rPr>
                      <w:bCs/>
                      <w:color w:val="auto"/>
                      <w:szCs w:val="21"/>
                      <w:highlight w:val="none"/>
                    </w:rPr>
                  </w:pPr>
                  <w:r>
                    <w:rPr>
                      <w:bCs/>
                      <w:color w:val="auto"/>
                      <w:szCs w:val="21"/>
                      <w:highlight w:val="none"/>
                    </w:rPr>
                    <w:t>名称</w:t>
                  </w:r>
                </w:p>
              </w:tc>
              <w:tc>
                <w:tcPr>
                  <w:tcW w:w="699" w:type="pct"/>
                  <w:noWrap w:val="0"/>
                  <w:vAlign w:val="center"/>
                </w:tcPr>
                <w:p w14:paraId="1CF176CD">
                  <w:pPr>
                    <w:adjustRightInd w:val="0"/>
                    <w:snapToGrid w:val="0"/>
                    <w:jc w:val="center"/>
                    <w:rPr>
                      <w:bCs/>
                      <w:color w:val="auto"/>
                      <w:szCs w:val="21"/>
                      <w:highlight w:val="none"/>
                    </w:rPr>
                  </w:pPr>
                  <w:r>
                    <w:rPr>
                      <w:rFonts w:hint="eastAsia"/>
                      <w:bCs/>
                      <w:color w:val="auto"/>
                      <w:szCs w:val="21"/>
                      <w:highlight w:val="none"/>
                    </w:rPr>
                    <w:t>性质</w:t>
                  </w:r>
                </w:p>
              </w:tc>
              <w:tc>
                <w:tcPr>
                  <w:tcW w:w="869" w:type="pct"/>
                  <w:noWrap w:val="0"/>
                  <w:vAlign w:val="center"/>
                </w:tcPr>
                <w:p w14:paraId="68E2944E">
                  <w:pPr>
                    <w:adjustRightInd w:val="0"/>
                    <w:snapToGrid w:val="0"/>
                    <w:jc w:val="center"/>
                    <w:rPr>
                      <w:bCs/>
                      <w:color w:val="auto"/>
                      <w:szCs w:val="21"/>
                      <w:highlight w:val="none"/>
                    </w:rPr>
                  </w:pPr>
                  <w:r>
                    <w:rPr>
                      <w:bCs/>
                      <w:color w:val="auto"/>
                      <w:szCs w:val="21"/>
                      <w:highlight w:val="none"/>
                    </w:rPr>
                    <w:t>代码</w:t>
                  </w:r>
                </w:p>
              </w:tc>
              <w:tc>
                <w:tcPr>
                  <w:tcW w:w="498" w:type="pct"/>
                  <w:noWrap w:val="0"/>
                  <w:vAlign w:val="center"/>
                </w:tcPr>
                <w:p w14:paraId="51C336D9">
                  <w:pPr>
                    <w:adjustRightInd w:val="0"/>
                    <w:snapToGrid w:val="0"/>
                    <w:jc w:val="center"/>
                    <w:rPr>
                      <w:bCs/>
                      <w:color w:val="auto"/>
                      <w:szCs w:val="21"/>
                      <w:highlight w:val="none"/>
                    </w:rPr>
                  </w:pPr>
                  <w:r>
                    <w:rPr>
                      <w:bCs/>
                      <w:color w:val="auto"/>
                      <w:szCs w:val="21"/>
                      <w:highlight w:val="none"/>
                    </w:rPr>
                    <w:t>年产生量t/a</w:t>
                  </w:r>
                </w:p>
              </w:tc>
              <w:tc>
                <w:tcPr>
                  <w:tcW w:w="704" w:type="pct"/>
                  <w:noWrap w:val="0"/>
                  <w:vAlign w:val="center"/>
                </w:tcPr>
                <w:p w14:paraId="134FE6E7">
                  <w:pPr>
                    <w:adjustRightInd w:val="0"/>
                    <w:snapToGrid w:val="0"/>
                    <w:jc w:val="center"/>
                    <w:rPr>
                      <w:bCs/>
                      <w:color w:val="auto"/>
                      <w:szCs w:val="21"/>
                      <w:highlight w:val="none"/>
                    </w:rPr>
                  </w:pPr>
                  <w:r>
                    <w:rPr>
                      <w:bCs/>
                      <w:color w:val="auto"/>
                      <w:szCs w:val="21"/>
                      <w:highlight w:val="none"/>
                    </w:rPr>
                    <w:t>贮存方式</w:t>
                  </w:r>
                </w:p>
              </w:tc>
              <w:tc>
                <w:tcPr>
                  <w:tcW w:w="747" w:type="pct"/>
                  <w:noWrap w:val="0"/>
                  <w:vAlign w:val="center"/>
                </w:tcPr>
                <w:p w14:paraId="28392835">
                  <w:pPr>
                    <w:adjustRightInd w:val="0"/>
                    <w:snapToGrid w:val="0"/>
                    <w:jc w:val="center"/>
                    <w:rPr>
                      <w:bCs/>
                      <w:color w:val="auto"/>
                      <w:szCs w:val="21"/>
                      <w:highlight w:val="none"/>
                    </w:rPr>
                  </w:pPr>
                  <w:r>
                    <w:rPr>
                      <w:bCs/>
                      <w:color w:val="auto"/>
                      <w:szCs w:val="21"/>
                      <w:highlight w:val="none"/>
                    </w:rPr>
                    <w:t>处置方式和去向</w:t>
                  </w:r>
                </w:p>
              </w:tc>
              <w:tc>
                <w:tcPr>
                  <w:tcW w:w="494" w:type="pct"/>
                  <w:noWrap w:val="0"/>
                  <w:vAlign w:val="center"/>
                </w:tcPr>
                <w:p w14:paraId="68CFF4CD">
                  <w:pPr>
                    <w:adjustRightInd w:val="0"/>
                    <w:snapToGrid w:val="0"/>
                    <w:jc w:val="center"/>
                    <w:rPr>
                      <w:bCs/>
                      <w:color w:val="auto"/>
                      <w:szCs w:val="21"/>
                      <w:highlight w:val="none"/>
                    </w:rPr>
                  </w:pPr>
                  <w:r>
                    <w:rPr>
                      <w:bCs/>
                      <w:color w:val="auto"/>
                      <w:szCs w:val="21"/>
                      <w:highlight w:val="none"/>
                    </w:rPr>
                    <w:t>处置或利用量t/a</w:t>
                  </w:r>
                </w:p>
              </w:tc>
            </w:tr>
            <w:tr w14:paraId="1885E89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430" w:type="pct"/>
                  <w:noWrap w:val="0"/>
                  <w:vAlign w:val="center"/>
                </w:tcPr>
                <w:p w14:paraId="657CBF31">
                  <w:pPr>
                    <w:jc w:val="center"/>
                    <w:rPr>
                      <w:rFonts w:hint="default" w:eastAsia="宋体"/>
                      <w:bCs/>
                      <w:color w:val="auto"/>
                      <w:szCs w:val="21"/>
                      <w:highlight w:val="none"/>
                      <w:lang w:val="en-US" w:eastAsia="zh-CN"/>
                    </w:rPr>
                  </w:pPr>
                  <w:r>
                    <w:rPr>
                      <w:rFonts w:hint="eastAsia"/>
                      <w:bCs/>
                      <w:color w:val="auto"/>
                      <w:szCs w:val="21"/>
                      <w:highlight w:val="none"/>
                      <w:lang w:val="en-US" w:eastAsia="zh-CN"/>
                    </w:rPr>
                    <w:t>日常生活</w:t>
                  </w:r>
                </w:p>
              </w:tc>
              <w:tc>
                <w:tcPr>
                  <w:tcW w:w="554" w:type="pct"/>
                  <w:noWrap w:val="0"/>
                  <w:vAlign w:val="center"/>
                </w:tcPr>
                <w:p w14:paraId="59A8FDFC">
                  <w:pPr>
                    <w:adjustRightInd w:val="0"/>
                    <w:snapToGrid w:val="0"/>
                    <w:jc w:val="center"/>
                    <w:rPr>
                      <w:bCs/>
                      <w:color w:val="auto"/>
                      <w:szCs w:val="21"/>
                      <w:highlight w:val="none"/>
                    </w:rPr>
                  </w:pPr>
                  <w:r>
                    <w:rPr>
                      <w:rFonts w:hint="eastAsia"/>
                      <w:bCs/>
                      <w:color w:val="auto"/>
                      <w:szCs w:val="21"/>
                      <w:highlight w:val="none"/>
                      <w:lang w:val="en-US" w:eastAsia="zh-CN"/>
                    </w:rPr>
                    <w:t>生活垃圾</w:t>
                  </w:r>
                </w:p>
              </w:tc>
              <w:tc>
                <w:tcPr>
                  <w:tcW w:w="699" w:type="pct"/>
                  <w:noWrap w:val="0"/>
                  <w:vAlign w:val="center"/>
                </w:tcPr>
                <w:p w14:paraId="58905400">
                  <w:pPr>
                    <w:adjustRightInd w:val="0"/>
                    <w:snapToGrid w:val="0"/>
                    <w:jc w:val="center"/>
                    <w:rPr>
                      <w:rFonts w:hint="default" w:eastAsia="宋体"/>
                      <w:bCs/>
                      <w:color w:val="auto"/>
                      <w:szCs w:val="21"/>
                      <w:highlight w:val="none"/>
                      <w:lang w:val="en-US" w:eastAsia="zh-CN"/>
                    </w:rPr>
                  </w:pPr>
                  <w:r>
                    <w:rPr>
                      <w:bCs/>
                      <w:color w:val="auto"/>
                      <w:szCs w:val="21"/>
                      <w:highlight w:val="none"/>
                    </w:rPr>
                    <w:t>一般固体废物</w:t>
                  </w:r>
                </w:p>
              </w:tc>
              <w:tc>
                <w:tcPr>
                  <w:tcW w:w="1527" w:type="dxa"/>
                  <w:noWrap w:val="0"/>
                  <w:vAlign w:val="center"/>
                </w:tcPr>
                <w:p w14:paraId="40853981">
                  <w:pPr>
                    <w:adjustRightInd w:val="0"/>
                    <w:snapToGrid w:val="0"/>
                    <w:jc w:val="center"/>
                    <w:rPr>
                      <w:rFonts w:hint="eastAsia" w:eastAsia="宋体"/>
                      <w:bCs/>
                      <w:color w:val="auto"/>
                      <w:szCs w:val="21"/>
                      <w:highlight w:val="none"/>
                      <w:lang w:val="en-US" w:eastAsia="zh-CN"/>
                    </w:rPr>
                  </w:pPr>
                  <w:r>
                    <w:rPr>
                      <w:rFonts w:hint="default" w:ascii="Times New Roman" w:hAnsi="Times New Roman" w:cs="Times New Roman"/>
                      <w:bCs/>
                      <w:color w:val="auto"/>
                      <w:szCs w:val="21"/>
                      <w:highlight w:val="none"/>
                      <w:lang w:val="en-US" w:eastAsia="zh-CN"/>
                    </w:rPr>
                    <w:t>900-099-S64</w:t>
                  </w:r>
                </w:p>
              </w:tc>
              <w:tc>
                <w:tcPr>
                  <w:tcW w:w="498" w:type="pct"/>
                  <w:noWrap w:val="0"/>
                  <w:vAlign w:val="center"/>
                </w:tcPr>
                <w:p w14:paraId="0532CD02">
                  <w:pPr>
                    <w:adjustRightInd w:val="0"/>
                    <w:snapToGrid w:val="0"/>
                    <w:jc w:val="center"/>
                    <w:rPr>
                      <w:rFonts w:hint="default"/>
                      <w:bCs/>
                      <w:color w:val="auto"/>
                      <w:szCs w:val="21"/>
                      <w:highlight w:val="none"/>
                      <w:lang w:val="en-US" w:eastAsia="zh-CN"/>
                    </w:rPr>
                  </w:pPr>
                  <w:r>
                    <w:rPr>
                      <w:rFonts w:hint="eastAsia"/>
                      <w:bCs/>
                      <w:color w:val="auto"/>
                      <w:szCs w:val="21"/>
                      <w:highlight w:val="none"/>
                      <w:lang w:val="en-US" w:eastAsia="zh-CN"/>
                    </w:rPr>
                    <w:t>0.3</w:t>
                  </w:r>
                </w:p>
              </w:tc>
              <w:tc>
                <w:tcPr>
                  <w:tcW w:w="704" w:type="pct"/>
                  <w:noWrap w:val="0"/>
                  <w:vAlign w:val="center"/>
                </w:tcPr>
                <w:p w14:paraId="4F0AF9BC">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垃圾箱</w:t>
                  </w:r>
                </w:p>
              </w:tc>
              <w:tc>
                <w:tcPr>
                  <w:tcW w:w="747" w:type="pct"/>
                  <w:noWrap w:val="0"/>
                  <w:vAlign w:val="center"/>
                </w:tcPr>
                <w:p w14:paraId="578B0C2E">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环卫部门</w:t>
                  </w:r>
                </w:p>
              </w:tc>
              <w:tc>
                <w:tcPr>
                  <w:tcW w:w="494" w:type="pct"/>
                  <w:noWrap w:val="0"/>
                  <w:vAlign w:val="center"/>
                </w:tcPr>
                <w:p w14:paraId="2922DC16">
                  <w:pPr>
                    <w:adjustRightInd w:val="0"/>
                    <w:snapToGrid w:val="0"/>
                    <w:jc w:val="center"/>
                    <w:rPr>
                      <w:rFonts w:hint="default"/>
                      <w:bCs/>
                      <w:color w:val="auto"/>
                      <w:szCs w:val="21"/>
                      <w:highlight w:val="none"/>
                      <w:lang w:val="en-US" w:eastAsia="zh-CN"/>
                    </w:rPr>
                  </w:pPr>
                  <w:r>
                    <w:rPr>
                      <w:rFonts w:hint="eastAsia"/>
                      <w:bCs/>
                      <w:color w:val="auto"/>
                      <w:szCs w:val="21"/>
                      <w:highlight w:val="none"/>
                      <w:lang w:val="en-US" w:eastAsia="zh-CN"/>
                    </w:rPr>
                    <w:t>0.3</w:t>
                  </w:r>
                </w:p>
              </w:tc>
            </w:tr>
            <w:tr w14:paraId="0E04B8D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755" w:type="dxa"/>
                  <w:noWrap w:val="0"/>
                  <w:vAlign w:val="center"/>
                </w:tcPr>
                <w:p w14:paraId="04163584">
                  <w:pPr>
                    <w:jc w:val="center"/>
                    <w:rPr>
                      <w:rFonts w:hint="eastAsia"/>
                      <w:bCs/>
                      <w:color w:val="auto"/>
                      <w:szCs w:val="21"/>
                      <w:highlight w:val="none"/>
                      <w:lang w:val="en-US" w:eastAsia="zh-CN"/>
                    </w:rPr>
                  </w:pPr>
                  <w:r>
                    <w:rPr>
                      <w:rFonts w:hint="eastAsia"/>
                      <w:bCs/>
                      <w:color w:val="auto"/>
                      <w:szCs w:val="21"/>
                      <w:highlight w:val="none"/>
                      <w:lang w:val="en-US" w:eastAsia="zh-CN"/>
                    </w:rPr>
                    <w:t>生产</w:t>
                  </w:r>
                </w:p>
              </w:tc>
              <w:tc>
                <w:tcPr>
                  <w:tcW w:w="973" w:type="dxa"/>
                  <w:noWrap w:val="0"/>
                  <w:vAlign w:val="center"/>
                </w:tcPr>
                <w:p w14:paraId="2FE2F76E">
                  <w:pPr>
                    <w:adjustRightInd w:val="0"/>
                    <w:snapToGrid w:val="0"/>
                    <w:jc w:val="center"/>
                    <w:rPr>
                      <w:rFonts w:hint="eastAsia"/>
                      <w:bCs/>
                      <w:color w:val="auto"/>
                      <w:szCs w:val="21"/>
                      <w:highlight w:val="none"/>
                      <w:lang w:val="en-US" w:eastAsia="zh-CN"/>
                    </w:rPr>
                  </w:pPr>
                  <w:r>
                    <w:rPr>
                      <w:rFonts w:hint="eastAsia"/>
                      <w:bCs/>
                      <w:color w:val="auto"/>
                      <w:szCs w:val="21"/>
                      <w:highlight w:val="none"/>
                      <w:lang w:val="en-US" w:eastAsia="zh-CN"/>
                    </w:rPr>
                    <w:t>沉渣</w:t>
                  </w:r>
                </w:p>
              </w:tc>
              <w:tc>
                <w:tcPr>
                  <w:tcW w:w="1228" w:type="dxa"/>
                  <w:noWrap w:val="0"/>
                  <w:vAlign w:val="center"/>
                </w:tcPr>
                <w:p w14:paraId="788A60CC">
                  <w:pPr>
                    <w:adjustRightInd w:val="0"/>
                    <w:snapToGrid w:val="0"/>
                    <w:jc w:val="center"/>
                    <w:rPr>
                      <w:bCs/>
                      <w:color w:val="auto"/>
                      <w:szCs w:val="21"/>
                      <w:highlight w:val="none"/>
                    </w:rPr>
                  </w:pPr>
                  <w:r>
                    <w:rPr>
                      <w:bCs/>
                      <w:color w:val="auto"/>
                      <w:szCs w:val="21"/>
                      <w:highlight w:val="none"/>
                    </w:rPr>
                    <w:t>一般固体废物</w:t>
                  </w:r>
                </w:p>
              </w:tc>
              <w:tc>
                <w:tcPr>
                  <w:tcW w:w="1527" w:type="dxa"/>
                  <w:noWrap w:val="0"/>
                  <w:vAlign w:val="center"/>
                </w:tcPr>
                <w:p w14:paraId="19414E98">
                  <w:pPr>
                    <w:adjustRightInd w:val="0"/>
                    <w:snapToGrid w:val="0"/>
                    <w:jc w:val="center"/>
                    <w:rPr>
                      <w:rFonts w:hint="eastAsia"/>
                      <w:bCs/>
                      <w:color w:val="auto"/>
                      <w:szCs w:val="21"/>
                      <w:highlight w:val="none"/>
                      <w:lang w:val="en-US" w:eastAsia="zh-CN"/>
                    </w:rPr>
                  </w:pPr>
                  <w:r>
                    <w:rPr>
                      <w:rFonts w:hint="default" w:ascii="Times New Roman" w:hAnsi="Times New Roman" w:cs="Times New Roman"/>
                      <w:bCs/>
                      <w:color w:val="auto"/>
                      <w:szCs w:val="21"/>
                      <w:highlight w:val="none"/>
                      <w:lang w:val="en-US" w:eastAsia="zh-CN"/>
                    </w:rPr>
                    <w:t>900-099-S07</w:t>
                  </w:r>
                </w:p>
              </w:tc>
              <w:tc>
                <w:tcPr>
                  <w:tcW w:w="875" w:type="dxa"/>
                  <w:noWrap w:val="0"/>
                  <w:vAlign w:val="center"/>
                </w:tcPr>
                <w:p w14:paraId="012C62AA">
                  <w:pPr>
                    <w:adjustRightInd w:val="0"/>
                    <w:snapToGrid w:val="0"/>
                    <w:jc w:val="center"/>
                    <w:rPr>
                      <w:rFonts w:hint="default"/>
                      <w:bCs/>
                      <w:color w:val="auto"/>
                      <w:szCs w:val="21"/>
                      <w:highlight w:val="none"/>
                      <w:lang w:val="en-US" w:eastAsia="zh-CN"/>
                    </w:rPr>
                  </w:pPr>
                  <w:r>
                    <w:rPr>
                      <w:rFonts w:hint="eastAsia"/>
                      <w:bCs/>
                      <w:color w:val="auto"/>
                      <w:szCs w:val="21"/>
                      <w:highlight w:val="none"/>
                      <w:lang w:val="en-US" w:eastAsia="zh-CN"/>
                    </w:rPr>
                    <w:t>0.1</w:t>
                  </w:r>
                </w:p>
              </w:tc>
              <w:tc>
                <w:tcPr>
                  <w:tcW w:w="1237" w:type="dxa"/>
                  <w:noWrap w:val="0"/>
                  <w:vAlign w:val="center"/>
                </w:tcPr>
                <w:p w14:paraId="5B6F3B6A">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w:t>
                  </w:r>
                </w:p>
              </w:tc>
              <w:tc>
                <w:tcPr>
                  <w:tcW w:w="1312" w:type="dxa"/>
                  <w:noWrap w:val="0"/>
                  <w:vAlign w:val="center"/>
                </w:tcPr>
                <w:p w14:paraId="4FFC39E0">
                  <w:pPr>
                    <w:adjustRightInd w:val="0"/>
                    <w:snapToGrid w:val="0"/>
                    <w:jc w:val="center"/>
                    <w:rPr>
                      <w:rFonts w:hint="eastAsia"/>
                      <w:color w:val="auto"/>
                      <w:szCs w:val="21"/>
                      <w:highlight w:val="none"/>
                      <w:lang w:val="en-US" w:eastAsia="zh-CN"/>
                    </w:rPr>
                  </w:pPr>
                  <w:r>
                    <w:rPr>
                      <w:rFonts w:hint="eastAsia"/>
                      <w:color w:val="auto"/>
                      <w:szCs w:val="21"/>
                      <w:highlight w:val="none"/>
                    </w:rPr>
                    <w:t>外售综合利用</w:t>
                  </w:r>
                </w:p>
              </w:tc>
              <w:tc>
                <w:tcPr>
                  <w:tcW w:w="868" w:type="dxa"/>
                  <w:noWrap w:val="0"/>
                  <w:vAlign w:val="center"/>
                </w:tcPr>
                <w:p w14:paraId="26B8CF27">
                  <w:pPr>
                    <w:jc w:val="center"/>
                    <w:rPr>
                      <w:rFonts w:hint="default"/>
                      <w:bCs/>
                      <w:color w:val="auto"/>
                      <w:szCs w:val="21"/>
                      <w:highlight w:val="none"/>
                      <w:lang w:val="en-US" w:eastAsia="zh-CN"/>
                    </w:rPr>
                  </w:pPr>
                  <w:r>
                    <w:rPr>
                      <w:rFonts w:hint="eastAsia"/>
                      <w:bCs/>
                      <w:color w:val="auto"/>
                      <w:szCs w:val="21"/>
                      <w:highlight w:val="none"/>
                      <w:lang w:val="en-US" w:eastAsia="zh-CN"/>
                    </w:rPr>
                    <w:t>0.2</w:t>
                  </w:r>
                </w:p>
              </w:tc>
            </w:tr>
            <w:tr w14:paraId="45C2767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430" w:type="pct"/>
                  <w:vMerge w:val="restart"/>
                  <w:noWrap w:val="0"/>
                  <w:vAlign w:val="center"/>
                </w:tcPr>
                <w:p w14:paraId="0B35230A">
                  <w:pPr>
                    <w:jc w:val="center"/>
                    <w:rPr>
                      <w:rFonts w:hint="default" w:eastAsia="宋体"/>
                      <w:bCs/>
                      <w:color w:val="auto"/>
                      <w:szCs w:val="21"/>
                      <w:highlight w:val="none"/>
                      <w:lang w:val="en-US" w:eastAsia="zh-CN"/>
                    </w:rPr>
                  </w:pPr>
                  <w:r>
                    <w:rPr>
                      <w:rFonts w:hint="eastAsia"/>
                      <w:bCs/>
                      <w:color w:val="auto"/>
                      <w:szCs w:val="21"/>
                      <w:highlight w:val="none"/>
                      <w:lang w:val="en-US" w:eastAsia="zh-CN"/>
                    </w:rPr>
                    <w:t>维护</w:t>
                  </w:r>
                </w:p>
              </w:tc>
              <w:tc>
                <w:tcPr>
                  <w:tcW w:w="554" w:type="pct"/>
                  <w:noWrap w:val="0"/>
                  <w:vAlign w:val="center"/>
                </w:tcPr>
                <w:p w14:paraId="7E2EE369">
                  <w:pPr>
                    <w:adjustRightInd w:val="0"/>
                    <w:snapToGrid w:val="0"/>
                    <w:jc w:val="center"/>
                    <w:rPr>
                      <w:rFonts w:hint="default"/>
                      <w:bCs/>
                      <w:color w:val="auto"/>
                      <w:szCs w:val="21"/>
                      <w:highlight w:val="none"/>
                      <w:lang w:val="en-US" w:eastAsia="zh-CN"/>
                    </w:rPr>
                  </w:pPr>
                  <w:r>
                    <w:rPr>
                      <w:rFonts w:hint="eastAsia"/>
                      <w:bCs/>
                      <w:color w:val="auto"/>
                      <w:szCs w:val="21"/>
                      <w:highlight w:val="none"/>
                      <w:lang w:val="en-US" w:eastAsia="zh-CN"/>
                    </w:rPr>
                    <w:t>废机油</w:t>
                  </w:r>
                </w:p>
              </w:tc>
              <w:tc>
                <w:tcPr>
                  <w:tcW w:w="699" w:type="pct"/>
                  <w:noWrap w:val="0"/>
                  <w:vAlign w:val="center"/>
                </w:tcPr>
                <w:p w14:paraId="596AB91F">
                  <w:pPr>
                    <w:adjustRightInd w:val="0"/>
                    <w:snapToGrid w:val="0"/>
                    <w:jc w:val="center"/>
                    <w:rPr>
                      <w:rFonts w:hint="default"/>
                      <w:bCs/>
                      <w:color w:val="auto"/>
                      <w:szCs w:val="21"/>
                      <w:highlight w:val="none"/>
                      <w:lang w:val="en-US" w:eastAsia="zh-CN"/>
                    </w:rPr>
                  </w:pPr>
                  <w:r>
                    <w:rPr>
                      <w:rFonts w:hint="eastAsia"/>
                      <w:bCs/>
                      <w:color w:val="auto"/>
                      <w:szCs w:val="21"/>
                      <w:highlight w:val="none"/>
                      <w:lang w:val="en-US" w:eastAsia="zh-CN"/>
                    </w:rPr>
                    <w:t>危险废物</w:t>
                  </w:r>
                </w:p>
              </w:tc>
              <w:tc>
                <w:tcPr>
                  <w:tcW w:w="869" w:type="pct"/>
                  <w:noWrap w:val="0"/>
                  <w:vAlign w:val="center"/>
                </w:tcPr>
                <w:p w14:paraId="4230DA35">
                  <w:pPr>
                    <w:adjustRightInd w:val="0"/>
                    <w:snapToGrid w:val="0"/>
                    <w:jc w:val="center"/>
                    <w:rPr>
                      <w:rFonts w:hint="default"/>
                      <w:bCs/>
                      <w:color w:val="auto"/>
                      <w:szCs w:val="21"/>
                      <w:highlight w:val="none"/>
                      <w:lang w:val="en-US" w:eastAsia="zh-CN"/>
                    </w:rPr>
                  </w:pPr>
                  <w:r>
                    <w:rPr>
                      <w:rFonts w:hint="eastAsia"/>
                      <w:bCs/>
                      <w:color w:val="auto"/>
                      <w:szCs w:val="21"/>
                      <w:highlight w:val="none"/>
                      <w:lang w:val="en-US" w:eastAsia="zh-CN"/>
                    </w:rPr>
                    <w:t>900-217-08</w:t>
                  </w:r>
                </w:p>
              </w:tc>
              <w:tc>
                <w:tcPr>
                  <w:tcW w:w="498" w:type="pct"/>
                  <w:noWrap w:val="0"/>
                  <w:vAlign w:val="center"/>
                </w:tcPr>
                <w:p w14:paraId="5202AC4C">
                  <w:pPr>
                    <w:adjustRightInd w:val="0"/>
                    <w:snapToGrid w:val="0"/>
                    <w:jc w:val="center"/>
                    <w:rPr>
                      <w:rFonts w:hint="default"/>
                      <w:bCs/>
                      <w:color w:val="auto"/>
                      <w:szCs w:val="21"/>
                      <w:highlight w:val="none"/>
                      <w:lang w:val="en-US" w:eastAsia="zh-CN"/>
                    </w:rPr>
                  </w:pPr>
                  <w:r>
                    <w:rPr>
                      <w:rFonts w:hint="eastAsia"/>
                      <w:bCs/>
                      <w:color w:val="auto"/>
                      <w:szCs w:val="21"/>
                      <w:highlight w:val="none"/>
                      <w:lang w:val="en-US" w:eastAsia="zh-CN"/>
                    </w:rPr>
                    <w:t>0.005</w:t>
                  </w:r>
                </w:p>
              </w:tc>
              <w:tc>
                <w:tcPr>
                  <w:tcW w:w="704" w:type="pct"/>
                  <w:noWrap w:val="0"/>
                  <w:vAlign w:val="center"/>
                </w:tcPr>
                <w:p w14:paraId="74DB6454">
                  <w:pPr>
                    <w:adjustRightInd w:val="0"/>
                    <w:snapToGrid w:val="0"/>
                    <w:jc w:val="center"/>
                    <w:rPr>
                      <w:rFonts w:hint="default"/>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暂存</w:t>
                  </w:r>
                  <w:r>
                    <w:rPr>
                      <w:rFonts w:hint="eastAsia"/>
                      <w:color w:val="auto"/>
                      <w:highlight w:val="none"/>
                      <w:lang w:val="en-US" w:eastAsia="zh-CN"/>
                    </w:rPr>
                    <w:t>危险废物贮存点</w:t>
                  </w:r>
                  <w:r>
                    <w:rPr>
                      <w:rFonts w:hint="eastAsia" w:ascii="Times New Roman" w:hAnsi="Times New Roman" w:eastAsia="宋体" w:cs="Times New Roman"/>
                      <w:bCs/>
                      <w:color w:val="auto"/>
                      <w:szCs w:val="21"/>
                      <w:highlight w:val="none"/>
                      <w:lang w:val="en-US" w:eastAsia="zh-CN"/>
                    </w:rPr>
                    <w:t>内</w:t>
                  </w:r>
                </w:p>
              </w:tc>
              <w:tc>
                <w:tcPr>
                  <w:tcW w:w="747" w:type="pct"/>
                  <w:noWrap w:val="0"/>
                  <w:vAlign w:val="center"/>
                </w:tcPr>
                <w:p w14:paraId="02656339">
                  <w:pPr>
                    <w:adjustRightInd w:val="0"/>
                    <w:snapToGrid w:val="0"/>
                    <w:jc w:val="center"/>
                    <w:rPr>
                      <w:rFonts w:hint="eastAsia"/>
                      <w:color w:val="auto"/>
                      <w:szCs w:val="21"/>
                      <w:highlight w:val="none"/>
                      <w:lang w:val="en-US" w:eastAsia="zh-CN"/>
                    </w:rPr>
                  </w:pPr>
                  <w:r>
                    <w:rPr>
                      <w:rFonts w:hint="eastAsia"/>
                      <w:color w:val="auto"/>
                      <w:highlight w:val="none"/>
                    </w:rPr>
                    <w:t>委托有资质单位处置</w:t>
                  </w:r>
                </w:p>
              </w:tc>
              <w:tc>
                <w:tcPr>
                  <w:tcW w:w="868" w:type="dxa"/>
                  <w:noWrap w:val="0"/>
                  <w:vAlign w:val="center"/>
                </w:tcPr>
                <w:p w14:paraId="5881B043">
                  <w:pPr>
                    <w:adjustRightInd w:val="0"/>
                    <w:snapToGrid w:val="0"/>
                    <w:jc w:val="center"/>
                    <w:rPr>
                      <w:rFonts w:hint="default"/>
                      <w:bCs/>
                      <w:color w:val="auto"/>
                      <w:szCs w:val="21"/>
                      <w:highlight w:val="none"/>
                      <w:lang w:val="en-US" w:eastAsia="zh-CN"/>
                    </w:rPr>
                  </w:pPr>
                  <w:r>
                    <w:rPr>
                      <w:rFonts w:hint="eastAsia"/>
                      <w:bCs/>
                      <w:color w:val="auto"/>
                      <w:szCs w:val="21"/>
                      <w:highlight w:val="none"/>
                      <w:lang w:val="en-US" w:eastAsia="zh-CN"/>
                    </w:rPr>
                    <w:t>0.005</w:t>
                  </w:r>
                </w:p>
              </w:tc>
            </w:tr>
            <w:tr w14:paraId="3B63D22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430" w:type="pct"/>
                  <w:vMerge w:val="continue"/>
                  <w:noWrap w:val="0"/>
                  <w:vAlign w:val="center"/>
                </w:tcPr>
                <w:p w14:paraId="0B0C5354">
                  <w:pPr>
                    <w:jc w:val="center"/>
                    <w:rPr>
                      <w:rFonts w:hint="default"/>
                      <w:bCs/>
                      <w:color w:val="auto"/>
                      <w:szCs w:val="21"/>
                      <w:highlight w:val="none"/>
                      <w:lang w:val="en-US" w:eastAsia="zh-CN"/>
                    </w:rPr>
                  </w:pPr>
                </w:p>
              </w:tc>
              <w:tc>
                <w:tcPr>
                  <w:tcW w:w="554" w:type="pct"/>
                  <w:noWrap w:val="0"/>
                  <w:vAlign w:val="center"/>
                </w:tcPr>
                <w:p w14:paraId="7D74EDAB">
                  <w:pPr>
                    <w:adjustRightInd w:val="0"/>
                    <w:snapToGrid w:val="0"/>
                    <w:jc w:val="center"/>
                    <w:rPr>
                      <w:rFonts w:hint="eastAsia"/>
                      <w:bCs/>
                      <w:color w:val="auto"/>
                      <w:szCs w:val="21"/>
                      <w:highlight w:val="none"/>
                      <w:lang w:val="en-US" w:eastAsia="zh-CN"/>
                    </w:rPr>
                  </w:pPr>
                  <w:r>
                    <w:rPr>
                      <w:rFonts w:hint="eastAsia"/>
                      <w:bCs/>
                      <w:color w:val="auto"/>
                      <w:szCs w:val="21"/>
                      <w:highlight w:val="none"/>
                      <w:lang w:val="en-US" w:eastAsia="zh-CN"/>
                    </w:rPr>
                    <w:t>含油零部件及废机油桶</w:t>
                  </w:r>
                </w:p>
              </w:tc>
              <w:tc>
                <w:tcPr>
                  <w:tcW w:w="699" w:type="pct"/>
                  <w:noWrap w:val="0"/>
                  <w:vAlign w:val="center"/>
                </w:tcPr>
                <w:p w14:paraId="23DF3423">
                  <w:pPr>
                    <w:adjustRightInd w:val="0"/>
                    <w:snapToGrid w:val="0"/>
                    <w:jc w:val="center"/>
                    <w:rPr>
                      <w:rFonts w:hint="eastAsia"/>
                      <w:bCs/>
                      <w:color w:val="auto"/>
                      <w:szCs w:val="21"/>
                      <w:highlight w:val="none"/>
                      <w:lang w:val="en-US" w:eastAsia="zh-CN"/>
                    </w:rPr>
                  </w:pPr>
                  <w:r>
                    <w:rPr>
                      <w:rFonts w:hint="eastAsia"/>
                      <w:bCs/>
                      <w:color w:val="auto"/>
                      <w:szCs w:val="21"/>
                      <w:highlight w:val="none"/>
                      <w:lang w:val="en-US" w:eastAsia="zh-CN"/>
                    </w:rPr>
                    <w:t>危险废物</w:t>
                  </w:r>
                </w:p>
              </w:tc>
              <w:tc>
                <w:tcPr>
                  <w:tcW w:w="869" w:type="pct"/>
                  <w:noWrap w:val="0"/>
                  <w:vAlign w:val="center"/>
                </w:tcPr>
                <w:p w14:paraId="32B3EE25">
                  <w:pPr>
                    <w:adjustRightInd w:val="0"/>
                    <w:snapToGrid w:val="0"/>
                    <w:jc w:val="center"/>
                    <w:rPr>
                      <w:rFonts w:hint="eastAsia"/>
                      <w:bCs/>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900-041-49</w:t>
                  </w:r>
                </w:p>
              </w:tc>
              <w:tc>
                <w:tcPr>
                  <w:tcW w:w="498" w:type="pct"/>
                  <w:noWrap w:val="0"/>
                  <w:vAlign w:val="center"/>
                </w:tcPr>
                <w:p w14:paraId="0D5E0F40">
                  <w:pPr>
                    <w:adjustRightInd w:val="0"/>
                    <w:snapToGrid w:val="0"/>
                    <w:jc w:val="center"/>
                    <w:rPr>
                      <w:rFonts w:hint="default"/>
                      <w:bCs/>
                      <w:color w:val="auto"/>
                      <w:szCs w:val="21"/>
                      <w:highlight w:val="none"/>
                      <w:lang w:val="en-US" w:eastAsia="zh-CN"/>
                    </w:rPr>
                  </w:pPr>
                  <w:r>
                    <w:rPr>
                      <w:rFonts w:hint="eastAsia"/>
                      <w:bCs/>
                      <w:color w:val="auto"/>
                      <w:szCs w:val="21"/>
                      <w:highlight w:val="none"/>
                      <w:lang w:val="en-US" w:eastAsia="zh-CN"/>
                    </w:rPr>
                    <w:t>0.015</w:t>
                  </w:r>
                </w:p>
              </w:tc>
              <w:tc>
                <w:tcPr>
                  <w:tcW w:w="704" w:type="pct"/>
                  <w:noWrap w:val="0"/>
                  <w:vAlign w:val="center"/>
                </w:tcPr>
                <w:p w14:paraId="299CC93C">
                  <w:pPr>
                    <w:adjustRightInd w:val="0"/>
                    <w:snapToGrid w:val="0"/>
                    <w:jc w:val="center"/>
                    <w:rPr>
                      <w:rFonts w:hint="eastAsia"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暂存</w:t>
                  </w:r>
                  <w:r>
                    <w:rPr>
                      <w:rFonts w:hint="eastAsia"/>
                      <w:color w:val="auto"/>
                      <w:highlight w:val="none"/>
                      <w:lang w:val="en-US" w:eastAsia="zh-CN"/>
                    </w:rPr>
                    <w:t>危险废物贮存点</w:t>
                  </w:r>
                  <w:r>
                    <w:rPr>
                      <w:rFonts w:hint="eastAsia" w:ascii="Times New Roman" w:hAnsi="Times New Roman" w:eastAsia="宋体" w:cs="Times New Roman"/>
                      <w:bCs/>
                      <w:color w:val="auto"/>
                      <w:szCs w:val="21"/>
                      <w:highlight w:val="none"/>
                      <w:lang w:val="en-US" w:eastAsia="zh-CN"/>
                    </w:rPr>
                    <w:t>内</w:t>
                  </w:r>
                </w:p>
              </w:tc>
              <w:tc>
                <w:tcPr>
                  <w:tcW w:w="747" w:type="pct"/>
                  <w:noWrap w:val="0"/>
                  <w:vAlign w:val="center"/>
                </w:tcPr>
                <w:p w14:paraId="6E361BCD">
                  <w:pPr>
                    <w:adjustRightInd w:val="0"/>
                    <w:snapToGrid w:val="0"/>
                    <w:jc w:val="center"/>
                    <w:rPr>
                      <w:rFonts w:hint="eastAsia"/>
                      <w:color w:val="auto"/>
                      <w:highlight w:val="none"/>
                    </w:rPr>
                  </w:pPr>
                  <w:r>
                    <w:rPr>
                      <w:rFonts w:hint="eastAsia"/>
                      <w:color w:val="auto"/>
                      <w:highlight w:val="none"/>
                    </w:rPr>
                    <w:t>委托有资质单位处置</w:t>
                  </w:r>
                </w:p>
              </w:tc>
              <w:tc>
                <w:tcPr>
                  <w:tcW w:w="868" w:type="dxa"/>
                  <w:noWrap w:val="0"/>
                  <w:vAlign w:val="center"/>
                </w:tcPr>
                <w:p w14:paraId="52FA66FB">
                  <w:pPr>
                    <w:adjustRightInd w:val="0"/>
                    <w:snapToGrid w:val="0"/>
                    <w:jc w:val="center"/>
                    <w:rPr>
                      <w:rFonts w:hint="default"/>
                      <w:bCs/>
                      <w:color w:val="auto"/>
                      <w:szCs w:val="21"/>
                      <w:highlight w:val="none"/>
                      <w:lang w:val="en-US" w:eastAsia="zh-CN"/>
                    </w:rPr>
                  </w:pPr>
                  <w:r>
                    <w:rPr>
                      <w:rFonts w:hint="eastAsia"/>
                      <w:bCs/>
                      <w:color w:val="auto"/>
                      <w:szCs w:val="21"/>
                      <w:highlight w:val="none"/>
                      <w:lang w:val="en-US" w:eastAsia="zh-CN"/>
                    </w:rPr>
                    <w:t>0.015</w:t>
                  </w:r>
                </w:p>
              </w:tc>
            </w:tr>
          </w:tbl>
          <w:p w14:paraId="1E3A53EE">
            <w:p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（2）危险废物处置措施</w:t>
            </w:r>
          </w:p>
          <w:p w14:paraId="37FDC93D">
            <w:p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1）</w:t>
            </w:r>
            <w:r>
              <w:rPr>
                <w:rFonts w:hint="eastAsia" w:cs="Times New Roman"/>
                <w:bCs/>
                <w:color w:val="auto"/>
                <w:sz w:val="24"/>
                <w:highlight w:val="none"/>
                <w:lang w:val="en-US" w:eastAsia="zh-CN"/>
              </w:rPr>
              <w:t>危险废物贮存点</w:t>
            </w:r>
            <w:r>
              <w:rPr>
                <w:rFonts w:hint="eastAsia" w:ascii="Times New Roman" w:hAnsi="Times New Roman" w:eastAsia="宋体" w:cs="Times New Roman"/>
                <w:bCs/>
                <w:color w:val="auto"/>
                <w:sz w:val="24"/>
                <w:highlight w:val="none"/>
                <w:lang w:val="en-US" w:eastAsia="zh-CN"/>
              </w:rPr>
              <w:t>设置要求</w:t>
            </w:r>
          </w:p>
          <w:p w14:paraId="6723BA1B">
            <w:pPr>
              <w:adjustRightInd w:val="0"/>
              <w:snapToGrid w:val="0"/>
              <w:spacing w:line="360" w:lineRule="auto"/>
              <w:ind w:firstLine="480" w:firstLineChars="200"/>
              <w:rPr>
                <w:rFonts w:hint="eastAsia" w:ascii="Times New Roman" w:hAnsi="Times New Roman" w:eastAsia="宋体" w:cs="Times New Roman"/>
                <w:color w:val="auto"/>
                <w:sz w:val="24"/>
                <w:szCs w:val="24"/>
                <w:highlight w:val="none"/>
              </w:rPr>
            </w:pPr>
            <w:r>
              <w:rPr>
                <w:rFonts w:hint="eastAsia" w:cs="Times New Roman"/>
                <w:bCs/>
                <w:color w:val="auto"/>
                <w:sz w:val="24"/>
                <w:highlight w:val="none"/>
                <w:lang w:val="en-US" w:eastAsia="zh-CN"/>
              </w:rPr>
              <w:t>危险废物贮存点</w:t>
            </w:r>
            <w:r>
              <w:rPr>
                <w:rFonts w:hint="eastAsia" w:ascii="Times New Roman" w:hAnsi="Times New Roman" w:eastAsia="宋体" w:cs="Times New Roman"/>
                <w:bCs/>
                <w:color w:val="auto"/>
                <w:sz w:val="24"/>
                <w:highlight w:val="none"/>
                <w:lang w:val="en-US" w:eastAsia="zh-CN"/>
              </w:rPr>
              <w:t>应做到防风、防雨、防晒、防渗漏，地面和墙裙严格按照《危险废物贮存污染控制标准》（GB18597-20</w:t>
            </w:r>
            <w:r>
              <w:rPr>
                <w:rFonts w:hint="eastAsia" w:cs="Times New Roman"/>
                <w:bCs/>
                <w:color w:val="auto"/>
                <w:sz w:val="24"/>
                <w:highlight w:val="none"/>
                <w:lang w:val="en-US" w:eastAsia="zh-CN"/>
              </w:rPr>
              <w:t>23</w:t>
            </w:r>
            <w:r>
              <w:rPr>
                <w:rFonts w:hint="eastAsia" w:ascii="Times New Roman" w:hAnsi="Times New Roman" w:eastAsia="宋体" w:cs="Times New Roman"/>
                <w:bCs/>
                <w:color w:val="auto"/>
                <w:sz w:val="24"/>
                <w:highlight w:val="none"/>
                <w:lang w:val="en-US" w:eastAsia="zh-CN"/>
              </w:rPr>
              <w:t>）的要求进行防渗、防漏</w:t>
            </w:r>
            <w:r>
              <w:rPr>
                <w:rFonts w:hint="eastAsia" w:cs="Times New Roman"/>
                <w:bCs/>
                <w:color w:val="auto"/>
                <w:sz w:val="24"/>
                <w:highlight w:val="none"/>
                <w:lang w:val="en-US" w:eastAsia="zh-CN"/>
              </w:rPr>
              <w:t>。</w:t>
            </w:r>
          </w:p>
          <w:p w14:paraId="4DF6024B">
            <w:pPr>
              <w:adjustRightInd w:val="0"/>
              <w:snapToGrid w:val="0"/>
              <w:jc w:val="center"/>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表4-</w:t>
            </w:r>
            <w:r>
              <w:rPr>
                <w:rFonts w:hint="eastAsia" w:cs="Times New Roman"/>
                <w:b/>
                <w:bCs/>
                <w:color w:val="auto"/>
                <w:kern w:val="2"/>
                <w:sz w:val="24"/>
                <w:szCs w:val="24"/>
                <w:highlight w:val="none"/>
                <w:lang w:val="en-US" w:eastAsia="zh-CN" w:bidi="ar-SA"/>
              </w:rPr>
              <w:t>8</w:t>
            </w:r>
            <w:r>
              <w:rPr>
                <w:rFonts w:hint="eastAsia" w:ascii="Times New Roman" w:hAnsi="Times New Roman" w:eastAsia="宋体" w:cs="Times New Roman"/>
                <w:b/>
                <w:bCs/>
                <w:color w:val="auto"/>
                <w:kern w:val="2"/>
                <w:sz w:val="24"/>
                <w:szCs w:val="24"/>
                <w:highlight w:val="none"/>
                <w:lang w:val="en-US" w:eastAsia="zh-CN" w:bidi="ar-SA"/>
              </w:rPr>
              <w:t xml:space="preserve">  危险废物贮存场所基本情况</w:t>
            </w:r>
          </w:p>
          <w:tbl>
            <w:tblPr>
              <w:tblStyle w:val="1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2"/>
              <w:gridCol w:w="1346"/>
              <w:gridCol w:w="1424"/>
              <w:gridCol w:w="979"/>
              <w:gridCol w:w="1795"/>
              <w:gridCol w:w="983"/>
              <w:gridCol w:w="978"/>
            </w:tblGrid>
            <w:tr w14:paraId="01B131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82" w:type="dxa"/>
                  <w:tcBorders>
                    <w:tl2br w:val="nil"/>
                    <w:tr2bl w:val="nil"/>
                  </w:tcBorders>
                  <w:noWrap w:val="0"/>
                  <w:vAlign w:val="center"/>
                </w:tcPr>
                <w:p w14:paraId="3FC55826">
                  <w:pPr>
                    <w:jc w:val="center"/>
                    <w:rPr>
                      <w:rFonts w:hint="eastAsia"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危险废物名称</w:t>
                  </w:r>
                </w:p>
              </w:tc>
              <w:tc>
                <w:tcPr>
                  <w:tcW w:w="1346" w:type="dxa"/>
                  <w:tcBorders>
                    <w:tl2br w:val="nil"/>
                    <w:tr2bl w:val="nil"/>
                  </w:tcBorders>
                  <w:noWrap w:val="0"/>
                  <w:vAlign w:val="center"/>
                </w:tcPr>
                <w:p w14:paraId="3DDBECFF">
                  <w:pPr>
                    <w:jc w:val="center"/>
                    <w:rPr>
                      <w:rFonts w:hint="eastAsia"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危险废物类别</w:t>
                  </w:r>
                </w:p>
              </w:tc>
              <w:tc>
                <w:tcPr>
                  <w:tcW w:w="1424" w:type="dxa"/>
                  <w:tcBorders>
                    <w:tl2br w:val="nil"/>
                    <w:tr2bl w:val="nil"/>
                  </w:tcBorders>
                  <w:noWrap w:val="0"/>
                  <w:vAlign w:val="center"/>
                </w:tcPr>
                <w:p w14:paraId="0A9C9D92">
                  <w:pPr>
                    <w:jc w:val="center"/>
                    <w:rPr>
                      <w:rFonts w:hint="eastAsia"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危险废物代码</w:t>
                  </w:r>
                </w:p>
              </w:tc>
              <w:tc>
                <w:tcPr>
                  <w:tcW w:w="979" w:type="dxa"/>
                  <w:tcBorders>
                    <w:tl2br w:val="nil"/>
                    <w:tr2bl w:val="nil"/>
                  </w:tcBorders>
                  <w:noWrap w:val="0"/>
                  <w:vAlign w:val="center"/>
                </w:tcPr>
                <w:p w14:paraId="2FE4F3C4">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年产生量</w:t>
                  </w:r>
                </w:p>
              </w:tc>
              <w:tc>
                <w:tcPr>
                  <w:tcW w:w="1795" w:type="dxa"/>
                  <w:tcBorders>
                    <w:tl2br w:val="nil"/>
                    <w:tr2bl w:val="nil"/>
                  </w:tcBorders>
                  <w:noWrap w:val="0"/>
                  <w:vAlign w:val="center"/>
                </w:tcPr>
                <w:p w14:paraId="2ACAEB8A">
                  <w:pPr>
                    <w:jc w:val="center"/>
                    <w:rPr>
                      <w:rFonts w:hint="eastAsia"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贮存方式</w:t>
                  </w:r>
                </w:p>
              </w:tc>
              <w:tc>
                <w:tcPr>
                  <w:tcW w:w="983" w:type="dxa"/>
                  <w:tcBorders>
                    <w:tl2br w:val="nil"/>
                    <w:tr2bl w:val="nil"/>
                  </w:tcBorders>
                  <w:noWrap w:val="0"/>
                  <w:vAlign w:val="center"/>
                </w:tcPr>
                <w:p w14:paraId="4B2D5493">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贮存能力</w:t>
                  </w:r>
                </w:p>
              </w:tc>
              <w:tc>
                <w:tcPr>
                  <w:tcW w:w="978" w:type="dxa"/>
                  <w:tcBorders>
                    <w:tl2br w:val="nil"/>
                    <w:tr2bl w:val="nil"/>
                  </w:tcBorders>
                  <w:noWrap w:val="0"/>
                  <w:vAlign w:val="center"/>
                </w:tcPr>
                <w:p w14:paraId="47F01C22">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贮存周期</w:t>
                  </w:r>
                </w:p>
              </w:tc>
            </w:tr>
            <w:tr w14:paraId="1AC0F2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82" w:type="dxa"/>
                  <w:tcBorders>
                    <w:tl2br w:val="nil"/>
                    <w:tr2bl w:val="nil"/>
                  </w:tcBorders>
                  <w:noWrap w:val="0"/>
                  <w:vAlign w:val="center"/>
                </w:tcPr>
                <w:p w14:paraId="635871A7">
                  <w:pPr>
                    <w:jc w:val="center"/>
                    <w:rPr>
                      <w:rFonts w:hint="eastAsia"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废机油</w:t>
                  </w:r>
                </w:p>
              </w:tc>
              <w:tc>
                <w:tcPr>
                  <w:tcW w:w="1346" w:type="dxa"/>
                  <w:tcBorders>
                    <w:tl2br w:val="nil"/>
                    <w:tr2bl w:val="nil"/>
                  </w:tcBorders>
                  <w:noWrap w:val="0"/>
                  <w:vAlign w:val="center"/>
                </w:tcPr>
                <w:p w14:paraId="1E841565">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HW08</w:t>
                  </w:r>
                </w:p>
              </w:tc>
              <w:tc>
                <w:tcPr>
                  <w:tcW w:w="1424" w:type="dxa"/>
                  <w:tcBorders>
                    <w:tl2br w:val="nil"/>
                    <w:tr2bl w:val="nil"/>
                  </w:tcBorders>
                  <w:noWrap w:val="0"/>
                  <w:vAlign w:val="center"/>
                </w:tcPr>
                <w:p w14:paraId="6CFCF122">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900-217-08</w:t>
                  </w:r>
                </w:p>
              </w:tc>
              <w:tc>
                <w:tcPr>
                  <w:tcW w:w="979" w:type="dxa"/>
                  <w:tcBorders>
                    <w:tl2br w:val="nil"/>
                    <w:tr2bl w:val="nil"/>
                  </w:tcBorders>
                  <w:noWrap w:val="0"/>
                  <w:vAlign w:val="center"/>
                </w:tcPr>
                <w:p w14:paraId="1BFE04EB">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0.</w:t>
                  </w:r>
                  <w:r>
                    <w:rPr>
                      <w:rFonts w:hint="eastAsia" w:cs="Times New Roman"/>
                      <w:bCs/>
                      <w:color w:val="auto"/>
                      <w:szCs w:val="21"/>
                      <w:highlight w:val="none"/>
                      <w:lang w:val="en-US" w:eastAsia="zh-CN"/>
                    </w:rPr>
                    <w:t>005t</w:t>
                  </w:r>
                </w:p>
              </w:tc>
              <w:tc>
                <w:tcPr>
                  <w:tcW w:w="1795" w:type="dxa"/>
                  <w:vMerge w:val="restart"/>
                  <w:tcBorders>
                    <w:tl2br w:val="nil"/>
                    <w:tr2bl w:val="nil"/>
                  </w:tcBorders>
                  <w:noWrap w:val="0"/>
                  <w:vAlign w:val="center"/>
                </w:tcPr>
                <w:p w14:paraId="7FEC2930">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暂存于</w:t>
                  </w:r>
                  <w:r>
                    <w:rPr>
                      <w:rFonts w:hint="eastAsia"/>
                      <w:color w:val="auto"/>
                      <w:highlight w:val="none"/>
                      <w:lang w:val="en-US" w:eastAsia="zh-CN"/>
                    </w:rPr>
                    <w:t>危险废物贮存点</w:t>
                  </w:r>
                </w:p>
              </w:tc>
              <w:tc>
                <w:tcPr>
                  <w:tcW w:w="983" w:type="dxa"/>
                  <w:vMerge w:val="restart"/>
                  <w:tcBorders>
                    <w:tl2br w:val="nil"/>
                    <w:tr2bl w:val="nil"/>
                  </w:tcBorders>
                  <w:noWrap w:val="0"/>
                  <w:vAlign w:val="center"/>
                </w:tcPr>
                <w:p w14:paraId="1B090E99">
                  <w:pPr>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100L</w:t>
                  </w:r>
                </w:p>
              </w:tc>
              <w:tc>
                <w:tcPr>
                  <w:tcW w:w="978" w:type="dxa"/>
                  <w:vMerge w:val="restart"/>
                  <w:tcBorders>
                    <w:tl2br w:val="nil"/>
                    <w:tr2bl w:val="nil"/>
                  </w:tcBorders>
                  <w:noWrap w:val="0"/>
                  <w:vAlign w:val="center"/>
                </w:tcPr>
                <w:p w14:paraId="701C7AAD">
                  <w:pPr>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18</w:t>
                  </w:r>
                  <w:r>
                    <w:rPr>
                      <w:rFonts w:hint="eastAsia" w:ascii="Times New Roman" w:hAnsi="Times New Roman" w:eastAsia="宋体" w:cs="Times New Roman"/>
                      <w:bCs/>
                      <w:color w:val="auto"/>
                      <w:szCs w:val="21"/>
                      <w:highlight w:val="none"/>
                      <w:lang w:val="en-US" w:eastAsia="zh-CN"/>
                    </w:rPr>
                    <w:t>0d</w:t>
                  </w:r>
                </w:p>
              </w:tc>
            </w:tr>
            <w:tr w14:paraId="6D772E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82" w:type="dxa"/>
                  <w:tcBorders>
                    <w:tl2br w:val="nil"/>
                    <w:tr2bl w:val="nil"/>
                  </w:tcBorders>
                  <w:noWrap w:val="0"/>
                  <w:vAlign w:val="center"/>
                </w:tcPr>
                <w:p w14:paraId="002A4092">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含油零部件及废机油桶</w:t>
                  </w:r>
                </w:p>
              </w:tc>
              <w:tc>
                <w:tcPr>
                  <w:tcW w:w="1346" w:type="dxa"/>
                  <w:tcBorders>
                    <w:tl2br w:val="nil"/>
                    <w:tr2bl w:val="nil"/>
                  </w:tcBorders>
                  <w:noWrap w:val="0"/>
                  <w:vAlign w:val="center"/>
                </w:tcPr>
                <w:p w14:paraId="575513FA">
                  <w:pPr>
                    <w:pStyle w:val="29"/>
                    <w:rPr>
                      <w:rFonts w:hint="eastAsia"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HW49</w:t>
                  </w:r>
                </w:p>
              </w:tc>
              <w:tc>
                <w:tcPr>
                  <w:tcW w:w="1424" w:type="dxa"/>
                  <w:tcBorders>
                    <w:tl2br w:val="nil"/>
                    <w:tr2bl w:val="nil"/>
                  </w:tcBorders>
                  <w:noWrap w:val="0"/>
                  <w:vAlign w:val="center"/>
                </w:tcPr>
                <w:p w14:paraId="390C396D">
                  <w:pPr>
                    <w:pStyle w:val="29"/>
                    <w:rPr>
                      <w:rFonts w:hint="eastAsia"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900-041-49</w:t>
                  </w:r>
                </w:p>
              </w:tc>
              <w:tc>
                <w:tcPr>
                  <w:tcW w:w="979" w:type="dxa"/>
                  <w:tcBorders>
                    <w:tl2br w:val="nil"/>
                    <w:tr2bl w:val="nil"/>
                  </w:tcBorders>
                  <w:noWrap w:val="0"/>
                  <w:vAlign w:val="center"/>
                </w:tcPr>
                <w:p w14:paraId="5BBC8B65">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0.01</w:t>
                  </w:r>
                  <w:r>
                    <w:rPr>
                      <w:rFonts w:hint="eastAsia" w:cs="Times New Roman"/>
                      <w:bCs/>
                      <w:color w:val="auto"/>
                      <w:szCs w:val="21"/>
                      <w:highlight w:val="none"/>
                      <w:lang w:val="en-US" w:eastAsia="zh-CN"/>
                    </w:rPr>
                    <w:t>5</w:t>
                  </w:r>
                  <w:r>
                    <w:rPr>
                      <w:rFonts w:hint="eastAsia" w:ascii="Times New Roman" w:hAnsi="Times New Roman" w:eastAsia="宋体" w:cs="Times New Roman"/>
                      <w:bCs/>
                      <w:color w:val="auto"/>
                      <w:szCs w:val="21"/>
                      <w:highlight w:val="none"/>
                      <w:lang w:val="en-US" w:eastAsia="zh-CN"/>
                    </w:rPr>
                    <w:t>t</w:t>
                  </w:r>
                </w:p>
              </w:tc>
              <w:tc>
                <w:tcPr>
                  <w:tcW w:w="1795" w:type="dxa"/>
                  <w:vMerge w:val="continue"/>
                  <w:tcBorders>
                    <w:tl2br w:val="nil"/>
                    <w:tr2bl w:val="nil"/>
                  </w:tcBorders>
                  <w:noWrap w:val="0"/>
                  <w:vAlign w:val="center"/>
                </w:tcPr>
                <w:p w14:paraId="1F9F5E7B">
                  <w:pPr>
                    <w:jc w:val="center"/>
                    <w:rPr>
                      <w:rFonts w:hint="eastAsia" w:ascii="Times New Roman" w:hAnsi="Times New Roman" w:eastAsia="宋体" w:cs="Times New Roman"/>
                      <w:bCs/>
                      <w:color w:val="auto"/>
                      <w:szCs w:val="21"/>
                      <w:highlight w:val="none"/>
                      <w:lang w:val="en-US" w:eastAsia="zh-CN"/>
                    </w:rPr>
                  </w:pPr>
                </w:p>
              </w:tc>
              <w:tc>
                <w:tcPr>
                  <w:tcW w:w="983" w:type="dxa"/>
                  <w:vMerge w:val="continue"/>
                  <w:tcBorders>
                    <w:tl2br w:val="nil"/>
                    <w:tr2bl w:val="nil"/>
                  </w:tcBorders>
                  <w:noWrap w:val="0"/>
                  <w:vAlign w:val="center"/>
                </w:tcPr>
                <w:p w14:paraId="2B16C23C">
                  <w:pPr>
                    <w:jc w:val="center"/>
                    <w:rPr>
                      <w:rFonts w:hint="eastAsia" w:cs="Times New Roman"/>
                      <w:bCs/>
                      <w:color w:val="auto"/>
                      <w:szCs w:val="21"/>
                      <w:highlight w:val="none"/>
                      <w:lang w:val="en-US" w:eastAsia="zh-CN"/>
                    </w:rPr>
                  </w:pPr>
                </w:p>
              </w:tc>
              <w:tc>
                <w:tcPr>
                  <w:tcW w:w="978" w:type="dxa"/>
                  <w:vMerge w:val="continue"/>
                  <w:tcBorders>
                    <w:tl2br w:val="nil"/>
                    <w:tr2bl w:val="nil"/>
                  </w:tcBorders>
                  <w:noWrap w:val="0"/>
                  <w:vAlign w:val="center"/>
                </w:tcPr>
                <w:p w14:paraId="6C9861A6">
                  <w:pPr>
                    <w:jc w:val="center"/>
                    <w:rPr>
                      <w:rFonts w:hint="eastAsia" w:cs="Times New Roman"/>
                      <w:bCs/>
                      <w:color w:val="auto"/>
                      <w:szCs w:val="21"/>
                      <w:highlight w:val="none"/>
                      <w:lang w:val="en-US" w:eastAsia="zh-CN"/>
                    </w:rPr>
                  </w:pPr>
                </w:p>
              </w:tc>
            </w:tr>
          </w:tbl>
          <w:p w14:paraId="262C1358">
            <w:pPr>
              <w:adjustRightInd w:val="0"/>
              <w:snapToGrid w:val="0"/>
              <w:spacing w:line="360" w:lineRule="auto"/>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eastAsia="宋体" w:cs="Times New Roman"/>
                <w:bCs/>
                <w:color w:val="auto"/>
                <w:sz w:val="24"/>
                <w:highlight w:val="none"/>
                <w:lang w:val="en-US" w:eastAsia="zh-CN"/>
              </w:rPr>
              <w:t>环境管理要求</w:t>
            </w:r>
          </w:p>
          <w:p w14:paraId="245CE132">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本项目</w:t>
            </w:r>
            <w:r>
              <w:rPr>
                <w:rFonts w:hint="eastAsia" w:ascii="Times New Roman" w:hAnsi="Times New Roman" w:eastAsia="宋体" w:cs="Times New Roman"/>
                <w:bCs/>
                <w:color w:val="auto"/>
                <w:sz w:val="24"/>
                <w:highlight w:val="none"/>
                <w:lang w:val="en-US" w:eastAsia="zh-CN"/>
              </w:rPr>
              <w:t>危险废物贮存点</w:t>
            </w:r>
            <w:r>
              <w:rPr>
                <w:rFonts w:hint="default" w:ascii="Times New Roman" w:hAnsi="Times New Roman" w:eastAsia="宋体" w:cs="Times New Roman"/>
                <w:bCs/>
                <w:color w:val="auto"/>
                <w:sz w:val="24"/>
                <w:highlight w:val="none"/>
                <w:lang w:val="en-US" w:eastAsia="zh-CN"/>
              </w:rPr>
              <w:t>的设置应按《危险废物贮存污染控制标准》（GB18597-2023）相关要求进行设置，并做到以下几点：</w:t>
            </w:r>
          </w:p>
          <w:p w14:paraId="27F4CA5C">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①贮存设施运行环境管理要求</w:t>
            </w:r>
          </w:p>
          <w:p w14:paraId="2C9B58C9">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A危险废物存入贮存设施前应对危险废物类别和特性与危险废物标签等危险废物识别标志的一致性进行核验，不一致的或类别、特性不明的不应存入。</w:t>
            </w:r>
          </w:p>
          <w:p w14:paraId="71D79174">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 xml:space="preserve">B应定期检查危险废物的贮存状况，及时清理贮存设施地面，更换破损泄漏的危险废物贮存容器和包装物，保证堆存危险废物的防雨、防风、防扬尘等设施功能完好。                              </w:t>
            </w:r>
          </w:p>
          <w:p w14:paraId="7761CE9B">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C作业设备及车辆等结束作业离开贮存设施时，应对其残留的危险废物进行清理，清理的废物或清洗废水应收集处理。</w:t>
            </w:r>
          </w:p>
          <w:p w14:paraId="15C1B2EA">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D贮存设施运行期间，应按国家有关标准和规定建立危险废物管理台账并保存。</w:t>
            </w:r>
          </w:p>
          <w:p w14:paraId="65577D10">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E贮存设施所有者或运营者应建立贮存设施环境管理制度、管理人员岗位职责制度、设施运行操作制度、人员岗位培训制度等。</w:t>
            </w:r>
          </w:p>
          <w:p w14:paraId="33275E20">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F贮存设施所有者或运营者应依据国家土壤和地下水污染防治的有关规定，结合贮存设施特点建立土壤和地下水污染隐患排查制度，并定期开展隐患排查；发现隐患应及时采取措施消除隐患，并建立档案。</w:t>
            </w:r>
          </w:p>
          <w:p w14:paraId="2E7CBE5F">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G贮存设施所有者或运营者应建立贮存设施全部档案，包括设计、施工、验收、运行、监测和环境应急等，应按国家有关档案管理的法律法规进行整理和归档。</w:t>
            </w:r>
          </w:p>
          <w:p w14:paraId="78A44BE9">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②贮存点环境管理要求</w:t>
            </w:r>
          </w:p>
          <w:p w14:paraId="63BE1906">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A贮存点应具有固定的区域边界，并应采取与其他区域进行隔离的措施。</w:t>
            </w:r>
          </w:p>
          <w:p w14:paraId="725DE1C1">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B贮存点应采取防风、防雨、防晒和防止危险废物流失、扬散等措施。</w:t>
            </w:r>
          </w:p>
          <w:p w14:paraId="3944495C">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C贮存点应采取防风、防雨、防晒和防止危险废物流失、扬散等措施。</w:t>
            </w:r>
          </w:p>
          <w:p w14:paraId="634DA0D7">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D贮存点应根据危险废物的形态、物理化学性质、包装形式等，采取防渗、防漏等污染防治措施或采用具有相应功能的装置。</w:t>
            </w:r>
          </w:p>
          <w:p w14:paraId="1B14B1A7">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E贮存点应及时清运贮存的危险废物，实时贮存量不应超过 3 吨。</w:t>
            </w:r>
          </w:p>
          <w:p w14:paraId="67EF7F58">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③对于委托处理的固体废物，其运输转移过程中需做到以下几点：</w:t>
            </w:r>
          </w:p>
          <w:p w14:paraId="44CAA7EC">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A本项目危险废物必须及时运送至危险废物处置单位进行处置，运输过程必须符合国家对危险废物的运输要求。应由固废接收单位的专用车进行运输，该运输车辆须经主管单位检查，并持有有关单位签发的许可证，负责运输的司机应通过培训，持有证明文件。承载危险废物的车辆须有明显的标志或适当的危险符号，以引起注意。运输过程中要注意危险废物安全单独运输，固废的包装容器要注意密闭，以免在运输途中发生泄漏，从而危害环境；</w:t>
            </w:r>
          </w:p>
          <w:p w14:paraId="45D768B0">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B本项目在危险废物转移的过程中严格执行《危险废物转移管理办法》（生态环境部 公安部 交通运输部 部令 第23号），危险废物的转运必须填写“五联单”，且必须符合国家及黑龙江省对危险废物转运的相关规定；</w:t>
            </w:r>
          </w:p>
          <w:p w14:paraId="33CFE6EB">
            <w:p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C载有危险废物的车辆在公路上行驶时，需持有运输许可证，其上应注明废物来源、性质和运往地点。装载危险废物车辆的行驶路线须绕开人口密集的居民区和受保护的水体等环境保护目标。组织危险废物的运输单位，在事先需</w:t>
            </w:r>
            <w:r>
              <w:rPr>
                <w:rFonts w:hint="eastAsia" w:cs="Times New Roman"/>
                <w:bCs/>
                <w:color w:val="auto"/>
                <w:sz w:val="24"/>
                <w:highlight w:val="none"/>
                <w:lang w:val="en-US" w:eastAsia="zh-CN"/>
              </w:rPr>
              <w:t>做出</w:t>
            </w:r>
            <w:r>
              <w:rPr>
                <w:rFonts w:hint="default" w:ascii="Times New Roman" w:hAnsi="Times New Roman" w:eastAsia="宋体" w:cs="Times New Roman"/>
                <w:bCs/>
                <w:color w:val="auto"/>
                <w:sz w:val="24"/>
                <w:highlight w:val="none"/>
                <w:lang w:val="en-US" w:eastAsia="zh-CN"/>
              </w:rPr>
              <w:t>周密的运输计划和行驶路线，其中包括有效的废物</w:t>
            </w:r>
            <w:r>
              <w:rPr>
                <w:rFonts w:hint="eastAsia" w:cs="Times New Roman"/>
                <w:bCs/>
                <w:color w:val="auto"/>
                <w:sz w:val="24"/>
                <w:highlight w:val="none"/>
                <w:lang w:val="en-US" w:eastAsia="zh-CN"/>
              </w:rPr>
              <w:t>泄漏</w:t>
            </w:r>
            <w:r>
              <w:rPr>
                <w:rFonts w:hint="default" w:ascii="Times New Roman" w:hAnsi="Times New Roman" w:eastAsia="宋体" w:cs="Times New Roman"/>
                <w:bCs/>
                <w:color w:val="auto"/>
                <w:sz w:val="24"/>
                <w:highlight w:val="none"/>
                <w:lang w:val="en-US" w:eastAsia="zh-CN"/>
              </w:rPr>
              <w:t>情况下的应急措施</w:t>
            </w:r>
            <w:r>
              <w:rPr>
                <w:rFonts w:hint="eastAsia" w:cs="Times New Roman"/>
                <w:bCs/>
                <w:color w:val="auto"/>
                <w:sz w:val="24"/>
                <w:highlight w:val="none"/>
                <w:lang w:val="en-US" w:eastAsia="zh-CN"/>
              </w:rPr>
              <w:t>。</w:t>
            </w:r>
          </w:p>
          <w:p w14:paraId="6BD701DC">
            <w:pPr>
              <w:numPr>
                <w:ilvl w:val="0"/>
                <w:numId w:val="0"/>
              </w:numPr>
              <w:adjustRightInd w:val="0"/>
              <w:snapToGrid w:val="0"/>
              <w:spacing w:line="360" w:lineRule="auto"/>
              <w:ind w:firstLine="480" w:firstLineChars="200"/>
              <w:rPr>
                <w:rFonts w:hint="eastAsia" w:cs="Times New Roman"/>
                <w:bCs/>
                <w:color w:val="auto"/>
                <w:sz w:val="24"/>
                <w:highlight w:val="none"/>
                <w:lang w:val="en-US" w:eastAsia="zh-CN"/>
              </w:rPr>
            </w:pPr>
            <w:r>
              <w:rPr>
                <w:rFonts w:hint="eastAsia" w:cs="Times New Roman"/>
                <w:bCs/>
                <w:color w:val="auto"/>
                <w:sz w:val="24"/>
                <w:highlight w:val="none"/>
                <w:lang w:val="en-US" w:eastAsia="zh-CN"/>
              </w:rPr>
              <w:t>（3）环境影响分析</w:t>
            </w:r>
          </w:p>
          <w:p w14:paraId="59D1B244">
            <w:pPr>
              <w:numPr>
                <w:ilvl w:val="0"/>
                <w:numId w:val="0"/>
              </w:numPr>
              <w:adjustRightInd w:val="0"/>
              <w:snapToGrid w:val="0"/>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eastAsia" w:cs="Times New Roman"/>
                <w:snapToGrid w:val="0"/>
                <w:color w:val="auto"/>
                <w:kern w:val="0"/>
                <w:sz w:val="24"/>
                <w:szCs w:val="24"/>
                <w:highlight w:val="none"/>
                <w:lang w:val="en-US" w:eastAsia="zh-CN" w:bidi="ar-SA"/>
              </w:rPr>
              <w:t>综上</w:t>
            </w:r>
            <w:r>
              <w:rPr>
                <w:rFonts w:hint="eastAsia" w:ascii="Times New Roman" w:hAnsi="Times New Roman" w:eastAsia="宋体" w:cs="Times New Roman"/>
                <w:snapToGrid w:val="0"/>
                <w:color w:val="auto"/>
                <w:kern w:val="0"/>
                <w:sz w:val="24"/>
                <w:szCs w:val="24"/>
                <w:highlight w:val="none"/>
                <w:lang w:val="en-US" w:eastAsia="zh-CN" w:bidi="ar-SA"/>
              </w:rPr>
              <w:t>采取上述措施后，运营期产生的</w:t>
            </w:r>
            <w:r>
              <w:rPr>
                <w:rFonts w:hint="eastAsia" w:cs="Times New Roman"/>
                <w:snapToGrid w:val="0"/>
                <w:color w:val="auto"/>
                <w:kern w:val="0"/>
                <w:sz w:val="24"/>
                <w:szCs w:val="24"/>
                <w:highlight w:val="none"/>
                <w:lang w:val="en-US" w:eastAsia="zh-CN" w:bidi="ar-SA"/>
              </w:rPr>
              <w:t>一般固体废物全部</w:t>
            </w:r>
            <w:r>
              <w:rPr>
                <w:rFonts w:hint="eastAsia" w:ascii="Times New Roman" w:hAnsi="Times New Roman" w:eastAsia="宋体" w:cs="Times New Roman"/>
                <w:snapToGrid w:val="0"/>
                <w:color w:val="auto"/>
                <w:kern w:val="0"/>
                <w:sz w:val="24"/>
                <w:szCs w:val="24"/>
                <w:highlight w:val="none"/>
                <w:lang w:val="en-US" w:eastAsia="zh-CN" w:bidi="ar-SA"/>
              </w:rPr>
              <w:t>可以得到有效处理处置</w:t>
            </w:r>
            <w:r>
              <w:rPr>
                <w:rFonts w:hint="eastAsia" w:cs="Times New Roman"/>
                <w:snapToGrid w:val="0"/>
                <w:color w:val="auto"/>
                <w:kern w:val="0"/>
                <w:sz w:val="24"/>
                <w:szCs w:val="24"/>
                <w:highlight w:val="none"/>
                <w:lang w:val="en-US" w:eastAsia="zh-CN" w:bidi="ar-SA"/>
              </w:rPr>
              <w:t>不外排</w:t>
            </w:r>
            <w:r>
              <w:rPr>
                <w:rFonts w:hint="eastAsia" w:ascii="Times New Roman" w:hAnsi="Times New Roman" w:eastAsia="宋体" w:cs="Times New Roman"/>
                <w:snapToGrid w:val="0"/>
                <w:color w:val="auto"/>
                <w:kern w:val="0"/>
                <w:sz w:val="24"/>
                <w:szCs w:val="24"/>
                <w:highlight w:val="none"/>
                <w:lang w:val="en-US" w:eastAsia="zh-CN" w:bidi="ar-SA"/>
              </w:rPr>
              <w:t>，</w:t>
            </w:r>
            <w:r>
              <w:rPr>
                <w:rFonts w:hint="eastAsia" w:cs="Times New Roman"/>
                <w:snapToGrid w:val="0"/>
                <w:color w:val="auto"/>
                <w:kern w:val="0"/>
                <w:sz w:val="24"/>
                <w:szCs w:val="24"/>
                <w:highlight w:val="none"/>
                <w:lang w:val="en-US" w:eastAsia="zh-CN" w:bidi="ar-SA"/>
              </w:rPr>
              <w:t>产生的危险废物经严格环境管理要求后</w:t>
            </w:r>
            <w:r>
              <w:rPr>
                <w:rFonts w:hint="eastAsia" w:ascii="Times New Roman" w:hAnsi="Times New Roman" w:eastAsia="宋体" w:cs="Times New Roman"/>
                <w:snapToGrid w:val="0"/>
                <w:color w:val="auto"/>
                <w:kern w:val="0"/>
                <w:sz w:val="24"/>
                <w:szCs w:val="24"/>
                <w:highlight w:val="none"/>
                <w:lang w:val="en-US" w:eastAsia="zh-CN" w:bidi="ar-SA"/>
              </w:rPr>
              <w:t>不会对周边环境产生危害性影响。</w:t>
            </w:r>
            <w:r>
              <w:rPr>
                <w:rFonts w:hint="eastAsia" w:cs="Times New Roman"/>
                <w:snapToGrid w:val="0"/>
                <w:color w:val="auto"/>
                <w:kern w:val="0"/>
                <w:sz w:val="24"/>
                <w:szCs w:val="24"/>
                <w:highlight w:val="none"/>
                <w:lang w:val="en-US" w:eastAsia="zh-CN" w:bidi="ar-SA"/>
              </w:rPr>
              <w:t>项目固体废物对环境影响较小。</w:t>
            </w:r>
          </w:p>
          <w:p w14:paraId="2EEC96B1">
            <w:pPr>
              <w:spacing w:line="480" w:lineRule="exact"/>
              <w:rPr>
                <w:rFonts w:hint="default" w:ascii="Times New Roman" w:hAnsi="Times New Roman" w:eastAsia="宋体"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5</w:t>
            </w:r>
            <w:r>
              <w:rPr>
                <w:rFonts w:hint="default" w:ascii="Times New Roman" w:hAnsi="Times New Roman" w:cs="Times New Roman"/>
                <w:b/>
                <w:color w:val="auto"/>
                <w:sz w:val="24"/>
                <w:highlight w:val="none"/>
              </w:rPr>
              <w:t>、地下水</w:t>
            </w:r>
            <w:r>
              <w:rPr>
                <w:rFonts w:hint="eastAsia" w:cs="Times New Roman"/>
                <w:b/>
                <w:color w:val="auto"/>
                <w:sz w:val="24"/>
                <w:highlight w:val="none"/>
                <w:lang w:eastAsia="zh-CN"/>
              </w:rPr>
              <w:t>、</w:t>
            </w:r>
            <w:r>
              <w:rPr>
                <w:rFonts w:hint="eastAsia" w:cs="Times New Roman"/>
                <w:b/>
                <w:color w:val="auto"/>
                <w:sz w:val="24"/>
                <w:highlight w:val="none"/>
                <w:lang w:val="en-US" w:eastAsia="zh-CN"/>
              </w:rPr>
              <w:t>土壤</w:t>
            </w:r>
          </w:p>
          <w:p w14:paraId="054C7958">
            <w:pPr>
              <w:adjustRightInd w:val="0"/>
              <w:snapToGrid w:val="0"/>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根据《建设项目环境影响报告表编制技术指南(污染影响类)(试行)》</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本项目不涉及集中式饮用水水源和热水、矿泉水、温泉等特殊地下水资源保护区，可不开展地下水专项评价工作；土壤不开展专项评价工作。</w:t>
            </w:r>
          </w:p>
          <w:p w14:paraId="4286E1FC">
            <w:pPr>
              <w:adjustRightInd w:val="0"/>
              <w:snapToGrid w:val="0"/>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lang w:val="en-US"/>
              </w:rPr>
              <w:t>（1）</w:t>
            </w:r>
            <w:r>
              <w:rPr>
                <w:rFonts w:hint="default" w:ascii="Times New Roman" w:hAnsi="Times New Roman" w:cs="Times New Roman"/>
                <w:color w:val="auto"/>
                <w:sz w:val="24"/>
                <w:highlight w:val="none"/>
              </w:rPr>
              <w:t>污染源、污染途径</w:t>
            </w:r>
          </w:p>
          <w:p w14:paraId="0DF5ABF9">
            <w:pPr>
              <w:adjustRightInd w:val="0"/>
              <w:snapToGrid w:val="0"/>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本项目运营期废水主要为职工生活污水和厂区雨水。正常状况下，上述废水可做到无废水外排</w:t>
            </w:r>
            <w:r>
              <w:rPr>
                <w:rFonts w:hint="eastAsia" w:cs="Times New Roman"/>
                <w:color w:val="auto"/>
                <w:sz w:val="24"/>
                <w:highlight w:val="none"/>
                <w:lang w:eastAsia="zh-CN"/>
              </w:rPr>
              <w:t>，</w:t>
            </w:r>
            <w:r>
              <w:rPr>
                <w:rFonts w:hint="eastAsia" w:cs="Times New Roman"/>
                <w:color w:val="auto"/>
                <w:sz w:val="24"/>
                <w:highlight w:val="none"/>
                <w:lang w:val="en-US" w:eastAsia="zh-CN"/>
              </w:rPr>
              <w:t>不存在对地下水和土壤污染的途径</w:t>
            </w:r>
            <w:r>
              <w:rPr>
                <w:rFonts w:hint="default" w:ascii="Times New Roman" w:hAnsi="Times New Roman" w:cs="Times New Roman"/>
                <w:color w:val="auto"/>
                <w:sz w:val="24"/>
                <w:highlight w:val="none"/>
              </w:rPr>
              <w:t>。废水对地下水、土壤可能造成污染的主要途径为非正常状态</w:t>
            </w:r>
            <w:r>
              <w:rPr>
                <w:rFonts w:hint="eastAsia" w:cs="Times New Roman"/>
                <w:color w:val="auto"/>
                <w:sz w:val="24"/>
                <w:highlight w:val="none"/>
                <w:lang w:eastAsia="zh-CN"/>
              </w:rPr>
              <w:t>雨水收集池</w:t>
            </w:r>
            <w:r>
              <w:rPr>
                <w:rFonts w:hint="default" w:ascii="Times New Roman" w:hAnsi="Times New Roman" w:cs="Times New Roman"/>
                <w:color w:val="auto"/>
                <w:sz w:val="24"/>
                <w:highlight w:val="none"/>
              </w:rPr>
              <w:t>破损时发生的渗漏。</w:t>
            </w:r>
          </w:p>
          <w:p w14:paraId="38999383">
            <w:pPr>
              <w:adjustRightInd w:val="0"/>
              <w:snapToGrid w:val="0"/>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lang w:val="en-US"/>
              </w:rPr>
              <w:t>（</w:t>
            </w:r>
            <w:r>
              <w:rPr>
                <w:rFonts w:hint="eastAsia"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rPr>
              <w:t>）</w:t>
            </w:r>
            <w:r>
              <w:rPr>
                <w:rFonts w:hint="default" w:ascii="Times New Roman" w:hAnsi="Times New Roman" w:cs="Times New Roman"/>
                <w:color w:val="auto"/>
                <w:sz w:val="24"/>
                <w:highlight w:val="none"/>
              </w:rPr>
              <w:t>污染物类型</w:t>
            </w:r>
          </w:p>
          <w:p w14:paraId="0356CACA">
            <w:pPr>
              <w:adjustRightInd w:val="0"/>
              <w:snapToGrid w:val="0"/>
              <w:spacing w:line="480" w:lineRule="exact"/>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污染物通过土层垂直下渗首先经过表土，再进入包气带，在包气带污染物可以得到一定程度的净化，不能被净化或固定的污染物随入渗水进入地下水层。本项目废水污染物以有机物及悬浮物为主。</w:t>
            </w:r>
          </w:p>
          <w:p w14:paraId="71D626C6">
            <w:pPr>
              <w:adjustRightInd w:val="0"/>
              <w:snapToGrid w:val="0"/>
              <w:spacing w:line="480" w:lineRule="exact"/>
              <w:ind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rPr>
              <w:t>（</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rPr>
              <w:t>）</w:t>
            </w:r>
            <w:r>
              <w:rPr>
                <w:rFonts w:hint="eastAsia" w:ascii="Times New Roman" w:hAnsi="Times New Roman" w:eastAsia="宋体" w:cs="Times New Roman"/>
                <w:color w:val="auto"/>
                <w:sz w:val="24"/>
                <w:highlight w:val="none"/>
                <w:lang w:eastAsia="zh-CN"/>
              </w:rPr>
              <w:t>地下水、土壤环境保护措施</w:t>
            </w:r>
          </w:p>
          <w:p w14:paraId="2D944461">
            <w:pPr>
              <w:adjustRightInd w:val="0"/>
              <w:snapToGrid w:val="0"/>
              <w:spacing w:line="480" w:lineRule="exact"/>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①源头控制</w:t>
            </w:r>
          </w:p>
          <w:p w14:paraId="421712F7">
            <w:pPr>
              <w:adjustRightInd w:val="0"/>
              <w:snapToGrid w:val="0"/>
              <w:spacing w:line="480" w:lineRule="exact"/>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源头控制措施主要包括在</w:t>
            </w:r>
            <w:r>
              <w:rPr>
                <w:rFonts w:hint="eastAsia" w:cs="Times New Roman"/>
                <w:color w:val="auto"/>
                <w:sz w:val="24"/>
                <w:highlight w:val="none"/>
                <w:lang w:eastAsia="zh-CN"/>
              </w:rPr>
              <w:t>雨水收集池</w:t>
            </w:r>
            <w:r>
              <w:rPr>
                <w:rFonts w:hint="eastAsia" w:ascii="Times New Roman" w:hAnsi="Times New Roman" w:eastAsia="宋体" w:cs="Times New Roman"/>
                <w:color w:val="auto"/>
                <w:sz w:val="24"/>
                <w:highlight w:val="none"/>
                <w:lang w:eastAsia="zh-CN"/>
              </w:rPr>
              <w:t>等构筑物采取相应措施，降低污染物渗漏的环境风险。本项目车辆冲洗废水、生活污水、</w:t>
            </w:r>
            <w:r>
              <w:rPr>
                <w:rFonts w:hint="eastAsia" w:cs="Times New Roman"/>
                <w:color w:val="auto"/>
                <w:sz w:val="24"/>
                <w:highlight w:val="none"/>
                <w:lang w:eastAsia="zh-CN"/>
              </w:rPr>
              <w:t>径流雨水</w:t>
            </w:r>
            <w:r>
              <w:rPr>
                <w:rFonts w:hint="eastAsia" w:ascii="Times New Roman" w:hAnsi="Times New Roman" w:eastAsia="宋体" w:cs="Times New Roman"/>
                <w:color w:val="auto"/>
                <w:sz w:val="24"/>
                <w:highlight w:val="none"/>
                <w:lang w:eastAsia="zh-CN"/>
              </w:rPr>
              <w:t>可以做到全部回用，无废水外排，从源头上减少了废水的排放量。</w:t>
            </w:r>
          </w:p>
          <w:p w14:paraId="41128D24">
            <w:pPr>
              <w:adjustRightInd w:val="0"/>
              <w:snapToGrid w:val="0"/>
              <w:spacing w:line="480" w:lineRule="exact"/>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②分区防控</w:t>
            </w:r>
          </w:p>
          <w:p w14:paraId="496F7FCB">
            <w:pPr>
              <w:adjustRightInd w:val="0"/>
              <w:snapToGrid w:val="0"/>
              <w:spacing w:line="480" w:lineRule="exact"/>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根据建设项目场地天然包气带防污性能、污染控制难易程度和污染物特性，提出以下防渗技术要求。</w:t>
            </w:r>
          </w:p>
          <w:p w14:paraId="6572B11B">
            <w:pPr>
              <w:adjustRightInd w:val="0"/>
              <w:snapToGrid w:val="0"/>
              <w:jc w:val="center"/>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表4-</w:t>
            </w:r>
            <w:r>
              <w:rPr>
                <w:rFonts w:hint="eastAsia" w:cs="Times New Roman"/>
                <w:b/>
                <w:bCs/>
                <w:color w:val="auto"/>
                <w:kern w:val="2"/>
                <w:sz w:val="24"/>
                <w:szCs w:val="24"/>
                <w:highlight w:val="none"/>
                <w:lang w:val="en-US" w:eastAsia="zh-CN" w:bidi="ar-SA"/>
              </w:rPr>
              <w:t>9</w:t>
            </w:r>
            <w:r>
              <w:rPr>
                <w:rFonts w:hint="eastAsia" w:ascii="Times New Roman" w:hAnsi="Times New Roman" w:eastAsia="宋体" w:cs="Times New Roman"/>
                <w:b/>
                <w:bCs/>
                <w:color w:val="auto"/>
                <w:kern w:val="2"/>
                <w:sz w:val="24"/>
                <w:szCs w:val="24"/>
                <w:highlight w:val="none"/>
                <w:lang w:val="en-US" w:eastAsia="zh-CN" w:bidi="ar-SA"/>
              </w:rPr>
              <w:t xml:space="preserve"> 分区防控措施</w:t>
            </w:r>
          </w:p>
          <w:tbl>
            <w:tblPr>
              <w:tblStyle w:val="18"/>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550"/>
              <w:gridCol w:w="1284"/>
              <w:gridCol w:w="5263"/>
            </w:tblGrid>
            <w:tr w14:paraId="29E38F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0" w:type="dxa"/>
                  <w:tcBorders>
                    <w:tl2br w:val="nil"/>
                    <w:tr2bl w:val="nil"/>
                  </w:tcBorders>
                  <w:vAlign w:val="center"/>
                </w:tcPr>
                <w:p w14:paraId="7D03D757">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序号</w:t>
                  </w:r>
                </w:p>
              </w:tc>
              <w:tc>
                <w:tcPr>
                  <w:tcW w:w="1550" w:type="dxa"/>
                  <w:tcBorders>
                    <w:tl2br w:val="nil"/>
                    <w:tr2bl w:val="nil"/>
                  </w:tcBorders>
                  <w:vAlign w:val="center"/>
                </w:tcPr>
                <w:p w14:paraId="249E2FB8">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场地</w:t>
                  </w:r>
                </w:p>
              </w:tc>
              <w:tc>
                <w:tcPr>
                  <w:tcW w:w="1284" w:type="dxa"/>
                  <w:tcBorders>
                    <w:tl2br w:val="nil"/>
                    <w:tr2bl w:val="nil"/>
                  </w:tcBorders>
                  <w:vAlign w:val="center"/>
                </w:tcPr>
                <w:p w14:paraId="6BD9899E">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防渗分区</w:t>
                  </w:r>
                </w:p>
              </w:tc>
              <w:tc>
                <w:tcPr>
                  <w:tcW w:w="5263" w:type="dxa"/>
                  <w:tcBorders>
                    <w:tl2br w:val="nil"/>
                    <w:tr2bl w:val="nil"/>
                  </w:tcBorders>
                  <w:vAlign w:val="center"/>
                </w:tcPr>
                <w:p w14:paraId="42A14D3D">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防渗技术要求</w:t>
                  </w:r>
                </w:p>
              </w:tc>
            </w:tr>
            <w:tr w14:paraId="1F9D86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0" w:type="dxa"/>
                  <w:tcBorders>
                    <w:tl2br w:val="nil"/>
                    <w:tr2bl w:val="nil"/>
                  </w:tcBorders>
                  <w:vAlign w:val="center"/>
                </w:tcPr>
                <w:p w14:paraId="4E2CE620">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1</w:t>
                  </w:r>
                </w:p>
              </w:tc>
              <w:tc>
                <w:tcPr>
                  <w:tcW w:w="1550" w:type="dxa"/>
                  <w:tcBorders>
                    <w:tl2br w:val="nil"/>
                    <w:tr2bl w:val="nil"/>
                  </w:tcBorders>
                  <w:vAlign w:val="center"/>
                </w:tcPr>
                <w:p w14:paraId="5F8C4129">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厂内旱厕</w:t>
                  </w:r>
                </w:p>
              </w:tc>
              <w:tc>
                <w:tcPr>
                  <w:tcW w:w="1284" w:type="dxa"/>
                  <w:vMerge w:val="restart"/>
                  <w:tcBorders>
                    <w:tl2br w:val="nil"/>
                    <w:tr2bl w:val="nil"/>
                  </w:tcBorders>
                  <w:vAlign w:val="center"/>
                </w:tcPr>
                <w:p w14:paraId="6986C112">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一般防渗区</w:t>
                  </w:r>
                </w:p>
              </w:tc>
              <w:tc>
                <w:tcPr>
                  <w:tcW w:w="5263" w:type="dxa"/>
                  <w:vMerge w:val="restart"/>
                  <w:tcBorders>
                    <w:tl2br w:val="nil"/>
                    <w:tr2bl w:val="nil"/>
                  </w:tcBorders>
                  <w:vAlign w:val="center"/>
                </w:tcPr>
                <w:p w14:paraId="2A4B5260">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等效粘土防渗层Mb≥1.5m，K</w:t>
                  </w:r>
                  <w:r>
                    <w:rPr>
                      <w:rFonts w:hint="default" w:ascii="Times New Roman" w:hAnsi="Times New Roman" w:eastAsia="宋体" w:cs="Times New Roman"/>
                      <w:color w:val="auto"/>
                      <w:sz w:val="24"/>
                      <w:szCs w:val="28"/>
                      <w:highlight w:val="none"/>
                    </w:rPr>
                    <w:t>≤1.0×10</w:t>
                  </w:r>
                  <w:r>
                    <w:rPr>
                      <w:rFonts w:hint="default" w:ascii="Times New Roman" w:hAnsi="Times New Roman" w:eastAsia="宋体" w:cs="Times New Roman"/>
                      <w:color w:val="auto"/>
                      <w:sz w:val="24"/>
                      <w:szCs w:val="28"/>
                      <w:highlight w:val="none"/>
                      <w:vertAlign w:val="superscript"/>
                    </w:rPr>
                    <w:t>-</w:t>
                  </w:r>
                  <w:r>
                    <w:rPr>
                      <w:rFonts w:hint="eastAsia" w:ascii="Times New Roman" w:hAnsi="Times New Roman" w:cs="Times New Roman"/>
                      <w:color w:val="auto"/>
                      <w:sz w:val="24"/>
                      <w:szCs w:val="28"/>
                      <w:highlight w:val="none"/>
                      <w:vertAlign w:val="superscript"/>
                      <w:lang w:val="en-US" w:eastAsia="zh-CN"/>
                    </w:rPr>
                    <w:t>7</w:t>
                  </w:r>
                  <w:r>
                    <w:rPr>
                      <w:rFonts w:hint="default" w:ascii="Times New Roman" w:hAnsi="Times New Roman" w:eastAsia="宋体" w:cs="Times New Roman"/>
                      <w:color w:val="auto"/>
                      <w:sz w:val="24"/>
                      <w:szCs w:val="28"/>
                      <w:highlight w:val="none"/>
                    </w:rPr>
                    <w:t>cm/s</w:t>
                  </w:r>
                </w:p>
              </w:tc>
            </w:tr>
            <w:tr w14:paraId="353E40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0" w:type="dxa"/>
                  <w:tcBorders>
                    <w:tl2br w:val="nil"/>
                    <w:tr2bl w:val="nil"/>
                  </w:tcBorders>
                  <w:vAlign w:val="center"/>
                </w:tcPr>
                <w:p w14:paraId="61728024">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2</w:t>
                  </w:r>
                </w:p>
              </w:tc>
              <w:tc>
                <w:tcPr>
                  <w:tcW w:w="1550" w:type="dxa"/>
                  <w:tcBorders>
                    <w:tl2br w:val="nil"/>
                    <w:tr2bl w:val="nil"/>
                  </w:tcBorders>
                  <w:vAlign w:val="center"/>
                </w:tcPr>
                <w:p w14:paraId="5752CC82">
                  <w:pPr>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雨水收集池</w:t>
                  </w:r>
                </w:p>
              </w:tc>
              <w:tc>
                <w:tcPr>
                  <w:tcW w:w="1284" w:type="dxa"/>
                  <w:vMerge w:val="continue"/>
                  <w:tcBorders>
                    <w:tl2br w:val="nil"/>
                    <w:tr2bl w:val="nil"/>
                  </w:tcBorders>
                  <w:vAlign w:val="center"/>
                </w:tcPr>
                <w:p w14:paraId="069FFA4D">
                  <w:pPr>
                    <w:jc w:val="center"/>
                    <w:rPr>
                      <w:rFonts w:hint="default" w:ascii="Times New Roman" w:hAnsi="Times New Roman" w:eastAsia="宋体" w:cs="Times New Roman"/>
                      <w:bCs/>
                      <w:color w:val="auto"/>
                      <w:szCs w:val="21"/>
                      <w:highlight w:val="none"/>
                      <w:lang w:val="en-US" w:eastAsia="zh-CN"/>
                    </w:rPr>
                  </w:pPr>
                </w:p>
              </w:tc>
              <w:tc>
                <w:tcPr>
                  <w:tcW w:w="5263" w:type="dxa"/>
                  <w:vMerge w:val="continue"/>
                  <w:tcBorders>
                    <w:tl2br w:val="nil"/>
                    <w:tr2bl w:val="nil"/>
                  </w:tcBorders>
                  <w:vAlign w:val="center"/>
                </w:tcPr>
                <w:p w14:paraId="235FDC1C">
                  <w:pPr>
                    <w:jc w:val="center"/>
                    <w:rPr>
                      <w:rFonts w:hint="default" w:ascii="Times New Roman" w:hAnsi="Times New Roman" w:eastAsia="宋体" w:cs="Times New Roman"/>
                      <w:bCs/>
                      <w:color w:val="auto"/>
                      <w:szCs w:val="21"/>
                      <w:highlight w:val="none"/>
                      <w:lang w:val="en-US" w:eastAsia="zh-CN"/>
                    </w:rPr>
                  </w:pPr>
                </w:p>
              </w:tc>
            </w:tr>
            <w:tr w14:paraId="455521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0" w:type="dxa"/>
                  <w:tcBorders>
                    <w:tl2br w:val="nil"/>
                    <w:tr2bl w:val="nil"/>
                  </w:tcBorders>
                  <w:vAlign w:val="center"/>
                </w:tcPr>
                <w:p w14:paraId="52B14194">
                  <w:pPr>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3</w:t>
                  </w:r>
                </w:p>
              </w:tc>
              <w:tc>
                <w:tcPr>
                  <w:tcW w:w="1550" w:type="dxa"/>
                  <w:tcBorders>
                    <w:tl2br w:val="nil"/>
                    <w:tr2bl w:val="nil"/>
                  </w:tcBorders>
                  <w:vAlign w:val="center"/>
                </w:tcPr>
                <w:p w14:paraId="10E19E5B">
                  <w:pPr>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危险废物贮存点</w:t>
                  </w:r>
                </w:p>
              </w:tc>
              <w:tc>
                <w:tcPr>
                  <w:tcW w:w="1284" w:type="dxa"/>
                  <w:tcBorders>
                    <w:tl2br w:val="nil"/>
                    <w:tr2bl w:val="nil"/>
                  </w:tcBorders>
                  <w:vAlign w:val="center"/>
                </w:tcPr>
                <w:p w14:paraId="2750C03E">
                  <w:pPr>
                    <w:jc w:val="center"/>
                    <w:rPr>
                      <w:rFonts w:hint="default" w:ascii="Times New Roman" w:hAnsi="Times New Roman" w:eastAsia="宋体" w:cs="Times New Roman"/>
                      <w:bCs/>
                      <w:color w:val="auto"/>
                      <w:szCs w:val="21"/>
                      <w:highlight w:val="none"/>
                      <w:lang w:val="en-US" w:eastAsia="zh-CN"/>
                    </w:rPr>
                  </w:pPr>
                  <w:r>
                    <w:rPr>
                      <w:rFonts w:hint="eastAsia" w:ascii="Times New Roman" w:hAnsi="Times New Roman" w:eastAsia="宋体" w:cs="Times New Roman"/>
                      <w:bCs/>
                      <w:color w:val="auto"/>
                      <w:szCs w:val="21"/>
                      <w:highlight w:val="none"/>
                      <w:lang w:val="en-US" w:eastAsia="zh-CN"/>
                    </w:rPr>
                    <w:t>重点防渗区</w:t>
                  </w:r>
                </w:p>
              </w:tc>
              <w:tc>
                <w:tcPr>
                  <w:tcW w:w="5263" w:type="dxa"/>
                  <w:tcBorders>
                    <w:tl2br w:val="nil"/>
                    <w:tr2bl w:val="nil"/>
                  </w:tcBorders>
                  <w:vAlign w:val="center"/>
                </w:tcPr>
                <w:p w14:paraId="6F9DCC3E">
                  <w:pPr>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Cs w:val="21"/>
                      <w:highlight w:val="none"/>
                      <w:lang w:val="en-US" w:eastAsia="zh-CN"/>
                    </w:rPr>
                    <w:t>1m厚黏土层(渗透系数不大于10</w:t>
                  </w:r>
                  <w:r>
                    <w:rPr>
                      <w:rFonts w:hint="eastAsia" w:ascii="Times New Roman" w:hAnsi="Times New Roman" w:eastAsia="宋体" w:cs="Times New Roman"/>
                      <w:bCs/>
                      <w:color w:val="auto"/>
                      <w:szCs w:val="21"/>
                      <w:highlight w:val="none"/>
                      <w:vertAlign w:val="superscript"/>
                      <w:lang w:val="en-US" w:eastAsia="zh-CN"/>
                    </w:rPr>
                    <w:t>-7</w:t>
                  </w:r>
                  <w:r>
                    <w:rPr>
                      <w:rFonts w:hint="eastAsia" w:ascii="Times New Roman" w:hAnsi="Times New Roman" w:eastAsia="宋体" w:cs="Times New Roman"/>
                      <w:bCs/>
                      <w:color w:val="auto"/>
                      <w:szCs w:val="21"/>
                      <w:highlight w:val="none"/>
                      <w:lang w:val="en-US" w:eastAsia="zh-CN"/>
                    </w:rPr>
                    <w:t>cm/s)，或2mm厚高密度聚乙烯膜等人工防渗材料</w:t>
                  </w:r>
                  <w:r>
                    <w:rPr>
                      <w:rFonts w:hint="eastAsia" w:cs="Times New Roman"/>
                      <w:bCs/>
                      <w:color w:val="auto"/>
                      <w:szCs w:val="21"/>
                      <w:highlight w:val="none"/>
                      <w:lang w:val="en-US" w:eastAsia="zh-CN"/>
                    </w:rPr>
                    <w:t>，</w:t>
                  </w:r>
                  <w:r>
                    <w:rPr>
                      <w:rFonts w:hint="eastAsia" w:ascii="Times New Roman" w:hAnsi="Times New Roman" w:eastAsia="宋体" w:cs="Times New Roman"/>
                      <w:bCs/>
                      <w:color w:val="auto"/>
                      <w:szCs w:val="21"/>
                      <w:highlight w:val="none"/>
                      <w:lang w:val="en-US" w:eastAsia="zh-CN"/>
                    </w:rPr>
                    <w:t>渗透系数不大于10</w:t>
                  </w:r>
                  <w:r>
                    <w:rPr>
                      <w:rFonts w:hint="eastAsia" w:ascii="Times New Roman" w:hAnsi="Times New Roman" w:eastAsia="宋体" w:cs="Times New Roman"/>
                      <w:bCs/>
                      <w:color w:val="auto"/>
                      <w:szCs w:val="21"/>
                      <w:highlight w:val="none"/>
                      <w:vertAlign w:val="superscript"/>
                      <w:lang w:val="en-US" w:eastAsia="zh-CN"/>
                    </w:rPr>
                    <w:t>-10</w:t>
                  </w:r>
                  <w:r>
                    <w:rPr>
                      <w:rFonts w:hint="eastAsia" w:ascii="Times New Roman" w:hAnsi="Times New Roman" w:eastAsia="宋体" w:cs="Times New Roman"/>
                      <w:bCs/>
                      <w:color w:val="auto"/>
                      <w:szCs w:val="21"/>
                      <w:highlight w:val="none"/>
                      <w:lang w:val="en-US" w:eastAsia="zh-CN"/>
                    </w:rPr>
                    <w:t>cm/s)</w:t>
                  </w:r>
                </w:p>
              </w:tc>
            </w:tr>
            <w:tr w14:paraId="373931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80" w:type="dxa"/>
                  <w:tcBorders>
                    <w:tl2br w:val="nil"/>
                    <w:tr2bl w:val="nil"/>
                  </w:tcBorders>
                  <w:vAlign w:val="center"/>
                </w:tcPr>
                <w:p w14:paraId="1D79E142">
                  <w:pPr>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4</w:t>
                  </w:r>
                </w:p>
              </w:tc>
              <w:tc>
                <w:tcPr>
                  <w:tcW w:w="1550" w:type="dxa"/>
                  <w:tcBorders>
                    <w:tl2br w:val="nil"/>
                    <w:tr2bl w:val="nil"/>
                  </w:tcBorders>
                  <w:vAlign w:val="center"/>
                </w:tcPr>
                <w:p w14:paraId="5961EE58">
                  <w:pPr>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其他区域</w:t>
                  </w:r>
                </w:p>
              </w:tc>
              <w:tc>
                <w:tcPr>
                  <w:tcW w:w="1284" w:type="dxa"/>
                  <w:tcBorders>
                    <w:tl2br w:val="nil"/>
                    <w:tr2bl w:val="nil"/>
                  </w:tcBorders>
                  <w:vAlign w:val="center"/>
                </w:tcPr>
                <w:p w14:paraId="00BC8866">
                  <w:pPr>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简单防渗区</w:t>
                  </w:r>
                </w:p>
              </w:tc>
              <w:tc>
                <w:tcPr>
                  <w:tcW w:w="5263" w:type="dxa"/>
                  <w:tcBorders>
                    <w:tl2br w:val="nil"/>
                    <w:tr2bl w:val="nil"/>
                  </w:tcBorders>
                  <w:vAlign w:val="center"/>
                </w:tcPr>
                <w:p w14:paraId="08C18E12">
                  <w:pPr>
                    <w:jc w:val="center"/>
                    <w:rPr>
                      <w:rFonts w:hint="default" w:ascii="Times New Roman" w:hAnsi="Times New Roman" w:eastAsia="宋体" w:cs="Times New Roman"/>
                      <w:bCs/>
                      <w:color w:val="auto"/>
                      <w:szCs w:val="21"/>
                      <w:highlight w:val="none"/>
                      <w:lang w:val="en-US" w:eastAsia="zh-CN"/>
                    </w:rPr>
                  </w:pPr>
                  <w:r>
                    <w:rPr>
                      <w:rFonts w:hint="eastAsia" w:cs="Times New Roman"/>
                      <w:color w:val="auto"/>
                      <w:szCs w:val="21"/>
                      <w:highlight w:val="none"/>
                      <w:lang w:val="en-US" w:eastAsia="zh-CN"/>
                    </w:rPr>
                    <w:t>储煤场地面硬化，车辆进出口及主要通道使用水泥硬化</w:t>
                  </w:r>
                </w:p>
              </w:tc>
            </w:tr>
          </w:tbl>
          <w:p w14:paraId="1C7224E1">
            <w:pPr>
              <w:spacing w:line="480" w:lineRule="exact"/>
              <w:rPr>
                <w:rFonts w:hint="default" w:ascii="Times New Roman" w:hAnsi="Times New Roman" w:eastAsia="宋体" w:cs="Times New Roman"/>
                <w:b/>
                <w:color w:val="auto"/>
                <w:sz w:val="24"/>
                <w:highlight w:val="none"/>
                <w:lang w:val="en-US" w:eastAsia="zh-CN"/>
              </w:rPr>
            </w:pPr>
            <w:r>
              <w:rPr>
                <w:rFonts w:hint="eastAsia" w:ascii="Times New Roman" w:hAnsi="Times New Roman" w:eastAsia="宋体" w:cs="Times New Roman"/>
                <w:b/>
                <w:color w:val="auto"/>
                <w:sz w:val="24"/>
                <w:highlight w:val="none"/>
                <w:lang w:val="en-US" w:eastAsia="zh-CN"/>
              </w:rPr>
              <w:t>6</w:t>
            </w:r>
            <w:r>
              <w:rPr>
                <w:rFonts w:hint="eastAsia" w:cs="Times New Roman"/>
                <w:b/>
                <w:color w:val="auto"/>
                <w:sz w:val="24"/>
                <w:highlight w:val="none"/>
                <w:lang w:val="en-US" w:eastAsia="zh-CN"/>
              </w:rPr>
              <w:t>、生态影响</w:t>
            </w:r>
          </w:p>
          <w:p w14:paraId="4EBE84A8">
            <w:pPr>
              <w:spacing w:line="480" w:lineRule="exact"/>
              <w:ind w:firstLine="480" w:firstLineChars="200"/>
              <w:rPr>
                <w:rFonts w:hint="default" w:ascii="Times New Roman" w:hAnsi="Times New Roman" w:eastAsia="宋体" w:cs="Times New Roman"/>
                <w:b/>
                <w:color w:val="auto"/>
                <w:sz w:val="24"/>
                <w:highlight w:val="none"/>
                <w:lang w:val="en-US" w:eastAsia="zh-CN"/>
              </w:rPr>
            </w:pPr>
            <w:r>
              <w:rPr>
                <w:rFonts w:hint="eastAsia" w:cs="Times New Roman"/>
                <w:color w:val="auto"/>
                <w:sz w:val="24"/>
                <w:highlight w:val="none"/>
                <w:lang w:val="en-US" w:eastAsia="zh-CN"/>
              </w:rPr>
              <w:t>项目厂区面积9407平方米，</w:t>
            </w:r>
            <w:r>
              <w:rPr>
                <w:rFonts w:hint="eastAsia"/>
                <w:color w:val="auto"/>
                <w:kern w:val="0"/>
                <w:sz w:val="24"/>
                <w:highlight w:val="none"/>
                <w:lang w:val="en-US" w:eastAsia="zh-CN"/>
              </w:rPr>
              <w:t>项目土地为</w:t>
            </w:r>
            <w:r>
              <w:rPr>
                <w:rFonts w:hint="eastAsia"/>
                <w:color w:val="auto"/>
                <w:kern w:val="0"/>
                <w:sz w:val="24"/>
                <w:highlight w:val="none"/>
                <w:lang w:eastAsia="zh-CN"/>
              </w:rPr>
              <w:t>鸡西市城子河区广泰煤炭经销处</w:t>
            </w:r>
            <w:r>
              <w:rPr>
                <w:rFonts w:hint="eastAsia"/>
                <w:color w:val="auto"/>
                <w:kern w:val="0"/>
                <w:sz w:val="24"/>
                <w:highlight w:val="none"/>
                <w:lang w:val="en-US" w:eastAsia="zh-CN"/>
              </w:rPr>
              <w:t>所有，该地块占地为工业用地（附件2），</w:t>
            </w:r>
            <w:r>
              <w:rPr>
                <w:rFonts w:hint="eastAsia" w:cs="Times New Roman"/>
                <w:color w:val="auto"/>
                <w:sz w:val="24"/>
                <w:highlight w:val="none"/>
                <w:lang w:val="en-US" w:eastAsia="zh-CN"/>
              </w:rPr>
              <w:t>项目周边无生态保护目标，本地块仅用于煤炭的贮存、销售，项目</w:t>
            </w:r>
            <w:r>
              <w:rPr>
                <w:color w:val="auto"/>
                <w:sz w:val="24"/>
                <w:szCs w:val="21"/>
                <w:highlight w:val="none"/>
              </w:rPr>
              <w:t>运营过程中</w:t>
            </w:r>
            <w:r>
              <w:rPr>
                <w:rFonts w:hint="eastAsia"/>
                <w:color w:val="auto"/>
                <w:sz w:val="24"/>
                <w:szCs w:val="21"/>
                <w:highlight w:val="none"/>
                <w:lang w:val="en-US" w:eastAsia="zh-CN"/>
              </w:rPr>
              <w:t>仅产生少</w:t>
            </w:r>
            <w:r>
              <w:rPr>
                <w:rFonts w:hint="eastAsia" w:cs="Times New Roman"/>
                <w:color w:val="auto"/>
                <w:sz w:val="24"/>
                <w:highlight w:val="none"/>
                <w:lang w:val="en-US" w:eastAsia="zh-CN"/>
              </w:rPr>
              <w:t>量扬尘，煤炭堆场区域建设闭合防风抑尘网高3m、长120m，孔隙率50%与围墙形成闭合区域，在落实场内堆存煤炭使用绿网苫盖；定期洒水降尘等措施后，运营期间产生的扬尘对生态环境</w:t>
            </w:r>
            <w:r>
              <w:rPr>
                <w:color w:val="auto"/>
                <w:sz w:val="24"/>
                <w:szCs w:val="21"/>
                <w:highlight w:val="none"/>
              </w:rPr>
              <w:t>的影响很小</w:t>
            </w:r>
            <w:r>
              <w:rPr>
                <w:rFonts w:hint="eastAsia"/>
                <w:color w:val="auto"/>
                <w:sz w:val="24"/>
                <w:szCs w:val="21"/>
                <w:highlight w:val="none"/>
                <w:lang w:eastAsia="zh-CN"/>
              </w:rPr>
              <w:t>；</w:t>
            </w:r>
            <w:r>
              <w:rPr>
                <w:rFonts w:hint="eastAsia"/>
                <w:color w:val="auto"/>
                <w:sz w:val="24"/>
                <w:szCs w:val="21"/>
                <w:highlight w:val="none"/>
                <w:lang w:val="en-US" w:eastAsia="zh-CN"/>
              </w:rPr>
              <w:t>项目无生产废水产生，</w:t>
            </w:r>
            <w:r>
              <w:rPr>
                <w:rFonts w:hint="eastAsia" w:cs="Times New Roman"/>
                <w:color w:val="auto"/>
                <w:sz w:val="24"/>
                <w:highlight w:val="none"/>
                <w:lang w:val="en-US" w:eastAsia="zh-CN"/>
              </w:rPr>
              <w:t>生活污水经防渗旱厕处理后，由当地居民定期清掏用作农家肥；固体废物分类处理，对生态影响小；生产设备产生的噪声对生态环境的影响不大；综上，项目营运期污染物均得到有效处理和处置，对生态环境影响不大</w:t>
            </w:r>
          </w:p>
          <w:p w14:paraId="253E5DC0">
            <w:pPr>
              <w:spacing w:line="480" w:lineRule="exact"/>
              <w:rPr>
                <w:rFonts w:hint="default" w:ascii="Times New Roman" w:hAnsi="Times New Roman" w:eastAsia="宋体" w:cs="Times New Roman"/>
                <w:b/>
                <w:color w:val="auto"/>
                <w:sz w:val="24"/>
                <w:highlight w:val="none"/>
                <w:lang w:val="en-US" w:eastAsia="zh-CN"/>
              </w:rPr>
            </w:pPr>
            <w:r>
              <w:rPr>
                <w:rFonts w:hint="eastAsia" w:cs="Times New Roman"/>
                <w:b/>
                <w:color w:val="auto"/>
                <w:sz w:val="24"/>
                <w:highlight w:val="none"/>
                <w:lang w:val="en-US" w:eastAsia="zh-CN"/>
              </w:rPr>
              <w:t>7、</w:t>
            </w:r>
            <w:r>
              <w:rPr>
                <w:rFonts w:hint="default" w:ascii="Times New Roman" w:hAnsi="Times New Roman" w:eastAsia="宋体" w:cs="Times New Roman"/>
                <w:b/>
                <w:color w:val="auto"/>
                <w:sz w:val="24"/>
                <w:highlight w:val="none"/>
                <w:lang w:val="en-US" w:eastAsia="zh-CN"/>
              </w:rPr>
              <w:t>环境风险</w:t>
            </w:r>
          </w:p>
          <w:p w14:paraId="2385239E">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rPr>
              <w:t>（1）</w:t>
            </w:r>
            <w:r>
              <w:rPr>
                <w:rFonts w:hint="eastAsia" w:ascii="Times New Roman" w:hAnsi="Times New Roman" w:eastAsia="宋体" w:cs="Times New Roman"/>
                <w:color w:val="auto"/>
                <w:sz w:val="24"/>
                <w:highlight w:val="none"/>
                <w:lang w:val="en-US" w:eastAsia="zh-CN"/>
              </w:rPr>
              <w:t>环境风险识别</w:t>
            </w:r>
          </w:p>
          <w:p w14:paraId="1C8EA737">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rPr>
            </w:pPr>
            <w:r>
              <w:rPr>
                <w:rFonts w:hint="default" w:ascii="Times New Roman" w:hAnsi="Times New Roman" w:eastAsia="宋体" w:cs="Times New Roman"/>
                <w:color w:val="auto"/>
                <w:sz w:val="24"/>
                <w:highlight w:val="none"/>
                <w:lang w:val="en-US"/>
              </w:rPr>
              <w:t>依据《建设项目环境风险评价技术导则》（HJ169-2018）中的危险物质或危险化学品，对项目的环境风险物质进行判断，本项目风险物质主要</w:t>
            </w:r>
            <w:r>
              <w:rPr>
                <w:rFonts w:hint="eastAsia" w:ascii="Times New Roman" w:hAnsi="Times New Roman" w:eastAsia="宋体" w:cs="Times New Roman"/>
                <w:color w:val="auto"/>
                <w:sz w:val="24"/>
                <w:highlight w:val="none"/>
                <w:lang w:val="en-US" w:eastAsia="zh-CN"/>
              </w:rPr>
              <w:t>为废机油</w:t>
            </w:r>
            <w:r>
              <w:rPr>
                <w:rFonts w:hint="default" w:ascii="Times New Roman" w:hAnsi="Times New Roman" w:eastAsia="宋体" w:cs="Times New Roman"/>
                <w:color w:val="auto"/>
                <w:sz w:val="24"/>
                <w:highlight w:val="none"/>
                <w:lang w:val="en-US"/>
              </w:rPr>
              <w:t>。</w:t>
            </w:r>
          </w:p>
          <w:p w14:paraId="71201638">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（2）建设项目风险物质存储情况</w:t>
            </w:r>
          </w:p>
          <w:p w14:paraId="79DD5EDA">
            <w:pPr>
              <w:adjustRightInd w:val="0"/>
              <w:snapToGrid w:val="0"/>
              <w:spacing w:line="480" w:lineRule="exact"/>
              <w:ind w:firstLine="480" w:firstLineChars="200"/>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rPr>
              <w:t>根据《建设项目环境风险评价技术导则》（HJ 169-2018）附录B可知，本项目风险物质主要为</w:t>
            </w:r>
            <w:r>
              <w:rPr>
                <w:rFonts w:hint="eastAsia" w:ascii="Times New Roman" w:hAnsi="Times New Roman" w:eastAsia="宋体" w:cs="Times New Roman"/>
                <w:color w:val="auto"/>
                <w:sz w:val="24"/>
                <w:highlight w:val="none"/>
                <w:lang w:val="en-US" w:eastAsia="zh-CN"/>
              </w:rPr>
              <w:t>废机油，</w:t>
            </w:r>
            <w:r>
              <w:rPr>
                <w:rFonts w:hint="eastAsia" w:hAnsi="宋体"/>
                <w:color w:val="auto"/>
                <w:sz w:val="24"/>
                <w:szCs w:val="24"/>
                <w:highlight w:val="none"/>
                <w:lang w:val="en-US" w:eastAsia="zh-CN"/>
              </w:rPr>
              <w:t>产生的废机油暂存在厂区内危险废物贮存点</w:t>
            </w:r>
            <w:r>
              <w:rPr>
                <w:rFonts w:hint="eastAsia" w:ascii="Times New Roman" w:hAnsi="Times New Roman" w:eastAsia="宋体" w:cs="Times New Roman"/>
                <w:color w:val="auto"/>
                <w:sz w:val="24"/>
                <w:highlight w:val="none"/>
                <w:lang w:val="en-US" w:eastAsia="zh-CN"/>
              </w:rPr>
              <w:t>内最大储存量100L</w:t>
            </w:r>
            <w:r>
              <w:rPr>
                <w:rFonts w:hint="eastAsia" w:hAnsi="宋体"/>
                <w:color w:val="auto"/>
                <w:sz w:val="24"/>
                <w:szCs w:val="24"/>
                <w:highlight w:val="none"/>
                <w:lang w:val="en-US" w:eastAsia="zh-CN"/>
              </w:rPr>
              <w:t>。</w:t>
            </w:r>
          </w:p>
          <w:p w14:paraId="0EFFBDC5">
            <w:pPr>
              <w:adjustRightInd w:val="0"/>
              <w:snapToGrid w:val="0"/>
              <w:jc w:val="center"/>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表4-1</w:t>
            </w:r>
            <w:r>
              <w:rPr>
                <w:rFonts w:hint="eastAsia" w:cs="Times New Roman"/>
                <w:b/>
                <w:bCs/>
                <w:color w:val="auto"/>
                <w:kern w:val="2"/>
                <w:sz w:val="24"/>
                <w:szCs w:val="24"/>
                <w:highlight w:val="none"/>
                <w:lang w:val="en-US" w:eastAsia="zh-CN" w:bidi="ar-SA"/>
              </w:rPr>
              <w:t>0</w:t>
            </w:r>
            <w:r>
              <w:rPr>
                <w:rFonts w:hint="eastAsia" w:ascii="Times New Roman" w:hAnsi="Times New Roman" w:eastAsia="宋体" w:cs="Times New Roman"/>
                <w:b/>
                <w:bCs/>
                <w:color w:val="auto"/>
                <w:kern w:val="2"/>
                <w:sz w:val="24"/>
                <w:szCs w:val="24"/>
                <w:highlight w:val="none"/>
                <w:lang w:val="en-US" w:eastAsia="zh-CN" w:bidi="ar-SA"/>
              </w:rPr>
              <w:t xml:space="preserve">  环境风险物质统计表</w:t>
            </w:r>
          </w:p>
          <w:tbl>
            <w:tblPr>
              <w:tblStyle w:val="17"/>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59"/>
              <w:gridCol w:w="3452"/>
              <w:gridCol w:w="1112"/>
              <w:gridCol w:w="1581"/>
              <w:gridCol w:w="1282"/>
              <w:gridCol w:w="796"/>
            </w:tblGrid>
            <w:tr w14:paraId="3E9070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318" w:type="pct"/>
                  <w:noWrap w:val="0"/>
                  <w:vAlign w:val="center"/>
                </w:tcPr>
                <w:p w14:paraId="0D95DEBC">
                  <w:pPr>
                    <w:jc w:val="center"/>
                    <w:rPr>
                      <w:rFonts w:hint="eastAsia" w:cs="Times New Roman"/>
                      <w:bCs/>
                      <w:color w:val="auto"/>
                      <w:szCs w:val="21"/>
                      <w:highlight w:val="none"/>
                      <w:lang w:val="en-US" w:eastAsia="zh-CN"/>
                    </w:rPr>
                  </w:pPr>
                  <w:r>
                    <w:rPr>
                      <w:rFonts w:hint="eastAsia" w:cs="Times New Roman"/>
                      <w:bCs/>
                      <w:color w:val="auto"/>
                      <w:szCs w:val="21"/>
                      <w:highlight w:val="none"/>
                      <w:lang w:val="en-US" w:eastAsia="zh-CN"/>
                    </w:rPr>
                    <w:t>序号</w:t>
                  </w:r>
                </w:p>
              </w:tc>
              <w:tc>
                <w:tcPr>
                  <w:tcW w:w="1965" w:type="pct"/>
                  <w:noWrap w:val="0"/>
                  <w:vAlign w:val="center"/>
                </w:tcPr>
                <w:p w14:paraId="0B171659">
                  <w:pPr>
                    <w:jc w:val="center"/>
                    <w:rPr>
                      <w:rFonts w:hint="eastAsia" w:cs="Times New Roman"/>
                      <w:bCs/>
                      <w:color w:val="auto"/>
                      <w:szCs w:val="21"/>
                      <w:highlight w:val="none"/>
                      <w:lang w:val="en-US" w:eastAsia="zh-CN"/>
                    </w:rPr>
                  </w:pPr>
                  <w:r>
                    <w:rPr>
                      <w:rFonts w:hint="eastAsia" w:cs="Times New Roman"/>
                      <w:bCs/>
                      <w:color w:val="auto"/>
                      <w:szCs w:val="21"/>
                      <w:highlight w:val="none"/>
                      <w:lang w:val="en-US" w:eastAsia="zh-CN"/>
                    </w:rPr>
                    <w:t>危险物质</w:t>
                  </w:r>
                </w:p>
              </w:tc>
              <w:tc>
                <w:tcPr>
                  <w:tcW w:w="633" w:type="pct"/>
                  <w:noWrap w:val="0"/>
                  <w:vAlign w:val="center"/>
                </w:tcPr>
                <w:p w14:paraId="19BB5E22">
                  <w:pPr>
                    <w:jc w:val="center"/>
                    <w:rPr>
                      <w:rFonts w:hint="eastAsia" w:cs="Times New Roman"/>
                      <w:bCs/>
                      <w:color w:val="auto"/>
                      <w:szCs w:val="21"/>
                      <w:highlight w:val="none"/>
                      <w:lang w:val="en-US" w:eastAsia="zh-CN"/>
                    </w:rPr>
                  </w:pPr>
                  <w:r>
                    <w:rPr>
                      <w:rFonts w:hint="eastAsia" w:cs="Times New Roman"/>
                      <w:bCs/>
                      <w:color w:val="auto"/>
                      <w:szCs w:val="21"/>
                      <w:highlight w:val="none"/>
                      <w:lang w:val="en-US" w:eastAsia="zh-CN"/>
                    </w:rPr>
                    <w:t>CAS号</w:t>
                  </w:r>
                </w:p>
              </w:tc>
              <w:tc>
                <w:tcPr>
                  <w:tcW w:w="900" w:type="pct"/>
                  <w:noWrap w:val="0"/>
                  <w:vAlign w:val="center"/>
                </w:tcPr>
                <w:p w14:paraId="08003D26">
                  <w:pPr>
                    <w:jc w:val="center"/>
                    <w:rPr>
                      <w:rFonts w:hint="eastAsia" w:cs="Times New Roman"/>
                      <w:bCs/>
                      <w:color w:val="auto"/>
                      <w:szCs w:val="21"/>
                      <w:highlight w:val="none"/>
                      <w:lang w:val="en-US" w:eastAsia="zh-CN"/>
                    </w:rPr>
                  </w:pPr>
                  <w:r>
                    <w:rPr>
                      <w:rFonts w:hint="eastAsia" w:cs="Times New Roman"/>
                      <w:bCs/>
                      <w:color w:val="auto"/>
                      <w:szCs w:val="21"/>
                      <w:highlight w:val="none"/>
                      <w:lang w:val="en-US" w:eastAsia="zh-CN"/>
                    </w:rPr>
                    <w:t>最大储存量（t）</w:t>
                  </w:r>
                </w:p>
              </w:tc>
              <w:tc>
                <w:tcPr>
                  <w:tcW w:w="729" w:type="pct"/>
                  <w:noWrap w:val="0"/>
                  <w:vAlign w:val="center"/>
                </w:tcPr>
                <w:p w14:paraId="015E1993">
                  <w:pPr>
                    <w:jc w:val="center"/>
                    <w:rPr>
                      <w:rFonts w:hint="eastAsia" w:cs="Times New Roman"/>
                      <w:bCs/>
                      <w:color w:val="auto"/>
                      <w:szCs w:val="21"/>
                      <w:highlight w:val="none"/>
                      <w:lang w:val="en-US" w:eastAsia="zh-CN"/>
                    </w:rPr>
                  </w:pPr>
                  <w:r>
                    <w:rPr>
                      <w:rFonts w:hint="eastAsia" w:cs="Times New Roman"/>
                      <w:bCs/>
                      <w:color w:val="auto"/>
                      <w:szCs w:val="21"/>
                      <w:highlight w:val="none"/>
                      <w:lang w:val="en-US" w:eastAsia="zh-CN"/>
                    </w:rPr>
                    <w:t>临界量（t）</w:t>
                  </w:r>
                </w:p>
              </w:tc>
              <w:tc>
                <w:tcPr>
                  <w:tcW w:w="453" w:type="pct"/>
                  <w:noWrap w:val="0"/>
                  <w:vAlign w:val="center"/>
                </w:tcPr>
                <w:p w14:paraId="1ECF7129">
                  <w:pPr>
                    <w:jc w:val="center"/>
                    <w:rPr>
                      <w:rFonts w:hint="eastAsia" w:cs="Times New Roman"/>
                      <w:bCs/>
                      <w:color w:val="auto"/>
                      <w:szCs w:val="21"/>
                      <w:highlight w:val="none"/>
                      <w:lang w:val="en-US" w:eastAsia="zh-CN"/>
                    </w:rPr>
                  </w:pPr>
                  <w:r>
                    <w:rPr>
                      <w:rFonts w:hint="eastAsia" w:cs="Times New Roman"/>
                      <w:bCs/>
                      <w:color w:val="auto"/>
                      <w:szCs w:val="21"/>
                      <w:highlight w:val="none"/>
                      <w:lang w:val="en-US" w:eastAsia="zh-CN"/>
                    </w:rPr>
                    <w:t>q值</w:t>
                  </w:r>
                </w:p>
              </w:tc>
            </w:tr>
            <w:tr w14:paraId="56A422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318" w:type="pct"/>
                  <w:noWrap w:val="0"/>
                  <w:vAlign w:val="center"/>
                </w:tcPr>
                <w:p w14:paraId="069919B2">
                  <w:pPr>
                    <w:jc w:val="center"/>
                    <w:rPr>
                      <w:rFonts w:hint="eastAsia" w:cs="Times New Roman"/>
                      <w:bCs/>
                      <w:color w:val="auto"/>
                      <w:szCs w:val="21"/>
                      <w:highlight w:val="none"/>
                      <w:lang w:val="en-US" w:eastAsia="zh-CN"/>
                    </w:rPr>
                  </w:pPr>
                  <w:r>
                    <w:rPr>
                      <w:rFonts w:hint="eastAsia" w:cs="Times New Roman"/>
                      <w:bCs/>
                      <w:color w:val="auto"/>
                      <w:szCs w:val="21"/>
                      <w:highlight w:val="none"/>
                      <w:lang w:val="en-US" w:eastAsia="zh-CN"/>
                    </w:rPr>
                    <w:t>1</w:t>
                  </w:r>
                </w:p>
              </w:tc>
              <w:tc>
                <w:tcPr>
                  <w:tcW w:w="1965" w:type="pct"/>
                  <w:noWrap w:val="0"/>
                  <w:vAlign w:val="center"/>
                </w:tcPr>
                <w:p w14:paraId="4FA29A00">
                  <w:pPr>
                    <w:jc w:val="center"/>
                    <w:rPr>
                      <w:rFonts w:hint="eastAsia" w:cs="Times New Roman"/>
                      <w:bCs/>
                      <w:color w:val="auto"/>
                      <w:szCs w:val="21"/>
                      <w:highlight w:val="none"/>
                      <w:lang w:val="en-US" w:eastAsia="zh-CN"/>
                    </w:rPr>
                  </w:pPr>
                  <w:r>
                    <w:rPr>
                      <w:rFonts w:hint="eastAsia" w:cs="Times New Roman"/>
                      <w:bCs/>
                      <w:color w:val="auto"/>
                      <w:szCs w:val="21"/>
                      <w:highlight w:val="none"/>
                      <w:lang w:val="en-US" w:eastAsia="zh-CN"/>
                    </w:rPr>
                    <w:t>油类物质（矿物油类，如石油、汽油、柴油；生物柴油等）</w:t>
                  </w:r>
                </w:p>
              </w:tc>
              <w:tc>
                <w:tcPr>
                  <w:tcW w:w="633" w:type="pct"/>
                  <w:noWrap w:val="0"/>
                  <w:vAlign w:val="center"/>
                </w:tcPr>
                <w:p w14:paraId="64879D03">
                  <w:pPr>
                    <w:jc w:val="center"/>
                    <w:rPr>
                      <w:rFonts w:hint="eastAsia" w:cs="Times New Roman"/>
                      <w:bCs/>
                      <w:color w:val="auto"/>
                      <w:szCs w:val="21"/>
                      <w:highlight w:val="none"/>
                      <w:lang w:val="en-US" w:eastAsia="zh-CN"/>
                    </w:rPr>
                  </w:pPr>
                  <w:r>
                    <w:rPr>
                      <w:rFonts w:hint="eastAsia" w:cs="Times New Roman"/>
                      <w:bCs/>
                      <w:color w:val="auto"/>
                      <w:szCs w:val="21"/>
                      <w:highlight w:val="none"/>
                      <w:lang w:val="en-US" w:eastAsia="zh-CN"/>
                    </w:rPr>
                    <w:t>/</w:t>
                  </w:r>
                </w:p>
              </w:tc>
              <w:tc>
                <w:tcPr>
                  <w:tcW w:w="900" w:type="pct"/>
                  <w:noWrap w:val="0"/>
                  <w:vAlign w:val="center"/>
                </w:tcPr>
                <w:p w14:paraId="500A56A6">
                  <w:pPr>
                    <w:jc w:val="center"/>
                    <w:rPr>
                      <w:rFonts w:hint="default" w:cs="Times New Roman"/>
                      <w:bCs/>
                      <w:color w:val="auto"/>
                      <w:szCs w:val="21"/>
                      <w:highlight w:val="none"/>
                      <w:lang w:val="en-US" w:eastAsia="zh-CN"/>
                    </w:rPr>
                  </w:pPr>
                  <w:r>
                    <w:rPr>
                      <w:rFonts w:hint="eastAsia" w:cs="Times New Roman"/>
                      <w:bCs/>
                      <w:color w:val="auto"/>
                      <w:szCs w:val="21"/>
                      <w:highlight w:val="none"/>
                      <w:lang w:val="en-US" w:eastAsia="zh-CN"/>
                    </w:rPr>
                    <w:t>0.02</w:t>
                  </w:r>
                </w:p>
              </w:tc>
              <w:tc>
                <w:tcPr>
                  <w:tcW w:w="729" w:type="pct"/>
                  <w:noWrap w:val="0"/>
                  <w:vAlign w:val="center"/>
                </w:tcPr>
                <w:p w14:paraId="568A2ACC">
                  <w:pPr>
                    <w:jc w:val="center"/>
                    <w:rPr>
                      <w:rFonts w:hint="eastAsia" w:cs="Times New Roman"/>
                      <w:bCs/>
                      <w:color w:val="auto"/>
                      <w:szCs w:val="21"/>
                      <w:highlight w:val="none"/>
                      <w:lang w:val="en-US" w:eastAsia="zh-CN"/>
                    </w:rPr>
                  </w:pPr>
                  <w:r>
                    <w:rPr>
                      <w:rFonts w:hint="eastAsia" w:cs="Times New Roman"/>
                      <w:bCs/>
                      <w:color w:val="auto"/>
                      <w:szCs w:val="21"/>
                      <w:highlight w:val="none"/>
                      <w:lang w:val="en-US" w:eastAsia="zh-CN"/>
                    </w:rPr>
                    <w:t>2500</w:t>
                  </w:r>
                </w:p>
              </w:tc>
              <w:tc>
                <w:tcPr>
                  <w:tcW w:w="453" w:type="pct"/>
                  <w:noWrap w:val="0"/>
                  <w:vAlign w:val="center"/>
                </w:tcPr>
                <w:p w14:paraId="69BA6F6E">
                  <w:pPr>
                    <w:jc w:val="center"/>
                    <w:rPr>
                      <w:rFonts w:hint="default" w:cs="Times New Roman"/>
                      <w:bCs/>
                      <w:color w:val="auto"/>
                      <w:szCs w:val="21"/>
                      <w:highlight w:val="none"/>
                      <w:lang w:val="en-US" w:eastAsia="zh-CN"/>
                    </w:rPr>
                  </w:pPr>
                  <w:r>
                    <w:rPr>
                      <w:rFonts w:hint="eastAsia" w:cs="Times New Roman"/>
                      <w:bCs/>
                      <w:color w:val="auto"/>
                      <w:szCs w:val="21"/>
                      <w:highlight w:val="none"/>
                      <w:lang w:val="en-US" w:eastAsia="zh-CN"/>
                    </w:rPr>
                    <w:t>8</w:t>
                  </w:r>
                  <w:r>
                    <w:rPr>
                      <w:rFonts w:hint="default" w:ascii="Arial" w:hAnsi="Arial" w:cs="Arial"/>
                      <w:bCs/>
                      <w:color w:val="auto"/>
                      <w:szCs w:val="21"/>
                      <w:highlight w:val="none"/>
                      <w:lang w:val="en-US" w:eastAsia="zh-CN"/>
                    </w:rPr>
                    <w:t>×</w:t>
                  </w:r>
                  <w:r>
                    <w:rPr>
                      <w:rFonts w:hint="eastAsia" w:cs="Times New Roman"/>
                      <w:bCs/>
                      <w:color w:val="auto"/>
                      <w:szCs w:val="21"/>
                      <w:highlight w:val="none"/>
                      <w:lang w:val="en-US" w:eastAsia="zh-CN"/>
                    </w:rPr>
                    <w:t>10</w:t>
                  </w:r>
                  <w:r>
                    <w:rPr>
                      <w:rFonts w:hint="eastAsia" w:cs="Times New Roman"/>
                      <w:bCs/>
                      <w:color w:val="auto"/>
                      <w:szCs w:val="21"/>
                      <w:highlight w:val="none"/>
                      <w:vertAlign w:val="superscript"/>
                      <w:lang w:val="en-US" w:eastAsia="zh-CN"/>
                    </w:rPr>
                    <w:t>-6</w:t>
                  </w:r>
                </w:p>
              </w:tc>
            </w:tr>
            <w:tr w14:paraId="5B2958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546" w:type="pct"/>
                  <w:gridSpan w:val="5"/>
                  <w:noWrap w:val="0"/>
                  <w:vAlign w:val="center"/>
                </w:tcPr>
                <w:p w14:paraId="5767805A">
                  <w:pPr>
                    <w:jc w:val="center"/>
                    <w:rPr>
                      <w:rFonts w:hint="eastAsia" w:cs="Times New Roman"/>
                      <w:bCs/>
                      <w:color w:val="auto"/>
                      <w:szCs w:val="21"/>
                      <w:highlight w:val="none"/>
                      <w:lang w:val="en-US" w:eastAsia="zh-CN"/>
                    </w:rPr>
                  </w:pPr>
                  <w:r>
                    <w:rPr>
                      <w:rFonts w:hint="eastAsia" w:cs="Times New Roman"/>
                      <w:bCs/>
                      <w:color w:val="auto"/>
                      <w:szCs w:val="21"/>
                      <w:highlight w:val="none"/>
                      <w:lang w:val="en-US" w:eastAsia="zh-CN"/>
                    </w:rPr>
                    <w:t>合计</w:t>
                  </w:r>
                </w:p>
              </w:tc>
              <w:tc>
                <w:tcPr>
                  <w:tcW w:w="453" w:type="pct"/>
                  <w:noWrap w:val="0"/>
                  <w:vAlign w:val="center"/>
                </w:tcPr>
                <w:p w14:paraId="70092BF5">
                  <w:pPr>
                    <w:jc w:val="center"/>
                    <w:rPr>
                      <w:rFonts w:hint="eastAsia" w:cs="Times New Roman"/>
                      <w:bCs/>
                      <w:color w:val="auto"/>
                      <w:szCs w:val="21"/>
                      <w:highlight w:val="none"/>
                      <w:lang w:val="en-US" w:eastAsia="zh-CN"/>
                    </w:rPr>
                  </w:pPr>
                  <w:r>
                    <w:rPr>
                      <w:rFonts w:hint="eastAsia" w:cs="Times New Roman"/>
                      <w:bCs/>
                      <w:color w:val="auto"/>
                      <w:szCs w:val="21"/>
                      <w:highlight w:val="none"/>
                      <w:lang w:val="en-US" w:eastAsia="zh-CN"/>
                    </w:rPr>
                    <w:t>8</w:t>
                  </w:r>
                  <w:r>
                    <w:rPr>
                      <w:rFonts w:hint="default" w:ascii="Arial" w:hAnsi="Arial" w:cs="Arial"/>
                      <w:bCs/>
                      <w:color w:val="auto"/>
                      <w:szCs w:val="21"/>
                      <w:highlight w:val="none"/>
                      <w:lang w:val="en-US" w:eastAsia="zh-CN"/>
                    </w:rPr>
                    <w:t>×</w:t>
                  </w:r>
                  <w:r>
                    <w:rPr>
                      <w:rFonts w:hint="eastAsia" w:cs="Times New Roman"/>
                      <w:bCs/>
                      <w:color w:val="auto"/>
                      <w:szCs w:val="21"/>
                      <w:highlight w:val="none"/>
                      <w:lang w:val="en-US" w:eastAsia="zh-CN"/>
                    </w:rPr>
                    <w:t>10</w:t>
                  </w:r>
                  <w:r>
                    <w:rPr>
                      <w:rFonts w:hint="eastAsia" w:cs="Times New Roman"/>
                      <w:bCs/>
                      <w:color w:val="auto"/>
                      <w:szCs w:val="21"/>
                      <w:highlight w:val="none"/>
                      <w:vertAlign w:val="superscript"/>
                      <w:lang w:val="en-US" w:eastAsia="zh-CN"/>
                    </w:rPr>
                    <w:t>-6</w:t>
                  </w:r>
                </w:p>
              </w:tc>
            </w:tr>
          </w:tbl>
          <w:p w14:paraId="2A81DC4A">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（3）环境风险影响分析</w:t>
            </w:r>
          </w:p>
          <w:p w14:paraId="4B07F906">
            <w:pPr>
              <w:adjustRightInd w:val="0"/>
              <w:snapToGrid w:val="0"/>
              <w:spacing w:line="480" w:lineRule="exact"/>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rPr>
              <w:t>本项目选址不涉及环境敏感区，不存在重大危险源，风险水平值较低。项目运营期存在一定潜在的环境风险事故，主要为</w:t>
            </w:r>
            <w:r>
              <w:rPr>
                <w:rFonts w:hint="eastAsia" w:ascii="Times New Roman" w:hAnsi="Times New Roman" w:eastAsia="宋体" w:cs="Times New Roman"/>
                <w:color w:val="auto"/>
                <w:sz w:val="24"/>
                <w:highlight w:val="none"/>
                <w:lang w:val="en-US" w:eastAsia="zh-CN"/>
              </w:rPr>
              <w:t>废机油</w:t>
            </w:r>
            <w:r>
              <w:rPr>
                <w:rFonts w:hint="eastAsia" w:cs="Times New Roman"/>
                <w:color w:val="auto"/>
                <w:sz w:val="24"/>
                <w:highlight w:val="none"/>
                <w:lang w:val="en-US" w:eastAsia="zh-CN"/>
              </w:rPr>
              <w:t>泄漏</w:t>
            </w:r>
            <w:r>
              <w:rPr>
                <w:rFonts w:hint="eastAsia" w:ascii="Times New Roman" w:hAnsi="Times New Roman" w:eastAsia="宋体" w:cs="Times New Roman"/>
                <w:color w:val="auto"/>
                <w:sz w:val="24"/>
                <w:highlight w:val="none"/>
                <w:lang w:val="en-US" w:eastAsia="zh-CN"/>
              </w:rPr>
              <w:t>对土壤、地下水造成污染</w:t>
            </w:r>
            <w:r>
              <w:rPr>
                <w:rFonts w:hint="eastAsia" w:ascii="Times New Roman" w:hAnsi="Times New Roman" w:eastAsia="宋体" w:cs="Times New Roman"/>
                <w:color w:val="auto"/>
                <w:sz w:val="24"/>
                <w:highlight w:val="none"/>
                <w:lang w:val="en-US"/>
              </w:rPr>
              <w:t>。</w:t>
            </w:r>
            <w:r>
              <w:rPr>
                <w:rFonts w:hint="eastAsia" w:ascii="Times New Roman" w:hAnsi="Times New Roman" w:eastAsia="宋体" w:cs="Times New Roman"/>
                <w:color w:val="auto"/>
                <w:sz w:val="24"/>
                <w:highlight w:val="none"/>
                <w:lang w:val="en-US" w:eastAsia="zh-CN"/>
              </w:rPr>
              <w:t>废机油储存</w:t>
            </w:r>
            <w:r>
              <w:rPr>
                <w:rFonts w:hint="eastAsia" w:cs="Times New Roman"/>
                <w:color w:val="auto"/>
                <w:sz w:val="24"/>
                <w:highlight w:val="none"/>
                <w:lang w:val="en-US" w:eastAsia="zh-CN"/>
              </w:rPr>
              <w:t>在危险废物贮存点</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危险废物贮存点</w:t>
            </w:r>
            <w:r>
              <w:rPr>
                <w:rFonts w:hint="eastAsia" w:ascii="Times New Roman" w:hAnsi="Times New Roman" w:eastAsia="宋体" w:cs="Times New Roman"/>
                <w:color w:val="auto"/>
                <w:sz w:val="24"/>
                <w:highlight w:val="none"/>
                <w:lang w:val="en-US" w:eastAsia="zh-CN"/>
              </w:rPr>
              <w:t>内地面硬化，</w:t>
            </w:r>
            <w:r>
              <w:rPr>
                <w:rFonts w:hint="default" w:ascii="Times New Roman" w:hAnsi="Times New Roman" w:eastAsia="宋体" w:cs="Times New Roman"/>
                <w:color w:val="auto"/>
                <w:sz w:val="24"/>
                <w:highlight w:val="none"/>
                <w:lang w:val="en-US"/>
              </w:rPr>
              <w:t>防渗性能</w:t>
            </w:r>
            <w:r>
              <w:rPr>
                <w:rFonts w:hint="eastAsia" w:cs="Times New Roman"/>
                <w:color w:val="auto"/>
                <w:sz w:val="24"/>
                <w:highlight w:val="none"/>
                <w:lang w:val="en-US" w:eastAsia="zh-CN"/>
              </w:rPr>
              <w:t>不低于至少</w:t>
            </w:r>
            <w:r>
              <w:rPr>
                <w:rFonts w:hint="default" w:ascii="Times New Roman" w:hAnsi="Times New Roman" w:eastAsia="宋体" w:cs="Times New Roman"/>
                <w:color w:val="auto"/>
                <w:sz w:val="24"/>
                <w:highlight w:val="none"/>
                <w:lang w:val="en-US"/>
              </w:rPr>
              <w:t>1m厚黏土层(渗透系数不大于10</w:t>
            </w:r>
            <w:r>
              <w:rPr>
                <w:rFonts w:hint="default" w:ascii="Times New Roman" w:hAnsi="Times New Roman" w:eastAsia="宋体" w:cs="Times New Roman"/>
                <w:color w:val="auto"/>
                <w:sz w:val="24"/>
                <w:highlight w:val="none"/>
                <w:vertAlign w:val="superscript"/>
                <w:lang w:val="en-US"/>
              </w:rPr>
              <w:t>-7</w:t>
            </w:r>
            <w:r>
              <w:rPr>
                <w:rFonts w:hint="default" w:ascii="Times New Roman" w:hAnsi="Times New Roman" w:eastAsia="宋体" w:cs="Times New Roman"/>
                <w:color w:val="auto"/>
                <w:sz w:val="24"/>
                <w:highlight w:val="none"/>
                <w:lang w:val="en-US"/>
              </w:rPr>
              <w:t>cm/s)，或2mm厚高密度聚乙烯膜等人工防渗材料，渗透系数不大于10</w:t>
            </w:r>
            <w:r>
              <w:rPr>
                <w:rFonts w:hint="default" w:ascii="Times New Roman" w:hAnsi="Times New Roman" w:eastAsia="宋体" w:cs="Times New Roman"/>
                <w:color w:val="auto"/>
                <w:sz w:val="24"/>
                <w:highlight w:val="none"/>
                <w:vertAlign w:val="superscript"/>
                <w:lang w:val="en-US"/>
              </w:rPr>
              <w:t>-10</w:t>
            </w:r>
            <w:r>
              <w:rPr>
                <w:rFonts w:hint="default" w:ascii="Times New Roman" w:hAnsi="Times New Roman" w:eastAsia="宋体" w:cs="Times New Roman"/>
                <w:color w:val="auto"/>
                <w:sz w:val="24"/>
                <w:highlight w:val="none"/>
                <w:lang w:val="en-US"/>
              </w:rPr>
              <w:t>cm/s)</w:t>
            </w:r>
            <w:r>
              <w:rPr>
                <w:rFonts w:hint="eastAsia"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rPr>
              <w:t>只要建设单位加强风险管理，在项目建设、实施过程中落实各种环境风险防范措施，在环境风险事故发生后，及时采取有效的风险应急措施，</w:t>
            </w:r>
            <w:r>
              <w:rPr>
                <w:rFonts w:hint="eastAsia" w:cs="Times New Roman"/>
                <w:color w:val="auto"/>
                <w:sz w:val="24"/>
                <w:highlight w:val="none"/>
                <w:lang w:val="en-US" w:eastAsia="zh-CN"/>
              </w:rPr>
              <w:t>能够</w:t>
            </w:r>
            <w:r>
              <w:rPr>
                <w:rFonts w:hint="eastAsia" w:ascii="Times New Roman" w:hAnsi="Times New Roman" w:eastAsia="宋体" w:cs="Times New Roman"/>
                <w:color w:val="auto"/>
                <w:sz w:val="24"/>
                <w:highlight w:val="none"/>
                <w:lang w:val="en-US"/>
              </w:rPr>
              <w:t>将事故风险控制在可接受的范围内，项目环境风险值处于可接受水平范围内</w:t>
            </w:r>
            <w:r>
              <w:rPr>
                <w:rFonts w:hint="eastAsia" w:cs="Times New Roman"/>
                <w:color w:val="auto"/>
                <w:sz w:val="24"/>
                <w:highlight w:val="none"/>
                <w:lang w:val="en-US" w:eastAsia="zh-CN"/>
              </w:rPr>
              <w:t>。</w:t>
            </w:r>
          </w:p>
          <w:p w14:paraId="54470E4D">
            <w:pPr>
              <w:spacing w:line="480" w:lineRule="exact"/>
              <w:rPr>
                <w:rFonts w:hint="default" w:ascii="Times New Roman" w:hAnsi="Times New Roman"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8、运输线路环境影响</w:t>
            </w:r>
          </w:p>
          <w:p w14:paraId="1EB4C46E">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（1）运输路线环境敏感目标</w:t>
            </w:r>
          </w:p>
          <w:p w14:paraId="78B0627D">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本项目运输路线为经储煤场场区外道路向</w:t>
            </w:r>
            <w:r>
              <w:rPr>
                <w:rFonts w:hint="eastAsia" w:cs="Times New Roman"/>
                <w:color w:val="auto"/>
                <w:sz w:val="24"/>
                <w:highlight w:val="none"/>
                <w:lang w:val="en-US" w:eastAsia="zh-CN"/>
              </w:rPr>
              <w:t>南</w:t>
            </w:r>
            <w:r>
              <w:rPr>
                <w:rFonts w:hint="default" w:ascii="Times New Roman" w:hAnsi="Times New Roman" w:eastAsia="宋体" w:cs="Times New Roman"/>
                <w:color w:val="auto"/>
                <w:sz w:val="24"/>
                <w:highlight w:val="none"/>
                <w:lang w:val="en-US" w:eastAsia="zh-CN"/>
              </w:rPr>
              <w:t>行驶运至</w:t>
            </w:r>
            <w:r>
              <w:rPr>
                <w:rFonts w:hint="eastAsia" w:cs="Times New Roman"/>
                <w:color w:val="auto"/>
                <w:sz w:val="24"/>
                <w:highlight w:val="none"/>
                <w:lang w:val="en-US" w:eastAsia="zh-CN"/>
              </w:rPr>
              <w:t>201国道</w:t>
            </w:r>
            <w:r>
              <w:rPr>
                <w:rFonts w:hint="default"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项目厂区南侧紧邻201国道</w:t>
            </w:r>
            <w:r>
              <w:rPr>
                <w:rFonts w:hint="default" w:ascii="Times New Roman" w:hAnsi="Times New Roman" w:eastAsia="宋体" w:cs="Times New Roman"/>
                <w:color w:val="auto"/>
                <w:sz w:val="24"/>
                <w:highlight w:val="none"/>
                <w:lang w:val="en-US" w:eastAsia="zh-CN"/>
              </w:rPr>
              <w:t>，运输过程中无敏感目</w:t>
            </w:r>
            <w:r>
              <w:rPr>
                <w:rFonts w:hint="eastAsia" w:cs="Times New Roman"/>
                <w:color w:val="auto"/>
                <w:sz w:val="24"/>
                <w:highlight w:val="none"/>
                <w:lang w:val="en-US" w:eastAsia="zh-CN"/>
              </w:rPr>
              <w:t>标</w:t>
            </w:r>
            <w:r>
              <w:rPr>
                <w:rFonts w:hint="default" w:ascii="Times New Roman" w:hAnsi="Times New Roman" w:eastAsia="宋体" w:cs="Times New Roman"/>
                <w:color w:val="auto"/>
                <w:sz w:val="24"/>
                <w:highlight w:val="none"/>
                <w:lang w:val="en-US" w:eastAsia="zh-CN"/>
              </w:rPr>
              <w:t>。</w:t>
            </w:r>
          </w:p>
          <w:p w14:paraId="15CC6E85">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（2）运输噪声影响分析</w:t>
            </w:r>
          </w:p>
          <w:p w14:paraId="610F16B4">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运输车辆行驶噪声源强约为70~80dB（A），对运输交通噪声，禁止使用超过噪声限值的运输车辆，汽车运输机械设备应安装消声器和禁用高音喇叭，机动车辆必须加强维修和保养，保持技术性能良好，应限制鸣笛、合理安排运输车辆工作时间，22:00～次日6:00禁止运输工作，产品运输均在昼间进行，加强对运输车辆管理，杜绝超载现象，按期保养车辆保持车辆良好工况，运输车辆在经过沿线敏感目标时控制行驶速度，通过采取以上措施运输沿线公路交通噪声影响是可以接受的。</w:t>
            </w:r>
          </w:p>
          <w:p w14:paraId="175F2B1F">
            <w:pPr>
              <w:adjustRightInd w:val="0"/>
              <w:snapToGrid w:val="0"/>
              <w:spacing w:line="480" w:lineRule="exact"/>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（3）运输道路扬尘影响</w:t>
            </w:r>
          </w:p>
          <w:p w14:paraId="16FF3A59">
            <w:pPr>
              <w:adjustRightInd w:val="0"/>
              <w:snapToGrid w:val="0"/>
              <w:spacing w:line="480" w:lineRule="exact"/>
              <w:ind w:firstLine="480" w:firstLineChars="200"/>
              <w:rPr>
                <w:rFonts w:hint="default" w:ascii="Times New Roman" w:hAnsi="Times New Roman" w:cs="Times New Roman"/>
                <w:color w:val="auto"/>
                <w:highlight w:val="none"/>
                <w:lang w:bidi="ar"/>
              </w:rPr>
            </w:pPr>
            <w:r>
              <w:rPr>
                <w:rFonts w:hint="default" w:ascii="Times New Roman" w:hAnsi="Times New Roman" w:eastAsia="宋体" w:cs="Times New Roman"/>
                <w:color w:val="auto"/>
                <w:sz w:val="24"/>
                <w:highlight w:val="none"/>
                <w:lang w:val="en-US" w:eastAsia="zh-CN"/>
              </w:rPr>
              <w:t>本项目运输过程中要加强厂区内道路养护，保障路面平整，控制汽车行驶速度，运输车辆采用苫布苫盖，同时采取洒水抑尘的措施，可有效降低汽车运输的起尘量，运输产生的扬尘</w:t>
            </w:r>
            <w:r>
              <w:rPr>
                <w:rFonts w:hint="eastAsia" w:cs="Times New Roman"/>
                <w:color w:val="auto"/>
                <w:sz w:val="24"/>
                <w:highlight w:val="none"/>
                <w:lang w:val="en-US" w:eastAsia="zh-CN"/>
              </w:rPr>
              <w:t>对</w:t>
            </w:r>
            <w:r>
              <w:rPr>
                <w:rFonts w:hint="default" w:ascii="Times New Roman" w:hAnsi="Times New Roman" w:eastAsia="宋体" w:cs="Times New Roman"/>
                <w:color w:val="auto"/>
                <w:sz w:val="24"/>
                <w:highlight w:val="none"/>
                <w:lang w:val="en-US" w:eastAsia="zh-CN"/>
              </w:rPr>
              <w:t>环境空气的影响较小。</w:t>
            </w:r>
          </w:p>
        </w:tc>
      </w:tr>
    </w:tbl>
    <w:p w14:paraId="1E7FD076">
      <w:pPr>
        <w:adjustRightInd w:val="0"/>
        <w:snapToGrid w:val="0"/>
        <w:spacing w:line="360" w:lineRule="auto"/>
        <w:rPr>
          <w:rFonts w:hint="default" w:ascii="Times New Roman" w:hAnsi="Times New Roman" w:cs="Times New Roman"/>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7CD5DD1E">
      <w:pPr>
        <w:pStyle w:val="14"/>
        <w:jc w:val="center"/>
        <w:outlineLvl w:val="0"/>
        <w:rPr>
          <w:rFonts w:hint="default" w:ascii="Times New Roman" w:hAnsi="Times New Roman" w:eastAsia="黑体" w:cs="Times New Roman"/>
          <w:snapToGrid w:val="0"/>
          <w:color w:val="auto"/>
          <w:sz w:val="30"/>
          <w:szCs w:val="30"/>
          <w:highlight w:val="none"/>
        </w:rPr>
      </w:pPr>
      <w:bookmarkStart w:id="20" w:name="_Toc28681"/>
      <w:r>
        <w:rPr>
          <w:rFonts w:hint="default" w:ascii="Times New Roman" w:hAnsi="Times New Roman" w:eastAsia="黑体" w:cs="Times New Roman"/>
          <w:snapToGrid w:val="0"/>
          <w:color w:val="auto"/>
          <w:sz w:val="30"/>
          <w:szCs w:val="30"/>
          <w:highlight w:val="none"/>
        </w:rPr>
        <w:t>五、</w:t>
      </w:r>
      <w:bookmarkStart w:id="21" w:name="_Hlk54167917"/>
      <w:r>
        <w:rPr>
          <w:rFonts w:hint="default" w:ascii="Times New Roman" w:hAnsi="Times New Roman" w:eastAsia="黑体" w:cs="Times New Roman"/>
          <w:snapToGrid w:val="0"/>
          <w:color w:val="auto"/>
          <w:sz w:val="30"/>
          <w:szCs w:val="30"/>
          <w:highlight w:val="none"/>
        </w:rPr>
        <w:t>环境保护措施监督检查清单</w:t>
      </w:r>
      <w:bookmarkEnd w:id="20"/>
      <w:bookmarkEnd w:id="21"/>
    </w:p>
    <w:tbl>
      <w:tblPr>
        <w:tblStyle w:val="17"/>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1560"/>
        <w:gridCol w:w="1320"/>
        <w:gridCol w:w="1950"/>
        <w:gridCol w:w="2886"/>
      </w:tblGrid>
      <w:tr w14:paraId="31C938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1084" w:type="dxa"/>
            <w:tcBorders>
              <w:tl2br w:val="single" w:color="auto" w:sz="4" w:space="0"/>
            </w:tcBorders>
            <w:noWrap w:val="0"/>
            <w:vAlign w:val="top"/>
          </w:tcPr>
          <w:p w14:paraId="3BCD0CFC">
            <w:pPr>
              <w:adjustRightInd w:val="0"/>
              <w:snapToGrid w:val="0"/>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内容</w:t>
            </w:r>
          </w:p>
          <w:p w14:paraId="11B8D6CB">
            <w:pPr>
              <w:adjustRightInd w:val="0"/>
              <w:snapToGrid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要素</w:t>
            </w:r>
          </w:p>
        </w:tc>
        <w:tc>
          <w:tcPr>
            <w:tcW w:w="1560" w:type="dxa"/>
            <w:noWrap w:val="0"/>
            <w:vAlign w:val="center"/>
          </w:tcPr>
          <w:p w14:paraId="3841A6B8">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排放口(编号、</w:t>
            </w:r>
          </w:p>
          <w:p w14:paraId="2B2A4961">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名称)/污染源</w:t>
            </w:r>
          </w:p>
        </w:tc>
        <w:tc>
          <w:tcPr>
            <w:tcW w:w="1320" w:type="dxa"/>
            <w:noWrap w:val="0"/>
            <w:vAlign w:val="center"/>
          </w:tcPr>
          <w:p w14:paraId="42723C6F">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污染物项目</w:t>
            </w:r>
          </w:p>
        </w:tc>
        <w:tc>
          <w:tcPr>
            <w:tcW w:w="1950" w:type="dxa"/>
            <w:noWrap w:val="0"/>
            <w:vAlign w:val="center"/>
          </w:tcPr>
          <w:p w14:paraId="73C64436">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环境保护措施</w:t>
            </w:r>
          </w:p>
        </w:tc>
        <w:tc>
          <w:tcPr>
            <w:tcW w:w="2886" w:type="dxa"/>
            <w:noWrap w:val="0"/>
            <w:vAlign w:val="center"/>
          </w:tcPr>
          <w:p w14:paraId="0DFF7E9A">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执行标准</w:t>
            </w:r>
          </w:p>
        </w:tc>
      </w:tr>
      <w:tr w14:paraId="52AD72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0" w:hRule="atLeast"/>
          <w:jc w:val="center"/>
        </w:trPr>
        <w:tc>
          <w:tcPr>
            <w:tcW w:w="1084" w:type="dxa"/>
            <w:vMerge w:val="restart"/>
            <w:noWrap w:val="0"/>
            <w:vAlign w:val="center"/>
          </w:tcPr>
          <w:p w14:paraId="2A1C2A2E">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大气环境</w:t>
            </w:r>
          </w:p>
        </w:tc>
        <w:tc>
          <w:tcPr>
            <w:tcW w:w="1560" w:type="dxa"/>
            <w:noWrap w:val="0"/>
            <w:vAlign w:val="center"/>
          </w:tcPr>
          <w:p w14:paraId="5195E106">
            <w:pPr>
              <w:pStyle w:val="35"/>
              <w:ind w:left="0" w:leftChars="0" w:right="0" w:rightChars="0" w:firstLine="0" w:firstLineChars="0"/>
              <w:rPr>
                <w:rFonts w:hint="eastAsia" w:cs="Times New Roman"/>
                <w:color w:val="auto"/>
                <w:szCs w:val="21"/>
                <w:highlight w:val="none"/>
                <w:lang w:val="en-US" w:eastAsia="zh-CN"/>
              </w:rPr>
            </w:pPr>
            <w:r>
              <w:rPr>
                <w:rFonts w:hint="eastAsia" w:cs="Times New Roman"/>
                <w:color w:val="auto"/>
                <w:szCs w:val="21"/>
                <w:highlight w:val="none"/>
                <w:lang w:val="en-US" w:eastAsia="zh-CN"/>
              </w:rPr>
              <w:t>储煤场、</w:t>
            </w:r>
          </w:p>
          <w:p w14:paraId="7907A23B">
            <w:pPr>
              <w:pStyle w:val="35"/>
              <w:ind w:left="0" w:leftChars="0" w:right="0" w:rightChars="0" w:firstLine="0" w:firstLineChars="0"/>
              <w:rPr>
                <w:rFonts w:hint="default" w:cs="Times New Roman"/>
                <w:color w:val="auto"/>
                <w:szCs w:val="21"/>
                <w:highlight w:val="none"/>
                <w:lang w:val="en-US" w:eastAsia="zh-CN"/>
              </w:rPr>
            </w:pPr>
            <w:r>
              <w:rPr>
                <w:rFonts w:hint="eastAsia" w:cs="Times New Roman"/>
                <w:color w:val="auto"/>
                <w:szCs w:val="21"/>
                <w:highlight w:val="none"/>
                <w:lang w:val="en-US" w:eastAsia="zh-CN"/>
              </w:rPr>
              <w:t>运输车辆</w:t>
            </w:r>
          </w:p>
        </w:tc>
        <w:tc>
          <w:tcPr>
            <w:tcW w:w="1320" w:type="dxa"/>
            <w:noWrap w:val="0"/>
            <w:vAlign w:val="center"/>
          </w:tcPr>
          <w:p w14:paraId="09B3825D">
            <w:pPr>
              <w:pStyle w:val="31"/>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颗粒物</w:t>
            </w:r>
            <w:r>
              <w:rPr>
                <w:rFonts w:hint="eastAsia" w:cs="Times New Roman"/>
                <w:color w:val="auto"/>
                <w:szCs w:val="21"/>
                <w:highlight w:val="none"/>
                <w:lang w:val="en-US" w:eastAsia="zh-CN"/>
              </w:rPr>
              <w:t>、二氧化硫</w:t>
            </w:r>
          </w:p>
        </w:tc>
        <w:tc>
          <w:tcPr>
            <w:tcW w:w="1950" w:type="dxa"/>
            <w:noWrap w:val="0"/>
            <w:vAlign w:val="center"/>
          </w:tcPr>
          <w:p w14:paraId="079A0998">
            <w:pPr>
              <w:pStyle w:val="31"/>
              <w:rPr>
                <w:rFonts w:hint="default" w:ascii="Times New Roman" w:hAnsi="Times New Roman" w:cs="Times New Roman"/>
                <w:color w:val="auto"/>
                <w:szCs w:val="21"/>
                <w:highlight w:val="none"/>
                <w:lang w:val="en-US" w:eastAsia="zh-CN"/>
              </w:rPr>
            </w:pPr>
            <w:r>
              <w:rPr>
                <w:rFonts w:hint="eastAsia" w:cs="Times New Roman"/>
                <w:color w:val="auto"/>
                <w:highlight w:val="none"/>
                <w:lang w:val="en-US" w:eastAsia="zh-CN"/>
              </w:rPr>
              <w:t>煤</w:t>
            </w:r>
            <w:r>
              <w:rPr>
                <w:rFonts w:hint="default" w:ascii="Times New Roman" w:hAnsi="Times New Roman" w:cs="Times New Roman"/>
                <w:color w:val="auto"/>
                <w:highlight w:val="none"/>
                <w:lang w:val="en-US" w:eastAsia="zh-CN"/>
              </w:rPr>
              <w:t>炭堆场</w:t>
            </w:r>
            <w:r>
              <w:rPr>
                <w:rFonts w:hint="eastAsia" w:ascii="Times New Roman" w:hAnsi="Times New Roman" w:cs="Times New Roman"/>
                <w:color w:val="auto"/>
                <w:highlight w:val="none"/>
                <w:lang w:val="en-US" w:eastAsia="zh-CN"/>
              </w:rPr>
              <w:t>区域</w:t>
            </w:r>
            <w:r>
              <w:rPr>
                <w:rFonts w:hint="eastAsia" w:cs="Times New Roman"/>
                <w:color w:val="auto"/>
                <w:szCs w:val="21"/>
                <w:highlight w:val="none"/>
                <w:lang w:val="en-US" w:eastAsia="zh-CN"/>
              </w:rPr>
              <w:t>建设闭合防风抑尘网高3m、长120m，孔隙率50%与围墙形成闭合区域，储煤场内堆存煤炭使用绿网，进行苫盖；储煤场日常对储煤区域进行洒水降尘，禁止在重污染天气、大风天气进行作业；煤场运输车辆进行全面苫盖</w:t>
            </w:r>
          </w:p>
        </w:tc>
        <w:tc>
          <w:tcPr>
            <w:tcW w:w="2886" w:type="dxa"/>
            <w:vMerge w:val="restart"/>
            <w:noWrap w:val="0"/>
            <w:vAlign w:val="center"/>
          </w:tcPr>
          <w:p w14:paraId="738FA2A1">
            <w:pPr>
              <w:pStyle w:val="31"/>
              <w:rPr>
                <w:rFonts w:hint="default" w:ascii="Times New Roman" w:hAnsi="Times New Roman"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《煤炭工业污染物排放标准》（GB20426-2006）</w:t>
            </w:r>
            <w:r>
              <w:rPr>
                <w:rFonts w:hint="default" w:ascii="Times New Roman" w:hAnsi="Times New Roman" w:eastAsia="宋体" w:cs="Times New Roman"/>
                <w:color w:val="auto"/>
                <w:szCs w:val="21"/>
                <w:highlight w:val="none"/>
                <w:lang w:val="en-US" w:eastAsia="zh-CN"/>
              </w:rPr>
              <w:t>无组织排放监控点浓度限值要求</w:t>
            </w:r>
          </w:p>
        </w:tc>
      </w:tr>
      <w:tr w14:paraId="4667AC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1084" w:type="dxa"/>
            <w:vMerge w:val="restart"/>
            <w:noWrap w:val="0"/>
            <w:vAlign w:val="center"/>
          </w:tcPr>
          <w:p w14:paraId="28463021">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地表水环境</w:t>
            </w:r>
          </w:p>
        </w:tc>
        <w:tc>
          <w:tcPr>
            <w:tcW w:w="1560" w:type="dxa"/>
            <w:noWrap w:val="0"/>
            <w:vAlign w:val="center"/>
          </w:tcPr>
          <w:p w14:paraId="79889F2A">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生活废水</w:t>
            </w:r>
          </w:p>
        </w:tc>
        <w:tc>
          <w:tcPr>
            <w:tcW w:w="1320" w:type="dxa"/>
            <w:noWrap w:val="0"/>
            <w:vAlign w:val="center"/>
          </w:tcPr>
          <w:p w14:paraId="3726D30B">
            <w:pPr>
              <w:pStyle w:val="31"/>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化学需氧量、五日生化需氧量、悬浮物、氨氮</w:t>
            </w:r>
          </w:p>
        </w:tc>
        <w:tc>
          <w:tcPr>
            <w:tcW w:w="1950" w:type="dxa"/>
            <w:noWrap w:val="0"/>
            <w:vAlign w:val="center"/>
          </w:tcPr>
          <w:p w14:paraId="7628E49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排入防渗旱厕，定期清掏堆肥</w:t>
            </w:r>
          </w:p>
        </w:tc>
        <w:tc>
          <w:tcPr>
            <w:tcW w:w="2886" w:type="dxa"/>
            <w:vMerge w:val="restart"/>
            <w:noWrap w:val="0"/>
            <w:vAlign w:val="center"/>
          </w:tcPr>
          <w:p w14:paraId="4855F07D">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不外排</w:t>
            </w:r>
          </w:p>
        </w:tc>
      </w:tr>
      <w:tr w14:paraId="141A7F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1084" w:type="dxa"/>
            <w:vMerge w:val="continue"/>
            <w:noWrap w:val="0"/>
            <w:vAlign w:val="center"/>
          </w:tcPr>
          <w:p w14:paraId="7999C38B">
            <w:pPr>
              <w:adjustRightInd w:val="0"/>
              <w:snapToGrid w:val="0"/>
              <w:jc w:val="center"/>
              <w:rPr>
                <w:rFonts w:hint="default" w:ascii="Times New Roman" w:hAnsi="Times New Roman" w:cs="Times New Roman"/>
                <w:color w:val="auto"/>
                <w:szCs w:val="21"/>
                <w:highlight w:val="none"/>
              </w:rPr>
            </w:pPr>
          </w:p>
        </w:tc>
        <w:tc>
          <w:tcPr>
            <w:tcW w:w="1560" w:type="dxa"/>
            <w:noWrap w:val="0"/>
            <w:vAlign w:val="center"/>
          </w:tcPr>
          <w:p w14:paraId="1F6203F0">
            <w:pPr>
              <w:adjustRightInd w:val="0"/>
              <w:snapToGrid w:val="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径流雨水</w:t>
            </w:r>
          </w:p>
        </w:tc>
        <w:tc>
          <w:tcPr>
            <w:tcW w:w="1320" w:type="dxa"/>
            <w:noWrap w:val="0"/>
            <w:vAlign w:val="center"/>
          </w:tcPr>
          <w:p w14:paraId="1F73C83F">
            <w:pPr>
              <w:pStyle w:val="31"/>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悬浮物</w:t>
            </w:r>
          </w:p>
        </w:tc>
        <w:tc>
          <w:tcPr>
            <w:tcW w:w="1950" w:type="dxa"/>
            <w:noWrap w:val="0"/>
            <w:vAlign w:val="center"/>
          </w:tcPr>
          <w:p w14:paraId="0E3C36D8">
            <w:pPr>
              <w:adjustRightInd w:val="0"/>
              <w:snapToGrid w:val="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建设25m</w:t>
            </w:r>
            <w:r>
              <w:rPr>
                <w:rFonts w:hint="eastAsia" w:cs="Times New Roman"/>
                <w:color w:val="auto"/>
                <w:szCs w:val="21"/>
                <w:highlight w:val="none"/>
                <w:vertAlign w:val="superscript"/>
                <w:lang w:val="en-US" w:eastAsia="zh-CN"/>
              </w:rPr>
              <w:t>3</w:t>
            </w:r>
            <w:r>
              <w:rPr>
                <w:rFonts w:hint="eastAsia" w:cs="Times New Roman"/>
                <w:color w:val="auto"/>
                <w:szCs w:val="21"/>
                <w:highlight w:val="none"/>
                <w:lang w:val="en-US" w:eastAsia="zh-CN"/>
              </w:rPr>
              <w:t>雨水收集池处理将雨水收集沉淀后循环使用，不外排</w:t>
            </w:r>
          </w:p>
        </w:tc>
        <w:tc>
          <w:tcPr>
            <w:tcW w:w="2886" w:type="dxa"/>
            <w:vMerge w:val="continue"/>
            <w:noWrap w:val="0"/>
            <w:vAlign w:val="center"/>
          </w:tcPr>
          <w:p w14:paraId="37E7DB8F">
            <w:pPr>
              <w:adjustRightInd w:val="0"/>
              <w:snapToGrid w:val="0"/>
              <w:jc w:val="center"/>
              <w:rPr>
                <w:rFonts w:hint="default" w:ascii="Times New Roman" w:hAnsi="Times New Roman" w:cs="Times New Roman"/>
                <w:color w:val="auto"/>
                <w:szCs w:val="21"/>
                <w:highlight w:val="none"/>
              </w:rPr>
            </w:pPr>
          </w:p>
        </w:tc>
      </w:tr>
      <w:tr w14:paraId="7CC317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84" w:type="dxa"/>
            <w:noWrap w:val="0"/>
            <w:vAlign w:val="center"/>
          </w:tcPr>
          <w:p w14:paraId="1CDAE51E">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1560" w:type="dxa"/>
            <w:noWrap w:val="0"/>
            <w:vAlign w:val="center"/>
          </w:tcPr>
          <w:p w14:paraId="24ADE2E6">
            <w:pPr>
              <w:pStyle w:val="35"/>
              <w:ind w:left="0" w:leftChars="0" w:right="0" w:righ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设备噪声</w:t>
            </w:r>
          </w:p>
        </w:tc>
        <w:tc>
          <w:tcPr>
            <w:tcW w:w="1320" w:type="dxa"/>
            <w:noWrap w:val="0"/>
            <w:vAlign w:val="center"/>
          </w:tcPr>
          <w:p w14:paraId="209495C9">
            <w:pPr>
              <w:pStyle w:val="35"/>
              <w:ind w:left="0" w:leftChars="0" w:right="0" w:righ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1950" w:type="dxa"/>
            <w:noWrap w:val="0"/>
            <w:vAlign w:val="center"/>
          </w:tcPr>
          <w:p w14:paraId="717CE8C6">
            <w:pPr>
              <w:pStyle w:val="35"/>
              <w:ind w:left="0" w:leftChars="0" w:right="0" w:rightChars="0"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选用低噪声设备，</w:t>
            </w:r>
            <w:r>
              <w:rPr>
                <w:rFonts w:hint="eastAsia" w:cs="Times New Roman"/>
                <w:color w:val="auto"/>
                <w:szCs w:val="21"/>
                <w:highlight w:val="none"/>
                <w:lang w:val="en-US" w:eastAsia="zh-CN"/>
              </w:rPr>
              <w:t>加强设备维护</w:t>
            </w:r>
            <w:r>
              <w:rPr>
                <w:rFonts w:hint="default" w:ascii="Times New Roman" w:hAnsi="Times New Roman" w:cs="Times New Roman"/>
                <w:color w:val="auto"/>
                <w:szCs w:val="21"/>
                <w:highlight w:val="none"/>
              </w:rPr>
              <w:t>，</w:t>
            </w:r>
            <w:r>
              <w:rPr>
                <w:rFonts w:hint="eastAsia" w:cs="Times New Roman"/>
                <w:color w:val="auto"/>
                <w:szCs w:val="21"/>
                <w:highlight w:val="none"/>
                <w:lang w:val="en-US" w:eastAsia="zh-CN"/>
              </w:rPr>
              <w:t>厂区内限速</w:t>
            </w:r>
          </w:p>
        </w:tc>
        <w:tc>
          <w:tcPr>
            <w:tcW w:w="2886" w:type="dxa"/>
            <w:noWrap w:val="0"/>
            <w:vAlign w:val="center"/>
          </w:tcPr>
          <w:p w14:paraId="5E3B89A0">
            <w:pPr>
              <w:pStyle w:val="35"/>
              <w:ind w:left="0" w:leftChars="0" w:right="0" w:righ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厂界噪声满足</w:t>
            </w:r>
            <w:r>
              <w:rPr>
                <w:rFonts w:hint="default" w:ascii="Times New Roman" w:hAnsi="Times New Roman" w:cs="Times New Roman"/>
                <w:bCs/>
                <w:color w:val="auto"/>
                <w:szCs w:val="21"/>
                <w:highlight w:val="none"/>
              </w:rPr>
              <w:t>《工业企业厂界环境噪声排放标准》（GB12348-2008）</w:t>
            </w:r>
            <w:r>
              <w:rPr>
                <w:rFonts w:hint="eastAsia" w:cs="Times New Roman"/>
                <w:bCs/>
                <w:color w:val="auto"/>
                <w:szCs w:val="21"/>
                <w:highlight w:val="none"/>
                <w:lang w:val="en-US" w:eastAsia="zh-CN"/>
              </w:rPr>
              <w:t>2</w:t>
            </w:r>
            <w:r>
              <w:rPr>
                <w:rFonts w:hint="default" w:ascii="Times New Roman" w:hAnsi="Times New Roman" w:cs="Times New Roman"/>
                <w:bCs/>
                <w:color w:val="auto"/>
                <w:szCs w:val="21"/>
                <w:highlight w:val="none"/>
              </w:rPr>
              <w:t>类</w:t>
            </w:r>
            <w:r>
              <w:rPr>
                <w:rFonts w:hint="default" w:ascii="Times New Roman" w:hAnsi="Times New Roman" w:cs="Times New Roman"/>
                <w:color w:val="auto"/>
                <w:szCs w:val="21"/>
                <w:highlight w:val="none"/>
              </w:rPr>
              <w:t>标准</w:t>
            </w:r>
          </w:p>
        </w:tc>
      </w:tr>
      <w:tr w14:paraId="43C11D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084" w:type="dxa"/>
            <w:noWrap w:val="0"/>
            <w:vAlign w:val="center"/>
          </w:tcPr>
          <w:p w14:paraId="485A0856">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电磁辐射</w:t>
            </w:r>
          </w:p>
        </w:tc>
        <w:tc>
          <w:tcPr>
            <w:tcW w:w="1560" w:type="dxa"/>
            <w:noWrap w:val="0"/>
            <w:vAlign w:val="center"/>
          </w:tcPr>
          <w:p w14:paraId="4BA8E43E">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320" w:type="dxa"/>
            <w:noWrap w:val="0"/>
            <w:vAlign w:val="center"/>
          </w:tcPr>
          <w:p w14:paraId="57DA2C8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950" w:type="dxa"/>
            <w:noWrap w:val="0"/>
            <w:vAlign w:val="center"/>
          </w:tcPr>
          <w:p w14:paraId="272D59E5">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2886" w:type="dxa"/>
            <w:noWrap w:val="0"/>
            <w:vAlign w:val="center"/>
          </w:tcPr>
          <w:p w14:paraId="4D37B4AE">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5F108C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0" w:hRule="atLeast"/>
          <w:jc w:val="center"/>
        </w:trPr>
        <w:tc>
          <w:tcPr>
            <w:tcW w:w="1084" w:type="dxa"/>
            <w:noWrap w:val="0"/>
            <w:vAlign w:val="center"/>
          </w:tcPr>
          <w:p w14:paraId="34539C30">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固体废物</w:t>
            </w:r>
          </w:p>
        </w:tc>
        <w:tc>
          <w:tcPr>
            <w:tcW w:w="7716" w:type="dxa"/>
            <w:gridSpan w:val="4"/>
            <w:noWrap w:val="0"/>
            <w:vAlign w:val="center"/>
          </w:tcPr>
          <w:p w14:paraId="7B9AE4A0">
            <w:pPr>
              <w:adjustRightInd w:val="0"/>
              <w:snapToGrid w:val="0"/>
              <w:ind w:firstLine="420" w:firstLineChars="200"/>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生活垃圾</w:t>
            </w:r>
            <w:r>
              <w:rPr>
                <w:rFonts w:hint="eastAsia" w:cs="Times New Roman"/>
                <w:color w:val="auto"/>
                <w:szCs w:val="21"/>
                <w:highlight w:val="none"/>
                <w:lang w:val="en-US" w:eastAsia="zh-CN"/>
              </w:rPr>
              <w:t>依托</w:t>
            </w:r>
            <w:r>
              <w:rPr>
                <w:rFonts w:hint="default" w:ascii="Times New Roman" w:hAnsi="Times New Roman" w:cs="Times New Roman"/>
                <w:color w:val="auto"/>
                <w:szCs w:val="21"/>
                <w:highlight w:val="none"/>
              </w:rPr>
              <w:t>当地环卫部门统一收集处理</w:t>
            </w:r>
            <w:r>
              <w:rPr>
                <w:rFonts w:hint="default" w:ascii="Times New Roman" w:hAnsi="Times New Roman" w:cs="Times New Roman"/>
                <w:color w:val="auto"/>
                <w:szCs w:val="21"/>
                <w:highlight w:val="none"/>
                <w:lang w:val="en-US" w:eastAsia="zh-CN"/>
              </w:rPr>
              <w:t>；</w:t>
            </w:r>
            <w:r>
              <w:rPr>
                <w:rFonts w:hint="eastAsia" w:cs="Times New Roman"/>
                <w:color w:val="auto"/>
                <w:szCs w:val="21"/>
                <w:highlight w:val="none"/>
                <w:lang w:val="en-US" w:eastAsia="zh-CN"/>
              </w:rPr>
              <w:t>雨水收集池沉渣</w:t>
            </w:r>
            <w:r>
              <w:rPr>
                <w:rFonts w:hint="default" w:ascii="Times New Roman" w:hAnsi="Times New Roman" w:cs="Times New Roman"/>
                <w:bCs/>
                <w:color w:val="auto"/>
                <w:szCs w:val="24"/>
                <w:highlight w:val="none"/>
              </w:rPr>
              <w:t>定期清理后外售综合利用</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废机油</w:t>
            </w:r>
            <w:r>
              <w:rPr>
                <w:rFonts w:hint="eastAsia" w:cs="Times New Roman"/>
                <w:color w:val="auto"/>
                <w:szCs w:val="21"/>
                <w:highlight w:val="none"/>
                <w:lang w:val="en-US" w:eastAsia="zh-CN"/>
              </w:rPr>
              <w:t>、含油抹布、含油零部件及废机油桶统一</w:t>
            </w:r>
            <w:r>
              <w:rPr>
                <w:rFonts w:hint="eastAsia" w:ascii="Times New Roman" w:hAnsi="Times New Roman" w:eastAsia="宋体" w:cs="Times New Roman"/>
                <w:color w:val="auto"/>
                <w:szCs w:val="21"/>
                <w:highlight w:val="none"/>
                <w:lang w:val="en-US" w:eastAsia="zh-CN"/>
              </w:rPr>
              <w:t>暂存于</w:t>
            </w:r>
            <w:r>
              <w:rPr>
                <w:rFonts w:hint="eastAsia" w:cs="Times New Roman"/>
                <w:color w:val="auto"/>
                <w:szCs w:val="21"/>
                <w:highlight w:val="none"/>
                <w:lang w:val="en-US" w:eastAsia="zh-CN"/>
              </w:rPr>
              <w:t>危险废物贮存点</w:t>
            </w:r>
            <w:r>
              <w:rPr>
                <w:rFonts w:hint="eastAsia" w:ascii="Times New Roman" w:hAnsi="Times New Roman" w:eastAsia="宋体" w:cs="Times New Roman"/>
                <w:color w:val="auto"/>
                <w:szCs w:val="21"/>
                <w:highlight w:val="none"/>
                <w:lang w:val="en-US" w:eastAsia="zh-CN"/>
              </w:rPr>
              <w:t>，委托有资质单位处置</w:t>
            </w:r>
            <w:r>
              <w:rPr>
                <w:rFonts w:hint="default" w:ascii="Times New Roman" w:hAnsi="Times New Roman" w:eastAsia="宋体" w:cs="Times New Roman"/>
                <w:color w:val="auto"/>
                <w:szCs w:val="21"/>
                <w:highlight w:val="none"/>
                <w:lang w:eastAsia="zh-CN"/>
              </w:rPr>
              <w:t>。</w:t>
            </w:r>
          </w:p>
        </w:tc>
      </w:tr>
      <w:tr w14:paraId="3F117C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3" w:hRule="atLeast"/>
          <w:jc w:val="center"/>
        </w:trPr>
        <w:tc>
          <w:tcPr>
            <w:tcW w:w="1084" w:type="dxa"/>
            <w:noWrap w:val="0"/>
            <w:vAlign w:val="center"/>
          </w:tcPr>
          <w:p w14:paraId="0407C83D">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土壤及地下水污染防治措施</w:t>
            </w:r>
          </w:p>
        </w:tc>
        <w:tc>
          <w:tcPr>
            <w:tcW w:w="7716" w:type="dxa"/>
            <w:gridSpan w:val="4"/>
            <w:noWrap w:val="0"/>
            <w:vAlign w:val="center"/>
          </w:tcPr>
          <w:p w14:paraId="32DD4AC2">
            <w:pPr>
              <w:adjustRightInd w:val="0"/>
              <w:snapToGrid w:val="0"/>
              <w:ind w:firstLine="420" w:firstLineChars="200"/>
              <w:rPr>
                <w:rFonts w:hint="default" w:ascii="Times New Roman" w:hAnsi="Times New Roman" w:cs="Times New Roman"/>
                <w:color w:val="auto"/>
                <w:szCs w:val="21"/>
                <w:highlight w:val="none"/>
              </w:rPr>
            </w:pPr>
            <w:r>
              <w:rPr>
                <w:rFonts w:hint="eastAsia" w:cs="Times New Roman"/>
                <w:color w:val="auto"/>
                <w:sz w:val="21"/>
                <w:szCs w:val="21"/>
                <w:highlight w:val="none"/>
                <w:lang w:val="en-US" w:eastAsia="zh-CN"/>
              </w:rPr>
              <w:t>储煤场地面硬化、车辆进出口及主要通道地面水泥硬化；</w:t>
            </w:r>
            <w:r>
              <w:rPr>
                <w:rFonts w:hint="default" w:ascii="Times New Roman" w:hAnsi="Times New Roman" w:eastAsia="宋体" w:cs="Times New Roman"/>
                <w:color w:val="auto"/>
                <w:sz w:val="21"/>
                <w:szCs w:val="21"/>
                <w:highlight w:val="none"/>
                <w:lang w:val="en-US" w:eastAsia="zh-CN"/>
              </w:rPr>
              <w:t>对厂</w:t>
            </w:r>
            <w:r>
              <w:rPr>
                <w:rFonts w:hint="eastAsia" w:cs="Times New Roman"/>
                <w:color w:val="auto"/>
                <w:sz w:val="21"/>
                <w:szCs w:val="21"/>
                <w:highlight w:val="none"/>
                <w:lang w:val="en-US" w:eastAsia="zh-CN"/>
              </w:rPr>
              <w:t>雨水收集池</w:t>
            </w:r>
            <w:r>
              <w:rPr>
                <w:rFonts w:hint="default" w:ascii="Times New Roman" w:hAnsi="Times New Roman" w:eastAsia="宋体" w:cs="Times New Roman"/>
                <w:color w:val="auto"/>
                <w:sz w:val="21"/>
                <w:szCs w:val="21"/>
                <w:highlight w:val="none"/>
                <w:lang w:val="en-US" w:eastAsia="zh-CN"/>
              </w:rPr>
              <w:t>、旱厕进行一般防渗，要求</w:t>
            </w:r>
            <w:r>
              <w:rPr>
                <w:rFonts w:hint="default" w:ascii="Times New Roman" w:hAnsi="Times New Roman" w:eastAsia="宋体" w:cs="Times New Roman"/>
                <w:bCs/>
                <w:color w:val="auto"/>
                <w:sz w:val="21"/>
                <w:szCs w:val="21"/>
                <w:highlight w:val="none"/>
                <w:lang w:val="en-US" w:eastAsia="zh-CN"/>
              </w:rPr>
              <w:t>等效粘土防渗层Mb≥1.5m，K</w:t>
            </w:r>
            <w:r>
              <w:rPr>
                <w:rFonts w:hint="default" w:ascii="Times New Roman" w:hAnsi="Times New Roman" w:eastAsia="宋体" w:cs="Times New Roman"/>
                <w:color w:val="auto"/>
                <w:sz w:val="21"/>
                <w:szCs w:val="21"/>
                <w:highlight w:val="none"/>
              </w:rPr>
              <w:t>≤1.0×10</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rPr>
              <w:t>cm/s</w:t>
            </w:r>
            <w:r>
              <w:rPr>
                <w:rFonts w:hint="default"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危险废物贮存点</w:t>
            </w:r>
            <w:r>
              <w:rPr>
                <w:rFonts w:hint="default" w:ascii="Times New Roman" w:hAnsi="Times New Roman" w:eastAsia="宋体" w:cs="Times New Roman"/>
                <w:color w:val="auto"/>
                <w:sz w:val="21"/>
                <w:szCs w:val="21"/>
                <w:highlight w:val="none"/>
                <w:lang w:val="en-US" w:eastAsia="zh-CN"/>
              </w:rPr>
              <w:t>进行重点防渗要求</w:t>
            </w:r>
            <w:r>
              <w:rPr>
                <w:rFonts w:hint="default" w:ascii="Times New Roman" w:hAnsi="Times New Roman" w:eastAsia="宋体" w:cs="Times New Roman"/>
                <w:bCs/>
                <w:color w:val="auto"/>
                <w:sz w:val="21"/>
                <w:szCs w:val="21"/>
                <w:highlight w:val="none"/>
                <w:lang w:val="en-US" w:eastAsia="zh-CN"/>
              </w:rPr>
              <w:t>1m厚黏土层(渗透系数不大于10</w:t>
            </w:r>
            <w:r>
              <w:rPr>
                <w:rFonts w:hint="default" w:ascii="Times New Roman" w:hAnsi="Times New Roman" w:eastAsia="宋体" w:cs="Times New Roman"/>
                <w:bCs/>
                <w:color w:val="auto"/>
                <w:sz w:val="21"/>
                <w:szCs w:val="21"/>
                <w:highlight w:val="none"/>
                <w:vertAlign w:val="superscript"/>
                <w:lang w:val="en-US" w:eastAsia="zh-CN"/>
              </w:rPr>
              <w:t>-7</w:t>
            </w:r>
            <w:r>
              <w:rPr>
                <w:rFonts w:hint="default" w:ascii="Times New Roman" w:hAnsi="Times New Roman" w:eastAsia="宋体" w:cs="Times New Roman"/>
                <w:bCs/>
                <w:color w:val="auto"/>
                <w:sz w:val="21"/>
                <w:szCs w:val="21"/>
                <w:highlight w:val="none"/>
                <w:lang w:val="en-US" w:eastAsia="zh-CN"/>
              </w:rPr>
              <w:t>cm/s)，或2mm厚高密度聚乙烯膜等人工防渗材料，渗透系数不大于10</w:t>
            </w:r>
            <w:r>
              <w:rPr>
                <w:rFonts w:hint="default" w:ascii="Times New Roman" w:hAnsi="Times New Roman" w:eastAsia="宋体" w:cs="Times New Roman"/>
                <w:bCs/>
                <w:color w:val="auto"/>
                <w:sz w:val="21"/>
                <w:szCs w:val="21"/>
                <w:highlight w:val="none"/>
                <w:vertAlign w:val="superscript"/>
                <w:lang w:val="en-US" w:eastAsia="zh-CN"/>
              </w:rPr>
              <w:t>-10</w:t>
            </w:r>
            <w:r>
              <w:rPr>
                <w:rFonts w:hint="default" w:ascii="Times New Roman" w:hAnsi="Times New Roman" w:eastAsia="宋体" w:cs="Times New Roman"/>
                <w:bCs/>
                <w:color w:val="auto"/>
                <w:sz w:val="21"/>
                <w:szCs w:val="21"/>
                <w:highlight w:val="none"/>
                <w:lang w:val="en-US" w:eastAsia="zh-CN"/>
              </w:rPr>
              <w:t>cm/s)</w:t>
            </w:r>
          </w:p>
        </w:tc>
      </w:tr>
      <w:tr w14:paraId="2A836D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1084" w:type="dxa"/>
            <w:noWrap w:val="0"/>
            <w:vAlign w:val="center"/>
          </w:tcPr>
          <w:p w14:paraId="0A246232">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生态保护措施</w:t>
            </w:r>
          </w:p>
        </w:tc>
        <w:tc>
          <w:tcPr>
            <w:tcW w:w="7716" w:type="dxa"/>
            <w:gridSpan w:val="4"/>
            <w:noWrap w:val="0"/>
            <w:vAlign w:val="center"/>
          </w:tcPr>
          <w:p w14:paraId="3ECBA0BC">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w:t>
            </w:r>
          </w:p>
        </w:tc>
      </w:tr>
      <w:tr w14:paraId="64E340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4" w:type="dxa"/>
            <w:noWrap w:val="0"/>
            <w:vAlign w:val="center"/>
          </w:tcPr>
          <w:p w14:paraId="1F7EFE0F">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环境风险</w:t>
            </w:r>
          </w:p>
          <w:p w14:paraId="0A222EDF">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防范措施</w:t>
            </w:r>
          </w:p>
        </w:tc>
        <w:tc>
          <w:tcPr>
            <w:tcW w:w="7716" w:type="dxa"/>
            <w:gridSpan w:val="4"/>
            <w:noWrap w:val="0"/>
            <w:vAlign w:val="center"/>
          </w:tcPr>
          <w:p w14:paraId="7720E9F2">
            <w:pPr>
              <w:adjustRightInd w:val="0"/>
              <w:snapToGrid w:val="0"/>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eastAsia" w:ascii="宋体" w:hAnsi="宋体" w:cs="宋体"/>
                <w:color w:val="auto"/>
                <w:szCs w:val="21"/>
                <w:highlight w:val="none"/>
              </w:rPr>
              <w:t>1、</w:t>
            </w:r>
            <w:r>
              <w:rPr>
                <w:rFonts w:hint="eastAsia" w:ascii="宋体" w:hAnsi="宋体" w:cs="宋体"/>
                <w:color w:val="auto"/>
                <w:szCs w:val="21"/>
                <w:highlight w:val="none"/>
                <w:lang w:val="en-US" w:eastAsia="zh-CN"/>
              </w:rPr>
              <w:t>组织人员定期巡查；</w:t>
            </w:r>
            <w:r>
              <w:rPr>
                <w:rFonts w:hint="eastAsia" w:ascii="宋体" w:hAnsi="宋体" w:cs="宋体"/>
                <w:color w:val="auto"/>
                <w:szCs w:val="21"/>
                <w:highlight w:val="none"/>
              </w:rPr>
              <w:t>2、设置安全警示标识及公告栏</w:t>
            </w:r>
            <w:r>
              <w:rPr>
                <w:rFonts w:hint="eastAsia" w:ascii="宋体" w:hAnsi="宋体" w:cs="宋体"/>
                <w:color w:val="auto"/>
                <w:szCs w:val="21"/>
                <w:highlight w:val="none"/>
                <w:lang w:eastAsia="zh-CN"/>
              </w:rPr>
              <w:t>；</w:t>
            </w:r>
            <w:r>
              <w:rPr>
                <w:rFonts w:hint="eastAsia" w:ascii="宋体" w:hAnsi="宋体" w:cs="宋体"/>
                <w:color w:val="auto"/>
                <w:szCs w:val="21"/>
                <w:highlight w:val="none"/>
                <w:lang w:val="en-US" w:eastAsia="zh-CN"/>
              </w:rPr>
              <w:t>3、建立台账</w:t>
            </w:r>
          </w:p>
        </w:tc>
      </w:tr>
      <w:tr w14:paraId="57C236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5" w:hRule="atLeast"/>
          <w:jc w:val="center"/>
        </w:trPr>
        <w:tc>
          <w:tcPr>
            <w:tcW w:w="1084" w:type="dxa"/>
            <w:noWrap w:val="0"/>
            <w:vAlign w:val="center"/>
          </w:tcPr>
          <w:p w14:paraId="4A4549F2">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其他环境</w:t>
            </w:r>
          </w:p>
          <w:p w14:paraId="7B2E5881">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管理要求</w:t>
            </w:r>
          </w:p>
        </w:tc>
        <w:tc>
          <w:tcPr>
            <w:tcW w:w="7716" w:type="dxa"/>
            <w:gridSpan w:val="4"/>
            <w:noWrap w:val="0"/>
            <w:vAlign w:val="center"/>
          </w:tcPr>
          <w:p w14:paraId="6B5BCAA2">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定期对厂区及周边进行清理保洁，保持良好的环境卫生面貌，防止出现“脏、乱、差”现象</w:t>
            </w:r>
          </w:p>
        </w:tc>
      </w:tr>
    </w:tbl>
    <w:p w14:paraId="56521D70">
      <w:pPr>
        <w:pStyle w:val="14"/>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cs="Times New Roman"/>
          <w:snapToGrid w:val="0"/>
          <w:color w:val="auto"/>
          <w:highlight w:val="none"/>
        </w:rPr>
        <w:br w:type="page"/>
      </w:r>
      <w:bookmarkStart w:id="22" w:name="_Toc31220"/>
      <w:r>
        <w:rPr>
          <w:rFonts w:hint="default" w:ascii="Times New Roman" w:hAnsi="Times New Roman" w:eastAsia="黑体" w:cs="Times New Roman"/>
          <w:snapToGrid w:val="0"/>
          <w:color w:val="auto"/>
          <w:sz w:val="30"/>
          <w:szCs w:val="30"/>
          <w:highlight w:val="none"/>
        </w:rPr>
        <w:t>六、结论</w:t>
      </w:r>
      <w:bookmarkEnd w:id="22"/>
    </w:p>
    <w:tbl>
      <w:tblPr>
        <w:tblStyle w:val="17"/>
        <w:tblW w:w="96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14:paraId="3E8581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65557E91">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本项目符合国家的产业政策，选址合理。项目在建设和运营中产生的环境影响较小，建设单位认真落实本报告提出的各项污染治理措施</w:t>
            </w:r>
            <w:r>
              <w:rPr>
                <w:rFonts w:hint="eastAsia" w:cs="Times New Roman"/>
                <w:bCs/>
                <w:color w:val="auto"/>
                <w:sz w:val="24"/>
                <w:highlight w:val="none"/>
                <w:lang w:eastAsia="zh-CN"/>
              </w:rPr>
              <w:t>，以</w:t>
            </w:r>
            <w:r>
              <w:rPr>
                <w:rFonts w:hint="default" w:ascii="Times New Roman" w:hAnsi="Times New Roman" w:cs="Times New Roman"/>
                <w:bCs/>
                <w:color w:val="auto"/>
                <w:sz w:val="24"/>
                <w:highlight w:val="none"/>
              </w:rPr>
              <w:t>及日常环保管理工作，在确保环保设施正常运行和达标排放前提下，从环保角度考虑，本项目建设可行。</w:t>
            </w:r>
          </w:p>
          <w:p w14:paraId="77A989D9">
            <w:pPr>
              <w:widowControl/>
              <w:spacing w:line="480" w:lineRule="atLeast"/>
              <w:ind w:firstLine="420"/>
              <w:rPr>
                <w:rFonts w:hint="default" w:ascii="Times New Roman" w:hAnsi="Times New Roman" w:cs="Times New Roman"/>
                <w:color w:val="auto"/>
                <w:kern w:val="0"/>
                <w:sz w:val="24"/>
                <w:highlight w:val="none"/>
              </w:rPr>
            </w:pPr>
          </w:p>
          <w:p w14:paraId="2AA39469">
            <w:pPr>
              <w:spacing w:line="360" w:lineRule="auto"/>
              <w:rPr>
                <w:rFonts w:hint="default" w:ascii="Times New Roman" w:hAnsi="Times New Roman" w:cs="Times New Roman"/>
                <w:color w:val="auto"/>
                <w:sz w:val="24"/>
                <w:highlight w:val="none"/>
              </w:rPr>
            </w:pPr>
          </w:p>
        </w:tc>
      </w:tr>
    </w:tbl>
    <w:p w14:paraId="27E8873D">
      <w:pPr>
        <w:rPr>
          <w:rFonts w:hint="default" w:ascii="Times New Roman" w:hAnsi="Times New Roman"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18135FB4">
      <w:pPr>
        <w:pStyle w:val="14"/>
        <w:adjustRightInd w:val="0"/>
        <w:spacing w:before="0" w:beforeAutospacing="0" w:after="0" w:afterAutospacing="0" w:line="360" w:lineRule="auto"/>
        <w:outlineLvl w:val="0"/>
        <w:rPr>
          <w:rFonts w:hint="default" w:ascii="Times New Roman" w:hAnsi="Times New Roman" w:eastAsia="黑体" w:cs="Times New Roman"/>
          <w:snapToGrid w:val="0"/>
          <w:color w:val="auto"/>
          <w:sz w:val="32"/>
          <w:szCs w:val="32"/>
          <w:highlight w:val="none"/>
        </w:rPr>
      </w:pPr>
      <w:bookmarkStart w:id="23" w:name="_Toc6080"/>
      <w:bookmarkStart w:id="24" w:name="_Toc80034807"/>
      <w:bookmarkStart w:id="25" w:name="_Toc31938"/>
      <w:r>
        <w:rPr>
          <w:rFonts w:hint="default" w:ascii="Times New Roman" w:hAnsi="Times New Roman" w:eastAsia="黑体" w:cs="Times New Roman"/>
          <w:snapToGrid w:val="0"/>
          <w:color w:val="auto"/>
          <w:sz w:val="32"/>
          <w:szCs w:val="32"/>
          <w:highlight w:val="none"/>
        </w:rPr>
        <w:t>附表</w:t>
      </w:r>
      <w:bookmarkEnd w:id="23"/>
      <w:bookmarkEnd w:id="24"/>
      <w:bookmarkEnd w:id="25"/>
    </w:p>
    <w:p w14:paraId="625F5EF5">
      <w:pPr>
        <w:pStyle w:val="14"/>
        <w:adjustRightInd w:val="0"/>
        <w:snapToGrid w:val="0"/>
        <w:spacing w:before="0" w:beforeAutospacing="0" w:after="0" w:afterAutospacing="0" w:line="360" w:lineRule="auto"/>
        <w:jc w:val="center"/>
        <w:outlineLvl w:val="0"/>
        <w:rPr>
          <w:rFonts w:hint="default" w:ascii="Times New Roman" w:hAnsi="Times New Roman" w:eastAsia="方正小标宋_GBK" w:cs="Times New Roman"/>
          <w:snapToGrid w:val="0"/>
          <w:color w:val="auto"/>
          <w:sz w:val="38"/>
          <w:szCs w:val="38"/>
          <w:highlight w:val="none"/>
        </w:rPr>
      </w:pPr>
      <w:bookmarkStart w:id="26" w:name="_Toc80034808"/>
      <w:bookmarkStart w:id="27" w:name="_Toc25318"/>
      <w:r>
        <w:rPr>
          <w:rFonts w:hint="default" w:ascii="Times New Roman" w:hAnsi="Times New Roman" w:eastAsia="方正小标宋_GBK" w:cs="Times New Roman"/>
          <w:snapToGrid w:val="0"/>
          <w:color w:val="auto"/>
          <w:sz w:val="38"/>
          <w:szCs w:val="38"/>
          <w:highlight w:val="none"/>
        </w:rPr>
        <w:t>建设项目污染物排放量汇总表</w:t>
      </w:r>
      <w:bookmarkEnd w:id="26"/>
      <w:bookmarkEnd w:id="27"/>
    </w:p>
    <w:tbl>
      <w:tblPr>
        <w:tblStyle w:val="17"/>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09"/>
        <w:gridCol w:w="1996"/>
        <w:gridCol w:w="1701"/>
        <w:gridCol w:w="1276"/>
        <w:gridCol w:w="1701"/>
        <w:gridCol w:w="1559"/>
        <w:gridCol w:w="1497"/>
        <w:gridCol w:w="1792"/>
        <w:gridCol w:w="1257"/>
      </w:tblGrid>
      <w:tr w14:paraId="1AE607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794" w:hRule="atLeast"/>
        </w:trPr>
        <w:tc>
          <w:tcPr>
            <w:tcW w:w="1009" w:type="dxa"/>
            <w:tcBorders>
              <w:tl2br w:val="single" w:color="auto" w:sz="4" w:space="0"/>
            </w:tcBorders>
            <w:tcMar>
              <w:left w:w="28" w:type="dxa"/>
              <w:right w:w="28" w:type="dxa"/>
            </w:tcMar>
            <w:vAlign w:val="center"/>
          </w:tcPr>
          <w:p w14:paraId="4CE280EE">
            <w:pPr>
              <w:pStyle w:val="37"/>
              <w:spacing w:beforeLines="0" w:afterLines="0" w:line="240" w:lineRule="auto"/>
              <w:jc w:val="right"/>
              <w:rPr>
                <w:rFonts w:hint="default" w:ascii="Times New Roman" w:hAnsi="Times New Roman" w:eastAsia="黑体" w:cs="Times New Roman"/>
                <w:snapToGrid w:val="0"/>
                <w:color w:val="auto"/>
                <w:spacing w:val="-6"/>
                <w:kern w:val="21"/>
                <w:sz w:val="24"/>
                <w:szCs w:val="24"/>
                <w:highlight w:val="none"/>
              </w:rPr>
            </w:pPr>
            <w:r>
              <w:rPr>
                <w:rFonts w:hint="default" w:ascii="Times New Roman" w:hAnsi="Times New Roman" w:eastAsia="黑体" w:cs="Times New Roman"/>
                <w:snapToGrid w:val="0"/>
                <w:color w:val="auto"/>
                <w:spacing w:val="-6"/>
                <w:kern w:val="21"/>
                <w:sz w:val="24"/>
                <w:szCs w:val="24"/>
                <w:highlight w:val="none"/>
              </w:rPr>
              <w:t>项目</w:t>
            </w:r>
          </w:p>
          <w:p w14:paraId="4256FEA9">
            <w:pPr>
              <w:pStyle w:val="37"/>
              <w:spacing w:beforeLines="0" w:afterLines="0" w:line="240" w:lineRule="auto"/>
              <w:jc w:val="left"/>
              <w:rPr>
                <w:rFonts w:hint="default" w:ascii="Times New Roman" w:hAnsi="Times New Roman" w:eastAsia="黑体" w:cs="Times New Roman"/>
                <w:snapToGrid w:val="0"/>
                <w:color w:val="auto"/>
                <w:spacing w:val="-6"/>
                <w:kern w:val="21"/>
                <w:sz w:val="24"/>
                <w:szCs w:val="24"/>
                <w:highlight w:val="none"/>
              </w:rPr>
            </w:pPr>
            <w:r>
              <w:rPr>
                <w:rFonts w:hint="default" w:ascii="Times New Roman" w:hAnsi="Times New Roman" w:eastAsia="黑体" w:cs="Times New Roman"/>
                <w:snapToGrid w:val="0"/>
                <w:color w:val="auto"/>
                <w:spacing w:val="-6"/>
                <w:kern w:val="21"/>
                <w:sz w:val="24"/>
                <w:szCs w:val="24"/>
                <w:highlight w:val="none"/>
              </w:rPr>
              <w:t>分类</w:t>
            </w:r>
          </w:p>
        </w:tc>
        <w:tc>
          <w:tcPr>
            <w:tcW w:w="1996" w:type="dxa"/>
            <w:tcMar>
              <w:left w:w="28" w:type="dxa"/>
              <w:right w:w="28" w:type="dxa"/>
            </w:tcMar>
            <w:vAlign w:val="center"/>
          </w:tcPr>
          <w:p w14:paraId="0124490E">
            <w:pPr>
              <w:pStyle w:val="37"/>
              <w:spacing w:beforeLines="0" w:afterLines="0" w:line="240" w:lineRule="auto"/>
              <w:rPr>
                <w:rFonts w:hint="default" w:ascii="Times New Roman" w:hAnsi="Times New Roman" w:eastAsia="黑体" w:cs="Times New Roman"/>
                <w:snapToGrid w:val="0"/>
                <w:color w:val="auto"/>
                <w:spacing w:val="-6"/>
                <w:kern w:val="21"/>
                <w:sz w:val="24"/>
                <w:szCs w:val="24"/>
                <w:highlight w:val="none"/>
              </w:rPr>
            </w:pPr>
            <w:r>
              <w:rPr>
                <w:rFonts w:hint="default" w:ascii="Times New Roman" w:hAnsi="Times New Roman" w:eastAsia="黑体" w:cs="Times New Roman"/>
                <w:snapToGrid w:val="0"/>
                <w:color w:val="auto"/>
                <w:spacing w:val="-6"/>
                <w:kern w:val="21"/>
                <w:sz w:val="24"/>
                <w:szCs w:val="24"/>
                <w:highlight w:val="none"/>
              </w:rPr>
              <w:t>污染物名称</w:t>
            </w:r>
          </w:p>
        </w:tc>
        <w:tc>
          <w:tcPr>
            <w:tcW w:w="1701" w:type="dxa"/>
            <w:tcMar>
              <w:left w:w="28" w:type="dxa"/>
              <w:right w:w="28" w:type="dxa"/>
            </w:tcMar>
            <w:vAlign w:val="center"/>
          </w:tcPr>
          <w:p w14:paraId="400A7247">
            <w:pPr>
              <w:pStyle w:val="37"/>
              <w:spacing w:beforeLines="0" w:afterLines="0" w:line="240" w:lineRule="auto"/>
              <w:rPr>
                <w:rFonts w:hint="default" w:ascii="Times New Roman" w:hAnsi="Times New Roman" w:eastAsia="黑体" w:cs="Times New Roman"/>
                <w:snapToGrid w:val="0"/>
                <w:color w:val="auto"/>
                <w:spacing w:val="-6"/>
                <w:kern w:val="21"/>
                <w:sz w:val="24"/>
                <w:szCs w:val="24"/>
                <w:highlight w:val="none"/>
              </w:rPr>
            </w:pPr>
            <w:r>
              <w:rPr>
                <w:rFonts w:hint="default" w:ascii="Times New Roman" w:hAnsi="Times New Roman" w:eastAsia="黑体" w:cs="Times New Roman"/>
                <w:snapToGrid w:val="0"/>
                <w:color w:val="auto"/>
                <w:spacing w:val="-6"/>
                <w:kern w:val="21"/>
                <w:sz w:val="24"/>
                <w:szCs w:val="24"/>
                <w:highlight w:val="none"/>
              </w:rPr>
              <w:t>现有工程</w:t>
            </w:r>
          </w:p>
          <w:p w14:paraId="3A2B9415">
            <w:pPr>
              <w:pStyle w:val="37"/>
              <w:spacing w:beforeLines="0" w:afterLines="0" w:line="240" w:lineRule="auto"/>
              <w:rPr>
                <w:rFonts w:hint="default" w:ascii="Times New Roman" w:hAnsi="Times New Roman" w:eastAsia="黑体" w:cs="Times New Roman"/>
                <w:snapToGrid w:val="0"/>
                <w:color w:val="auto"/>
                <w:spacing w:val="-6"/>
                <w:kern w:val="21"/>
                <w:sz w:val="24"/>
                <w:szCs w:val="24"/>
                <w:highlight w:val="none"/>
              </w:rPr>
            </w:pPr>
            <w:r>
              <w:rPr>
                <w:rFonts w:hint="default" w:ascii="Times New Roman" w:hAnsi="Times New Roman" w:eastAsia="黑体" w:cs="Times New Roman"/>
                <w:snapToGrid w:val="0"/>
                <w:color w:val="auto"/>
                <w:spacing w:val="-6"/>
                <w:kern w:val="21"/>
                <w:sz w:val="24"/>
                <w:szCs w:val="24"/>
                <w:highlight w:val="none"/>
              </w:rPr>
              <w:t>排放量（固体废物产生量）</w:t>
            </w:r>
            <w:r>
              <w:rPr>
                <w:rFonts w:hint="default" w:ascii="Times New Roman" w:hAnsi="Times New Roman" w:eastAsia="黑体" w:cs="Times New Roman"/>
                <w:snapToGrid w:val="0"/>
                <w:color w:val="auto"/>
                <w:spacing w:val="-6"/>
                <w:kern w:val="21"/>
                <w:sz w:val="24"/>
                <w:szCs w:val="24"/>
                <w:highlight w:val="none"/>
              </w:rPr>
              <w:fldChar w:fldCharType="begin"/>
            </w:r>
            <w:r>
              <w:rPr>
                <w:rFonts w:hint="default" w:ascii="Times New Roman" w:hAnsi="Times New Roman" w:eastAsia="黑体" w:cs="Times New Roman"/>
                <w:snapToGrid w:val="0"/>
                <w:color w:val="auto"/>
                <w:spacing w:val="-6"/>
                <w:kern w:val="21"/>
                <w:sz w:val="24"/>
                <w:szCs w:val="24"/>
                <w:highlight w:val="none"/>
              </w:rPr>
              <w:instrText xml:space="preserve"> = 1 \* GB3 \* MERGEFORMAT </w:instrText>
            </w:r>
            <w:r>
              <w:rPr>
                <w:rFonts w:hint="default" w:ascii="Times New Roman" w:hAnsi="Times New Roman" w:eastAsia="黑体" w:cs="Times New Roman"/>
                <w:snapToGrid w:val="0"/>
                <w:color w:val="auto"/>
                <w:spacing w:val="-6"/>
                <w:kern w:val="21"/>
                <w:sz w:val="24"/>
                <w:szCs w:val="24"/>
                <w:highlight w:val="none"/>
              </w:rPr>
              <w:fldChar w:fldCharType="separate"/>
            </w:r>
            <w:r>
              <w:rPr>
                <w:rFonts w:hint="default" w:ascii="Times New Roman" w:hAnsi="Times New Roman" w:eastAsia="黑体" w:cs="Times New Roman"/>
                <w:color w:val="auto"/>
                <w:kern w:val="2"/>
                <w:sz w:val="24"/>
                <w:szCs w:val="24"/>
                <w:highlight w:val="none"/>
              </w:rPr>
              <w:t>①</w:t>
            </w:r>
            <w:r>
              <w:rPr>
                <w:rFonts w:hint="default" w:ascii="Times New Roman" w:hAnsi="Times New Roman" w:eastAsia="黑体" w:cs="Times New Roman"/>
                <w:snapToGrid w:val="0"/>
                <w:color w:val="auto"/>
                <w:spacing w:val="-6"/>
                <w:kern w:val="21"/>
                <w:sz w:val="24"/>
                <w:szCs w:val="24"/>
                <w:highlight w:val="none"/>
              </w:rPr>
              <w:fldChar w:fldCharType="end"/>
            </w:r>
          </w:p>
        </w:tc>
        <w:tc>
          <w:tcPr>
            <w:tcW w:w="1276" w:type="dxa"/>
            <w:tcMar>
              <w:left w:w="28" w:type="dxa"/>
              <w:right w:w="28" w:type="dxa"/>
            </w:tcMar>
            <w:vAlign w:val="center"/>
          </w:tcPr>
          <w:p w14:paraId="574DEA79">
            <w:pPr>
              <w:pStyle w:val="37"/>
              <w:spacing w:beforeLines="0" w:afterLines="0" w:line="240" w:lineRule="auto"/>
              <w:rPr>
                <w:rFonts w:hint="default" w:ascii="Times New Roman" w:hAnsi="Times New Roman" w:eastAsia="黑体" w:cs="Times New Roman"/>
                <w:snapToGrid w:val="0"/>
                <w:color w:val="auto"/>
                <w:spacing w:val="-6"/>
                <w:kern w:val="21"/>
                <w:sz w:val="24"/>
                <w:szCs w:val="24"/>
                <w:highlight w:val="none"/>
              </w:rPr>
            </w:pPr>
            <w:r>
              <w:rPr>
                <w:rFonts w:hint="default" w:ascii="Times New Roman" w:hAnsi="Times New Roman" w:eastAsia="黑体" w:cs="Times New Roman"/>
                <w:snapToGrid w:val="0"/>
                <w:color w:val="auto"/>
                <w:spacing w:val="-6"/>
                <w:kern w:val="21"/>
                <w:sz w:val="24"/>
                <w:szCs w:val="24"/>
                <w:highlight w:val="none"/>
              </w:rPr>
              <w:t>现有工程</w:t>
            </w:r>
          </w:p>
          <w:p w14:paraId="391F32C1">
            <w:pPr>
              <w:pStyle w:val="37"/>
              <w:spacing w:beforeLines="0" w:afterLines="0" w:line="240" w:lineRule="auto"/>
              <w:rPr>
                <w:rFonts w:hint="default" w:ascii="Times New Roman" w:hAnsi="Times New Roman" w:eastAsia="黑体" w:cs="Times New Roman"/>
                <w:snapToGrid w:val="0"/>
                <w:color w:val="auto"/>
                <w:spacing w:val="-6"/>
                <w:kern w:val="21"/>
                <w:sz w:val="24"/>
                <w:szCs w:val="24"/>
                <w:highlight w:val="none"/>
              </w:rPr>
            </w:pPr>
            <w:r>
              <w:rPr>
                <w:rFonts w:hint="default" w:ascii="Times New Roman" w:hAnsi="Times New Roman" w:eastAsia="黑体" w:cs="Times New Roman"/>
                <w:snapToGrid w:val="0"/>
                <w:color w:val="auto"/>
                <w:spacing w:val="-6"/>
                <w:kern w:val="21"/>
                <w:sz w:val="24"/>
                <w:szCs w:val="24"/>
                <w:highlight w:val="none"/>
              </w:rPr>
              <w:t>许可排放量</w:t>
            </w:r>
          </w:p>
          <w:p w14:paraId="0D7B77E3">
            <w:pPr>
              <w:pStyle w:val="37"/>
              <w:spacing w:beforeLines="0" w:afterLines="0"/>
              <w:rPr>
                <w:rFonts w:hint="default" w:ascii="Times New Roman" w:hAnsi="Times New Roman" w:eastAsia="黑体" w:cs="Times New Roman"/>
                <w:snapToGrid w:val="0"/>
                <w:color w:val="auto"/>
                <w:spacing w:val="-6"/>
                <w:kern w:val="21"/>
                <w:sz w:val="24"/>
                <w:szCs w:val="24"/>
                <w:highlight w:val="none"/>
              </w:rPr>
            </w:pPr>
            <w:r>
              <w:rPr>
                <w:rFonts w:hint="default" w:ascii="Times New Roman" w:hAnsi="Times New Roman" w:eastAsia="黑体" w:cs="Times New Roman"/>
                <w:snapToGrid w:val="0"/>
                <w:color w:val="auto"/>
                <w:spacing w:val="-6"/>
                <w:kern w:val="21"/>
                <w:sz w:val="24"/>
                <w:szCs w:val="24"/>
                <w:highlight w:val="none"/>
              </w:rPr>
              <w:fldChar w:fldCharType="begin"/>
            </w:r>
            <w:r>
              <w:rPr>
                <w:rFonts w:hint="default" w:ascii="Times New Roman" w:hAnsi="Times New Roman" w:eastAsia="黑体" w:cs="Times New Roman"/>
                <w:snapToGrid w:val="0"/>
                <w:color w:val="auto"/>
                <w:spacing w:val="-6"/>
                <w:kern w:val="21"/>
                <w:sz w:val="24"/>
                <w:szCs w:val="24"/>
                <w:highlight w:val="none"/>
              </w:rPr>
              <w:instrText xml:space="preserve"> = 2 \* GB3 \* MERGEFORMAT </w:instrText>
            </w:r>
            <w:r>
              <w:rPr>
                <w:rFonts w:hint="default" w:ascii="Times New Roman" w:hAnsi="Times New Roman" w:eastAsia="黑体" w:cs="Times New Roman"/>
                <w:snapToGrid w:val="0"/>
                <w:color w:val="auto"/>
                <w:spacing w:val="-6"/>
                <w:kern w:val="21"/>
                <w:sz w:val="24"/>
                <w:szCs w:val="24"/>
                <w:highlight w:val="none"/>
              </w:rPr>
              <w:fldChar w:fldCharType="separate"/>
            </w:r>
            <w:r>
              <w:rPr>
                <w:rFonts w:hint="default" w:ascii="Times New Roman" w:hAnsi="Times New Roman" w:eastAsia="黑体" w:cs="Times New Roman"/>
                <w:snapToGrid w:val="0"/>
                <w:color w:val="auto"/>
                <w:spacing w:val="-6"/>
                <w:kern w:val="21"/>
                <w:sz w:val="24"/>
                <w:szCs w:val="24"/>
                <w:highlight w:val="none"/>
              </w:rPr>
              <w:t>②</w:t>
            </w:r>
            <w:r>
              <w:rPr>
                <w:rFonts w:hint="default" w:ascii="Times New Roman" w:hAnsi="Times New Roman" w:eastAsia="黑体" w:cs="Times New Roman"/>
                <w:snapToGrid w:val="0"/>
                <w:color w:val="auto"/>
                <w:spacing w:val="-6"/>
                <w:kern w:val="21"/>
                <w:sz w:val="24"/>
                <w:szCs w:val="24"/>
                <w:highlight w:val="none"/>
              </w:rPr>
              <w:fldChar w:fldCharType="end"/>
            </w:r>
          </w:p>
        </w:tc>
        <w:tc>
          <w:tcPr>
            <w:tcW w:w="1701" w:type="dxa"/>
            <w:tcMar>
              <w:left w:w="28" w:type="dxa"/>
              <w:right w:w="28" w:type="dxa"/>
            </w:tcMar>
            <w:vAlign w:val="center"/>
          </w:tcPr>
          <w:p w14:paraId="297BA305">
            <w:pPr>
              <w:pStyle w:val="37"/>
              <w:spacing w:beforeLines="0" w:afterLines="0" w:line="240" w:lineRule="auto"/>
              <w:rPr>
                <w:rFonts w:hint="default" w:ascii="Times New Roman" w:hAnsi="Times New Roman" w:eastAsia="黑体" w:cs="Times New Roman"/>
                <w:snapToGrid w:val="0"/>
                <w:color w:val="auto"/>
                <w:spacing w:val="-6"/>
                <w:kern w:val="21"/>
                <w:sz w:val="24"/>
                <w:szCs w:val="24"/>
                <w:highlight w:val="none"/>
              </w:rPr>
            </w:pPr>
            <w:r>
              <w:rPr>
                <w:rFonts w:hint="default" w:ascii="Times New Roman" w:hAnsi="Times New Roman" w:eastAsia="黑体" w:cs="Times New Roman"/>
                <w:snapToGrid w:val="0"/>
                <w:color w:val="auto"/>
                <w:spacing w:val="-6"/>
                <w:kern w:val="21"/>
                <w:sz w:val="24"/>
                <w:szCs w:val="24"/>
                <w:highlight w:val="none"/>
              </w:rPr>
              <w:t>在建工程</w:t>
            </w:r>
          </w:p>
          <w:p w14:paraId="3A0BAD49">
            <w:pPr>
              <w:pStyle w:val="37"/>
              <w:spacing w:beforeLines="0" w:afterLines="0" w:line="240" w:lineRule="auto"/>
              <w:rPr>
                <w:rFonts w:hint="default" w:ascii="Times New Roman" w:hAnsi="Times New Roman" w:eastAsia="黑体" w:cs="Times New Roman"/>
                <w:snapToGrid w:val="0"/>
                <w:color w:val="auto"/>
                <w:spacing w:val="-6"/>
                <w:kern w:val="21"/>
                <w:sz w:val="24"/>
                <w:szCs w:val="24"/>
                <w:highlight w:val="none"/>
              </w:rPr>
            </w:pPr>
            <w:r>
              <w:rPr>
                <w:rFonts w:hint="default" w:ascii="Times New Roman" w:hAnsi="Times New Roman" w:eastAsia="黑体" w:cs="Times New Roman"/>
                <w:snapToGrid w:val="0"/>
                <w:color w:val="auto"/>
                <w:spacing w:val="-6"/>
                <w:kern w:val="21"/>
                <w:sz w:val="24"/>
                <w:szCs w:val="24"/>
                <w:highlight w:val="none"/>
              </w:rPr>
              <w:t>排放量（固体废物产生量）</w:t>
            </w:r>
            <w:r>
              <w:rPr>
                <w:rFonts w:hint="default" w:ascii="Times New Roman" w:hAnsi="Times New Roman" w:eastAsia="黑体" w:cs="Times New Roman"/>
                <w:snapToGrid w:val="0"/>
                <w:color w:val="auto"/>
                <w:spacing w:val="-6"/>
                <w:kern w:val="21"/>
                <w:sz w:val="24"/>
                <w:szCs w:val="24"/>
                <w:highlight w:val="none"/>
              </w:rPr>
              <w:fldChar w:fldCharType="begin"/>
            </w:r>
            <w:r>
              <w:rPr>
                <w:rFonts w:hint="default" w:ascii="Times New Roman" w:hAnsi="Times New Roman" w:eastAsia="黑体" w:cs="Times New Roman"/>
                <w:snapToGrid w:val="0"/>
                <w:color w:val="auto"/>
                <w:spacing w:val="-6"/>
                <w:kern w:val="21"/>
                <w:sz w:val="24"/>
                <w:szCs w:val="24"/>
                <w:highlight w:val="none"/>
              </w:rPr>
              <w:instrText xml:space="preserve"> = 3 \* GB3 \* MERGEFORMAT </w:instrText>
            </w:r>
            <w:r>
              <w:rPr>
                <w:rFonts w:hint="default" w:ascii="Times New Roman" w:hAnsi="Times New Roman" w:eastAsia="黑体" w:cs="Times New Roman"/>
                <w:snapToGrid w:val="0"/>
                <w:color w:val="auto"/>
                <w:spacing w:val="-6"/>
                <w:kern w:val="21"/>
                <w:sz w:val="24"/>
                <w:szCs w:val="24"/>
                <w:highlight w:val="none"/>
              </w:rPr>
              <w:fldChar w:fldCharType="separate"/>
            </w:r>
            <w:r>
              <w:rPr>
                <w:rFonts w:hint="default" w:ascii="Times New Roman" w:hAnsi="Times New Roman" w:eastAsia="黑体" w:cs="Times New Roman"/>
                <w:color w:val="auto"/>
                <w:kern w:val="2"/>
                <w:sz w:val="24"/>
                <w:szCs w:val="24"/>
                <w:highlight w:val="none"/>
              </w:rPr>
              <w:t>③</w:t>
            </w:r>
            <w:r>
              <w:rPr>
                <w:rFonts w:hint="default" w:ascii="Times New Roman" w:hAnsi="Times New Roman" w:eastAsia="黑体" w:cs="Times New Roman"/>
                <w:snapToGrid w:val="0"/>
                <w:color w:val="auto"/>
                <w:spacing w:val="-6"/>
                <w:kern w:val="21"/>
                <w:sz w:val="24"/>
                <w:szCs w:val="24"/>
                <w:highlight w:val="none"/>
              </w:rPr>
              <w:fldChar w:fldCharType="end"/>
            </w:r>
          </w:p>
        </w:tc>
        <w:tc>
          <w:tcPr>
            <w:tcW w:w="1559" w:type="dxa"/>
            <w:tcMar>
              <w:left w:w="28" w:type="dxa"/>
              <w:right w:w="28" w:type="dxa"/>
            </w:tcMar>
            <w:vAlign w:val="center"/>
          </w:tcPr>
          <w:p w14:paraId="5B56F50D">
            <w:pPr>
              <w:pStyle w:val="37"/>
              <w:spacing w:beforeLines="0" w:afterLines="0" w:line="240" w:lineRule="auto"/>
              <w:rPr>
                <w:rFonts w:hint="default" w:ascii="Times New Roman" w:hAnsi="Times New Roman" w:eastAsia="黑体" w:cs="Times New Roman"/>
                <w:snapToGrid w:val="0"/>
                <w:color w:val="auto"/>
                <w:spacing w:val="-6"/>
                <w:kern w:val="21"/>
                <w:sz w:val="24"/>
                <w:szCs w:val="24"/>
                <w:highlight w:val="none"/>
              </w:rPr>
            </w:pPr>
            <w:r>
              <w:rPr>
                <w:rFonts w:hint="default" w:ascii="Times New Roman" w:hAnsi="Times New Roman" w:eastAsia="黑体" w:cs="Times New Roman"/>
                <w:snapToGrid w:val="0"/>
                <w:color w:val="auto"/>
                <w:spacing w:val="-6"/>
                <w:kern w:val="21"/>
                <w:sz w:val="24"/>
                <w:szCs w:val="24"/>
                <w:highlight w:val="none"/>
              </w:rPr>
              <w:t>本项目</w:t>
            </w:r>
          </w:p>
          <w:p w14:paraId="5A4799CF">
            <w:pPr>
              <w:pStyle w:val="37"/>
              <w:spacing w:beforeLines="0" w:afterLines="0" w:line="240" w:lineRule="auto"/>
              <w:rPr>
                <w:rFonts w:hint="default" w:ascii="Times New Roman" w:hAnsi="Times New Roman" w:eastAsia="黑体" w:cs="Times New Roman"/>
                <w:snapToGrid w:val="0"/>
                <w:color w:val="auto"/>
                <w:spacing w:val="-6"/>
                <w:kern w:val="21"/>
                <w:sz w:val="24"/>
                <w:szCs w:val="24"/>
                <w:highlight w:val="none"/>
              </w:rPr>
            </w:pPr>
            <w:r>
              <w:rPr>
                <w:rFonts w:hint="default" w:ascii="Times New Roman" w:hAnsi="Times New Roman" w:eastAsia="黑体" w:cs="Times New Roman"/>
                <w:snapToGrid w:val="0"/>
                <w:color w:val="auto"/>
                <w:spacing w:val="-6"/>
                <w:kern w:val="21"/>
                <w:sz w:val="24"/>
                <w:szCs w:val="24"/>
                <w:highlight w:val="none"/>
              </w:rPr>
              <w:t>排放量（固体废物产生量）</w:t>
            </w:r>
            <w:r>
              <w:rPr>
                <w:rFonts w:hint="default" w:ascii="Times New Roman" w:hAnsi="Times New Roman" w:eastAsia="黑体" w:cs="Times New Roman"/>
                <w:snapToGrid w:val="0"/>
                <w:color w:val="auto"/>
                <w:spacing w:val="-6"/>
                <w:kern w:val="21"/>
                <w:sz w:val="24"/>
                <w:szCs w:val="24"/>
                <w:highlight w:val="none"/>
              </w:rPr>
              <w:fldChar w:fldCharType="begin"/>
            </w:r>
            <w:r>
              <w:rPr>
                <w:rFonts w:hint="default" w:ascii="Times New Roman" w:hAnsi="Times New Roman" w:eastAsia="黑体" w:cs="Times New Roman"/>
                <w:snapToGrid w:val="0"/>
                <w:color w:val="auto"/>
                <w:spacing w:val="-6"/>
                <w:kern w:val="21"/>
                <w:sz w:val="24"/>
                <w:szCs w:val="24"/>
                <w:highlight w:val="none"/>
              </w:rPr>
              <w:instrText xml:space="preserve"> = 4 \* GB3 \* MERGEFORMAT </w:instrText>
            </w:r>
            <w:r>
              <w:rPr>
                <w:rFonts w:hint="default" w:ascii="Times New Roman" w:hAnsi="Times New Roman" w:eastAsia="黑体" w:cs="Times New Roman"/>
                <w:snapToGrid w:val="0"/>
                <w:color w:val="auto"/>
                <w:spacing w:val="-6"/>
                <w:kern w:val="21"/>
                <w:sz w:val="24"/>
                <w:szCs w:val="24"/>
                <w:highlight w:val="none"/>
              </w:rPr>
              <w:fldChar w:fldCharType="separate"/>
            </w:r>
            <w:r>
              <w:rPr>
                <w:rFonts w:hint="default" w:ascii="Times New Roman" w:hAnsi="Times New Roman" w:eastAsia="黑体" w:cs="Times New Roman"/>
                <w:color w:val="auto"/>
                <w:kern w:val="2"/>
                <w:sz w:val="24"/>
                <w:szCs w:val="24"/>
                <w:highlight w:val="none"/>
              </w:rPr>
              <w:t>④</w:t>
            </w:r>
            <w:r>
              <w:rPr>
                <w:rFonts w:hint="default" w:ascii="Times New Roman" w:hAnsi="Times New Roman" w:eastAsia="黑体" w:cs="Times New Roman"/>
                <w:snapToGrid w:val="0"/>
                <w:color w:val="auto"/>
                <w:spacing w:val="-6"/>
                <w:kern w:val="21"/>
                <w:sz w:val="24"/>
                <w:szCs w:val="24"/>
                <w:highlight w:val="none"/>
              </w:rPr>
              <w:fldChar w:fldCharType="end"/>
            </w:r>
          </w:p>
        </w:tc>
        <w:tc>
          <w:tcPr>
            <w:tcW w:w="1497" w:type="dxa"/>
            <w:tcMar>
              <w:left w:w="28" w:type="dxa"/>
              <w:right w:w="28" w:type="dxa"/>
            </w:tcMar>
            <w:vAlign w:val="center"/>
          </w:tcPr>
          <w:p w14:paraId="38699237">
            <w:pPr>
              <w:pStyle w:val="37"/>
              <w:spacing w:beforeLines="0" w:afterLines="0" w:line="240" w:lineRule="auto"/>
              <w:rPr>
                <w:rFonts w:hint="default" w:ascii="Times New Roman" w:hAnsi="Times New Roman" w:eastAsia="黑体" w:cs="Times New Roman"/>
                <w:snapToGrid w:val="0"/>
                <w:color w:val="auto"/>
                <w:spacing w:val="-16"/>
                <w:kern w:val="21"/>
                <w:sz w:val="24"/>
                <w:szCs w:val="24"/>
                <w:highlight w:val="none"/>
              </w:rPr>
            </w:pPr>
            <w:r>
              <w:rPr>
                <w:rFonts w:hint="default" w:ascii="Times New Roman" w:hAnsi="Times New Roman" w:eastAsia="黑体" w:cs="Times New Roman"/>
                <w:snapToGrid w:val="0"/>
                <w:color w:val="auto"/>
                <w:spacing w:val="-16"/>
                <w:kern w:val="21"/>
                <w:sz w:val="24"/>
                <w:szCs w:val="24"/>
                <w:highlight w:val="none"/>
              </w:rPr>
              <w:t>以新带老削减量（新建项目不填）</w:t>
            </w:r>
            <w:r>
              <w:rPr>
                <w:rFonts w:hint="default" w:ascii="Times New Roman" w:hAnsi="Times New Roman" w:eastAsia="黑体" w:cs="Times New Roman"/>
                <w:snapToGrid w:val="0"/>
                <w:color w:val="auto"/>
                <w:spacing w:val="-16"/>
                <w:kern w:val="21"/>
                <w:sz w:val="24"/>
                <w:szCs w:val="24"/>
                <w:highlight w:val="none"/>
              </w:rPr>
              <w:fldChar w:fldCharType="begin"/>
            </w:r>
            <w:r>
              <w:rPr>
                <w:rFonts w:hint="default" w:ascii="Times New Roman" w:hAnsi="Times New Roman" w:eastAsia="黑体" w:cs="Times New Roman"/>
                <w:snapToGrid w:val="0"/>
                <w:color w:val="auto"/>
                <w:spacing w:val="-16"/>
                <w:kern w:val="21"/>
                <w:sz w:val="24"/>
                <w:szCs w:val="24"/>
                <w:highlight w:val="none"/>
              </w:rPr>
              <w:instrText xml:space="preserve"> = 5 \* GB3 \* MERGEFORMAT </w:instrText>
            </w:r>
            <w:r>
              <w:rPr>
                <w:rFonts w:hint="default" w:ascii="Times New Roman" w:hAnsi="Times New Roman" w:eastAsia="黑体" w:cs="Times New Roman"/>
                <w:snapToGrid w:val="0"/>
                <w:color w:val="auto"/>
                <w:spacing w:val="-16"/>
                <w:kern w:val="21"/>
                <w:sz w:val="24"/>
                <w:szCs w:val="24"/>
                <w:highlight w:val="none"/>
              </w:rPr>
              <w:fldChar w:fldCharType="separate"/>
            </w:r>
            <w:r>
              <w:rPr>
                <w:rFonts w:hint="default" w:ascii="Times New Roman" w:hAnsi="Times New Roman" w:eastAsia="黑体" w:cs="Times New Roman"/>
                <w:color w:val="auto"/>
                <w:kern w:val="2"/>
                <w:sz w:val="24"/>
                <w:szCs w:val="24"/>
                <w:highlight w:val="none"/>
              </w:rPr>
              <w:t>⑤</w:t>
            </w:r>
            <w:r>
              <w:rPr>
                <w:rFonts w:hint="default" w:ascii="Times New Roman" w:hAnsi="Times New Roman" w:eastAsia="黑体" w:cs="Times New Roman"/>
                <w:snapToGrid w:val="0"/>
                <w:color w:val="auto"/>
                <w:spacing w:val="-16"/>
                <w:kern w:val="21"/>
                <w:sz w:val="24"/>
                <w:szCs w:val="24"/>
                <w:highlight w:val="none"/>
              </w:rPr>
              <w:fldChar w:fldCharType="end"/>
            </w:r>
          </w:p>
        </w:tc>
        <w:tc>
          <w:tcPr>
            <w:tcW w:w="1792" w:type="dxa"/>
            <w:tcMar>
              <w:left w:w="28" w:type="dxa"/>
              <w:right w:w="28" w:type="dxa"/>
            </w:tcMar>
            <w:vAlign w:val="center"/>
          </w:tcPr>
          <w:p w14:paraId="735A7144">
            <w:pPr>
              <w:pStyle w:val="37"/>
              <w:spacing w:beforeLines="0" w:afterLines="0" w:line="240" w:lineRule="auto"/>
              <w:rPr>
                <w:rFonts w:hint="default" w:ascii="Times New Roman" w:hAnsi="Times New Roman" w:eastAsia="黑体" w:cs="Times New Roman"/>
                <w:snapToGrid w:val="0"/>
                <w:color w:val="auto"/>
                <w:spacing w:val="-16"/>
                <w:kern w:val="21"/>
                <w:sz w:val="24"/>
                <w:szCs w:val="24"/>
                <w:highlight w:val="none"/>
              </w:rPr>
            </w:pPr>
            <w:r>
              <w:rPr>
                <w:rFonts w:hint="default" w:ascii="Times New Roman" w:hAnsi="Times New Roman" w:eastAsia="黑体" w:cs="Times New Roman"/>
                <w:snapToGrid w:val="0"/>
                <w:color w:val="auto"/>
                <w:spacing w:val="-16"/>
                <w:kern w:val="21"/>
                <w:sz w:val="24"/>
                <w:szCs w:val="24"/>
                <w:highlight w:val="none"/>
              </w:rPr>
              <w:t>本项目建成后</w:t>
            </w:r>
          </w:p>
          <w:p w14:paraId="485B7F30">
            <w:pPr>
              <w:pStyle w:val="37"/>
              <w:spacing w:beforeLines="0" w:afterLines="0" w:line="240" w:lineRule="auto"/>
              <w:rPr>
                <w:rFonts w:hint="default" w:ascii="Times New Roman" w:hAnsi="Times New Roman" w:eastAsia="黑体" w:cs="Times New Roman"/>
                <w:snapToGrid w:val="0"/>
                <w:color w:val="auto"/>
                <w:spacing w:val="-16"/>
                <w:kern w:val="21"/>
                <w:sz w:val="24"/>
                <w:szCs w:val="24"/>
                <w:highlight w:val="none"/>
              </w:rPr>
            </w:pPr>
            <w:r>
              <w:rPr>
                <w:rFonts w:hint="default" w:ascii="Times New Roman" w:hAnsi="Times New Roman" w:eastAsia="黑体" w:cs="Times New Roman"/>
                <w:snapToGrid w:val="0"/>
                <w:color w:val="auto"/>
                <w:spacing w:val="-16"/>
                <w:kern w:val="21"/>
                <w:sz w:val="24"/>
                <w:szCs w:val="24"/>
                <w:highlight w:val="none"/>
              </w:rPr>
              <w:t>全厂排放量（固体废物产生量）</w:t>
            </w:r>
            <w:r>
              <w:rPr>
                <w:rFonts w:hint="default" w:ascii="Times New Roman" w:hAnsi="Times New Roman" w:eastAsia="黑体" w:cs="Times New Roman"/>
                <w:snapToGrid w:val="0"/>
                <w:color w:val="auto"/>
                <w:spacing w:val="-16"/>
                <w:kern w:val="21"/>
                <w:sz w:val="24"/>
                <w:szCs w:val="24"/>
                <w:highlight w:val="none"/>
              </w:rPr>
              <w:fldChar w:fldCharType="begin"/>
            </w:r>
            <w:r>
              <w:rPr>
                <w:rFonts w:hint="default" w:ascii="Times New Roman" w:hAnsi="Times New Roman" w:eastAsia="黑体" w:cs="Times New Roman"/>
                <w:snapToGrid w:val="0"/>
                <w:color w:val="auto"/>
                <w:spacing w:val="-16"/>
                <w:kern w:val="21"/>
                <w:sz w:val="24"/>
                <w:szCs w:val="24"/>
                <w:highlight w:val="none"/>
              </w:rPr>
              <w:instrText xml:space="preserve"> = 6 \* GB3 \* MERGEFORMAT </w:instrText>
            </w:r>
            <w:r>
              <w:rPr>
                <w:rFonts w:hint="default" w:ascii="Times New Roman" w:hAnsi="Times New Roman" w:eastAsia="黑体" w:cs="Times New Roman"/>
                <w:snapToGrid w:val="0"/>
                <w:color w:val="auto"/>
                <w:spacing w:val="-16"/>
                <w:kern w:val="21"/>
                <w:sz w:val="24"/>
                <w:szCs w:val="24"/>
                <w:highlight w:val="none"/>
              </w:rPr>
              <w:fldChar w:fldCharType="separate"/>
            </w:r>
            <w:r>
              <w:rPr>
                <w:rFonts w:hint="default" w:ascii="Times New Roman" w:hAnsi="Times New Roman" w:eastAsia="黑体" w:cs="Times New Roman"/>
                <w:color w:val="auto"/>
                <w:kern w:val="2"/>
                <w:sz w:val="24"/>
                <w:szCs w:val="24"/>
                <w:highlight w:val="none"/>
              </w:rPr>
              <w:t>⑥</w:t>
            </w:r>
            <w:r>
              <w:rPr>
                <w:rFonts w:hint="default" w:ascii="Times New Roman" w:hAnsi="Times New Roman" w:eastAsia="黑体" w:cs="Times New Roman"/>
                <w:snapToGrid w:val="0"/>
                <w:color w:val="auto"/>
                <w:spacing w:val="-16"/>
                <w:kern w:val="21"/>
                <w:sz w:val="24"/>
                <w:szCs w:val="24"/>
                <w:highlight w:val="none"/>
              </w:rPr>
              <w:fldChar w:fldCharType="end"/>
            </w:r>
          </w:p>
        </w:tc>
        <w:tc>
          <w:tcPr>
            <w:tcW w:w="1257" w:type="dxa"/>
            <w:tcMar>
              <w:left w:w="28" w:type="dxa"/>
              <w:right w:w="28" w:type="dxa"/>
            </w:tcMar>
            <w:vAlign w:val="center"/>
          </w:tcPr>
          <w:p w14:paraId="630929A5">
            <w:pPr>
              <w:pStyle w:val="37"/>
              <w:spacing w:beforeLines="0" w:afterLines="0" w:line="240" w:lineRule="auto"/>
              <w:rPr>
                <w:rFonts w:hint="default" w:ascii="Times New Roman" w:hAnsi="Times New Roman" w:eastAsia="黑体" w:cs="Times New Roman"/>
                <w:snapToGrid w:val="0"/>
                <w:color w:val="auto"/>
                <w:spacing w:val="-6"/>
                <w:kern w:val="21"/>
                <w:sz w:val="24"/>
                <w:szCs w:val="24"/>
                <w:highlight w:val="none"/>
              </w:rPr>
            </w:pPr>
            <w:r>
              <w:rPr>
                <w:rFonts w:hint="default" w:ascii="Times New Roman" w:hAnsi="Times New Roman" w:eastAsia="黑体" w:cs="Times New Roman"/>
                <w:snapToGrid w:val="0"/>
                <w:color w:val="auto"/>
                <w:spacing w:val="-6"/>
                <w:kern w:val="21"/>
                <w:sz w:val="24"/>
                <w:szCs w:val="24"/>
                <w:highlight w:val="none"/>
              </w:rPr>
              <w:t>变化量</w:t>
            </w:r>
          </w:p>
          <w:p w14:paraId="601D7005">
            <w:pPr>
              <w:pStyle w:val="37"/>
              <w:spacing w:beforeLines="0" w:afterLines="0" w:line="240" w:lineRule="auto"/>
              <w:rPr>
                <w:rFonts w:hint="default" w:ascii="Times New Roman" w:hAnsi="Times New Roman" w:eastAsia="黑体" w:cs="Times New Roman"/>
                <w:snapToGrid w:val="0"/>
                <w:color w:val="auto"/>
                <w:spacing w:val="-6"/>
                <w:kern w:val="21"/>
                <w:sz w:val="24"/>
                <w:szCs w:val="24"/>
                <w:highlight w:val="none"/>
              </w:rPr>
            </w:pPr>
            <w:r>
              <w:rPr>
                <w:rFonts w:hint="default" w:ascii="Times New Roman" w:hAnsi="Times New Roman" w:eastAsia="黑体" w:cs="Times New Roman"/>
                <w:snapToGrid w:val="0"/>
                <w:color w:val="auto"/>
                <w:spacing w:val="-6"/>
                <w:kern w:val="21"/>
                <w:sz w:val="24"/>
                <w:szCs w:val="24"/>
                <w:highlight w:val="none"/>
              </w:rPr>
              <w:fldChar w:fldCharType="begin"/>
            </w:r>
            <w:r>
              <w:rPr>
                <w:rFonts w:hint="default" w:ascii="Times New Roman" w:hAnsi="Times New Roman" w:eastAsia="黑体" w:cs="Times New Roman"/>
                <w:snapToGrid w:val="0"/>
                <w:color w:val="auto"/>
                <w:spacing w:val="-6"/>
                <w:kern w:val="21"/>
                <w:sz w:val="24"/>
                <w:szCs w:val="24"/>
                <w:highlight w:val="none"/>
              </w:rPr>
              <w:instrText xml:space="preserve"> = 7 \* GB3 \* MERGEFORMAT </w:instrText>
            </w:r>
            <w:r>
              <w:rPr>
                <w:rFonts w:hint="default" w:ascii="Times New Roman" w:hAnsi="Times New Roman" w:eastAsia="黑体" w:cs="Times New Roman"/>
                <w:snapToGrid w:val="0"/>
                <w:color w:val="auto"/>
                <w:spacing w:val="-6"/>
                <w:kern w:val="21"/>
                <w:sz w:val="24"/>
                <w:szCs w:val="24"/>
                <w:highlight w:val="none"/>
              </w:rPr>
              <w:fldChar w:fldCharType="separate"/>
            </w:r>
            <w:r>
              <w:rPr>
                <w:rFonts w:hint="default" w:ascii="Times New Roman" w:hAnsi="Times New Roman" w:eastAsia="黑体" w:cs="Times New Roman"/>
                <w:color w:val="auto"/>
                <w:kern w:val="2"/>
                <w:sz w:val="24"/>
                <w:szCs w:val="24"/>
                <w:highlight w:val="none"/>
              </w:rPr>
              <w:t>⑦</w:t>
            </w:r>
            <w:r>
              <w:rPr>
                <w:rFonts w:hint="default" w:ascii="Times New Roman" w:hAnsi="Times New Roman" w:eastAsia="黑体" w:cs="Times New Roman"/>
                <w:snapToGrid w:val="0"/>
                <w:color w:val="auto"/>
                <w:spacing w:val="-6"/>
                <w:kern w:val="21"/>
                <w:sz w:val="24"/>
                <w:szCs w:val="24"/>
                <w:highlight w:val="none"/>
              </w:rPr>
              <w:fldChar w:fldCharType="end"/>
            </w:r>
          </w:p>
        </w:tc>
      </w:tr>
      <w:tr w14:paraId="057E4C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Align w:val="center"/>
          </w:tcPr>
          <w:p w14:paraId="4DC79A26">
            <w:pPr>
              <w:pStyle w:val="37"/>
              <w:spacing w:beforeLines="0" w:afterLines="0" w:line="240" w:lineRule="auto"/>
              <w:rPr>
                <w:rFonts w:hint="default" w:ascii="Times New Roman" w:hAnsi="Times New Roman" w:cs="Times New Roman"/>
                <w:snapToGrid w:val="0"/>
                <w:color w:val="auto"/>
                <w:kern w:val="21"/>
                <w:sz w:val="24"/>
                <w:szCs w:val="24"/>
                <w:highlight w:val="none"/>
              </w:rPr>
            </w:pPr>
            <w:r>
              <w:rPr>
                <w:rFonts w:hint="default" w:ascii="Times New Roman" w:hAnsi="Times New Roman" w:cs="Times New Roman"/>
                <w:snapToGrid w:val="0"/>
                <w:color w:val="auto"/>
                <w:kern w:val="21"/>
                <w:sz w:val="24"/>
                <w:szCs w:val="24"/>
                <w:highlight w:val="none"/>
              </w:rPr>
              <w:t>废气</w:t>
            </w:r>
          </w:p>
        </w:tc>
        <w:tc>
          <w:tcPr>
            <w:tcW w:w="1996" w:type="dxa"/>
            <w:vAlign w:val="center"/>
          </w:tcPr>
          <w:p w14:paraId="18601E79">
            <w:pPr>
              <w:jc w:val="center"/>
              <w:rPr>
                <w:rFonts w:hint="default" w:ascii="Times New Roman" w:hAnsi="Times New Roman" w:cs="Times New Roman"/>
                <w:snapToGrid w:val="0"/>
                <w:color w:val="auto"/>
                <w:kern w:val="21"/>
                <w:sz w:val="24"/>
                <w:highlight w:val="none"/>
              </w:rPr>
            </w:pPr>
            <w:r>
              <w:rPr>
                <w:rFonts w:hint="default" w:ascii="Times New Roman" w:hAnsi="Times New Roman" w:cs="Times New Roman"/>
                <w:snapToGrid w:val="0"/>
                <w:color w:val="auto"/>
                <w:kern w:val="21"/>
                <w:sz w:val="24"/>
                <w:highlight w:val="none"/>
              </w:rPr>
              <w:t>颗粒物</w:t>
            </w:r>
          </w:p>
        </w:tc>
        <w:tc>
          <w:tcPr>
            <w:tcW w:w="1701" w:type="dxa"/>
            <w:vAlign w:val="center"/>
          </w:tcPr>
          <w:p w14:paraId="10F1179F">
            <w:pPr>
              <w:jc w:val="center"/>
              <w:rPr>
                <w:rFonts w:hint="default" w:ascii="Times New Roman" w:hAnsi="Times New Roman" w:cs="Times New Roman"/>
                <w:snapToGrid w:val="0"/>
                <w:color w:val="auto"/>
                <w:kern w:val="21"/>
                <w:sz w:val="24"/>
                <w:highlight w:val="none"/>
              </w:rPr>
            </w:pPr>
            <w:r>
              <w:rPr>
                <w:rFonts w:hint="default" w:ascii="Times New Roman" w:hAnsi="Times New Roman" w:cs="Times New Roman"/>
                <w:snapToGrid w:val="0"/>
                <w:color w:val="auto"/>
                <w:kern w:val="21"/>
                <w:sz w:val="24"/>
                <w:highlight w:val="none"/>
              </w:rPr>
              <w:t>/</w:t>
            </w:r>
          </w:p>
        </w:tc>
        <w:tc>
          <w:tcPr>
            <w:tcW w:w="1276" w:type="dxa"/>
            <w:vAlign w:val="center"/>
          </w:tcPr>
          <w:p w14:paraId="087188E7">
            <w:pPr>
              <w:jc w:val="center"/>
              <w:rPr>
                <w:rFonts w:hint="default" w:ascii="Times New Roman" w:hAnsi="Times New Roman" w:cs="Times New Roman"/>
                <w:snapToGrid w:val="0"/>
                <w:color w:val="auto"/>
                <w:kern w:val="21"/>
                <w:sz w:val="24"/>
                <w:highlight w:val="none"/>
              </w:rPr>
            </w:pPr>
            <w:r>
              <w:rPr>
                <w:rFonts w:hint="default" w:ascii="Times New Roman" w:hAnsi="Times New Roman" w:cs="Times New Roman"/>
                <w:snapToGrid w:val="0"/>
                <w:color w:val="auto"/>
                <w:kern w:val="21"/>
                <w:sz w:val="24"/>
                <w:highlight w:val="none"/>
              </w:rPr>
              <w:t>/</w:t>
            </w:r>
          </w:p>
        </w:tc>
        <w:tc>
          <w:tcPr>
            <w:tcW w:w="1701" w:type="dxa"/>
            <w:vAlign w:val="center"/>
          </w:tcPr>
          <w:p w14:paraId="35F89023">
            <w:pPr>
              <w:jc w:val="center"/>
              <w:rPr>
                <w:rFonts w:hint="default" w:ascii="Times New Roman" w:hAnsi="Times New Roman" w:cs="Times New Roman"/>
                <w:snapToGrid w:val="0"/>
                <w:color w:val="auto"/>
                <w:kern w:val="21"/>
                <w:sz w:val="24"/>
                <w:highlight w:val="none"/>
              </w:rPr>
            </w:pPr>
            <w:r>
              <w:rPr>
                <w:rFonts w:hint="default" w:ascii="Times New Roman" w:hAnsi="Times New Roman" w:cs="Times New Roman"/>
                <w:snapToGrid w:val="0"/>
                <w:color w:val="auto"/>
                <w:kern w:val="21"/>
                <w:sz w:val="24"/>
                <w:highlight w:val="none"/>
              </w:rPr>
              <w:t>/</w:t>
            </w:r>
          </w:p>
        </w:tc>
        <w:tc>
          <w:tcPr>
            <w:tcW w:w="1559" w:type="dxa"/>
            <w:vAlign w:val="center"/>
          </w:tcPr>
          <w:p w14:paraId="0F2E6B1F">
            <w:pPr>
              <w:jc w:val="center"/>
              <w:rPr>
                <w:rFonts w:hint="default" w:ascii="Times New Roman" w:hAnsi="Times New Roman" w:eastAsia="宋体"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0.1372t</w:t>
            </w:r>
            <w:r>
              <w:rPr>
                <w:rFonts w:hint="default" w:ascii="Times New Roman" w:hAnsi="Times New Roman" w:cs="Times New Roman"/>
                <w:snapToGrid w:val="0"/>
                <w:color w:val="auto"/>
                <w:kern w:val="21"/>
                <w:sz w:val="24"/>
                <w:highlight w:val="none"/>
                <w:lang w:val="en-US" w:eastAsia="zh-CN"/>
              </w:rPr>
              <w:t>/a</w:t>
            </w:r>
          </w:p>
        </w:tc>
        <w:tc>
          <w:tcPr>
            <w:tcW w:w="1497" w:type="dxa"/>
            <w:vAlign w:val="center"/>
          </w:tcPr>
          <w:p w14:paraId="16C119D9">
            <w:pPr>
              <w:jc w:val="center"/>
              <w:rPr>
                <w:rFonts w:hint="default" w:ascii="Times New Roman" w:hAnsi="Times New Roman" w:cs="Times New Roman"/>
                <w:snapToGrid w:val="0"/>
                <w:color w:val="auto"/>
                <w:kern w:val="21"/>
                <w:sz w:val="24"/>
                <w:highlight w:val="none"/>
              </w:rPr>
            </w:pPr>
            <w:r>
              <w:rPr>
                <w:rFonts w:hint="default" w:ascii="Times New Roman" w:hAnsi="Times New Roman" w:eastAsia="宋体" w:cs="Times New Roman"/>
                <w:snapToGrid w:val="0"/>
                <w:color w:val="auto"/>
                <w:kern w:val="21"/>
                <w:sz w:val="24"/>
                <w:highlight w:val="none"/>
              </w:rPr>
              <w:t>/</w:t>
            </w:r>
          </w:p>
        </w:tc>
        <w:tc>
          <w:tcPr>
            <w:tcW w:w="1792" w:type="dxa"/>
            <w:vAlign w:val="center"/>
          </w:tcPr>
          <w:p w14:paraId="4307E69A">
            <w:pPr>
              <w:jc w:val="center"/>
              <w:rPr>
                <w:rFonts w:hint="default" w:ascii="Times New Roman" w:hAnsi="Times New Roman" w:cs="Times New Roman"/>
                <w:snapToGrid w:val="0"/>
                <w:color w:val="auto"/>
                <w:kern w:val="21"/>
                <w:sz w:val="24"/>
                <w:highlight w:val="none"/>
              </w:rPr>
            </w:pPr>
            <w:r>
              <w:rPr>
                <w:rFonts w:hint="eastAsia" w:cs="Times New Roman"/>
                <w:snapToGrid w:val="0"/>
                <w:color w:val="auto"/>
                <w:kern w:val="21"/>
                <w:sz w:val="24"/>
                <w:highlight w:val="none"/>
                <w:lang w:val="en-US" w:eastAsia="zh-CN"/>
              </w:rPr>
              <w:t>0.1372t</w:t>
            </w:r>
            <w:r>
              <w:rPr>
                <w:rFonts w:hint="default" w:ascii="Times New Roman" w:hAnsi="Times New Roman" w:cs="Times New Roman"/>
                <w:snapToGrid w:val="0"/>
                <w:color w:val="auto"/>
                <w:kern w:val="21"/>
                <w:sz w:val="24"/>
                <w:highlight w:val="none"/>
                <w:lang w:val="en-US" w:eastAsia="zh-CN"/>
              </w:rPr>
              <w:t>/a</w:t>
            </w:r>
          </w:p>
        </w:tc>
        <w:tc>
          <w:tcPr>
            <w:tcW w:w="1257" w:type="dxa"/>
            <w:vAlign w:val="center"/>
          </w:tcPr>
          <w:p w14:paraId="33B253FB">
            <w:pPr>
              <w:jc w:val="center"/>
              <w:rPr>
                <w:rFonts w:hint="default" w:ascii="Times New Roman" w:hAnsi="Times New Roman" w:cs="Times New Roman"/>
                <w:snapToGrid w:val="0"/>
                <w:color w:val="auto"/>
                <w:kern w:val="21"/>
                <w:sz w:val="24"/>
                <w:highlight w:val="none"/>
              </w:rPr>
            </w:pPr>
            <w:r>
              <w:rPr>
                <w:rFonts w:hint="eastAsia" w:cs="Times New Roman"/>
                <w:snapToGrid w:val="0"/>
                <w:color w:val="auto"/>
                <w:kern w:val="21"/>
                <w:sz w:val="24"/>
                <w:highlight w:val="none"/>
                <w:lang w:val="en-US" w:eastAsia="zh-CN"/>
              </w:rPr>
              <w:t>0.1372t</w:t>
            </w:r>
            <w:r>
              <w:rPr>
                <w:rFonts w:hint="default" w:ascii="Times New Roman" w:hAnsi="Times New Roman" w:cs="Times New Roman"/>
                <w:snapToGrid w:val="0"/>
                <w:color w:val="auto"/>
                <w:kern w:val="21"/>
                <w:sz w:val="24"/>
                <w:highlight w:val="none"/>
                <w:lang w:val="en-US" w:eastAsia="zh-CN"/>
              </w:rPr>
              <w:t>/a</w:t>
            </w:r>
          </w:p>
        </w:tc>
      </w:tr>
      <w:tr w14:paraId="021195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Align w:val="center"/>
          </w:tcPr>
          <w:p w14:paraId="6FD7206E">
            <w:pPr>
              <w:pStyle w:val="37"/>
              <w:spacing w:beforeLines="0" w:afterLines="0" w:line="240" w:lineRule="auto"/>
              <w:rPr>
                <w:rFonts w:hint="default" w:ascii="Times New Roman" w:hAnsi="Times New Roman" w:cs="Times New Roman"/>
                <w:snapToGrid w:val="0"/>
                <w:color w:val="auto"/>
                <w:kern w:val="21"/>
                <w:sz w:val="24"/>
                <w:szCs w:val="24"/>
                <w:highlight w:val="none"/>
              </w:rPr>
            </w:pPr>
            <w:r>
              <w:rPr>
                <w:rFonts w:hint="default" w:ascii="Times New Roman" w:hAnsi="Times New Roman" w:cs="Times New Roman"/>
                <w:snapToGrid w:val="0"/>
                <w:color w:val="auto"/>
                <w:kern w:val="21"/>
                <w:sz w:val="24"/>
                <w:szCs w:val="24"/>
                <w:highlight w:val="none"/>
              </w:rPr>
              <w:t>废水</w:t>
            </w:r>
          </w:p>
        </w:tc>
        <w:tc>
          <w:tcPr>
            <w:tcW w:w="1996" w:type="dxa"/>
            <w:vAlign w:val="center"/>
          </w:tcPr>
          <w:p w14:paraId="5BD02830">
            <w:pPr>
              <w:jc w:val="center"/>
              <w:rPr>
                <w:rFonts w:hint="default" w:ascii="Times New Roman" w:hAnsi="Times New Roman" w:eastAsia="宋体"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w:t>
            </w:r>
          </w:p>
        </w:tc>
        <w:tc>
          <w:tcPr>
            <w:tcW w:w="1701" w:type="dxa"/>
            <w:vAlign w:val="center"/>
          </w:tcPr>
          <w:p w14:paraId="514CDA88">
            <w:pPr>
              <w:jc w:val="center"/>
              <w:rPr>
                <w:rFonts w:hint="default" w:ascii="Times New Roman" w:hAnsi="Times New Roman" w:eastAsia="宋体" w:cs="Times New Roman"/>
                <w:snapToGrid w:val="0"/>
                <w:color w:val="auto"/>
                <w:kern w:val="21"/>
                <w:sz w:val="24"/>
                <w:highlight w:val="none"/>
              </w:rPr>
            </w:pPr>
            <w:r>
              <w:rPr>
                <w:rFonts w:hint="default" w:ascii="Times New Roman" w:hAnsi="Times New Roman" w:eastAsia="宋体" w:cs="Times New Roman"/>
                <w:snapToGrid w:val="0"/>
                <w:color w:val="auto"/>
                <w:kern w:val="21"/>
                <w:sz w:val="24"/>
                <w:highlight w:val="none"/>
              </w:rPr>
              <w:t>/</w:t>
            </w:r>
          </w:p>
        </w:tc>
        <w:tc>
          <w:tcPr>
            <w:tcW w:w="1276" w:type="dxa"/>
            <w:vAlign w:val="center"/>
          </w:tcPr>
          <w:p w14:paraId="74188D44">
            <w:pPr>
              <w:jc w:val="center"/>
              <w:rPr>
                <w:rFonts w:hint="default" w:ascii="Times New Roman" w:hAnsi="Times New Roman" w:eastAsia="宋体" w:cs="Times New Roman"/>
                <w:snapToGrid w:val="0"/>
                <w:color w:val="auto"/>
                <w:kern w:val="21"/>
                <w:sz w:val="24"/>
                <w:highlight w:val="none"/>
              </w:rPr>
            </w:pPr>
            <w:r>
              <w:rPr>
                <w:rFonts w:hint="default" w:ascii="Times New Roman" w:hAnsi="Times New Roman" w:eastAsia="宋体" w:cs="Times New Roman"/>
                <w:snapToGrid w:val="0"/>
                <w:color w:val="auto"/>
                <w:kern w:val="21"/>
                <w:sz w:val="24"/>
                <w:highlight w:val="none"/>
              </w:rPr>
              <w:t>/</w:t>
            </w:r>
          </w:p>
        </w:tc>
        <w:tc>
          <w:tcPr>
            <w:tcW w:w="1701" w:type="dxa"/>
            <w:vAlign w:val="center"/>
          </w:tcPr>
          <w:p w14:paraId="14521511">
            <w:pPr>
              <w:jc w:val="center"/>
              <w:rPr>
                <w:rFonts w:hint="default" w:ascii="Times New Roman" w:hAnsi="Times New Roman" w:eastAsia="宋体" w:cs="Times New Roman"/>
                <w:snapToGrid w:val="0"/>
                <w:color w:val="auto"/>
                <w:kern w:val="21"/>
                <w:sz w:val="24"/>
                <w:highlight w:val="none"/>
              </w:rPr>
            </w:pPr>
            <w:r>
              <w:rPr>
                <w:rFonts w:hint="default" w:ascii="Times New Roman" w:hAnsi="Times New Roman" w:eastAsia="宋体" w:cs="Times New Roman"/>
                <w:snapToGrid w:val="0"/>
                <w:color w:val="auto"/>
                <w:kern w:val="21"/>
                <w:sz w:val="24"/>
                <w:highlight w:val="none"/>
              </w:rPr>
              <w:t>/</w:t>
            </w:r>
          </w:p>
        </w:tc>
        <w:tc>
          <w:tcPr>
            <w:tcW w:w="1559" w:type="dxa"/>
            <w:vAlign w:val="center"/>
          </w:tcPr>
          <w:p w14:paraId="0464B955">
            <w:pPr>
              <w:jc w:val="center"/>
              <w:rPr>
                <w:rFonts w:hint="default" w:ascii="Times New Roman" w:hAnsi="Times New Roman" w:eastAsia="宋体" w:cs="Times New Roman"/>
                <w:snapToGrid w:val="0"/>
                <w:color w:val="auto"/>
                <w:kern w:val="21"/>
                <w:sz w:val="24"/>
                <w:highlight w:val="none"/>
                <w:lang w:val="en-US"/>
              </w:rPr>
            </w:pPr>
            <w:r>
              <w:rPr>
                <w:rFonts w:hint="eastAsia" w:cs="Times New Roman"/>
                <w:snapToGrid w:val="0"/>
                <w:color w:val="auto"/>
                <w:kern w:val="21"/>
                <w:sz w:val="24"/>
                <w:highlight w:val="none"/>
                <w:lang w:val="en-US" w:eastAsia="zh-CN"/>
              </w:rPr>
              <w:t>/</w:t>
            </w:r>
          </w:p>
        </w:tc>
        <w:tc>
          <w:tcPr>
            <w:tcW w:w="1497" w:type="dxa"/>
            <w:vAlign w:val="center"/>
          </w:tcPr>
          <w:p w14:paraId="224CFD61">
            <w:pPr>
              <w:jc w:val="center"/>
              <w:rPr>
                <w:rFonts w:hint="default" w:ascii="Times New Roman" w:hAnsi="Times New Roman" w:eastAsia="宋体" w:cs="Times New Roman"/>
                <w:snapToGrid w:val="0"/>
                <w:color w:val="auto"/>
                <w:kern w:val="21"/>
                <w:sz w:val="24"/>
                <w:highlight w:val="none"/>
              </w:rPr>
            </w:pPr>
            <w:r>
              <w:rPr>
                <w:rFonts w:hint="default" w:ascii="Times New Roman" w:hAnsi="Times New Roman" w:eastAsia="宋体" w:cs="Times New Roman"/>
                <w:snapToGrid w:val="0"/>
                <w:color w:val="auto"/>
                <w:kern w:val="21"/>
                <w:sz w:val="24"/>
                <w:highlight w:val="none"/>
              </w:rPr>
              <w:t>/</w:t>
            </w:r>
          </w:p>
        </w:tc>
        <w:tc>
          <w:tcPr>
            <w:tcW w:w="1792" w:type="dxa"/>
            <w:vAlign w:val="center"/>
          </w:tcPr>
          <w:p w14:paraId="1FF56F3B">
            <w:pPr>
              <w:jc w:val="center"/>
              <w:rPr>
                <w:rFonts w:hint="default" w:ascii="Times New Roman" w:hAnsi="Times New Roman" w:eastAsia="宋体" w:cs="Times New Roman"/>
                <w:snapToGrid w:val="0"/>
                <w:color w:val="auto"/>
                <w:kern w:val="21"/>
                <w:sz w:val="24"/>
                <w:highlight w:val="none"/>
              </w:rPr>
            </w:pPr>
            <w:r>
              <w:rPr>
                <w:rFonts w:hint="eastAsia" w:cs="Times New Roman"/>
                <w:snapToGrid w:val="0"/>
                <w:color w:val="auto"/>
                <w:kern w:val="21"/>
                <w:sz w:val="24"/>
                <w:highlight w:val="none"/>
                <w:lang w:val="en-US" w:eastAsia="zh-CN"/>
              </w:rPr>
              <w:t>/</w:t>
            </w:r>
          </w:p>
        </w:tc>
        <w:tc>
          <w:tcPr>
            <w:tcW w:w="1257" w:type="dxa"/>
            <w:vAlign w:val="center"/>
          </w:tcPr>
          <w:p w14:paraId="4CE7A394">
            <w:pPr>
              <w:jc w:val="center"/>
              <w:rPr>
                <w:rFonts w:hint="default" w:ascii="Times New Roman" w:hAnsi="Times New Roman" w:eastAsia="宋体" w:cs="Times New Roman"/>
                <w:snapToGrid w:val="0"/>
                <w:color w:val="auto"/>
                <w:kern w:val="21"/>
                <w:sz w:val="24"/>
                <w:highlight w:val="none"/>
              </w:rPr>
            </w:pPr>
            <w:r>
              <w:rPr>
                <w:rFonts w:hint="eastAsia" w:cs="Times New Roman"/>
                <w:snapToGrid w:val="0"/>
                <w:color w:val="auto"/>
                <w:kern w:val="21"/>
                <w:sz w:val="24"/>
                <w:highlight w:val="none"/>
                <w:lang w:val="en-US" w:eastAsia="zh-CN"/>
              </w:rPr>
              <w:t>/</w:t>
            </w:r>
          </w:p>
        </w:tc>
      </w:tr>
      <w:tr w14:paraId="174897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Merge w:val="restart"/>
            <w:vAlign w:val="center"/>
          </w:tcPr>
          <w:p w14:paraId="27CFCB99">
            <w:pPr>
              <w:pStyle w:val="37"/>
              <w:spacing w:beforeLines="0" w:afterLines="0" w:line="240" w:lineRule="auto"/>
              <w:rPr>
                <w:rFonts w:hint="default" w:ascii="Times New Roman" w:hAnsi="Times New Roman" w:cs="Times New Roman"/>
                <w:snapToGrid w:val="0"/>
                <w:color w:val="auto"/>
                <w:kern w:val="21"/>
                <w:sz w:val="24"/>
                <w:szCs w:val="24"/>
                <w:highlight w:val="none"/>
              </w:rPr>
            </w:pPr>
            <w:r>
              <w:rPr>
                <w:rFonts w:hint="default" w:ascii="Times New Roman" w:hAnsi="Times New Roman" w:cs="Times New Roman"/>
                <w:snapToGrid w:val="0"/>
                <w:color w:val="auto"/>
                <w:kern w:val="21"/>
                <w:sz w:val="24"/>
                <w:szCs w:val="24"/>
                <w:highlight w:val="none"/>
              </w:rPr>
              <w:t>一般工业固体废物</w:t>
            </w:r>
          </w:p>
        </w:tc>
        <w:tc>
          <w:tcPr>
            <w:tcW w:w="1996" w:type="dxa"/>
            <w:vAlign w:val="center"/>
          </w:tcPr>
          <w:p w14:paraId="7EB3A60D">
            <w:pPr>
              <w:jc w:val="center"/>
              <w:rPr>
                <w:rFonts w:hint="default" w:ascii="Times New Roman" w:hAnsi="Times New Roman" w:eastAsia="宋体"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生活垃圾</w:t>
            </w:r>
          </w:p>
        </w:tc>
        <w:tc>
          <w:tcPr>
            <w:tcW w:w="1701" w:type="dxa"/>
            <w:vAlign w:val="center"/>
          </w:tcPr>
          <w:p w14:paraId="4482F1B7">
            <w:pPr>
              <w:jc w:val="center"/>
              <w:rPr>
                <w:rFonts w:hint="default" w:ascii="Times New Roman" w:hAnsi="Times New Roman" w:eastAsia="宋体"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w:t>
            </w:r>
          </w:p>
        </w:tc>
        <w:tc>
          <w:tcPr>
            <w:tcW w:w="1276" w:type="dxa"/>
            <w:vAlign w:val="center"/>
          </w:tcPr>
          <w:p w14:paraId="1BF7FC6E">
            <w:pPr>
              <w:jc w:val="center"/>
              <w:rPr>
                <w:rFonts w:hint="default" w:ascii="Times New Roman" w:hAnsi="Times New Roman" w:eastAsia="宋体"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w:t>
            </w:r>
          </w:p>
        </w:tc>
        <w:tc>
          <w:tcPr>
            <w:tcW w:w="1701" w:type="dxa"/>
            <w:vAlign w:val="center"/>
          </w:tcPr>
          <w:p w14:paraId="07BEDCFD">
            <w:pPr>
              <w:jc w:val="center"/>
              <w:rPr>
                <w:rFonts w:hint="default" w:ascii="Times New Roman" w:hAnsi="Times New Roman" w:eastAsia="宋体"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w:t>
            </w:r>
          </w:p>
        </w:tc>
        <w:tc>
          <w:tcPr>
            <w:tcW w:w="1559" w:type="dxa"/>
            <w:vAlign w:val="center"/>
          </w:tcPr>
          <w:p w14:paraId="270B17A6">
            <w:pPr>
              <w:jc w:val="center"/>
              <w:rPr>
                <w:rFonts w:hint="default" w:ascii="Times New Roman" w:hAnsi="Times New Roman" w:eastAsia="宋体"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0.3t/a</w:t>
            </w:r>
          </w:p>
        </w:tc>
        <w:tc>
          <w:tcPr>
            <w:tcW w:w="1497" w:type="dxa"/>
            <w:vAlign w:val="center"/>
          </w:tcPr>
          <w:p w14:paraId="13BCE8D5">
            <w:pPr>
              <w:jc w:val="center"/>
              <w:rPr>
                <w:rFonts w:hint="default" w:ascii="Times New Roman" w:hAnsi="Times New Roman" w:eastAsia="宋体"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w:t>
            </w:r>
          </w:p>
        </w:tc>
        <w:tc>
          <w:tcPr>
            <w:tcW w:w="1792" w:type="dxa"/>
            <w:vAlign w:val="center"/>
          </w:tcPr>
          <w:p w14:paraId="78939A5C">
            <w:pPr>
              <w:jc w:val="center"/>
              <w:rPr>
                <w:rFonts w:hint="default" w:ascii="Times New Roman" w:hAnsi="Times New Roman" w:eastAsia="宋体"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0.3t/a</w:t>
            </w:r>
          </w:p>
        </w:tc>
        <w:tc>
          <w:tcPr>
            <w:tcW w:w="1257" w:type="dxa"/>
            <w:vAlign w:val="center"/>
          </w:tcPr>
          <w:p w14:paraId="4B7CFE5D">
            <w:pPr>
              <w:jc w:val="center"/>
              <w:rPr>
                <w:rFonts w:hint="default" w:ascii="Times New Roman" w:hAnsi="Times New Roman" w:eastAsia="宋体" w:cs="Times New Roman"/>
                <w:snapToGrid w:val="0"/>
                <w:color w:val="auto"/>
                <w:kern w:val="21"/>
                <w:sz w:val="24"/>
                <w:highlight w:val="none"/>
              </w:rPr>
            </w:pPr>
            <w:r>
              <w:rPr>
                <w:rFonts w:hint="eastAsia" w:cs="Times New Roman"/>
                <w:snapToGrid w:val="0"/>
                <w:color w:val="auto"/>
                <w:kern w:val="21"/>
                <w:sz w:val="24"/>
                <w:highlight w:val="none"/>
                <w:lang w:val="en-US" w:eastAsia="zh-CN"/>
              </w:rPr>
              <w:t>0.3t/a</w:t>
            </w:r>
          </w:p>
        </w:tc>
      </w:tr>
      <w:tr w14:paraId="74E1DF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Merge w:val="continue"/>
            <w:vAlign w:val="center"/>
          </w:tcPr>
          <w:p w14:paraId="208805B7">
            <w:pPr>
              <w:pStyle w:val="37"/>
              <w:spacing w:beforeLines="0" w:afterLines="0" w:line="240" w:lineRule="auto"/>
              <w:rPr>
                <w:rFonts w:hint="default" w:ascii="Times New Roman" w:hAnsi="Times New Roman" w:cs="Times New Roman"/>
                <w:snapToGrid w:val="0"/>
                <w:color w:val="auto"/>
                <w:kern w:val="21"/>
                <w:sz w:val="24"/>
                <w:szCs w:val="24"/>
                <w:highlight w:val="none"/>
              </w:rPr>
            </w:pPr>
          </w:p>
        </w:tc>
        <w:tc>
          <w:tcPr>
            <w:tcW w:w="1996" w:type="dxa"/>
            <w:vAlign w:val="center"/>
          </w:tcPr>
          <w:p w14:paraId="52E0D872">
            <w:pPr>
              <w:jc w:val="center"/>
              <w:rPr>
                <w:rFonts w:hint="default"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收集池沉渣</w:t>
            </w:r>
          </w:p>
        </w:tc>
        <w:tc>
          <w:tcPr>
            <w:tcW w:w="1701" w:type="dxa"/>
            <w:vAlign w:val="center"/>
          </w:tcPr>
          <w:p w14:paraId="4D9A2E4A">
            <w:pPr>
              <w:jc w:val="center"/>
              <w:rPr>
                <w:rFonts w:hint="default"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w:t>
            </w:r>
          </w:p>
        </w:tc>
        <w:tc>
          <w:tcPr>
            <w:tcW w:w="1276" w:type="dxa"/>
            <w:vAlign w:val="center"/>
          </w:tcPr>
          <w:p w14:paraId="67F3CEFE">
            <w:pPr>
              <w:jc w:val="center"/>
              <w:rPr>
                <w:rFonts w:hint="default"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w:t>
            </w:r>
          </w:p>
        </w:tc>
        <w:tc>
          <w:tcPr>
            <w:tcW w:w="1701" w:type="dxa"/>
            <w:vAlign w:val="center"/>
          </w:tcPr>
          <w:p w14:paraId="09FEBE4B">
            <w:pPr>
              <w:jc w:val="center"/>
              <w:rPr>
                <w:rFonts w:hint="default"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w:t>
            </w:r>
          </w:p>
        </w:tc>
        <w:tc>
          <w:tcPr>
            <w:tcW w:w="1559" w:type="dxa"/>
            <w:vAlign w:val="center"/>
          </w:tcPr>
          <w:p w14:paraId="63B52C2E">
            <w:pPr>
              <w:jc w:val="center"/>
              <w:rPr>
                <w:rFonts w:hint="default"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0.1t/a</w:t>
            </w:r>
          </w:p>
        </w:tc>
        <w:tc>
          <w:tcPr>
            <w:tcW w:w="1497" w:type="dxa"/>
            <w:vAlign w:val="center"/>
          </w:tcPr>
          <w:p w14:paraId="7A75729F">
            <w:pPr>
              <w:jc w:val="center"/>
              <w:rPr>
                <w:rFonts w:hint="default"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w:t>
            </w:r>
          </w:p>
        </w:tc>
        <w:tc>
          <w:tcPr>
            <w:tcW w:w="1792" w:type="dxa"/>
            <w:vAlign w:val="center"/>
          </w:tcPr>
          <w:p w14:paraId="0EE5B20B">
            <w:pPr>
              <w:jc w:val="center"/>
              <w:rPr>
                <w:rFonts w:hint="eastAsia"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0.1t/a</w:t>
            </w:r>
          </w:p>
        </w:tc>
        <w:tc>
          <w:tcPr>
            <w:tcW w:w="1257" w:type="dxa"/>
            <w:vAlign w:val="center"/>
          </w:tcPr>
          <w:p w14:paraId="20820DC7">
            <w:pPr>
              <w:jc w:val="center"/>
              <w:rPr>
                <w:rFonts w:hint="eastAsia"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0.1t/a</w:t>
            </w:r>
          </w:p>
        </w:tc>
      </w:tr>
      <w:tr w14:paraId="55B292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Merge w:val="restart"/>
            <w:vAlign w:val="center"/>
          </w:tcPr>
          <w:p w14:paraId="6B41EA57">
            <w:pPr>
              <w:pStyle w:val="37"/>
              <w:spacing w:beforeLines="0" w:afterLines="0" w:line="240" w:lineRule="auto"/>
              <w:rPr>
                <w:rFonts w:hint="default" w:ascii="Times New Roman" w:hAnsi="Times New Roman" w:eastAsia="宋体" w:cs="Times New Roman"/>
                <w:snapToGrid w:val="0"/>
                <w:color w:val="auto"/>
                <w:kern w:val="21"/>
                <w:sz w:val="24"/>
                <w:szCs w:val="24"/>
                <w:highlight w:val="none"/>
                <w:lang w:val="en-US" w:eastAsia="zh-CN"/>
              </w:rPr>
            </w:pPr>
            <w:r>
              <w:rPr>
                <w:rFonts w:hint="eastAsia" w:ascii="Times New Roman" w:cs="Times New Roman"/>
                <w:snapToGrid w:val="0"/>
                <w:color w:val="auto"/>
                <w:kern w:val="21"/>
                <w:sz w:val="24"/>
                <w:szCs w:val="24"/>
                <w:highlight w:val="none"/>
                <w:lang w:val="en-US" w:eastAsia="zh-CN"/>
              </w:rPr>
              <w:t>危险废物</w:t>
            </w:r>
          </w:p>
        </w:tc>
        <w:tc>
          <w:tcPr>
            <w:tcW w:w="1996" w:type="dxa"/>
            <w:tcBorders>
              <w:top w:val="single" w:color="000000" w:sz="4" w:space="0"/>
              <w:bottom w:val="single" w:color="000000" w:sz="4" w:space="0"/>
            </w:tcBorders>
            <w:vAlign w:val="center"/>
          </w:tcPr>
          <w:p w14:paraId="2AC3F325">
            <w:pPr>
              <w:jc w:val="center"/>
              <w:rPr>
                <w:rFonts w:hint="default" w:ascii="Times New Roman" w:hAnsi="Times New Roman" w:eastAsia="宋体"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废机油</w:t>
            </w:r>
          </w:p>
        </w:tc>
        <w:tc>
          <w:tcPr>
            <w:tcW w:w="1701" w:type="dxa"/>
            <w:tcBorders>
              <w:top w:val="single" w:color="000000" w:sz="4" w:space="0"/>
              <w:bottom w:val="single" w:color="000000" w:sz="4" w:space="0"/>
            </w:tcBorders>
            <w:vAlign w:val="center"/>
          </w:tcPr>
          <w:p w14:paraId="6180BEA6">
            <w:pPr>
              <w:jc w:val="center"/>
              <w:rPr>
                <w:rFonts w:hint="default" w:ascii="Times New Roman" w:hAnsi="Times New Roman" w:eastAsia="宋体" w:cs="Times New Roman"/>
                <w:snapToGrid w:val="0"/>
                <w:color w:val="auto"/>
                <w:kern w:val="21"/>
                <w:sz w:val="24"/>
                <w:highlight w:val="none"/>
              </w:rPr>
            </w:pPr>
            <w:r>
              <w:rPr>
                <w:rFonts w:hint="default" w:ascii="Times New Roman" w:hAnsi="Times New Roman" w:eastAsia="宋体" w:cs="Times New Roman"/>
                <w:snapToGrid w:val="0"/>
                <w:color w:val="auto"/>
                <w:kern w:val="21"/>
                <w:sz w:val="24"/>
                <w:highlight w:val="none"/>
              </w:rPr>
              <w:t>/</w:t>
            </w:r>
          </w:p>
        </w:tc>
        <w:tc>
          <w:tcPr>
            <w:tcW w:w="1276" w:type="dxa"/>
            <w:tcBorders>
              <w:top w:val="single" w:color="000000" w:sz="4" w:space="0"/>
              <w:bottom w:val="single" w:color="000000" w:sz="4" w:space="0"/>
            </w:tcBorders>
            <w:vAlign w:val="center"/>
          </w:tcPr>
          <w:p w14:paraId="1ABA2269">
            <w:pPr>
              <w:jc w:val="center"/>
              <w:rPr>
                <w:rFonts w:hint="default" w:ascii="Times New Roman" w:hAnsi="Times New Roman" w:eastAsia="宋体" w:cs="Times New Roman"/>
                <w:snapToGrid w:val="0"/>
                <w:color w:val="auto"/>
                <w:kern w:val="21"/>
                <w:sz w:val="24"/>
                <w:highlight w:val="none"/>
              </w:rPr>
            </w:pPr>
            <w:r>
              <w:rPr>
                <w:rFonts w:hint="default" w:ascii="Times New Roman" w:hAnsi="Times New Roman" w:eastAsia="宋体" w:cs="Times New Roman"/>
                <w:snapToGrid w:val="0"/>
                <w:color w:val="auto"/>
                <w:kern w:val="21"/>
                <w:sz w:val="24"/>
                <w:highlight w:val="none"/>
              </w:rPr>
              <w:t>/</w:t>
            </w:r>
          </w:p>
        </w:tc>
        <w:tc>
          <w:tcPr>
            <w:tcW w:w="1701" w:type="dxa"/>
            <w:tcBorders>
              <w:top w:val="single" w:color="000000" w:sz="4" w:space="0"/>
              <w:bottom w:val="single" w:color="000000" w:sz="4" w:space="0"/>
            </w:tcBorders>
            <w:vAlign w:val="center"/>
          </w:tcPr>
          <w:p w14:paraId="0982B03E">
            <w:pPr>
              <w:jc w:val="center"/>
              <w:rPr>
                <w:rFonts w:hint="default" w:ascii="Times New Roman" w:hAnsi="Times New Roman" w:eastAsia="宋体" w:cs="Times New Roman"/>
                <w:snapToGrid w:val="0"/>
                <w:color w:val="auto"/>
                <w:kern w:val="21"/>
                <w:sz w:val="24"/>
                <w:highlight w:val="none"/>
              </w:rPr>
            </w:pPr>
            <w:r>
              <w:rPr>
                <w:rFonts w:hint="default" w:ascii="Times New Roman" w:hAnsi="Times New Roman" w:eastAsia="宋体" w:cs="Times New Roman"/>
                <w:snapToGrid w:val="0"/>
                <w:color w:val="auto"/>
                <w:kern w:val="21"/>
                <w:sz w:val="24"/>
                <w:highlight w:val="none"/>
              </w:rPr>
              <w:t>/</w:t>
            </w:r>
          </w:p>
        </w:tc>
        <w:tc>
          <w:tcPr>
            <w:tcW w:w="1559" w:type="dxa"/>
            <w:tcBorders>
              <w:top w:val="single" w:color="000000" w:sz="4" w:space="0"/>
              <w:bottom w:val="single" w:color="000000" w:sz="4" w:space="0"/>
            </w:tcBorders>
            <w:vAlign w:val="center"/>
          </w:tcPr>
          <w:p w14:paraId="6ADE7BF8">
            <w:pPr>
              <w:jc w:val="center"/>
              <w:rPr>
                <w:rFonts w:hint="default" w:ascii="Times New Roman" w:hAnsi="Times New Roman" w:eastAsia="宋体"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0.005t/a</w:t>
            </w:r>
          </w:p>
        </w:tc>
        <w:tc>
          <w:tcPr>
            <w:tcW w:w="1497" w:type="dxa"/>
            <w:tcBorders>
              <w:top w:val="single" w:color="000000" w:sz="4" w:space="0"/>
              <w:bottom w:val="single" w:color="000000" w:sz="4" w:space="0"/>
            </w:tcBorders>
            <w:vAlign w:val="center"/>
          </w:tcPr>
          <w:p w14:paraId="31198909">
            <w:pPr>
              <w:jc w:val="center"/>
              <w:rPr>
                <w:rFonts w:hint="default" w:ascii="Times New Roman" w:hAnsi="Times New Roman" w:eastAsia="宋体" w:cs="Times New Roman"/>
                <w:snapToGrid w:val="0"/>
                <w:color w:val="auto"/>
                <w:kern w:val="21"/>
                <w:sz w:val="24"/>
                <w:highlight w:val="none"/>
              </w:rPr>
            </w:pPr>
            <w:r>
              <w:rPr>
                <w:rFonts w:hint="default" w:ascii="Times New Roman" w:hAnsi="Times New Roman" w:eastAsia="宋体" w:cs="Times New Roman"/>
                <w:snapToGrid w:val="0"/>
                <w:color w:val="auto"/>
                <w:kern w:val="21"/>
                <w:sz w:val="24"/>
                <w:highlight w:val="none"/>
              </w:rPr>
              <w:t>/</w:t>
            </w:r>
          </w:p>
        </w:tc>
        <w:tc>
          <w:tcPr>
            <w:tcW w:w="1792" w:type="dxa"/>
            <w:tcBorders>
              <w:top w:val="single" w:color="000000" w:sz="4" w:space="0"/>
              <w:bottom w:val="single" w:color="000000" w:sz="4" w:space="0"/>
            </w:tcBorders>
            <w:vAlign w:val="center"/>
          </w:tcPr>
          <w:p w14:paraId="3B27E796">
            <w:pPr>
              <w:jc w:val="center"/>
              <w:rPr>
                <w:rFonts w:hint="default" w:ascii="Times New Roman" w:hAnsi="Times New Roman" w:eastAsia="宋体"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0.005t/a</w:t>
            </w:r>
          </w:p>
        </w:tc>
        <w:tc>
          <w:tcPr>
            <w:tcW w:w="1257" w:type="dxa"/>
            <w:tcBorders>
              <w:top w:val="single" w:color="000000" w:sz="4" w:space="0"/>
              <w:bottom w:val="single" w:color="000000" w:sz="4" w:space="0"/>
            </w:tcBorders>
            <w:vAlign w:val="center"/>
          </w:tcPr>
          <w:p w14:paraId="1ADDADEC">
            <w:pPr>
              <w:jc w:val="center"/>
              <w:rPr>
                <w:rFonts w:hint="default" w:ascii="Times New Roman" w:hAnsi="Times New Roman" w:eastAsia="宋体"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0.005t/a</w:t>
            </w:r>
          </w:p>
        </w:tc>
      </w:tr>
      <w:tr w14:paraId="4449D3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1009" w:type="dxa"/>
            <w:vMerge w:val="continue"/>
            <w:vAlign w:val="center"/>
          </w:tcPr>
          <w:p w14:paraId="51CF0135">
            <w:pPr>
              <w:pStyle w:val="37"/>
              <w:spacing w:beforeLines="0" w:afterLines="0" w:line="240" w:lineRule="auto"/>
              <w:rPr>
                <w:rFonts w:hint="eastAsia" w:ascii="Times New Roman" w:cs="Times New Roman"/>
                <w:snapToGrid w:val="0"/>
                <w:color w:val="auto"/>
                <w:kern w:val="21"/>
                <w:sz w:val="24"/>
                <w:szCs w:val="24"/>
                <w:highlight w:val="none"/>
                <w:lang w:val="en-US" w:eastAsia="zh-CN"/>
              </w:rPr>
            </w:pPr>
          </w:p>
        </w:tc>
        <w:tc>
          <w:tcPr>
            <w:tcW w:w="1996" w:type="dxa"/>
            <w:tcBorders>
              <w:top w:val="single" w:color="000000" w:sz="4" w:space="0"/>
              <w:bottom w:val="single" w:color="000000" w:sz="4" w:space="0"/>
            </w:tcBorders>
            <w:vAlign w:val="center"/>
          </w:tcPr>
          <w:p w14:paraId="49B05AEB">
            <w:pPr>
              <w:jc w:val="center"/>
              <w:rPr>
                <w:rFonts w:hint="default"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含油零部件及废机油桶</w:t>
            </w:r>
          </w:p>
        </w:tc>
        <w:tc>
          <w:tcPr>
            <w:tcW w:w="1701" w:type="dxa"/>
            <w:tcBorders>
              <w:top w:val="single" w:color="000000" w:sz="4" w:space="0"/>
              <w:bottom w:val="single" w:color="000000" w:sz="4" w:space="0"/>
            </w:tcBorders>
            <w:vAlign w:val="center"/>
          </w:tcPr>
          <w:p w14:paraId="4AAF90C4">
            <w:pPr>
              <w:jc w:val="center"/>
              <w:rPr>
                <w:rFonts w:hint="eastAsia" w:ascii="Times New Roman" w:hAnsi="Times New Roman" w:eastAsia="宋体"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w:t>
            </w:r>
          </w:p>
        </w:tc>
        <w:tc>
          <w:tcPr>
            <w:tcW w:w="1276" w:type="dxa"/>
            <w:tcBorders>
              <w:top w:val="single" w:color="000000" w:sz="4" w:space="0"/>
              <w:bottom w:val="single" w:color="000000" w:sz="4" w:space="0"/>
            </w:tcBorders>
            <w:vAlign w:val="center"/>
          </w:tcPr>
          <w:p w14:paraId="4D63F60B">
            <w:pPr>
              <w:jc w:val="center"/>
              <w:rPr>
                <w:rFonts w:hint="default" w:ascii="Times New Roman" w:hAnsi="Times New Roman" w:eastAsia="宋体" w:cs="Times New Roman"/>
                <w:snapToGrid w:val="0"/>
                <w:color w:val="auto"/>
                <w:kern w:val="21"/>
                <w:sz w:val="24"/>
                <w:highlight w:val="none"/>
              </w:rPr>
            </w:pPr>
            <w:r>
              <w:rPr>
                <w:rFonts w:hint="default" w:ascii="Times New Roman" w:hAnsi="Times New Roman" w:eastAsia="宋体" w:cs="Times New Roman"/>
                <w:snapToGrid w:val="0"/>
                <w:color w:val="auto"/>
                <w:kern w:val="21"/>
                <w:sz w:val="24"/>
                <w:highlight w:val="none"/>
              </w:rPr>
              <w:t>/</w:t>
            </w:r>
          </w:p>
        </w:tc>
        <w:tc>
          <w:tcPr>
            <w:tcW w:w="1701" w:type="dxa"/>
            <w:tcBorders>
              <w:top w:val="single" w:color="000000" w:sz="4" w:space="0"/>
              <w:bottom w:val="single" w:color="000000" w:sz="4" w:space="0"/>
            </w:tcBorders>
            <w:vAlign w:val="center"/>
          </w:tcPr>
          <w:p w14:paraId="7D7A9CBB">
            <w:pPr>
              <w:jc w:val="center"/>
              <w:rPr>
                <w:rFonts w:hint="default" w:ascii="Times New Roman" w:hAnsi="Times New Roman" w:eastAsia="宋体" w:cs="Times New Roman"/>
                <w:snapToGrid w:val="0"/>
                <w:color w:val="auto"/>
                <w:kern w:val="21"/>
                <w:sz w:val="24"/>
                <w:highlight w:val="none"/>
              </w:rPr>
            </w:pPr>
            <w:r>
              <w:rPr>
                <w:rFonts w:hint="default" w:ascii="Times New Roman" w:hAnsi="Times New Roman" w:eastAsia="宋体" w:cs="Times New Roman"/>
                <w:snapToGrid w:val="0"/>
                <w:color w:val="auto"/>
                <w:kern w:val="21"/>
                <w:sz w:val="24"/>
                <w:highlight w:val="none"/>
              </w:rPr>
              <w:t>/</w:t>
            </w:r>
          </w:p>
        </w:tc>
        <w:tc>
          <w:tcPr>
            <w:tcW w:w="1559" w:type="dxa"/>
            <w:tcBorders>
              <w:top w:val="single" w:color="000000" w:sz="4" w:space="0"/>
              <w:bottom w:val="single" w:color="000000" w:sz="4" w:space="0"/>
            </w:tcBorders>
            <w:vAlign w:val="center"/>
          </w:tcPr>
          <w:p w14:paraId="159B081F">
            <w:pPr>
              <w:jc w:val="center"/>
              <w:rPr>
                <w:rFonts w:hint="eastAsia"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0.015t/a</w:t>
            </w:r>
          </w:p>
        </w:tc>
        <w:tc>
          <w:tcPr>
            <w:tcW w:w="1497" w:type="dxa"/>
            <w:tcBorders>
              <w:top w:val="single" w:color="000000" w:sz="4" w:space="0"/>
              <w:bottom w:val="single" w:color="000000" w:sz="4" w:space="0"/>
            </w:tcBorders>
            <w:vAlign w:val="center"/>
          </w:tcPr>
          <w:p w14:paraId="4E7FB67C">
            <w:pPr>
              <w:jc w:val="center"/>
              <w:rPr>
                <w:rFonts w:hint="default" w:ascii="Times New Roman" w:hAnsi="Times New Roman" w:eastAsia="宋体" w:cs="Times New Roman"/>
                <w:snapToGrid w:val="0"/>
                <w:color w:val="auto"/>
                <w:kern w:val="21"/>
                <w:sz w:val="24"/>
                <w:highlight w:val="none"/>
              </w:rPr>
            </w:pPr>
            <w:r>
              <w:rPr>
                <w:rFonts w:hint="default" w:ascii="Times New Roman" w:hAnsi="Times New Roman" w:eastAsia="宋体" w:cs="Times New Roman"/>
                <w:snapToGrid w:val="0"/>
                <w:color w:val="auto"/>
                <w:kern w:val="21"/>
                <w:sz w:val="24"/>
                <w:highlight w:val="none"/>
              </w:rPr>
              <w:t>/</w:t>
            </w:r>
          </w:p>
        </w:tc>
        <w:tc>
          <w:tcPr>
            <w:tcW w:w="1792" w:type="dxa"/>
            <w:tcBorders>
              <w:top w:val="single" w:color="000000" w:sz="4" w:space="0"/>
              <w:bottom w:val="single" w:color="000000" w:sz="4" w:space="0"/>
            </w:tcBorders>
            <w:vAlign w:val="center"/>
          </w:tcPr>
          <w:p w14:paraId="655F75EE">
            <w:pPr>
              <w:jc w:val="center"/>
              <w:rPr>
                <w:rFonts w:hint="eastAsia"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0.015t/a</w:t>
            </w:r>
          </w:p>
        </w:tc>
        <w:tc>
          <w:tcPr>
            <w:tcW w:w="1257" w:type="dxa"/>
            <w:tcBorders>
              <w:top w:val="single" w:color="000000" w:sz="4" w:space="0"/>
              <w:bottom w:val="single" w:color="000000" w:sz="4" w:space="0"/>
            </w:tcBorders>
            <w:vAlign w:val="center"/>
          </w:tcPr>
          <w:p w14:paraId="4CAD0DB8">
            <w:pPr>
              <w:jc w:val="center"/>
              <w:rPr>
                <w:rFonts w:hint="eastAsia" w:cs="Times New Roman"/>
                <w:snapToGrid w:val="0"/>
                <w:color w:val="auto"/>
                <w:kern w:val="21"/>
                <w:sz w:val="24"/>
                <w:highlight w:val="none"/>
                <w:lang w:val="en-US" w:eastAsia="zh-CN"/>
              </w:rPr>
            </w:pPr>
            <w:r>
              <w:rPr>
                <w:rFonts w:hint="eastAsia" w:cs="Times New Roman"/>
                <w:snapToGrid w:val="0"/>
                <w:color w:val="auto"/>
                <w:kern w:val="21"/>
                <w:sz w:val="24"/>
                <w:highlight w:val="none"/>
                <w:lang w:val="en-US" w:eastAsia="zh-CN"/>
              </w:rPr>
              <w:t>0.015t/a</w:t>
            </w:r>
          </w:p>
        </w:tc>
      </w:tr>
    </w:tbl>
    <w:p w14:paraId="119068E7">
      <w:pPr>
        <w:pStyle w:val="37"/>
        <w:spacing w:before="192" w:beforeLines="80" w:after="24"/>
        <w:jc w:val="left"/>
        <w:rPr>
          <w:rFonts w:hint="default" w:ascii="Times New Roman" w:hAnsi="Times New Roman" w:cs="Times New Roman"/>
          <w:color w:val="auto"/>
          <w:highlight w:val="none"/>
        </w:r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3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4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5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7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p>
    <w:p w14:paraId="77842F1B">
      <w:pPr>
        <w:pStyle w:val="15"/>
        <w:ind w:firstLine="0" w:firstLineChars="0"/>
        <w:jc w:val="center"/>
        <w:rPr>
          <w:rFonts w:hint="default" w:ascii="Times New Roman" w:hAnsi="Times New Roman" w:cs="Times New Roman"/>
          <w:color w:val="auto"/>
          <w:highlight w:val="none"/>
        </w:rPr>
      </w:pPr>
      <w:r>
        <w:rPr>
          <w:rFonts w:hint="default" w:ascii="Times New Roman" w:hAnsi="Times New Roman" w:cs="Times New Roman"/>
          <w:b/>
          <w:color w:val="auto"/>
          <w:kern w:val="2"/>
          <w:sz w:val="24"/>
          <w:szCs w:val="24"/>
          <w:highlight w:val="none"/>
        </w:rPr>
        <mc:AlternateContent>
          <mc:Choice Requires="wps">
            <w:drawing>
              <wp:anchor distT="0" distB="0" distL="114300" distR="114300" simplePos="0" relativeHeight="251659264" behindDoc="0" locked="0" layoutInCell="1" allowOverlap="1">
                <wp:simplePos x="0" y="0"/>
                <wp:positionH relativeFrom="column">
                  <wp:posOffset>3914775</wp:posOffset>
                </wp:positionH>
                <wp:positionV relativeFrom="paragraph">
                  <wp:posOffset>2586990</wp:posOffset>
                </wp:positionV>
                <wp:extent cx="233680" cy="213995"/>
                <wp:effectExtent l="15240" t="14605" r="17780" b="19050"/>
                <wp:wrapNone/>
                <wp:docPr id="23" name="AutoShape 101"/>
                <wp:cNvGraphicFramePr/>
                <a:graphic xmlns:a="http://schemas.openxmlformats.org/drawingml/2006/main">
                  <a:graphicData uri="http://schemas.microsoft.com/office/word/2010/wordprocessingShape">
                    <wps:wsp>
                      <wps:cNvSpPr>
                        <a:spLocks noChangeArrowheads="1"/>
                      </wps:cNvSpPr>
                      <wps:spPr bwMode="auto">
                        <a:xfrm>
                          <a:off x="0" y="0"/>
                          <a:ext cx="233680" cy="213995"/>
                        </a:xfrm>
                        <a:prstGeom prst="star5">
                          <a:avLst/>
                        </a:prstGeom>
                        <a:solidFill>
                          <a:srgbClr val="FF00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AutoShape 101" o:spid="_x0000_s1026" style="position:absolute;left:0pt;margin-left:308.25pt;margin-top:203.7pt;height:16.85pt;width:18.4pt;z-index:251659264;mso-width-relative:page;mso-height-relative:page;" fillcolor="#FF0000" filled="t" stroked="t" coordsize="233680,213995" o:gfxdata="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g0irs1wAAAAsBAAAPAAAAAAAAAAEAIAAAACIAAABkcnMvZG93bnJldi54bWxQSwECFAAUAAAA&#10;CACHTuJAP6oXlygCAAB1BAAADgAAAAAAAAABACAAAAAmAQAAZHJzL2Uyb0RvYy54bWxQSwUGAAAA&#10;AAYABgBZAQAAwAUAAAAA&#10;" path="m0,81738l89258,81739,116840,0,144421,81739,233679,81738,161468,132255,189050,213994,116840,163476,44629,213994,72211,132255xe">
                <v:path o:connectlocs="116840,0;0,81738;44629,213994;189050,213994;233679,81738" o:connectangles="247,164,82,82,0"/>
                <v:fill on="t" focussize="0,0"/>
                <v:stroke color="#000000" miterlimit="8" joinstyle="miter"/>
                <v:imagedata o:title=""/>
                <o:lock v:ext="edit" aspectratio="f"/>
              </v:shape>
            </w:pict>
          </mc:Fallback>
        </mc:AlternateContent>
      </w:r>
      <w:r>
        <w:rPr>
          <w:color w:val="auto"/>
          <w:highlight w:val="none"/>
        </w:rPr>
        <w:drawing>
          <wp:anchor distT="0" distB="0" distL="114300" distR="114300" simplePos="0" relativeHeight="251665408" behindDoc="0" locked="0" layoutInCell="1" allowOverlap="1">
            <wp:simplePos x="0" y="0"/>
            <wp:positionH relativeFrom="column">
              <wp:posOffset>8890</wp:posOffset>
            </wp:positionH>
            <wp:positionV relativeFrom="paragraph">
              <wp:posOffset>3810</wp:posOffset>
            </wp:positionV>
            <wp:extent cx="695325" cy="685800"/>
            <wp:effectExtent l="0" t="0" r="9525" b="0"/>
            <wp:wrapNone/>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17"/>
                    <a:stretch>
                      <a:fillRect/>
                    </a:stretch>
                  </pic:blipFill>
                  <pic:spPr>
                    <a:xfrm>
                      <a:off x="0" y="0"/>
                      <a:ext cx="695325" cy="685800"/>
                    </a:xfrm>
                    <a:prstGeom prst="rect">
                      <a:avLst/>
                    </a:prstGeom>
                    <a:noFill/>
                    <a:ln>
                      <a:noFill/>
                    </a:ln>
                  </pic:spPr>
                </pic:pic>
              </a:graphicData>
            </a:graphic>
          </wp:anchor>
        </w:drawing>
      </w:r>
      <w:r>
        <w:rPr>
          <w:rFonts w:hint="default" w:ascii="Times New Roman" w:hAnsi="Times New Roman" w:cs="Times New Roman"/>
          <w:b/>
          <w:color w:val="auto"/>
          <w:kern w:val="2"/>
          <w:sz w:val="24"/>
          <w:szCs w:val="24"/>
          <w:highlight w:val="none"/>
        </w:rPr>
        <mc:AlternateContent>
          <mc:Choice Requires="wpg">
            <w:drawing>
              <wp:anchor distT="0" distB="0" distL="114300" distR="114300" simplePos="0" relativeHeight="251660288" behindDoc="0" locked="0" layoutInCell="1" allowOverlap="1">
                <wp:simplePos x="0" y="0"/>
                <wp:positionH relativeFrom="column">
                  <wp:posOffset>6694805</wp:posOffset>
                </wp:positionH>
                <wp:positionV relativeFrom="paragraph">
                  <wp:posOffset>4320540</wp:posOffset>
                </wp:positionV>
                <wp:extent cx="1838325" cy="904875"/>
                <wp:effectExtent l="4445" t="4445" r="5080" b="5080"/>
                <wp:wrapNone/>
                <wp:docPr id="24" name="Group 104"/>
                <wp:cNvGraphicFramePr/>
                <a:graphic xmlns:a="http://schemas.openxmlformats.org/drawingml/2006/main">
                  <a:graphicData uri="http://schemas.microsoft.com/office/word/2010/wordprocessingGroup">
                    <wpg:wgp>
                      <wpg:cNvGrpSpPr/>
                      <wpg:grpSpPr>
                        <a:xfrm>
                          <a:off x="0" y="0"/>
                          <a:ext cx="1838325" cy="904875"/>
                          <a:chOff x="11475" y="8370"/>
                          <a:chExt cx="2895" cy="1425"/>
                        </a:xfrm>
                      </wpg:grpSpPr>
                      <wps:wsp>
                        <wps:cNvPr id="25" name="Rectangle 98"/>
                        <wps:cNvSpPr>
                          <a:spLocks noChangeArrowheads="1"/>
                        </wps:cNvSpPr>
                        <wps:spPr bwMode="auto">
                          <a:xfrm>
                            <a:off x="11475" y="8370"/>
                            <a:ext cx="2895" cy="142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26" name="Text Box 99"/>
                        <wps:cNvSpPr txBox="1">
                          <a:spLocks noChangeArrowheads="1"/>
                        </wps:cNvSpPr>
                        <wps:spPr bwMode="auto">
                          <a:xfrm>
                            <a:off x="12420" y="8520"/>
                            <a:ext cx="1170" cy="435"/>
                          </a:xfrm>
                          <a:prstGeom prst="rect">
                            <a:avLst/>
                          </a:prstGeom>
                          <a:noFill/>
                          <a:ln>
                            <a:noFill/>
                          </a:ln>
                        </wps:spPr>
                        <wps:txbx>
                          <w:txbxContent>
                            <w:p w14:paraId="47C46916">
                              <w:pPr>
                                <w:rPr>
                                  <w:b/>
                                  <w:bCs/>
                                </w:rPr>
                              </w:pPr>
                              <w:r>
                                <w:rPr>
                                  <w:rFonts w:hint="eastAsia"/>
                                  <w:b/>
                                  <w:bCs/>
                                </w:rPr>
                                <w:t xml:space="preserve">图 </w:t>
                              </w:r>
                              <w:r>
                                <w:rPr>
                                  <w:b/>
                                  <w:bCs/>
                                </w:rPr>
                                <w:t xml:space="preserve"> </w:t>
                              </w:r>
                              <w:r>
                                <w:rPr>
                                  <w:rFonts w:hint="eastAsia"/>
                                  <w:b/>
                                  <w:bCs/>
                                </w:rPr>
                                <w:t>例</w:t>
                              </w:r>
                            </w:p>
                          </w:txbxContent>
                        </wps:txbx>
                        <wps:bodyPr rot="0" vert="horz" wrap="square" lIns="91440" tIns="45720" rIns="91440" bIns="45720" anchor="t" anchorCtr="0" upright="1">
                          <a:noAutofit/>
                        </wps:bodyPr>
                      </wps:wsp>
                      <wps:wsp>
                        <wps:cNvPr id="27" name="Text Box 100"/>
                        <wps:cNvSpPr txBox="1">
                          <a:spLocks noChangeArrowheads="1"/>
                        </wps:cNvSpPr>
                        <wps:spPr bwMode="auto">
                          <a:xfrm>
                            <a:off x="12660" y="9120"/>
                            <a:ext cx="1395" cy="435"/>
                          </a:xfrm>
                          <a:prstGeom prst="rect">
                            <a:avLst/>
                          </a:prstGeom>
                          <a:noFill/>
                          <a:ln>
                            <a:noFill/>
                          </a:ln>
                        </wps:spPr>
                        <wps:txbx>
                          <w:txbxContent>
                            <w:p w14:paraId="4FB07D60">
                              <w:pPr>
                                <w:rPr>
                                  <w:b/>
                                  <w:bCs/>
                                </w:rPr>
                              </w:pPr>
                              <w:r>
                                <w:rPr>
                                  <w:rFonts w:hint="eastAsia"/>
                                  <w:b/>
                                  <w:bCs/>
                                </w:rPr>
                                <w:t>本项目位置</w:t>
                              </w:r>
                            </w:p>
                          </w:txbxContent>
                        </wps:txbx>
                        <wps:bodyPr rot="0" vert="horz" wrap="square" lIns="91440" tIns="45720" rIns="91440" bIns="45720" anchor="t" anchorCtr="0" upright="1">
                          <a:noAutofit/>
                        </wps:bodyPr>
                      </wps:wsp>
                      <wps:wsp>
                        <wps:cNvPr id="28" name="AutoShape 102"/>
                        <wps:cNvSpPr>
                          <a:spLocks noChangeArrowheads="1"/>
                        </wps:cNvSpPr>
                        <wps:spPr bwMode="auto">
                          <a:xfrm>
                            <a:off x="11970" y="9120"/>
                            <a:ext cx="360" cy="405"/>
                          </a:xfrm>
                          <a:prstGeom prst="star5">
                            <a:avLst/>
                          </a:prstGeom>
                          <a:solidFill>
                            <a:srgbClr val="FF0000"/>
                          </a:solidFill>
                          <a:ln w="9525">
                            <a:solidFill>
                              <a:srgbClr val="000000"/>
                            </a:solidFill>
                            <a:miter lim="800000"/>
                          </a:ln>
                        </wps:spPr>
                        <wps:bodyPr rot="0" vert="horz" wrap="square" lIns="91440" tIns="45720" rIns="91440" bIns="45720" anchor="t" anchorCtr="0" upright="1">
                          <a:noAutofit/>
                        </wps:bodyPr>
                      </wps:wsp>
                    </wpg:wgp>
                  </a:graphicData>
                </a:graphic>
              </wp:anchor>
            </w:drawing>
          </mc:Choice>
          <mc:Fallback>
            <w:pict>
              <v:group id="Group 104" o:spid="_x0000_s1026" o:spt="203" style="position:absolute;left:0pt;margin-left:527.15pt;margin-top:340.2pt;height:71.25pt;width:144.75pt;z-index:251660288;mso-width-relative:page;mso-height-relative:page;" coordorigin="11475,8370" coordsize="2895,1425" o:gfxdata="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">
                <o:lock v:ext="edit" aspectratio="f"/>
                <v:rect id="Rectangle 98" o:spid="_x0000_s1026" o:spt="1" style="position:absolute;left:11475;top:8370;height:1425;width:2895;" fillcolor="#FFFFFF" filled="t" stroked="t" coordsize="21600,21600" o:gfxdata="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h3e0vQAA&#10;ANsAAAAPAAAAAAAAAAEAIAAAACIAAABkcnMvZG93bnJldi54bWxQSwECFAAUAAAACACHTuJAMy8F&#10;njsAAAA5AAAAEAAAAAAAAAABACAAAAAMAQAAZHJzL3NoYXBleG1sLnhtbFBLBQYAAAAABgAGAFsB&#10;AAC2AwAAAAA=&#10;">
                  <v:fill on="t" focussize="0,0"/>
                  <v:stroke color="#000000" miterlimit="8" joinstyle="miter"/>
                  <v:imagedata o:title=""/>
                  <o:lock v:ext="edit" aspectratio="f"/>
                </v:rect>
                <v:shape id="Text Box 99" o:spid="_x0000_s1026" o:spt="202" type="#_x0000_t202" style="position:absolute;left:12420;top:8520;height:435;width:1170;" filled="f" stroked="f" coordsize="21600,21600" o:gfxdata="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enGk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47C46916">
                        <w:pPr>
                          <w:rPr>
                            <w:b/>
                            <w:bCs/>
                          </w:rPr>
                        </w:pPr>
                        <w:r>
                          <w:rPr>
                            <w:rFonts w:hint="eastAsia"/>
                            <w:b/>
                            <w:bCs/>
                          </w:rPr>
                          <w:t xml:space="preserve">图 </w:t>
                        </w:r>
                        <w:r>
                          <w:rPr>
                            <w:b/>
                            <w:bCs/>
                          </w:rPr>
                          <w:t xml:space="preserve"> </w:t>
                        </w:r>
                        <w:r>
                          <w:rPr>
                            <w:rFonts w:hint="eastAsia"/>
                            <w:b/>
                            <w:bCs/>
                          </w:rPr>
                          <w:t>例</w:t>
                        </w:r>
                      </w:p>
                    </w:txbxContent>
                  </v:textbox>
                </v:shape>
                <v:shape id="Text Box 100" o:spid="_x0000_s1026" o:spt="202" type="#_x0000_t202" style="position:absolute;left:12660;top:9120;height:435;width:1395;" filled="f" stroked="f" coordsize="21600,21600" o:gfxdata="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NtQ/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4FB07D60">
                        <w:pPr>
                          <w:rPr>
                            <w:b/>
                            <w:bCs/>
                          </w:rPr>
                        </w:pPr>
                        <w:r>
                          <w:rPr>
                            <w:rFonts w:hint="eastAsia"/>
                            <w:b/>
                            <w:bCs/>
                          </w:rPr>
                          <w:t>本项目位置</w:t>
                        </w:r>
                      </w:p>
                    </w:txbxContent>
                  </v:textbox>
                </v:shape>
                <v:shape id="AutoShape 102" o:spid="_x0000_s1026" style="position:absolute;left:11970;top:9120;height:405;width:360;" fillcolor="#FF0000" filled="t" stroked="t" coordsize="360,405" o:gfxdata="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z0PjLtwAAANsAAAAP&#10;AAAAAAAAAAEAIAAAACIAAABkcnMvZG93bnJldi54bWxQSwECFAAUAAAACACHTuJAMy8FnjsAAAA5&#10;AAAAEAAAAAAAAAABACAAAAAGAQAAZHJzL3NoYXBleG1sLnhtbFBLBQYAAAAABgAGAFsBAACwAwAA&#10;AAA=&#10;" path="m0,154l137,154,180,0,222,154,359,154,248,250,291,404,180,309,68,404,111,250xe">
                  <v:path o:connectlocs="180,0;0,154;68,404;291,404;359,154" o:connectangles="247,164,82,82,0"/>
                  <v:fill on="t" focussize="0,0"/>
                  <v:stroke color="#000000" miterlimit="8" joinstyle="miter"/>
                  <v:imagedata o:title=""/>
                  <o:lock v:ext="edit" aspectratio="f"/>
                </v:shape>
              </v:group>
            </w:pict>
          </mc:Fallback>
        </mc:AlternateContent>
      </w:r>
      <w:r>
        <w:rPr>
          <w:color w:val="auto"/>
        </w:rPr>
        <w:drawing>
          <wp:inline distT="0" distB="0" distL="114300" distR="114300">
            <wp:extent cx="8524875" cy="5201920"/>
            <wp:effectExtent l="0" t="0" r="9525" b="17780"/>
            <wp:docPr id="9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2"/>
                    <pic:cNvPicPr>
                      <a:picLocks noChangeAspect="1"/>
                    </pic:cNvPicPr>
                  </pic:nvPicPr>
                  <pic:blipFill>
                    <a:blip r:embed="rId29"/>
                    <a:srcRect t="4500"/>
                    <a:stretch>
                      <a:fillRect/>
                    </a:stretch>
                  </pic:blipFill>
                  <pic:spPr>
                    <a:xfrm>
                      <a:off x="0" y="0"/>
                      <a:ext cx="8524875" cy="5201920"/>
                    </a:xfrm>
                    <a:prstGeom prst="rect">
                      <a:avLst/>
                    </a:prstGeom>
                    <a:noFill/>
                    <a:ln>
                      <a:noFill/>
                    </a:ln>
                  </pic:spPr>
                </pic:pic>
              </a:graphicData>
            </a:graphic>
          </wp:inline>
        </w:drawing>
      </w:r>
    </w:p>
    <w:p w14:paraId="49524987">
      <w:pPr>
        <w:pStyle w:val="15"/>
        <w:spacing w:line="240" w:lineRule="auto"/>
        <w:ind w:firstLine="0" w:firstLineChars="0"/>
        <w:jc w:val="center"/>
        <w:outlineLvl w:val="0"/>
        <w:rPr>
          <w:rFonts w:hint="default" w:ascii="Times New Roman" w:hAnsi="Times New Roman" w:cs="Times New Roman"/>
          <w:color w:val="auto"/>
          <w:sz w:val="28"/>
          <w:szCs w:val="28"/>
          <w:highlight w:val="none"/>
        </w:rPr>
      </w:pPr>
      <w:bookmarkStart w:id="28" w:name="_Toc20032"/>
      <w:r>
        <w:rPr>
          <w:rFonts w:hint="default" w:ascii="Times New Roman" w:hAnsi="Times New Roman" w:eastAsia="黑体" w:cs="Times New Roman"/>
          <w:snapToGrid w:val="0"/>
          <w:color w:val="auto"/>
          <w:sz w:val="28"/>
          <w:szCs w:val="28"/>
          <w:highlight w:val="none"/>
        </w:rPr>
        <w:t>附图1 项目地理位置图</w:t>
      </w:r>
      <w:bookmarkEnd w:id="28"/>
    </w:p>
    <w:p w14:paraId="2AEF7317">
      <w:pPr>
        <w:pStyle w:val="16"/>
        <w:ind w:left="0" w:leftChars="0" w:firstLine="0" w:firstLineChars="0"/>
        <w:jc w:val="center"/>
        <w:rPr>
          <w:color w:val="auto"/>
          <w:sz w:val="21"/>
          <w:highlight w:val="none"/>
        </w:rPr>
      </w:pPr>
      <w:r>
        <w:rPr>
          <w:color w:val="auto"/>
          <w:sz w:val="21"/>
          <w:highlight w:val="none"/>
        </w:rPr>
        <mc:AlternateContent>
          <mc:Choice Requires="wpg">
            <w:drawing>
              <wp:anchor distT="0" distB="0" distL="114300" distR="114300" simplePos="0" relativeHeight="251664384" behindDoc="0" locked="0" layoutInCell="1" allowOverlap="1">
                <wp:simplePos x="0" y="0"/>
                <wp:positionH relativeFrom="column">
                  <wp:posOffset>1089025</wp:posOffset>
                </wp:positionH>
                <wp:positionV relativeFrom="paragraph">
                  <wp:posOffset>2601595</wp:posOffset>
                </wp:positionV>
                <wp:extent cx="863600" cy="1132840"/>
                <wp:effectExtent l="4445" t="4445" r="8255" b="24765"/>
                <wp:wrapNone/>
                <wp:docPr id="20" name="组合 20"/>
                <wp:cNvGraphicFramePr/>
                <a:graphic xmlns:a="http://schemas.openxmlformats.org/drawingml/2006/main">
                  <a:graphicData uri="http://schemas.microsoft.com/office/word/2010/wordprocessingGroup">
                    <wpg:wgp>
                      <wpg:cNvGrpSpPr/>
                      <wpg:grpSpPr>
                        <a:xfrm>
                          <a:off x="0" y="0"/>
                          <a:ext cx="863600" cy="1132840"/>
                          <a:chOff x="5400" y="473256"/>
                          <a:chExt cx="1360" cy="1784"/>
                        </a:xfrm>
                      </wpg:grpSpPr>
                      <wps:wsp>
                        <wps:cNvPr id="34" name="圆角矩形标注 34"/>
                        <wps:cNvSpPr/>
                        <wps:spPr>
                          <a:xfrm>
                            <a:off x="5400" y="473256"/>
                            <a:ext cx="1361" cy="473"/>
                          </a:xfrm>
                          <a:prstGeom prst="wedgeRoundRectCallout">
                            <a:avLst>
                              <a:gd name="adj1" fmla="val 22887"/>
                              <a:gd name="adj2" fmla="val 292283"/>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3DA83B0E">
                              <w:r>
                                <w:rPr>
                                  <w:rFonts w:hint="eastAsia"/>
                                </w:rPr>
                                <w:t>项目位置</w:t>
                              </w:r>
                            </w:p>
                          </w:txbxContent>
                        </wps:txbx>
                        <wps:bodyPr upright="1"/>
                      </wps:wsp>
                      <wps:wsp>
                        <wps:cNvPr id="36" name="五角星 36"/>
                        <wps:cNvSpPr/>
                        <wps:spPr>
                          <a:xfrm>
                            <a:off x="6349" y="474876"/>
                            <a:ext cx="200" cy="164"/>
                          </a:xfrm>
                          <a:prstGeom prst="star5">
                            <a:avLst>
                              <a:gd name="adj" fmla="val 19114"/>
                              <a:gd name="hf" fmla="val 105146"/>
                              <a:gd name="vf" fmla="val 110557"/>
                            </a:avLst>
                          </a:prstGeom>
                          <a:solidFill>
                            <a:srgbClr val="FF0000"/>
                          </a:solidFill>
                          <a:ln w="9525" cap="flat" cmpd="sng">
                            <a:solidFill>
                              <a:srgbClr val="00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85.75pt;margin-top:204.85pt;height:89.2pt;width:68pt;z-index:251664384;mso-width-relative:page;mso-height-relative:page;" coordorigin="5400,473256" coordsize="1360,1784" o:gfxdata="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">
                <o:lock v:ext="edit" aspectratio="f"/>
                <v:shape id="_x0000_s1026" o:spid="_x0000_s1026" o:spt="62" type="#_x0000_t62" style="position:absolute;left:5400;top:473256;height:473;width:1361;" fillcolor="#FFFFFF" filled="t" stroked="t" coordsize="21600,21600" o:gfxdata="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m6LxvQAA&#10;ANsAAAAPAAAAAAAAAAEAIAAAACIAAABkcnMvZG93bnJldi54bWxQSwECFAAUAAAACACHTuJAMy8F&#10;njsAAAA5AAAAEAAAAAAAAAABACAAAAAMAQAAZHJzL3NoYXBleG1sLnhtbFBLBQYAAAAABgAGAFsB&#10;AAC2AwAAAAA=&#10;" adj="15744,73933,14400">
                  <v:fill on="t" focussize="0,0"/>
                  <v:stroke color="#000000" joinstyle="miter"/>
                  <v:imagedata o:title=""/>
                  <o:lock v:ext="edit" aspectratio="f"/>
                  <v:textbox>
                    <w:txbxContent>
                      <w:p w14:paraId="3DA83B0E">
                        <w:r>
                          <w:rPr>
                            <w:rFonts w:hint="eastAsia"/>
                          </w:rPr>
                          <w:t>项目位置</w:t>
                        </w:r>
                      </w:p>
                    </w:txbxContent>
                  </v:textbox>
                </v:shape>
                <v:shape id="_x0000_s1026" o:spid="_x0000_s1026" style="position:absolute;left:6349;top:474876;height:164;width:200;" fillcolor="#FF0000" filled="t" stroked="t" coordsize="200,164" o:gfxdata="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687/vQAA&#10;ANsAAAAPAAAAAAAAAAEAIAAAACIAAABkcnMvZG93bnJldi54bWxQSwECFAAUAAAACACHTuJAMy8F&#10;njsAAAA5AAAAEAAAAAAAAAABACAAAAAMAQAAZHJzL3NoYXBleG1sLnhtbFBLBQYAAAAABgAGAFsB&#10;AAC2AwAAAAA=&#10;" path="m0,62l76,62,100,0,123,62,199,62,138,101,161,163,100,125,38,163,61,101xe">
                  <v:path o:connectlocs="100,0;0,62;38,163;161,163;199,62" o:connectangles="247,164,82,82,0"/>
                  <v:fill on="t" focussize="0,0"/>
                  <v:stroke color="#000000" joinstyle="miter"/>
                  <v:imagedata o:title=""/>
                  <o:lock v:ext="edit" aspectratio="f"/>
                </v:shape>
              </v:group>
            </w:pict>
          </mc:Fallback>
        </mc:AlternateContent>
      </w:r>
      <w:r>
        <w:rPr>
          <w:rFonts w:hint="eastAsia" w:ascii="Times New Roman" w:hAnsi="宋体" w:eastAsia="宋体" w:cs="Times New Roman"/>
          <w:color w:val="auto"/>
          <w:sz w:val="24"/>
          <w:szCs w:val="24"/>
          <w:highlight w:val="none"/>
        </w:rPr>
        <w:drawing>
          <wp:inline distT="0" distB="0" distL="0" distR="0">
            <wp:extent cx="7689215" cy="5280025"/>
            <wp:effectExtent l="3175" t="3175" r="3810" b="12700"/>
            <wp:docPr id="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
                    <pic:cNvPicPr>
                      <a:picLocks noChangeAspect="1" noChangeArrowheads="1"/>
                    </pic:cNvPicPr>
                  </pic:nvPicPr>
                  <pic:blipFill>
                    <a:blip r:embed="rId30" cstate="print"/>
                    <a:srcRect/>
                    <a:stretch>
                      <a:fillRect/>
                    </a:stretch>
                  </pic:blipFill>
                  <pic:spPr>
                    <a:xfrm>
                      <a:off x="0" y="0"/>
                      <a:ext cx="7689215" cy="5280025"/>
                    </a:xfrm>
                    <a:prstGeom prst="rect">
                      <a:avLst/>
                    </a:prstGeom>
                    <a:noFill/>
                    <a:ln w="9525">
                      <a:noFill/>
                      <a:miter lim="800000"/>
                      <a:headEnd/>
                      <a:tailEnd/>
                    </a:ln>
                    <a:scene3d>
                      <a:camera prst="orthographicFront"/>
                      <a:lightRig rig="threePt" dir="t"/>
                    </a:scene3d>
                    <a:sp3d contourW="6350"/>
                  </pic:spPr>
                </pic:pic>
              </a:graphicData>
            </a:graphic>
          </wp:inline>
        </w:drawing>
      </w:r>
    </w:p>
    <w:p w14:paraId="40070A55">
      <w:pPr>
        <w:pStyle w:val="16"/>
        <w:ind w:left="0" w:leftChars="0" w:firstLine="0" w:firstLineChars="0"/>
        <w:jc w:val="center"/>
        <w:outlineLvl w:val="0"/>
        <w:rPr>
          <w:color w:val="auto"/>
          <w:highlight w:val="none"/>
        </w:rPr>
      </w:pPr>
      <w:bookmarkStart w:id="29" w:name="_Toc13948"/>
      <w:r>
        <w:rPr>
          <w:rFonts w:hint="default" w:ascii="Times New Roman" w:hAnsi="Times New Roman" w:eastAsia="黑体" w:cs="Times New Roman"/>
          <w:snapToGrid w:val="0"/>
          <w:color w:val="auto"/>
          <w:kern w:val="0"/>
          <w:sz w:val="28"/>
          <w:szCs w:val="28"/>
          <w:highlight w:val="none"/>
          <w:lang w:val="en-US" w:eastAsia="zh-CN" w:bidi="ar-SA"/>
        </w:rPr>
        <w:t xml:space="preserve">附图2 </w:t>
      </w:r>
      <w:r>
        <w:rPr>
          <w:rFonts w:hint="eastAsia" w:ascii="Times New Roman" w:hAnsi="Times New Roman" w:eastAsia="黑体" w:cs="Times New Roman"/>
          <w:snapToGrid w:val="0"/>
          <w:color w:val="auto"/>
          <w:kern w:val="0"/>
          <w:sz w:val="28"/>
          <w:szCs w:val="28"/>
          <w:highlight w:val="none"/>
          <w:lang w:val="en-US" w:eastAsia="zh-CN" w:bidi="ar-SA"/>
        </w:rPr>
        <w:t>鸡西市</w:t>
      </w:r>
      <w:r>
        <w:rPr>
          <w:rFonts w:hint="default" w:ascii="Times New Roman" w:hAnsi="Times New Roman" w:eastAsia="黑体" w:cs="Times New Roman"/>
          <w:snapToGrid w:val="0"/>
          <w:color w:val="auto"/>
          <w:kern w:val="0"/>
          <w:sz w:val="28"/>
          <w:szCs w:val="28"/>
          <w:highlight w:val="none"/>
          <w:lang w:val="en-US" w:eastAsia="zh-CN" w:bidi="ar-SA"/>
        </w:rPr>
        <w:t>环境管控</w:t>
      </w:r>
      <w:r>
        <w:rPr>
          <w:rFonts w:hint="eastAsia" w:ascii="Times New Roman" w:hAnsi="Times New Roman" w:eastAsia="黑体" w:cs="Times New Roman"/>
          <w:snapToGrid w:val="0"/>
          <w:color w:val="auto"/>
          <w:kern w:val="0"/>
          <w:sz w:val="28"/>
          <w:szCs w:val="28"/>
          <w:highlight w:val="none"/>
          <w:lang w:val="en-US" w:eastAsia="zh-CN" w:bidi="ar-SA"/>
        </w:rPr>
        <w:t>单元</w:t>
      </w:r>
      <w:bookmarkEnd w:id="29"/>
      <w:r>
        <w:rPr>
          <w:rFonts w:hint="eastAsia" w:ascii="Times New Roman" w:hAnsi="Times New Roman" w:eastAsia="黑体" w:cs="Times New Roman"/>
          <w:snapToGrid w:val="0"/>
          <w:color w:val="auto"/>
          <w:kern w:val="0"/>
          <w:sz w:val="28"/>
          <w:szCs w:val="28"/>
          <w:highlight w:val="none"/>
          <w:lang w:val="en-US" w:eastAsia="zh-CN" w:bidi="ar-SA"/>
        </w:rPr>
        <w:t>图</w:t>
      </w:r>
    </w:p>
    <w:p w14:paraId="7A43ACAB">
      <w:pPr>
        <w:pStyle w:val="15"/>
        <w:ind w:left="10" w:leftChars="0" w:hanging="10" w:hangingChars="6"/>
        <w:jc w:val="both"/>
        <w:outlineLvl w:val="9"/>
        <w:rPr>
          <w:color w:val="auto"/>
          <w:highlight w:val="none"/>
        </w:rPr>
      </w:pPr>
      <w:r>
        <w:rPr>
          <w:color w:val="auto"/>
        </w:rPr>
        <w:drawing>
          <wp:anchor distT="0" distB="0" distL="114300" distR="114300" simplePos="0" relativeHeight="251675648" behindDoc="0" locked="0" layoutInCell="1" allowOverlap="1">
            <wp:simplePos x="0" y="0"/>
            <wp:positionH relativeFrom="column">
              <wp:posOffset>7319645</wp:posOffset>
            </wp:positionH>
            <wp:positionV relativeFrom="paragraph">
              <wp:posOffset>4387215</wp:posOffset>
            </wp:positionV>
            <wp:extent cx="1198245" cy="790575"/>
            <wp:effectExtent l="0" t="0" r="1905" b="9525"/>
            <wp:wrapNone/>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31"/>
                    <a:stretch>
                      <a:fillRect/>
                    </a:stretch>
                  </pic:blipFill>
                  <pic:spPr>
                    <a:xfrm>
                      <a:off x="0" y="0"/>
                      <a:ext cx="1198245" cy="790575"/>
                    </a:xfrm>
                    <a:prstGeom prst="rect">
                      <a:avLst/>
                    </a:prstGeom>
                    <a:noFill/>
                    <a:ln>
                      <a:noFill/>
                    </a:ln>
                  </pic:spPr>
                </pic:pic>
              </a:graphicData>
            </a:graphic>
          </wp:anchor>
        </w:drawing>
      </w:r>
      <w:r>
        <w:rPr>
          <w:color w:val="auto"/>
        </w:rPr>
        <w:drawing>
          <wp:inline distT="0" distB="0" distL="114300" distR="114300">
            <wp:extent cx="8524240" cy="5208270"/>
            <wp:effectExtent l="0" t="0" r="10160" b="1143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32"/>
                    <a:stretch>
                      <a:fillRect/>
                    </a:stretch>
                  </pic:blipFill>
                  <pic:spPr>
                    <a:xfrm>
                      <a:off x="0" y="0"/>
                      <a:ext cx="8524240" cy="5208270"/>
                    </a:xfrm>
                    <a:prstGeom prst="rect">
                      <a:avLst/>
                    </a:prstGeom>
                    <a:noFill/>
                    <a:ln>
                      <a:noFill/>
                    </a:ln>
                  </pic:spPr>
                </pic:pic>
              </a:graphicData>
            </a:graphic>
          </wp:inline>
        </w:drawing>
      </w:r>
      <w:r>
        <w:rPr>
          <w:color w:val="auto"/>
          <w:highlight w:val="none"/>
        </w:rPr>
        <w:drawing>
          <wp:anchor distT="0" distB="0" distL="114300" distR="114300" simplePos="0" relativeHeight="251666432" behindDoc="0" locked="0" layoutInCell="1" allowOverlap="1">
            <wp:simplePos x="0" y="0"/>
            <wp:positionH relativeFrom="column">
              <wp:posOffset>-8890</wp:posOffset>
            </wp:positionH>
            <wp:positionV relativeFrom="paragraph">
              <wp:posOffset>27305</wp:posOffset>
            </wp:positionV>
            <wp:extent cx="695325" cy="685800"/>
            <wp:effectExtent l="0" t="0" r="9525" b="0"/>
            <wp:wrapNone/>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17"/>
                    <a:stretch>
                      <a:fillRect/>
                    </a:stretch>
                  </pic:blipFill>
                  <pic:spPr>
                    <a:xfrm>
                      <a:off x="0" y="0"/>
                      <a:ext cx="695325" cy="685800"/>
                    </a:xfrm>
                    <a:prstGeom prst="rect">
                      <a:avLst/>
                    </a:prstGeom>
                    <a:noFill/>
                    <a:ln>
                      <a:noFill/>
                    </a:ln>
                  </pic:spPr>
                </pic:pic>
              </a:graphicData>
            </a:graphic>
          </wp:anchor>
        </w:drawing>
      </w:r>
    </w:p>
    <w:p w14:paraId="63869255">
      <w:pPr>
        <w:pStyle w:val="15"/>
        <w:spacing w:line="240" w:lineRule="auto"/>
        <w:ind w:firstLine="0" w:firstLineChars="0"/>
        <w:jc w:val="center"/>
        <w:outlineLvl w:val="0"/>
        <w:rPr>
          <w:rFonts w:hint="default" w:ascii="Times New Roman" w:hAnsi="Times New Roman" w:eastAsia="黑体" w:cs="Times New Roman"/>
          <w:snapToGrid w:val="0"/>
          <w:color w:val="auto"/>
          <w:kern w:val="0"/>
          <w:sz w:val="28"/>
          <w:szCs w:val="28"/>
          <w:highlight w:val="none"/>
          <w:lang w:val="en-US" w:eastAsia="zh-CN" w:bidi="ar-SA"/>
        </w:rPr>
      </w:pPr>
      <w:r>
        <w:rPr>
          <w:rFonts w:hint="default" w:ascii="Times New Roman" w:hAnsi="Times New Roman" w:eastAsia="黑体" w:cs="Times New Roman"/>
          <w:snapToGrid w:val="0"/>
          <w:color w:val="auto"/>
          <w:kern w:val="0"/>
          <w:sz w:val="28"/>
          <w:szCs w:val="28"/>
          <w:highlight w:val="none"/>
          <w:lang w:val="en-US" w:eastAsia="zh-CN" w:bidi="ar-SA"/>
        </w:rPr>
        <w:t>附图</w:t>
      </w:r>
      <w:r>
        <w:rPr>
          <w:rFonts w:hint="eastAsia" w:ascii="Times New Roman" w:hAnsi="Times New Roman" w:eastAsia="黑体" w:cs="Times New Roman"/>
          <w:snapToGrid w:val="0"/>
          <w:color w:val="auto"/>
          <w:kern w:val="0"/>
          <w:sz w:val="28"/>
          <w:szCs w:val="28"/>
          <w:highlight w:val="none"/>
          <w:lang w:val="en-US" w:eastAsia="zh-CN" w:bidi="ar-SA"/>
        </w:rPr>
        <w:t>3</w:t>
      </w:r>
      <w:r>
        <w:rPr>
          <w:rFonts w:hint="default" w:ascii="Times New Roman" w:hAnsi="Times New Roman" w:eastAsia="黑体" w:cs="Times New Roman"/>
          <w:snapToGrid w:val="0"/>
          <w:color w:val="auto"/>
          <w:kern w:val="0"/>
          <w:sz w:val="28"/>
          <w:szCs w:val="28"/>
          <w:highlight w:val="none"/>
          <w:lang w:val="en-US" w:eastAsia="zh-CN" w:bidi="ar-SA"/>
        </w:rPr>
        <w:t xml:space="preserve"> </w:t>
      </w:r>
      <w:r>
        <w:rPr>
          <w:rFonts w:hint="eastAsia" w:ascii="Times New Roman" w:hAnsi="Times New Roman" w:eastAsia="黑体" w:cs="Times New Roman"/>
          <w:snapToGrid w:val="0"/>
          <w:color w:val="auto"/>
          <w:kern w:val="0"/>
          <w:sz w:val="28"/>
          <w:szCs w:val="28"/>
          <w:highlight w:val="none"/>
          <w:lang w:val="en-US" w:eastAsia="zh-CN" w:bidi="ar-SA"/>
        </w:rPr>
        <w:t>环境保护目标图</w:t>
      </w:r>
    </w:p>
    <w:p w14:paraId="6808EB26">
      <w:pPr>
        <w:pStyle w:val="8"/>
        <w:rPr>
          <w:color w:val="auto"/>
          <w:highlight w:val="none"/>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1C2720A2">
      <w:pPr>
        <w:pStyle w:val="8"/>
        <w:ind w:left="0" w:leftChars="0" w:firstLine="0" w:firstLineChars="0"/>
        <w:rPr>
          <w:color w:val="auto"/>
        </w:rPr>
      </w:pPr>
      <w:r>
        <w:rPr>
          <w:color w:val="auto"/>
        </w:rPr>
        <w:drawing>
          <wp:anchor distT="0" distB="0" distL="114300" distR="114300" simplePos="0" relativeHeight="251673600" behindDoc="0" locked="0" layoutInCell="1" allowOverlap="1">
            <wp:simplePos x="0" y="0"/>
            <wp:positionH relativeFrom="column">
              <wp:posOffset>4288790</wp:posOffset>
            </wp:positionH>
            <wp:positionV relativeFrom="paragraph">
              <wp:posOffset>6337935</wp:posOffset>
            </wp:positionV>
            <wp:extent cx="1328420" cy="829310"/>
            <wp:effectExtent l="0" t="0" r="5080" b="8890"/>
            <wp:wrapNone/>
            <wp:docPr id="8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
                    <pic:cNvPicPr>
                      <a:picLocks noChangeAspect="1"/>
                    </pic:cNvPicPr>
                  </pic:nvPicPr>
                  <pic:blipFill>
                    <a:blip r:embed="rId33"/>
                    <a:stretch>
                      <a:fillRect/>
                    </a:stretch>
                  </pic:blipFill>
                  <pic:spPr>
                    <a:xfrm>
                      <a:off x="0" y="0"/>
                      <a:ext cx="1328420" cy="829310"/>
                    </a:xfrm>
                    <a:prstGeom prst="rect">
                      <a:avLst/>
                    </a:prstGeom>
                    <a:noFill/>
                    <a:ln>
                      <a:noFill/>
                    </a:ln>
                  </pic:spPr>
                </pic:pic>
              </a:graphicData>
            </a:graphic>
          </wp:anchor>
        </w:drawing>
      </w:r>
      <w:r>
        <w:rPr>
          <w:color w:val="auto"/>
          <w:highlight w:val="none"/>
        </w:rPr>
        <w:drawing>
          <wp:anchor distT="0" distB="0" distL="114300" distR="114300" simplePos="0" relativeHeight="251672576" behindDoc="0" locked="0" layoutInCell="1" allowOverlap="1">
            <wp:simplePos x="0" y="0"/>
            <wp:positionH relativeFrom="column">
              <wp:posOffset>24130</wp:posOffset>
            </wp:positionH>
            <wp:positionV relativeFrom="paragraph">
              <wp:posOffset>18415</wp:posOffset>
            </wp:positionV>
            <wp:extent cx="695325" cy="685800"/>
            <wp:effectExtent l="0" t="0" r="9525" b="0"/>
            <wp:wrapNone/>
            <wp:docPr id="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
                    <pic:cNvPicPr>
                      <a:picLocks noChangeAspect="1"/>
                    </pic:cNvPicPr>
                  </pic:nvPicPr>
                  <pic:blipFill>
                    <a:blip r:embed="rId17"/>
                    <a:stretch>
                      <a:fillRect/>
                    </a:stretch>
                  </pic:blipFill>
                  <pic:spPr>
                    <a:xfrm>
                      <a:off x="0" y="0"/>
                      <a:ext cx="695325" cy="685800"/>
                    </a:xfrm>
                    <a:prstGeom prst="rect">
                      <a:avLst/>
                    </a:prstGeom>
                    <a:noFill/>
                    <a:ln>
                      <a:noFill/>
                    </a:ln>
                  </pic:spPr>
                </pic:pic>
              </a:graphicData>
            </a:graphic>
          </wp:anchor>
        </w:drawing>
      </w:r>
      <w:r>
        <w:rPr>
          <w:color w:val="auto"/>
        </w:rPr>
        <w:drawing>
          <wp:inline distT="0" distB="0" distL="114300" distR="114300">
            <wp:extent cx="5612130" cy="7189470"/>
            <wp:effectExtent l="0" t="0" r="7620" b="11430"/>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34"/>
                    <a:stretch>
                      <a:fillRect/>
                    </a:stretch>
                  </pic:blipFill>
                  <pic:spPr>
                    <a:xfrm>
                      <a:off x="0" y="0"/>
                      <a:ext cx="5612130" cy="7189470"/>
                    </a:xfrm>
                    <a:prstGeom prst="rect">
                      <a:avLst/>
                    </a:prstGeom>
                    <a:noFill/>
                    <a:ln>
                      <a:noFill/>
                    </a:ln>
                  </pic:spPr>
                </pic:pic>
              </a:graphicData>
            </a:graphic>
          </wp:inline>
        </w:drawing>
      </w:r>
    </w:p>
    <w:p w14:paraId="58BFCC06">
      <w:pPr>
        <w:pStyle w:val="8"/>
        <w:ind w:left="0" w:leftChars="0" w:firstLine="0" w:firstLineChars="0"/>
        <w:rPr>
          <w:color w:val="auto"/>
        </w:rPr>
      </w:pPr>
    </w:p>
    <w:p w14:paraId="7926AAF4">
      <w:pPr>
        <w:pStyle w:val="15"/>
        <w:spacing w:line="240" w:lineRule="auto"/>
        <w:ind w:firstLine="0" w:firstLineChars="0"/>
        <w:jc w:val="center"/>
        <w:outlineLvl w:val="0"/>
        <w:rPr>
          <w:rFonts w:hint="default" w:ascii="Times New Roman" w:hAnsi="Times New Roman" w:eastAsia="黑体" w:cs="Times New Roman"/>
          <w:snapToGrid w:val="0"/>
          <w:color w:val="auto"/>
          <w:sz w:val="28"/>
          <w:szCs w:val="28"/>
          <w:highlight w:val="none"/>
          <w:lang w:val="en-US" w:eastAsia="zh-CN"/>
        </w:rPr>
      </w:pPr>
      <w:r>
        <w:rPr>
          <w:rFonts w:hint="default" w:ascii="Times New Roman" w:hAnsi="Times New Roman" w:eastAsia="黑体" w:cs="Times New Roman"/>
          <w:snapToGrid w:val="0"/>
          <w:color w:val="auto"/>
          <w:kern w:val="0"/>
          <w:sz w:val="28"/>
          <w:szCs w:val="28"/>
          <w:highlight w:val="none"/>
          <w:lang w:val="en-US" w:eastAsia="zh-CN" w:bidi="ar-SA"/>
        </w:rPr>
        <w:t>附图</w:t>
      </w:r>
      <w:r>
        <w:rPr>
          <w:rFonts w:hint="eastAsia" w:eastAsia="黑体" w:cs="Times New Roman"/>
          <w:snapToGrid w:val="0"/>
          <w:color w:val="auto"/>
          <w:kern w:val="0"/>
          <w:sz w:val="28"/>
          <w:szCs w:val="28"/>
          <w:highlight w:val="none"/>
          <w:lang w:val="en-US" w:eastAsia="zh-CN" w:bidi="ar-SA"/>
        </w:rPr>
        <w:t>4</w:t>
      </w:r>
      <w:r>
        <w:rPr>
          <w:rFonts w:hint="default" w:ascii="Times New Roman" w:hAnsi="Times New Roman" w:eastAsia="黑体" w:cs="Times New Roman"/>
          <w:snapToGrid w:val="0"/>
          <w:color w:val="auto"/>
          <w:kern w:val="0"/>
          <w:sz w:val="28"/>
          <w:szCs w:val="28"/>
          <w:highlight w:val="none"/>
          <w:lang w:val="en-US" w:eastAsia="zh-CN" w:bidi="ar-SA"/>
        </w:rPr>
        <w:t xml:space="preserve"> </w:t>
      </w:r>
      <w:r>
        <w:rPr>
          <w:rFonts w:hint="eastAsia" w:ascii="Times New Roman" w:hAnsi="Times New Roman" w:eastAsia="黑体" w:cs="Times New Roman"/>
          <w:snapToGrid w:val="0"/>
          <w:color w:val="auto"/>
          <w:kern w:val="0"/>
          <w:sz w:val="28"/>
          <w:szCs w:val="28"/>
          <w:highlight w:val="none"/>
          <w:lang w:val="en-US" w:eastAsia="zh-CN" w:bidi="ar-SA"/>
        </w:rPr>
        <w:t>项目总平面布置</w:t>
      </w:r>
      <w:r>
        <w:rPr>
          <w:rFonts w:hint="default" w:ascii="Times New Roman" w:hAnsi="Times New Roman" w:eastAsia="黑体" w:cs="Times New Roman"/>
          <w:snapToGrid w:val="0"/>
          <w:color w:val="auto"/>
          <w:kern w:val="0"/>
          <w:sz w:val="28"/>
          <w:szCs w:val="28"/>
          <w:highlight w:val="none"/>
          <w:lang w:val="en-US" w:eastAsia="zh-CN" w:bidi="ar-SA"/>
        </w:rPr>
        <w:t>图</w:t>
      </w:r>
    </w:p>
    <w:p w14:paraId="0D1D7FAC">
      <w:pPr>
        <w:pStyle w:val="8"/>
        <w:ind w:left="0" w:leftChars="0" w:firstLine="0" w:firstLineChars="0"/>
        <w:rPr>
          <w:color w:val="auto"/>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tbl>
      <w:tblPr>
        <w:tblStyle w:val="18"/>
        <w:tblW w:w="46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2"/>
        <w:gridCol w:w="6394"/>
      </w:tblGrid>
      <w:tr w14:paraId="4BDDF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1" w:hRule="atLeast"/>
          <w:jc w:val="center"/>
        </w:trPr>
        <w:tc>
          <w:tcPr>
            <w:tcW w:w="2505" w:type="pct"/>
            <w:noWrap w:val="0"/>
            <w:vAlign w:val="center"/>
          </w:tcPr>
          <w:p w14:paraId="0C4D5C8B">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both"/>
              <w:textAlignment w:val="auto"/>
              <w:rPr>
                <w:rFonts w:hint="default" w:ascii="Times New Roman" w:hAnsi="Times New Roman" w:eastAsia="宋体" w:cs="Times New Roman"/>
                <w:b/>
                <w:bCs/>
                <w:color w:val="auto"/>
                <w:spacing w:val="0"/>
                <w:kern w:val="2"/>
                <w:sz w:val="21"/>
                <w:szCs w:val="24"/>
                <w:vertAlign w:val="baseline"/>
                <w:lang w:val="en-US" w:eastAsia="zh-CN" w:bidi="ar-SA"/>
              </w:rPr>
            </w:pPr>
            <w:r>
              <w:rPr>
                <w:rFonts w:hint="default" w:ascii="Times New Roman" w:hAnsi="Times New Roman" w:eastAsia="宋体" w:cs="Times New Roman"/>
                <w:b/>
                <w:bCs/>
                <w:color w:val="auto"/>
                <w:spacing w:val="0"/>
                <w:kern w:val="2"/>
                <w:sz w:val="21"/>
                <w:szCs w:val="24"/>
                <w:vertAlign w:val="baseline"/>
                <w:lang w:val="en-US" w:eastAsia="zh-CN" w:bidi="ar-SA"/>
              </w:rPr>
              <w:drawing>
                <wp:inline distT="0" distB="0" distL="114300" distR="114300">
                  <wp:extent cx="3931920" cy="2541270"/>
                  <wp:effectExtent l="0" t="0" r="11430" b="11430"/>
                  <wp:docPr id="98" name="图片 98" descr="53d27f7ffb4b3801cf3f29756ae6b2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53d27f7ffb4b3801cf3f29756ae6b2ac"/>
                          <pic:cNvPicPr>
                            <a:picLocks noChangeAspect="1"/>
                          </pic:cNvPicPr>
                        </pic:nvPicPr>
                        <pic:blipFill>
                          <a:blip r:embed="rId35"/>
                          <a:stretch>
                            <a:fillRect/>
                          </a:stretch>
                        </pic:blipFill>
                        <pic:spPr>
                          <a:xfrm>
                            <a:off x="0" y="0"/>
                            <a:ext cx="3931920" cy="2541270"/>
                          </a:xfrm>
                          <a:prstGeom prst="rect">
                            <a:avLst/>
                          </a:prstGeom>
                        </pic:spPr>
                      </pic:pic>
                    </a:graphicData>
                  </a:graphic>
                </wp:inline>
              </w:drawing>
            </w:r>
          </w:p>
        </w:tc>
        <w:tc>
          <w:tcPr>
            <w:tcW w:w="2494" w:type="pct"/>
            <w:noWrap w:val="0"/>
            <w:vAlign w:val="center"/>
          </w:tcPr>
          <w:p w14:paraId="363AD8D4">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bCs/>
                <w:color w:val="auto"/>
                <w:spacing w:val="0"/>
                <w:kern w:val="2"/>
                <w:sz w:val="21"/>
                <w:szCs w:val="24"/>
                <w:vertAlign w:val="baseline"/>
                <w:lang w:val="en-US" w:eastAsia="zh-CN" w:bidi="ar-SA"/>
              </w:rPr>
            </w:pPr>
            <w:r>
              <w:rPr>
                <w:color w:val="auto"/>
              </w:rPr>
              <w:drawing>
                <wp:inline distT="0" distB="0" distL="114300" distR="114300">
                  <wp:extent cx="3922395" cy="2463800"/>
                  <wp:effectExtent l="0" t="0" r="1905" b="12700"/>
                  <wp:docPr id="1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3"/>
                          <pic:cNvPicPr>
                            <a:picLocks noChangeAspect="1"/>
                          </pic:cNvPicPr>
                        </pic:nvPicPr>
                        <pic:blipFill>
                          <a:blip r:embed="rId36"/>
                          <a:stretch>
                            <a:fillRect/>
                          </a:stretch>
                        </pic:blipFill>
                        <pic:spPr>
                          <a:xfrm>
                            <a:off x="0" y="0"/>
                            <a:ext cx="3922395" cy="2463800"/>
                          </a:xfrm>
                          <a:prstGeom prst="rect">
                            <a:avLst/>
                          </a:prstGeom>
                          <a:noFill/>
                          <a:ln>
                            <a:noFill/>
                          </a:ln>
                        </pic:spPr>
                      </pic:pic>
                    </a:graphicData>
                  </a:graphic>
                </wp:inline>
              </w:drawing>
            </w:r>
          </w:p>
        </w:tc>
      </w:tr>
      <w:tr w14:paraId="215BE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5" w:type="pct"/>
            <w:noWrap w:val="0"/>
            <w:vAlign w:val="center"/>
          </w:tcPr>
          <w:p w14:paraId="2FD6968C">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eastAsia="宋体" w:cs="Times New Roman"/>
                <w:color w:val="auto"/>
                <w:spacing w:val="0"/>
                <w:kern w:val="2"/>
                <w:sz w:val="21"/>
                <w:szCs w:val="24"/>
                <w:vertAlign w:val="baseline"/>
                <w:lang w:val="en-US" w:eastAsia="zh-CN" w:bidi="ar-SA"/>
              </w:rPr>
              <w:t>项目</w:t>
            </w:r>
            <w:r>
              <w:rPr>
                <w:rFonts w:hint="default" w:ascii="Times New Roman" w:hAnsi="Times New Roman" w:cs="Times New Roman"/>
                <w:color w:val="auto"/>
                <w:spacing w:val="0"/>
                <w:kern w:val="2"/>
                <w:sz w:val="21"/>
                <w:szCs w:val="24"/>
                <w:vertAlign w:val="baseline"/>
                <w:lang w:val="en-US" w:eastAsia="zh-CN" w:bidi="ar-SA"/>
              </w:rPr>
              <w:t>东</w:t>
            </w:r>
            <w:r>
              <w:rPr>
                <w:rFonts w:hint="default" w:ascii="Times New Roman" w:hAnsi="Times New Roman" w:eastAsia="宋体" w:cs="Times New Roman"/>
                <w:color w:val="auto"/>
                <w:spacing w:val="0"/>
                <w:kern w:val="2"/>
                <w:sz w:val="21"/>
                <w:szCs w:val="24"/>
                <w:vertAlign w:val="baseline"/>
                <w:lang w:val="en-US" w:eastAsia="zh-CN" w:bidi="ar-SA"/>
              </w:rPr>
              <w:t>侧</w:t>
            </w:r>
          </w:p>
        </w:tc>
        <w:tc>
          <w:tcPr>
            <w:tcW w:w="2494" w:type="pct"/>
            <w:noWrap w:val="0"/>
            <w:vAlign w:val="center"/>
          </w:tcPr>
          <w:p w14:paraId="0865816B">
            <w:pPr>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eastAsia="宋体" w:cs="Times New Roman"/>
                <w:color w:val="auto"/>
                <w:spacing w:val="0"/>
                <w:kern w:val="2"/>
                <w:sz w:val="21"/>
                <w:szCs w:val="24"/>
                <w:vertAlign w:val="baseline"/>
                <w:lang w:val="en-US" w:eastAsia="zh-CN" w:bidi="ar-SA"/>
              </w:rPr>
              <w:t>项目</w:t>
            </w:r>
            <w:r>
              <w:rPr>
                <w:rFonts w:hint="default" w:ascii="Times New Roman" w:hAnsi="Times New Roman" w:cs="Times New Roman"/>
                <w:color w:val="auto"/>
                <w:spacing w:val="0"/>
                <w:kern w:val="2"/>
                <w:sz w:val="21"/>
                <w:szCs w:val="24"/>
                <w:vertAlign w:val="baseline"/>
                <w:lang w:val="en-US" w:eastAsia="zh-CN" w:bidi="ar-SA"/>
              </w:rPr>
              <w:t>南</w:t>
            </w:r>
            <w:r>
              <w:rPr>
                <w:rFonts w:hint="default" w:ascii="Times New Roman" w:hAnsi="Times New Roman" w:eastAsia="宋体" w:cs="Times New Roman"/>
                <w:color w:val="auto"/>
                <w:spacing w:val="0"/>
                <w:kern w:val="2"/>
                <w:sz w:val="21"/>
                <w:szCs w:val="24"/>
                <w:vertAlign w:val="baseline"/>
                <w:lang w:val="en-US" w:eastAsia="zh-CN" w:bidi="ar-SA"/>
              </w:rPr>
              <w:t>侧</w:t>
            </w:r>
          </w:p>
        </w:tc>
      </w:tr>
      <w:tr w14:paraId="54ED8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7" w:hRule="atLeast"/>
          <w:jc w:val="center"/>
        </w:trPr>
        <w:tc>
          <w:tcPr>
            <w:tcW w:w="2505" w:type="pct"/>
            <w:noWrap w:val="0"/>
            <w:vAlign w:val="center"/>
          </w:tcPr>
          <w:p w14:paraId="5A837652">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both"/>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eastAsia="宋体" w:cs="Times New Roman"/>
                <w:color w:val="auto"/>
                <w:spacing w:val="0"/>
                <w:kern w:val="2"/>
                <w:sz w:val="21"/>
                <w:szCs w:val="24"/>
                <w:vertAlign w:val="baseline"/>
                <w:lang w:val="en-US" w:eastAsia="zh-CN" w:bidi="ar-SA"/>
              </w:rPr>
              <w:drawing>
                <wp:inline distT="0" distB="0" distL="114300" distR="114300">
                  <wp:extent cx="3931920" cy="2574925"/>
                  <wp:effectExtent l="0" t="0" r="11430" b="15875"/>
                  <wp:docPr id="99" name="图片 99" descr="895fa526182685e2129451e19e5337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895fa526182685e2129451e19e5337d8"/>
                          <pic:cNvPicPr>
                            <a:picLocks noChangeAspect="1"/>
                          </pic:cNvPicPr>
                        </pic:nvPicPr>
                        <pic:blipFill>
                          <a:blip r:embed="rId37"/>
                          <a:stretch>
                            <a:fillRect/>
                          </a:stretch>
                        </pic:blipFill>
                        <pic:spPr>
                          <a:xfrm>
                            <a:off x="0" y="0"/>
                            <a:ext cx="3931920" cy="2574925"/>
                          </a:xfrm>
                          <a:prstGeom prst="rect">
                            <a:avLst/>
                          </a:prstGeom>
                        </pic:spPr>
                      </pic:pic>
                    </a:graphicData>
                  </a:graphic>
                </wp:inline>
              </w:drawing>
            </w:r>
          </w:p>
        </w:tc>
        <w:tc>
          <w:tcPr>
            <w:tcW w:w="2494" w:type="pct"/>
            <w:noWrap w:val="0"/>
            <w:vAlign w:val="center"/>
          </w:tcPr>
          <w:p w14:paraId="2781E7AC">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both"/>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eastAsia="宋体" w:cs="Times New Roman"/>
                <w:color w:val="auto"/>
                <w:spacing w:val="0"/>
                <w:kern w:val="2"/>
                <w:sz w:val="21"/>
                <w:szCs w:val="24"/>
                <w:vertAlign w:val="baseline"/>
                <w:lang w:val="en-US" w:eastAsia="zh-CN" w:bidi="ar-SA"/>
              </w:rPr>
              <w:drawing>
                <wp:inline distT="0" distB="0" distL="114300" distR="114300">
                  <wp:extent cx="3913505" cy="2200910"/>
                  <wp:effectExtent l="0" t="0" r="10795" b="8890"/>
                  <wp:docPr id="9" name="图片 9" descr="77ca888d9d8e24f09452817b592fee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77ca888d9d8e24f09452817b592fee2a"/>
                          <pic:cNvPicPr>
                            <a:picLocks noChangeAspect="1"/>
                          </pic:cNvPicPr>
                        </pic:nvPicPr>
                        <pic:blipFill>
                          <a:blip r:embed="rId38"/>
                          <a:stretch>
                            <a:fillRect/>
                          </a:stretch>
                        </pic:blipFill>
                        <pic:spPr>
                          <a:xfrm>
                            <a:off x="0" y="0"/>
                            <a:ext cx="3913505" cy="2200910"/>
                          </a:xfrm>
                          <a:prstGeom prst="rect">
                            <a:avLst/>
                          </a:prstGeom>
                        </pic:spPr>
                      </pic:pic>
                    </a:graphicData>
                  </a:graphic>
                </wp:inline>
              </w:drawing>
            </w:r>
          </w:p>
        </w:tc>
      </w:tr>
      <w:tr w14:paraId="5A5CD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05" w:type="pct"/>
            <w:noWrap w:val="0"/>
            <w:vAlign w:val="center"/>
          </w:tcPr>
          <w:p w14:paraId="202B714C">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eastAsia="宋体" w:cs="Times New Roman"/>
                <w:color w:val="auto"/>
                <w:spacing w:val="0"/>
                <w:kern w:val="2"/>
                <w:sz w:val="21"/>
                <w:szCs w:val="24"/>
                <w:vertAlign w:val="baseline"/>
                <w:lang w:val="en-US" w:eastAsia="zh-CN" w:bidi="ar-SA"/>
              </w:rPr>
              <w:t>项目</w:t>
            </w:r>
            <w:r>
              <w:rPr>
                <w:rFonts w:hint="default" w:ascii="Times New Roman" w:hAnsi="Times New Roman" w:cs="Times New Roman"/>
                <w:color w:val="auto"/>
                <w:spacing w:val="0"/>
                <w:kern w:val="2"/>
                <w:sz w:val="21"/>
                <w:szCs w:val="24"/>
                <w:vertAlign w:val="baseline"/>
                <w:lang w:val="en-US" w:eastAsia="zh-CN" w:bidi="ar-SA"/>
              </w:rPr>
              <w:t>西</w:t>
            </w:r>
            <w:r>
              <w:rPr>
                <w:rFonts w:hint="default" w:ascii="Times New Roman" w:hAnsi="Times New Roman" w:eastAsia="宋体" w:cs="Times New Roman"/>
                <w:color w:val="auto"/>
                <w:spacing w:val="0"/>
                <w:kern w:val="2"/>
                <w:sz w:val="21"/>
                <w:szCs w:val="24"/>
                <w:vertAlign w:val="baseline"/>
                <w:lang w:val="en-US" w:eastAsia="zh-CN" w:bidi="ar-SA"/>
              </w:rPr>
              <w:t>侧</w:t>
            </w:r>
          </w:p>
        </w:tc>
        <w:tc>
          <w:tcPr>
            <w:tcW w:w="2494" w:type="pct"/>
            <w:noWrap w:val="0"/>
            <w:vAlign w:val="center"/>
          </w:tcPr>
          <w:p w14:paraId="20413622">
            <w:pPr>
              <w:keepNext w:val="0"/>
              <w:keepLines w:val="0"/>
              <w:pageBreakBefore w:val="0"/>
              <w:widowControl w:val="0"/>
              <w:kinsoku/>
              <w:wordWrap/>
              <w:overflowPunct/>
              <w:topLinePunct w:val="0"/>
              <w:autoSpaceDE/>
              <w:autoSpaceDN/>
              <w:bidi w:val="0"/>
              <w:adjustRightInd/>
              <w:snapToGrid/>
              <w:spacing w:after="0"/>
              <w:ind w:firstLine="210" w:firstLineChars="100"/>
              <w:jc w:val="center"/>
              <w:textAlignment w:val="auto"/>
              <w:rPr>
                <w:rFonts w:hint="default" w:ascii="Times New Roman" w:hAnsi="Times New Roman" w:eastAsia="宋体" w:cs="Times New Roman"/>
                <w:color w:val="auto"/>
                <w:spacing w:val="0"/>
                <w:kern w:val="2"/>
                <w:sz w:val="21"/>
                <w:szCs w:val="24"/>
                <w:vertAlign w:val="baseline"/>
                <w:lang w:val="en-US" w:eastAsia="zh-CN" w:bidi="ar-SA"/>
              </w:rPr>
            </w:pPr>
            <w:r>
              <w:rPr>
                <w:rFonts w:hint="default" w:ascii="Times New Roman" w:hAnsi="Times New Roman" w:eastAsia="宋体" w:cs="Times New Roman"/>
                <w:color w:val="auto"/>
                <w:spacing w:val="0"/>
                <w:kern w:val="2"/>
                <w:sz w:val="21"/>
                <w:szCs w:val="24"/>
                <w:vertAlign w:val="baseline"/>
                <w:lang w:val="en-US" w:eastAsia="zh-CN" w:bidi="ar-SA"/>
              </w:rPr>
              <w:t>项目</w:t>
            </w:r>
            <w:r>
              <w:rPr>
                <w:rFonts w:hint="default" w:ascii="Times New Roman" w:hAnsi="Times New Roman" w:cs="Times New Roman"/>
                <w:color w:val="auto"/>
                <w:spacing w:val="0"/>
                <w:kern w:val="2"/>
                <w:sz w:val="21"/>
                <w:szCs w:val="24"/>
                <w:vertAlign w:val="baseline"/>
                <w:lang w:val="en-US" w:eastAsia="zh-CN" w:bidi="ar-SA"/>
              </w:rPr>
              <w:t>北</w:t>
            </w:r>
            <w:r>
              <w:rPr>
                <w:rFonts w:hint="default" w:ascii="Times New Roman" w:hAnsi="Times New Roman" w:eastAsia="宋体" w:cs="Times New Roman"/>
                <w:color w:val="auto"/>
                <w:spacing w:val="0"/>
                <w:kern w:val="2"/>
                <w:sz w:val="21"/>
                <w:szCs w:val="24"/>
                <w:vertAlign w:val="baseline"/>
                <w:lang w:val="en-US" w:eastAsia="zh-CN" w:bidi="ar-SA"/>
              </w:rPr>
              <w:t>侧</w:t>
            </w:r>
          </w:p>
        </w:tc>
      </w:tr>
    </w:tbl>
    <w:p w14:paraId="4647A141">
      <w:pPr>
        <w:pStyle w:val="15"/>
        <w:rPr>
          <w:rFonts w:hint="default"/>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color w:val="auto"/>
          <w:sz w:val="18"/>
        </w:rPr>
        <mc:AlternateContent>
          <mc:Choice Requires="wps">
            <w:drawing>
              <wp:anchor distT="0" distB="0" distL="114300" distR="114300" simplePos="0" relativeHeight="251674624" behindDoc="0" locked="0" layoutInCell="1" allowOverlap="1">
                <wp:simplePos x="0" y="0"/>
                <wp:positionH relativeFrom="column">
                  <wp:posOffset>3785235</wp:posOffset>
                </wp:positionH>
                <wp:positionV relativeFrom="paragraph">
                  <wp:posOffset>82550</wp:posOffset>
                </wp:positionV>
                <wp:extent cx="1828800" cy="33655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1828800"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16574B">
                            <w:pPr>
                              <w:spacing w:after="120" w:afterLines="50"/>
                              <w:jc w:val="center"/>
                              <w:outlineLvl w:val="0"/>
                              <w:rPr>
                                <w:rFonts w:hint="eastAsia" w:ascii="Times New Roman" w:hAnsi="Times New Roman" w:eastAsia="黑体" w:cs="Times New Roman"/>
                                <w:snapToGrid w:val="0"/>
                                <w:color w:val="auto"/>
                                <w:kern w:val="0"/>
                                <w:sz w:val="28"/>
                                <w:szCs w:val="28"/>
                                <w:highlight w:val="none"/>
                                <w:lang w:val="en-US" w:eastAsia="zh-CN" w:bidi="ar-SA"/>
                              </w:rPr>
                            </w:pPr>
                            <w:bookmarkStart w:id="33" w:name="_Toc14331"/>
                            <w:bookmarkStart w:id="34" w:name="_Toc1000"/>
                            <w:bookmarkStart w:id="35" w:name="_Toc463"/>
                            <w:bookmarkStart w:id="36" w:name="_Toc23372"/>
                            <w:bookmarkStart w:id="37" w:name="_Toc20966"/>
                            <w:r>
                              <w:rPr>
                                <w:rFonts w:hint="eastAsia" w:ascii="Times New Roman" w:hAnsi="Times New Roman" w:eastAsia="黑体" w:cs="Times New Roman"/>
                                <w:snapToGrid w:val="0"/>
                                <w:color w:val="auto"/>
                                <w:kern w:val="0"/>
                                <w:sz w:val="28"/>
                                <w:szCs w:val="28"/>
                                <w:highlight w:val="none"/>
                                <w:lang w:val="en-US" w:eastAsia="zh-CN" w:bidi="ar-SA"/>
                              </w:rPr>
                              <w:t>附图5</w:t>
                            </w:r>
                            <w:r>
                              <w:rPr>
                                <w:rFonts w:hint="default" w:ascii="Times New Roman" w:hAnsi="Times New Roman" w:eastAsia="黑体" w:cs="Times New Roman"/>
                                <w:snapToGrid w:val="0"/>
                                <w:color w:val="auto"/>
                                <w:kern w:val="0"/>
                                <w:sz w:val="28"/>
                                <w:szCs w:val="28"/>
                                <w:highlight w:val="none"/>
                                <w:lang w:val="en-US" w:eastAsia="zh-CN" w:bidi="ar-SA"/>
                              </w:rPr>
                              <w:t xml:space="preserve"> </w:t>
                            </w:r>
                            <w:r>
                              <w:rPr>
                                <w:rFonts w:hint="eastAsia" w:ascii="Times New Roman" w:hAnsi="Times New Roman" w:eastAsia="黑体" w:cs="Times New Roman"/>
                                <w:snapToGrid w:val="0"/>
                                <w:color w:val="auto"/>
                                <w:kern w:val="0"/>
                                <w:sz w:val="28"/>
                                <w:szCs w:val="28"/>
                                <w:highlight w:val="none"/>
                                <w:lang w:val="en-US" w:eastAsia="zh-CN" w:bidi="ar-SA"/>
                              </w:rPr>
                              <w:t>现场照片</w:t>
                            </w:r>
                            <w:bookmarkEnd w:id="33"/>
                            <w:bookmarkEnd w:id="34"/>
                            <w:bookmarkEnd w:id="35"/>
                            <w:bookmarkEnd w:id="36"/>
                            <w:bookmarkEnd w:id="37"/>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8.05pt;margin-top:6.5pt;height:26.5pt;width:144pt;mso-wrap-style:none;z-index:251674624;mso-width-relative:page;mso-height-relative:page;" filled="f" stroked="f" coordsize="21600,21600" o:gfxdata="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4AfrI2gAAAAkBAAAPAAAAAAAAAAEAIAAAACIAAABkcnMv&#10;ZG93bnJldi54bWxQSwECFAAUAAAACACHTuJAF0EIzToCAABoBAAADgAAAAAAAAABACAAAAApAQAA&#10;ZHJzL2Uyb0RvYy54bWxQSwUGAAAAAAYABgBZAQAA1QUAAAAA&#10;">
                <v:fill on="f" focussize="0,0"/>
                <v:stroke on="f" weight="0.5pt"/>
                <v:imagedata o:title=""/>
                <o:lock v:ext="edit" aspectratio="f"/>
                <v:textbox>
                  <w:txbxContent>
                    <w:p w14:paraId="1E16574B">
                      <w:pPr>
                        <w:spacing w:after="120" w:afterLines="50"/>
                        <w:jc w:val="center"/>
                        <w:outlineLvl w:val="0"/>
                        <w:rPr>
                          <w:rFonts w:hint="eastAsia" w:ascii="Times New Roman" w:hAnsi="Times New Roman" w:eastAsia="黑体" w:cs="Times New Roman"/>
                          <w:snapToGrid w:val="0"/>
                          <w:color w:val="auto"/>
                          <w:kern w:val="0"/>
                          <w:sz w:val="28"/>
                          <w:szCs w:val="28"/>
                          <w:highlight w:val="none"/>
                          <w:lang w:val="en-US" w:eastAsia="zh-CN" w:bidi="ar-SA"/>
                        </w:rPr>
                      </w:pPr>
                      <w:bookmarkStart w:id="33" w:name="_Toc14331"/>
                      <w:bookmarkStart w:id="34" w:name="_Toc1000"/>
                      <w:bookmarkStart w:id="35" w:name="_Toc463"/>
                      <w:bookmarkStart w:id="36" w:name="_Toc23372"/>
                      <w:bookmarkStart w:id="37" w:name="_Toc20966"/>
                      <w:r>
                        <w:rPr>
                          <w:rFonts w:hint="eastAsia" w:ascii="Times New Roman" w:hAnsi="Times New Roman" w:eastAsia="黑体" w:cs="Times New Roman"/>
                          <w:snapToGrid w:val="0"/>
                          <w:color w:val="auto"/>
                          <w:kern w:val="0"/>
                          <w:sz w:val="28"/>
                          <w:szCs w:val="28"/>
                          <w:highlight w:val="none"/>
                          <w:lang w:val="en-US" w:eastAsia="zh-CN" w:bidi="ar-SA"/>
                        </w:rPr>
                        <w:t>附图5</w:t>
                      </w:r>
                      <w:r>
                        <w:rPr>
                          <w:rFonts w:hint="default" w:ascii="Times New Roman" w:hAnsi="Times New Roman" w:eastAsia="黑体" w:cs="Times New Roman"/>
                          <w:snapToGrid w:val="0"/>
                          <w:color w:val="auto"/>
                          <w:kern w:val="0"/>
                          <w:sz w:val="28"/>
                          <w:szCs w:val="28"/>
                          <w:highlight w:val="none"/>
                          <w:lang w:val="en-US" w:eastAsia="zh-CN" w:bidi="ar-SA"/>
                        </w:rPr>
                        <w:t xml:space="preserve"> </w:t>
                      </w:r>
                      <w:r>
                        <w:rPr>
                          <w:rFonts w:hint="eastAsia" w:ascii="Times New Roman" w:hAnsi="Times New Roman" w:eastAsia="黑体" w:cs="Times New Roman"/>
                          <w:snapToGrid w:val="0"/>
                          <w:color w:val="auto"/>
                          <w:kern w:val="0"/>
                          <w:sz w:val="28"/>
                          <w:szCs w:val="28"/>
                          <w:highlight w:val="none"/>
                          <w:lang w:val="en-US" w:eastAsia="zh-CN" w:bidi="ar-SA"/>
                        </w:rPr>
                        <w:t>现场照片</w:t>
                      </w:r>
                      <w:bookmarkEnd w:id="33"/>
                      <w:bookmarkEnd w:id="34"/>
                      <w:bookmarkEnd w:id="35"/>
                      <w:bookmarkEnd w:id="36"/>
                      <w:bookmarkEnd w:id="37"/>
                    </w:p>
                  </w:txbxContent>
                </v:textbox>
              </v:shape>
            </w:pict>
          </mc:Fallback>
        </mc:AlternateContent>
      </w:r>
    </w:p>
    <w:p w14:paraId="63F72314">
      <w:pPr>
        <w:outlineLvl w:val="0"/>
        <w:rPr>
          <w:rFonts w:hint="default" w:ascii="Times New Roman" w:hAnsi="Times New Roman" w:eastAsia="黑体" w:cs="Times New Roman"/>
          <w:snapToGrid w:val="0"/>
          <w:color w:val="auto"/>
          <w:sz w:val="32"/>
          <w:szCs w:val="32"/>
          <w:highlight w:val="none"/>
          <w:lang w:eastAsia="zh-CN"/>
        </w:rPr>
      </w:pPr>
      <w:bookmarkStart w:id="30" w:name="_Toc10000"/>
      <w:r>
        <w:rPr>
          <w:rFonts w:hint="default" w:ascii="Times New Roman" w:hAnsi="Times New Roman" w:eastAsia="黑体" w:cs="Times New Roman"/>
          <w:snapToGrid w:val="0"/>
          <w:color w:val="auto"/>
          <w:sz w:val="32"/>
          <w:szCs w:val="32"/>
          <w:highlight w:val="none"/>
        </w:rPr>
        <w:t>附件1 营业执照</w:t>
      </w:r>
      <w:bookmarkEnd w:id="30"/>
    </w:p>
    <w:p w14:paraId="4043BFF2">
      <w:pPr>
        <w:pStyle w:val="8"/>
        <w:ind w:left="0" w:leftChars="0" w:firstLine="0" w:firstLineChars="0"/>
        <w:jc w:val="both"/>
        <w:rPr>
          <w:rFonts w:hint="default"/>
          <w:color w:val="auto"/>
          <w:highlight w:val="none"/>
          <w:lang w:eastAsia="zh-CN"/>
        </w:rPr>
        <w:sectPr>
          <w:footerReference r:id="rId8" w:type="default"/>
          <w:pgSz w:w="16838" w:h="11906" w:orient="landscape"/>
          <w:pgMar w:top="1531" w:right="1701" w:bottom="1531" w:left="1701" w:header="851" w:footer="850" w:gutter="0"/>
          <w:pgBorders>
            <w:top w:val="none" w:sz="0" w:space="0"/>
            <w:left w:val="none" w:sz="0" w:space="0"/>
            <w:bottom w:val="none" w:sz="0" w:space="0"/>
            <w:right w:val="none" w:sz="0" w:space="0"/>
          </w:pgBorders>
          <w:cols w:space="720" w:num="1"/>
          <w:docGrid w:linePitch="312" w:charSpace="0"/>
        </w:sectPr>
      </w:pPr>
      <w:r>
        <w:rPr>
          <w:rFonts w:hint="default"/>
          <w:color w:val="auto"/>
          <w:highlight w:val="none"/>
          <w:lang w:eastAsia="zh-CN"/>
        </w:rPr>
        <w:drawing>
          <wp:inline distT="0" distB="0" distL="114300" distR="114300">
            <wp:extent cx="6957060" cy="5215890"/>
            <wp:effectExtent l="0" t="0" r="15240" b="3810"/>
            <wp:docPr id="32" name="图片 32" descr="3d0aa0517d8bf423386dc6a738dfd8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3d0aa0517d8bf423386dc6a738dfd8b7"/>
                    <pic:cNvPicPr>
                      <a:picLocks noChangeAspect="1"/>
                    </pic:cNvPicPr>
                  </pic:nvPicPr>
                  <pic:blipFill>
                    <a:blip r:embed="rId39"/>
                    <a:stretch>
                      <a:fillRect/>
                    </a:stretch>
                  </pic:blipFill>
                  <pic:spPr>
                    <a:xfrm>
                      <a:off x="0" y="0"/>
                      <a:ext cx="6957060" cy="5215890"/>
                    </a:xfrm>
                    <a:prstGeom prst="rect">
                      <a:avLst/>
                    </a:prstGeom>
                  </pic:spPr>
                </pic:pic>
              </a:graphicData>
            </a:graphic>
          </wp:inline>
        </w:drawing>
      </w:r>
    </w:p>
    <w:p w14:paraId="5C79E0D0">
      <w:pPr>
        <w:pStyle w:val="15"/>
        <w:widowControl w:val="0"/>
        <w:snapToGrid/>
        <w:ind w:firstLine="0" w:firstLineChars="0"/>
        <w:outlineLvl w:val="0"/>
        <w:rPr>
          <w:rFonts w:hint="eastAsia" w:eastAsia="黑体" w:cs="Times New Roman"/>
          <w:snapToGrid w:val="0"/>
          <w:color w:val="auto"/>
          <w:kern w:val="2"/>
          <w:sz w:val="32"/>
          <w:szCs w:val="32"/>
          <w:highlight w:val="none"/>
          <w:lang w:val="en-US" w:eastAsia="zh-CN"/>
        </w:rPr>
      </w:pPr>
      <w:bookmarkStart w:id="31" w:name="_Toc612"/>
      <w:bookmarkStart w:id="32" w:name="_Toc25313"/>
      <w:r>
        <w:rPr>
          <w:rFonts w:hint="eastAsia" w:eastAsia="黑体" w:cs="Times New Roman"/>
          <w:snapToGrid w:val="0"/>
          <w:color w:val="auto"/>
          <w:kern w:val="2"/>
          <w:sz w:val="32"/>
          <w:szCs w:val="32"/>
          <w:highlight w:val="none"/>
          <w:lang w:val="en-US" w:eastAsia="zh-CN"/>
        </w:rPr>
        <w:t>附件2 土地证</w:t>
      </w:r>
    </w:p>
    <w:p w14:paraId="30F33FFC">
      <w:pPr>
        <w:pStyle w:val="23"/>
        <w:ind w:left="0" w:leftChars="0" w:firstLine="0" w:firstLineChars="0"/>
        <w:rPr>
          <w:rFonts w:hint="eastAsia"/>
          <w:color w:val="auto"/>
          <w:lang w:val="en-US" w:eastAsia="zh-CN"/>
        </w:rPr>
        <w:sectPr>
          <w:footerReference r:id="rId9" w:type="default"/>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drawing>
          <wp:inline distT="0" distB="0" distL="114300" distR="114300">
            <wp:extent cx="5077460" cy="6938645"/>
            <wp:effectExtent l="0" t="0" r="8890" b="14605"/>
            <wp:docPr id="55" name="图片 55" descr="02cd29f54b19e457f6ec7f4516384b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02cd29f54b19e457f6ec7f4516384bba"/>
                    <pic:cNvPicPr>
                      <a:picLocks noChangeAspect="1"/>
                    </pic:cNvPicPr>
                  </pic:nvPicPr>
                  <pic:blipFill>
                    <a:blip r:embed="rId40"/>
                    <a:srcRect l="9373" b="9947"/>
                    <a:stretch>
                      <a:fillRect/>
                    </a:stretch>
                  </pic:blipFill>
                  <pic:spPr>
                    <a:xfrm>
                      <a:off x="0" y="0"/>
                      <a:ext cx="5077460" cy="6938645"/>
                    </a:xfrm>
                    <a:prstGeom prst="rect">
                      <a:avLst/>
                    </a:prstGeom>
                  </pic:spPr>
                </pic:pic>
              </a:graphicData>
            </a:graphic>
          </wp:inline>
        </w:drawing>
      </w:r>
    </w:p>
    <w:p w14:paraId="578B2D1D">
      <w:pPr>
        <w:pStyle w:val="15"/>
        <w:widowControl w:val="0"/>
        <w:snapToGrid/>
        <w:ind w:firstLine="0" w:firstLineChars="0"/>
        <w:outlineLvl w:val="0"/>
        <w:rPr>
          <w:rFonts w:hint="default" w:ascii="Times New Roman" w:hAnsi="Times New Roman" w:eastAsia="黑体" w:cs="Times New Roman"/>
          <w:snapToGrid w:val="0"/>
          <w:color w:val="auto"/>
          <w:kern w:val="2"/>
          <w:sz w:val="32"/>
          <w:szCs w:val="32"/>
          <w:highlight w:val="none"/>
        </w:rPr>
      </w:pPr>
      <w:r>
        <w:rPr>
          <w:rFonts w:hint="eastAsia" w:eastAsia="黑体" w:cs="Times New Roman"/>
          <w:snapToGrid w:val="0"/>
          <w:color w:val="auto"/>
          <w:kern w:val="2"/>
          <w:sz w:val="32"/>
          <w:szCs w:val="32"/>
          <w:highlight w:val="none"/>
          <w:lang w:val="en-US" w:eastAsia="zh-CN"/>
        </w:rPr>
        <w:t>附件3 大气现状</w:t>
      </w:r>
      <w:r>
        <w:rPr>
          <w:rFonts w:hint="default" w:ascii="Times New Roman" w:hAnsi="Times New Roman" w:eastAsia="黑体" w:cs="Times New Roman"/>
          <w:snapToGrid w:val="0"/>
          <w:color w:val="auto"/>
          <w:kern w:val="2"/>
          <w:sz w:val="32"/>
          <w:szCs w:val="32"/>
          <w:highlight w:val="none"/>
        </w:rPr>
        <w:t>检测报告</w:t>
      </w:r>
      <w:bookmarkEnd w:id="31"/>
      <w:bookmarkEnd w:id="32"/>
    </w:p>
    <w:p w14:paraId="07BCFCF8">
      <w:pPr>
        <w:pStyle w:val="23"/>
        <w:ind w:left="0" w:leftChars="0" w:firstLine="0" w:firstLineChars="0"/>
        <w:rPr>
          <w:rFonts w:hint="default"/>
          <w:color w:val="auto"/>
        </w:rPr>
      </w:pPr>
      <w:r>
        <w:rPr>
          <w:color w:val="auto"/>
        </w:rPr>
        <w:drawing>
          <wp:inline distT="0" distB="0" distL="114300" distR="114300">
            <wp:extent cx="5562600" cy="7800975"/>
            <wp:effectExtent l="0" t="0" r="0" b="952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41"/>
                    <a:stretch>
                      <a:fillRect/>
                    </a:stretch>
                  </pic:blipFill>
                  <pic:spPr>
                    <a:xfrm>
                      <a:off x="0" y="0"/>
                      <a:ext cx="5562600" cy="7800975"/>
                    </a:xfrm>
                    <a:prstGeom prst="rect">
                      <a:avLst/>
                    </a:prstGeom>
                    <a:noFill/>
                    <a:ln>
                      <a:noFill/>
                    </a:ln>
                  </pic:spPr>
                </pic:pic>
              </a:graphicData>
            </a:graphic>
          </wp:inline>
        </w:drawing>
      </w:r>
      <w:r>
        <w:rPr>
          <w:color w:val="auto"/>
        </w:rPr>
        <w:drawing>
          <wp:inline distT="0" distB="0" distL="114300" distR="114300">
            <wp:extent cx="5581650" cy="7886700"/>
            <wp:effectExtent l="0" t="0" r="0"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42"/>
                    <a:stretch>
                      <a:fillRect/>
                    </a:stretch>
                  </pic:blipFill>
                  <pic:spPr>
                    <a:xfrm>
                      <a:off x="0" y="0"/>
                      <a:ext cx="5581650" cy="7886700"/>
                    </a:xfrm>
                    <a:prstGeom prst="rect">
                      <a:avLst/>
                    </a:prstGeom>
                    <a:noFill/>
                    <a:ln>
                      <a:noFill/>
                    </a:ln>
                  </pic:spPr>
                </pic:pic>
              </a:graphicData>
            </a:graphic>
          </wp:inline>
        </w:drawing>
      </w:r>
      <w:r>
        <w:rPr>
          <w:color w:val="auto"/>
        </w:rPr>
        <w:drawing>
          <wp:inline distT="0" distB="0" distL="114300" distR="114300">
            <wp:extent cx="5581650" cy="7896225"/>
            <wp:effectExtent l="0" t="0" r="0" b="952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43"/>
                    <a:stretch>
                      <a:fillRect/>
                    </a:stretch>
                  </pic:blipFill>
                  <pic:spPr>
                    <a:xfrm>
                      <a:off x="0" y="0"/>
                      <a:ext cx="5581650" cy="7896225"/>
                    </a:xfrm>
                    <a:prstGeom prst="rect">
                      <a:avLst/>
                    </a:prstGeom>
                    <a:noFill/>
                    <a:ln>
                      <a:noFill/>
                    </a:ln>
                  </pic:spPr>
                </pic:pic>
              </a:graphicData>
            </a:graphic>
          </wp:inline>
        </w:drawing>
      </w:r>
      <w:r>
        <w:rPr>
          <w:color w:val="auto"/>
        </w:rPr>
        <w:drawing>
          <wp:inline distT="0" distB="0" distL="114300" distR="114300">
            <wp:extent cx="5600700" cy="7943850"/>
            <wp:effectExtent l="0" t="0" r="0" b="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44"/>
                    <a:stretch>
                      <a:fillRect/>
                    </a:stretch>
                  </pic:blipFill>
                  <pic:spPr>
                    <a:xfrm>
                      <a:off x="0" y="0"/>
                      <a:ext cx="5600700" cy="7943850"/>
                    </a:xfrm>
                    <a:prstGeom prst="rect">
                      <a:avLst/>
                    </a:prstGeom>
                    <a:noFill/>
                    <a:ln>
                      <a:noFill/>
                    </a:ln>
                  </pic:spPr>
                </pic:pic>
              </a:graphicData>
            </a:graphic>
          </wp:inline>
        </w:drawing>
      </w:r>
    </w:p>
    <w:p w14:paraId="7DC0067D">
      <w:pPr>
        <w:pStyle w:val="23"/>
        <w:ind w:left="0" w:leftChars="0" w:firstLine="0" w:firstLineChars="0"/>
        <w:rPr>
          <w:rFonts w:hint="default"/>
          <w:color w:val="auto"/>
          <w:highlight w:val="none"/>
        </w:rPr>
      </w:pPr>
    </w:p>
    <w:p w14:paraId="43D30D13">
      <w:pPr>
        <w:rPr>
          <w:rFonts w:hint="default" w:ascii="Times New Roman" w:hAnsi="Times New Roman" w:cs="Times New Roman"/>
          <w:color w:val="auto"/>
          <w:highlight w:val="none"/>
        </w:rPr>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pPr>
    </w:p>
    <w:p w14:paraId="443E5BD4">
      <w:pPr>
        <w:pStyle w:val="15"/>
        <w:widowControl w:val="0"/>
        <w:snapToGrid/>
        <w:ind w:firstLine="0" w:firstLineChars="0"/>
        <w:outlineLvl w:val="0"/>
        <w:rPr>
          <w:rFonts w:hint="default"/>
          <w:color w:val="auto"/>
          <w:highlight w:val="none"/>
        </w:rPr>
      </w:pPr>
      <w:r>
        <w:rPr>
          <w:rFonts w:hint="eastAsia" w:ascii="Times New Roman" w:hAnsi="Times New Roman" w:eastAsia="黑体" w:cs="Times New Roman"/>
          <w:snapToGrid w:val="0"/>
          <w:color w:val="auto"/>
          <w:kern w:val="2"/>
          <w:sz w:val="32"/>
          <w:szCs w:val="32"/>
          <w:highlight w:val="none"/>
          <w:lang w:val="en-US" w:eastAsia="zh-CN"/>
        </w:rPr>
        <w:t>附件</w:t>
      </w:r>
      <w:r>
        <w:rPr>
          <w:rFonts w:hint="eastAsia" w:eastAsia="黑体" w:cs="Times New Roman"/>
          <w:snapToGrid w:val="0"/>
          <w:color w:val="auto"/>
          <w:kern w:val="2"/>
          <w:sz w:val="32"/>
          <w:szCs w:val="32"/>
          <w:highlight w:val="none"/>
          <w:lang w:val="en-US" w:eastAsia="zh-CN"/>
        </w:rPr>
        <w:t>4</w:t>
      </w:r>
      <w:r>
        <w:rPr>
          <w:rFonts w:hint="eastAsia" w:ascii="Times New Roman" w:hAnsi="Times New Roman" w:eastAsia="黑体" w:cs="Times New Roman"/>
          <w:snapToGrid w:val="0"/>
          <w:color w:val="auto"/>
          <w:kern w:val="2"/>
          <w:sz w:val="32"/>
          <w:szCs w:val="32"/>
          <w:highlight w:val="none"/>
          <w:lang w:val="en-US" w:eastAsia="zh-CN"/>
        </w:rPr>
        <w:t xml:space="preserve"> </w:t>
      </w:r>
      <w:r>
        <w:rPr>
          <w:rFonts w:hint="eastAsia" w:eastAsia="黑体" w:cs="Times New Roman"/>
          <w:snapToGrid w:val="0"/>
          <w:color w:val="auto"/>
          <w:kern w:val="2"/>
          <w:sz w:val="32"/>
          <w:szCs w:val="32"/>
          <w:highlight w:val="none"/>
          <w:lang w:val="en-US" w:eastAsia="zh-CN"/>
        </w:rPr>
        <w:t>鸡西市城子河区广泰煤炭经销处储煤场建设项目</w:t>
      </w:r>
      <w:r>
        <w:rPr>
          <w:rFonts w:hint="eastAsia" w:ascii="Times New Roman" w:hAnsi="Times New Roman" w:eastAsia="黑体" w:cs="Times New Roman"/>
          <w:snapToGrid w:val="0"/>
          <w:color w:val="auto"/>
          <w:kern w:val="2"/>
          <w:sz w:val="32"/>
          <w:szCs w:val="32"/>
          <w:highlight w:val="none"/>
          <w:lang w:val="en-US" w:eastAsia="zh-CN"/>
        </w:rPr>
        <w:t>生态环境分区管控分析报告</w:t>
      </w:r>
    </w:p>
    <w:p w14:paraId="508AA2E1">
      <w:pPr>
        <w:pStyle w:val="8"/>
        <w:ind w:left="0" w:leftChars="0" w:firstLine="0" w:firstLineChars="0"/>
        <w:rPr>
          <w:rFonts w:hint="default"/>
          <w:color w:val="auto"/>
          <w:highlight w:val="none"/>
        </w:rPr>
        <w:sectPr>
          <w:pgSz w:w="16838" w:h="11906" w:orient="landscape"/>
          <w:pgMar w:top="1531" w:right="1701" w:bottom="1531" w:left="1701" w:header="851" w:footer="850" w:gutter="0"/>
          <w:pgBorders>
            <w:top w:val="none" w:sz="0" w:space="0"/>
            <w:left w:val="none" w:sz="0" w:space="0"/>
            <w:bottom w:val="none" w:sz="0" w:space="0"/>
            <w:right w:val="none" w:sz="0" w:space="0"/>
          </w:pgBorders>
          <w:cols w:space="720" w:num="1"/>
          <w:docGrid w:linePitch="312" w:charSpace="0"/>
        </w:sectPr>
      </w:pPr>
      <w:r>
        <w:rPr>
          <w:color w:val="auto"/>
        </w:rPr>
        <w:drawing>
          <wp:inline distT="0" distB="0" distL="114300" distR="114300">
            <wp:extent cx="8528050" cy="5048885"/>
            <wp:effectExtent l="0" t="0" r="0" b="0"/>
            <wp:docPr id="8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
                    <pic:cNvPicPr>
                      <a:picLocks noChangeAspect="1"/>
                    </pic:cNvPicPr>
                  </pic:nvPicPr>
                  <pic:blipFill>
                    <a:blip r:embed="rId45"/>
                    <a:srcRect t="9527" b="7960"/>
                    <a:stretch>
                      <a:fillRect/>
                    </a:stretch>
                  </pic:blipFill>
                  <pic:spPr>
                    <a:xfrm>
                      <a:off x="0" y="0"/>
                      <a:ext cx="8528050" cy="5048885"/>
                    </a:xfrm>
                    <a:prstGeom prst="rect">
                      <a:avLst/>
                    </a:prstGeom>
                    <a:noFill/>
                    <a:ln>
                      <a:noFill/>
                    </a:ln>
                  </pic:spPr>
                </pic:pic>
              </a:graphicData>
            </a:graphic>
          </wp:inline>
        </w:drawing>
      </w:r>
      <w:r>
        <w:rPr>
          <w:color w:val="auto"/>
        </w:rPr>
        <w:drawing>
          <wp:inline distT="0" distB="0" distL="114300" distR="114300">
            <wp:extent cx="8531225" cy="5498465"/>
            <wp:effectExtent l="0" t="0" r="3175" b="6985"/>
            <wp:docPr id="8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9"/>
                    <pic:cNvPicPr>
                      <a:picLocks noChangeAspect="1"/>
                    </pic:cNvPicPr>
                  </pic:nvPicPr>
                  <pic:blipFill>
                    <a:blip r:embed="rId46"/>
                    <a:stretch>
                      <a:fillRect/>
                    </a:stretch>
                  </pic:blipFill>
                  <pic:spPr>
                    <a:xfrm>
                      <a:off x="0" y="0"/>
                      <a:ext cx="8531225" cy="5498465"/>
                    </a:xfrm>
                    <a:prstGeom prst="rect">
                      <a:avLst/>
                    </a:prstGeom>
                    <a:noFill/>
                    <a:ln>
                      <a:noFill/>
                    </a:ln>
                  </pic:spPr>
                </pic:pic>
              </a:graphicData>
            </a:graphic>
          </wp:inline>
        </w:drawing>
      </w:r>
      <w:r>
        <w:rPr>
          <w:color w:val="auto"/>
        </w:rPr>
        <w:drawing>
          <wp:inline distT="0" distB="0" distL="114300" distR="114300">
            <wp:extent cx="8528050" cy="5453380"/>
            <wp:effectExtent l="0" t="0" r="6350" b="13970"/>
            <wp:docPr id="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0"/>
                    <pic:cNvPicPr>
                      <a:picLocks noChangeAspect="1"/>
                    </pic:cNvPicPr>
                  </pic:nvPicPr>
                  <pic:blipFill>
                    <a:blip r:embed="rId47"/>
                    <a:stretch>
                      <a:fillRect/>
                    </a:stretch>
                  </pic:blipFill>
                  <pic:spPr>
                    <a:xfrm>
                      <a:off x="0" y="0"/>
                      <a:ext cx="8528050" cy="5453380"/>
                    </a:xfrm>
                    <a:prstGeom prst="rect">
                      <a:avLst/>
                    </a:prstGeom>
                    <a:noFill/>
                    <a:ln>
                      <a:noFill/>
                    </a:ln>
                  </pic:spPr>
                </pic:pic>
              </a:graphicData>
            </a:graphic>
          </wp:inline>
        </w:drawing>
      </w:r>
      <w:r>
        <w:rPr>
          <w:color w:val="auto"/>
        </w:rPr>
        <w:drawing>
          <wp:inline distT="0" distB="0" distL="114300" distR="114300">
            <wp:extent cx="8522335" cy="5810250"/>
            <wp:effectExtent l="0" t="0" r="12065" b="0"/>
            <wp:docPr id="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1"/>
                    <pic:cNvPicPr>
                      <a:picLocks noChangeAspect="1"/>
                    </pic:cNvPicPr>
                  </pic:nvPicPr>
                  <pic:blipFill>
                    <a:blip r:embed="rId48"/>
                    <a:stretch>
                      <a:fillRect/>
                    </a:stretch>
                  </pic:blipFill>
                  <pic:spPr>
                    <a:xfrm>
                      <a:off x="0" y="0"/>
                      <a:ext cx="8522335" cy="5810250"/>
                    </a:xfrm>
                    <a:prstGeom prst="rect">
                      <a:avLst/>
                    </a:prstGeom>
                    <a:noFill/>
                    <a:ln>
                      <a:noFill/>
                    </a:ln>
                  </pic:spPr>
                </pic:pic>
              </a:graphicData>
            </a:graphic>
          </wp:inline>
        </w:drawing>
      </w:r>
      <w:r>
        <w:rPr>
          <w:color w:val="auto"/>
        </w:rPr>
        <w:drawing>
          <wp:inline distT="0" distB="0" distL="114300" distR="114300">
            <wp:extent cx="8527415" cy="5925820"/>
            <wp:effectExtent l="0" t="0" r="6985" b="17780"/>
            <wp:docPr id="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2"/>
                    <pic:cNvPicPr>
                      <a:picLocks noChangeAspect="1"/>
                    </pic:cNvPicPr>
                  </pic:nvPicPr>
                  <pic:blipFill>
                    <a:blip r:embed="rId49"/>
                    <a:stretch>
                      <a:fillRect/>
                    </a:stretch>
                  </pic:blipFill>
                  <pic:spPr>
                    <a:xfrm>
                      <a:off x="0" y="0"/>
                      <a:ext cx="8527415" cy="5925820"/>
                    </a:xfrm>
                    <a:prstGeom prst="rect">
                      <a:avLst/>
                    </a:prstGeom>
                    <a:noFill/>
                    <a:ln>
                      <a:noFill/>
                    </a:ln>
                  </pic:spPr>
                </pic:pic>
              </a:graphicData>
            </a:graphic>
          </wp:inline>
        </w:drawing>
      </w:r>
      <w:r>
        <w:rPr>
          <w:color w:val="auto"/>
        </w:rPr>
        <w:drawing>
          <wp:inline distT="0" distB="0" distL="114300" distR="114300">
            <wp:extent cx="8523605" cy="5634355"/>
            <wp:effectExtent l="0" t="0" r="10795" b="4445"/>
            <wp:docPr id="8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3"/>
                    <pic:cNvPicPr>
                      <a:picLocks noChangeAspect="1"/>
                    </pic:cNvPicPr>
                  </pic:nvPicPr>
                  <pic:blipFill>
                    <a:blip r:embed="rId50"/>
                    <a:stretch>
                      <a:fillRect/>
                    </a:stretch>
                  </pic:blipFill>
                  <pic:spPr>
                    <a:xfrm>
                      <a:off x="0" y="0"/>
                      <a:ext cx="8523605" cy="5634355"/>
                    </a:xfrm>
                    <a:prstGeom prst="rect">
                      <a:avLst/>
                    </a:prstGeom>
                    <a:noFill/>
                    <a:ln>
                      <a:noFill/>
                    </a:ln>
                  </pic:spPr>
                </pic:pic>
              </a:graphicData>
            </a:graphic>
          </wp:inline>
        </w:drawing>
      </w:r>
      <w:r>
        <w:rPr>
          <w:color w:val="auto"/>
        </w:rPr>
        <w:drawing>
          <wp:inline distT="0" distB="0" distL="114300" distR="114300">
            <wp:extent cx="8522335" cy="5586730"/>
            <wp:effectExtent l="0" t="0" r="12065" b="13970"/>
            <wp:docPr id="8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4"/>
                    <pic:cNvPicPr>
                      <a:picLocks noChangeAspect="1"/>
                    </pic:cNvPicPr>
                  </pic:nvPicPr>
                  <pic:blipFill>
                    <a:blip r:embed="rId51"/>
                    <a:stretch>
                      <a:fillRect/>
                    </a:stretch>
                  </pic:blipFill>
                  <pic:spPr>
                    <a:xfrm>
                      <a:off x="0" y="0"/>
                      <a:ext cx="8522335" cy="5586730"/>
                    </a:xfrm>
                    <a:prstGeom prst="rect">
                      <a:avLst/>
                    </a:prstGeom>
                    <a:noFill/>
                    <a:ln>
                      <a:noFill/>
                    </a:ln>
                  </pic:spPr>
                </pic:pic>
              </a:graphicData>
            </a:graphic>
          </wp:inline>
        </w:drawing>
      </w:r>
      <w:r>
        <w:rPr>
          <w:color w:val="auto"/>
        </w:rPr>
        <w:drawing>
          <wp:inline distT="0" distB="0" distL="114300" distR="114300">
            <wp:extent cx="8524240" cy="5295900"/>
            <wp:effectExtent l="0" t="0" r="10160" b="0"/>
            <wp:docPr id="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5"/>
                    <pic:cNvPicPr>
                      <a:picLocks noChangeAspect="1"/>
                    </pic:cNvPicPr>
                  </pic:nvPicPr>
                  <pic:blipFill>
                    <a:blip r:embed="rId52"/>
                    <a:stretch>
                      <a:fillRect/>
                    </a:stretch>
                  </pic:blipFill>
                  <pic:spPr>
                    <a:xfrm>
                      <a:off x="0" y="0"/>
                      <a:ext cx="8524240" cy="5295900"/>
                    </a:xfrm>
                    <a:prstGeom prst="rect">
                      <a:avLst/>
                    </a:prstGeom>
                    <a:noFill/>
                    <a:ln>
                      <a:noFill/>
                    </a:ln>
                  </pic:spPr>
                </pic:pic>
              </a:graphicData>
            </a:graphic>
          </wp:inline>
        </w:drawing>
      </w:r>
      <w:r>
        <w:rPr>
          <w:color w:val="auto"/>
        </w:rPr>
        <w:drawing>
          <wp:inline distT="0" distB="0" distL="114300" distR="114300">
            <wp:extent cx="8528050" cy="5753735"/>
            <wp:effectExtent l="0" t="0" r="6350" b="18415"/>
            <wp:docPr id="9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6"/>
                    <pic:cNvPicPr>
                      <a:picLocks noChangeAspect="1"/>
                    </pic:cNvPicPr>
                  </pic:nvPicPr>
                  <pic:blipFill>
                    <a:blip r:embed="rId53"/>
                    <a:stretch>
                      <a:fillRect/>
                    </a:stretch>
                  </pic:blipFill>
                  <pic:spPr>
                    <a:xfrm>
                      <a:off x="0" y="0"/>
                      <a:ext cx="8528050" cy="5753735"/>
                    </a:xfrm>
                    <a:prstGeom prst="rect">
                      <a:avLst/>
                    </a:prstGeom>
                    <a:noFill/>
                    <a:ln>
                      <a:noFill/>
                    </a:ln>
                  </pic:spPr>
                </pic:pic>
              </a:graphicData>
            </a:graphic>
          </wp:inline>
        </w:drawing>
      </w:r>
      <w:r>
        <w:rPr>
          <w:color w:val="auto"/>
        </w:rPr>
        <w:drawing>
          <wp:inline distT="0" distB="0" distL="114300" distR="114300">
            <wp:extent cx="8531225" cy="5723255"/>
            <wp:effectExtent l="0" t="0" r="3175" b="10795"/>
            <wp:docPr id="9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7"/>
                    <pic:cNvPicPr>
                      <a:picLocks noChangeAspect="1"/>
                    </pic:cNvPicPr>
                  </pic:nvPicPr>
                  <pic:blipFill>
                    <a:blip r:embed="rId54"/>
                    <a:stretch>
                      <a:fillRect/>
                    </a:stretch>
                  </pic:blipFill>
                  <pic:spPr>
                    <a:xfrm>
                      <a:off x="0" y="0"/>
                      <a:ext cx="8531225" cy="5723255"/>
                    </a:xfrm>
                    <a:prstGeom prst="rect">
                      <a:avLst/>
                    </a:prstGeom>
                    <a:noFill/>
                    <a:ln>
                      <a:noFill/>
                    </a:ln>
                  </pic:spPr>
                </pic:pic>
              </a:graphicData>
            </a:graphic>
          </wp:inline>
        </w:drawing>
      </w:r>
      <w:r>
        <w:rPr>
          <w:color w:val="auto"/>
        </w:rPr>
        <w:drawing>
          <wp:inline distT="0" distB="0" distL="114300" distR="114300">
            <wp:extent cx="8522335" cy="5790565"/>
            <wp:effectExtent l="0" t="0" r="12065" b="635"/>
            <wp:docPr id="9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8"/>
                    <pic:cNvPicPr>
                      <a:picLocks noChangeAspect="1"/>
                    </pic:cNvPicPr>
                  </pic:nvPicPr>
                  <pic:blipFill>
                    <a:blip r:embed="rId55"/>
                    <a:stretch>
                      <a:fillRect/>
                    </a:stretch>
                  </pic:blipFill>
                  <pic:spPr>
                    <a:xfrm>
                      <a:off x="0" y="0"/>
                      <a:ext cx="8522335" cy="5790565"/>
                    </a:xfrm>
                    <a:prstGeom prst="rect">
                      <a:avLst/>
                    </a:prstGeom>
                    <a:noFill/>
                    <a:ln>
                      <a:noFill/>
                    </a:ln>
                  </pic:spPr>
                </pic:pic>
              </a:graphicData>
            </a:graphic>
          </wp:inline>
        </w:drawing>
      </w:r>
      <w:r>
        <w:rPr>
          <w:color w:val="auto"/>
        </w:rPr>
        <w:drawing>
          <wp:inline distT="0" distB="0" distL="114300" distR="114300">
            <wp:extent cx="8524240" cy="5861685"/>
            <wp:effectExtent l="0" t="0" r="10160" b="5715"/>
            <wp:docPr id="9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9"/>
                    <pic:cNvPicPr>
                      <a:picLocks noChangeAspect="1"/>
                    </pic:cNvPicPr>
                  </pic:nvPicPr>
                  <pic:blipFill>
                    <a:blip r:embed="rId56"/>
                    <a:stretch>
                      <a:fillRect/>
                    </a:stretch>
                  </pic:blipFill>
                  <pic:spPr>
                    <a:xfrm>
                      <a:off x="0" y="0"/>
                      <a:ext cx="8524240" cy="5861685"/>
                    </a:xfrm>
                    <a:prstGeom prst="rect">
                      <a:avLst/>
                    </a:prstGeom>
                    <a:noFill/>
                    <a:ln>
                      <a:noFill/>
                    </a:ln>
                  </pic:spPr>
                </pic:pic>
              </a:graphicData>
            </a:graphic>
          </wp:inline>
        </w:drawing>
      </w:r>
    </w:p>
    <w:p w14:paraId="00465FA1">
      <w:pPr>
        <w:rPr>
          <w:color w:val="auto"/>
        </w:rPr>
      </w:pPr>
    </w:p>
    <w:sectPr>
      <w:pgSz w:w="11906" w:h="16838"/>
      <w:pgMar w:top="1701" w:right="1531" w:bottom="1701" w:left="1531" w:header="851" w:footer="850"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方正小标宋_GBK">
    <w:altName w:val="微软雅黑"/>
    <w:panose1 w:val="02000000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2010609030101010101"/>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Times New Roman Regular">
    <w:altName w:val="Times New Roman"/>
    <w:panose1 w:val="02020603050405020304"/>
    <w:charset w:val="00"/>
    <w:family w:val="auto"/>
    <w:pitch w:val="default"/>
    <w:sig w:usb0="00000000" w:usb1="00000000" w:usb2="00000000" w:usb3="00000000" w:csb0="00040001"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29E487">
    <w:pPr>
      <w:pStyle w:val="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B32B7A">
    <w:pPr>
      <w:pStyle w:val="9"/>
      <w:framePr w:wrap="around" w:vAnchor="text" w:hAnchor="margin" w:xAlign="center" w:y="1"/>
      <w:rPr>
        <w:rStyle w:val="20"/>
      </w:rPr>
    </w:pPr>
    <w:r>
      <w:fldChar w:fldCharType="begin"/>
    </w:r>
    <w:r>
      <w:rPr>
        <w:rStyle w:val="20"/>
      </w:rPr>
      <w:instrText xml:space="preserve">PAGE  </w:instrText>
    </w:r>
    <w:r>
      <w:fldChar w:fldCharType="end"/>
    </w:r>
  </w:p>
  <w:p w14:paraId="380B7BA6">
    <w:pPr>
      <w:pStyle w:val="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2391D5A8">
        <w:pPr>
          <w:pStyle w:val="9"/>
          <w:ind w:left="2250" w:hanging="1200"/>
          <w:jc w:val="center"/>
        </w:pPr>
        <w:r>
          <w:fldChar w:fldCharType="begin"/>
        </w:r>
        <w:r>
          <w:instrText xml:space="preserve">PAGE   \* MERGEFORMAT</w:instrText>
        </w:r>
        <w:r>
          <w:fldChar w:fldCharType="separate"/>
        </w:r>
        <w:r>
          <w:rPr>
            <w:lang w:val="zh-CN"/>
          </w:rPr>
          <w:t>37</w:t>
        </w:r>
        <w:r>
          <w:fldChar w:fldCharType="end"/>
        </w:r>
      </w:p>
    </w:sdtContent>
  </w:sdt>
  <w:p w14:paraId="580326D8">
    <w:pPr>
      <w:pStyle w:val="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BAD83A">
    <w:pPr>
      <w:pStyle w:val="9"/>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14935" cy="131445"/>
              <wp:effectExtent l="0" t="0" r="0" b="0"/>
              <wp:wrapNone/>
              <wp:docPr id="3" name="文本框 2057"/>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508FD997">
                          <w:pPr>
                            <w:pStyle w:val="9"/>
                          </w:pPr>
                          <w:r>
                            <w:rPr>
                              <w:rFonts w:hint="eastAsia"/>
                            </w:rPr>
                            <w:fldChar w:fldCharType="begin"/>
                          </w:r>
                          <w:r>
                            <w:rPr>
                              <w:rFonts w:hint="eastAsia"/>
                            </w:rPr>
                            <w:instrText xml:space="preserve"> PAGE  \* MERGEFORMAT </w:instrText>
                          </w:r>
                          <w:r>
                            <w:rPr>
                              <w:rFonts w:hint="eastAsia"/>
                            </w:rPr>
                            <w:fldChar w:fldCharType="separate"/>
                          </w:r>
                          <w:r>
                            <w:t>38</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7" o:spid="_x0000_s1026" o:spt="202" type="#_x0000_t202" style="position:absolute;left:0pt;margin-top:0pt;height:10.35pt;width:9.05pt;mso-position-horizontal:center;mso-position-horizontal-relative:margin;mso-wrap-style:none;z-index:251662336;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C44zq7DQIAAAUEAAAOAAAAAAAAAAEAIAAAAB8B&#10;AABkcnMvZTJvRG9jLnhtbFBLBQYAAAAABgAGAFkBAACeBQAAAAA=&#10;">
              <v:fill on="f" focussize="0,0"/>
              <v:stroke on="f"/>
              <v:imagedata o:title=""/>
              <o:lock v:ext="edit" aspectratio="f"/>
              <v:textbox inset="0mm,0mm,0mm,0mm" style="mso-fit-shape-to-text:t;">
                <w:txbxContent>
                  <w:p w14:paraId="508FD997">
                    <w:pPr>
                      <w:pStyle w:val="9"/>
                    </w:pPr>
                    <w:r>
                      <w:rPr>
                        <w:rFonts w:hint="eastAsia"/>
                      </w:rPr>
                      <w:fldChar w:fldCharType="begin"/>
                    </w:r>
                    <w:r>
                      <w:rPr>
                        <w:rFonts w:hint="eastAsia"/>
                      </w:rPr>
                      <w:instrText xml:space="preserve"> PAGE  \* MERGEFORMAT </w:instrText>
                    </w:r>
                    <w:r>
                      <w:rPr>
                        <w:rFonts w:hint="eastAsia"/>
                      </w:rPr>
                      <w:fldChar w:fldCharType="separate"/>
                    </w:r>
                    <w:r>
                      <w:t>38</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6FBE09">
    <w:pPr>
      <w:pStyle w:val="9"/>
      <w:ind w:right="360" w:firstLine="360"/>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14935" cy="131445"/>
              <wp:effectExtent l="0" t="0" r="0" b="0"/>
              <wp:wrapNone/>
              <wp:docPr id="2" name="文本框 2058"/>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06460665">
                          <w:pPr>
                            <w:pStyle w:val="9"/>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8" o:spid="_x0000_s1026" o:spt="202" type="#_x0000_t202" style="position:absolute;left:0pt;margin-top:0pt;height:10.35pt;width:9.05pt;mso-position-horizontal:center;mso-position-horizontal-relative:margin;mso-wrap-style:none;z-index:251663360;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CTA4c/DQIAAAUEAAAOAAAAAAAAAAEAIAAAAB8B&#10;AABkcnMvZTJvRG9jLnhtbFBLBQYAAAAABgAGAFkBAACeBQAAAAA=&#10;">
              <v:fill on="f" focussize="0,0"/>
              <v:stroke on="f"/>
              <v:imagedata o:title=""/>
              <o:lock v:ext="edit" aspectratio="f"/>
              <v:textbox inset="0mm,0mm,0mm,0mm" style="mso-fit-shape-to-text:t;">
                <w:txbxContent>
                  <w:p w14:paraId="06460665">
                    <w:pPr>
                      <w:pStyle w:val="9"/>
                    </w:pPr>
                    <w:r>
                      <w:rPr>
                        <w:rFonts w:hint="eastAsia"/>
                      </w:rPr>
                      <w:fldChar w:fldCharType="begin"/>
                    </w:r>
                    <w:r>
                      <w:rPr>
                        <w:rFonts w:hint="eastAsia"/>
                      </w:rPr>
                      <w:instrText xml:space="preserve"> PAGE  \* MERGEFORMAT </w:instrText>
                    </w:r>
                    <w:r>
                      <w:rPr>
                        <w:rFonts w:hint="eastAsia"/>
                      </w:rPr>
                      <w:fldChar w:fldCharType="separate"/>
                    </w:r>
                    <w:r>
                      <w:t>40</w:t>
                    </w:r>
                    <w:r>
                      <w:rPr>
                        <w:rFonts w:hint="eastAsia"/>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EB702A">
    <w:pPr>
      <w:pStyle w:val="9"/>
      <w:jc w:val="center"/>
      <w:rPr>
        <w:rFonts w:ascii="宋体" w:hAnsi="宋体"/>
        <w:sz w:val="24"/>
        <w:szCs w:val="24"/>
      </w:rPr>
    </w:pPr>
    <w:r>
      <w:rPr>
        <w:sz w:val="24"/>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14935" cy="131445"/>
              <wp:effectExtent l="0" t="0" r="0" b="0"/>
              <wp:wrapNone/>
              <wp:docPr id="1" name="文本框 2054"/>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14:paraId="6D942625">
                          <w:pPr>
                            <w:pStyle w:val="9"/>
                          </w:pP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2054" o:spid="_x0000_s1026" o:spt="202" type="#_x0000_t202" style="position:absolute;left:0pt;margin-top:0pt;height:10.35pt;width:9.05pt;mso-position-horizontal:center;mso-position-horizontal-relative:margin;mso-wrap-style:none;z-index:251661312;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V+SdAAAAADAQAADwAAAAAAAAABACAAAAAiAAAAZHJz&#10;L2Rvd25yZXYueG1sUEsBAhQAFAAAAAgAh07iQLqVVFoMAgAABQQAAA4AAAAAAAAAAQAgAAAAHwEA&#10;AGRycy9lMm9Eb2MueG1sUEsFBgAAAAAGAAYAWQEAAJ0FAAAAAA==&#10;">
              <v:fill on="f" focussize="0,0"/>
              <v:stroke on="f"/>
              <v:imagedata o:title=""/>
              <o:lock v:ext="edit" aspectratio="f"/>
              <v:textbox inset="0mm,0mm,0mm,0mm" style="mso-fit-shape-to-text:t;">
                <w:txbxContent>
                  <w:p w14:paraId="6D942625">
                    <w:pPr>
                      <w:pStyle w:val="9"/>
                    </w:pPr>
                    <w:r>
                      <w:rPr>
                        <w:rFonts w:hint="eastAsia"/>
                      </w:rPr>
                      <w:fldChar w:fldCharType="begin"/>
                    </w:r>
                    <w:r>
                      <w:rPr>
                        <w:rFonts w:hint="eastAsia"/>
                      </w:rPr>
                      <w:instrText xml:space="preserve"> PAGE  \* MERGEFORMAT </w:instrText>
                    </w:r>
                    <w:r>
                      <w:rPr>
                        <w:rFonts w:hint="eastAsia"/>
                      </w:rPr>
                      <w:fldChar w:fldCharType="separate"/>
                    </w:r>
                    <w:r>
                      <w:t>49</w:t>
                    </w:r>
                    <w:r>
                      <w:rPr>
                        <w:rFonts w:hint="eastAsi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9103B3">
    <w:pPr>
      <w:pStyle w:val="9"/>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A95755A">
                          <w:pPr>
                            <w:pStyle w:val="9"/>
                          </w:pPr>
                          <w:r>
                            <w:fldChar w:fldCharType="begin"/>
                          </w:r>
                          <w:r>
                            <w:instrText xml:space="preserve"> PAGE  \* MERGEFORMAT </w:instrText>
                          </w:r>
                          <w:r>
                            <w:fldChar w:fldCharType="separate"/>
                          </w:r>
                          <w:r>
                            <w:t>25</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uWqTcMBAACPAwAADgAAAGRycy9lMm9Eb2MueG1srVPNjtMwEL4j8Q6W&#10;79TZI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DevKXHc4sTPP3+cf/05//5O&#10;0IcC9QFqzLsNmJmG937AtZn9gM7Me1DR5i8yIhhHeU8XeeWQiMiPVsvVqsKQwNh8QXx2/zxESB+k&#10;tyQbDY04vyIrP36CNKbOKbma8zfamDJD4/5zIGb2sNz72GO20rAbJkI7356QT4+jb6jDTafEfHSo&#10;bN6S2YizsZuMXAPCu0PCwqWfjDpCTcVwToXRtFN5Ef69l6z7/2jz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Ca5apNwwEAAI8DAAAOAAAAAAAAAAEAIAAAAB4BAABkcnMvZTJvRG9jLnhtbFBL&#10;BQYAAAAABgAGAFkBAABTBQAAAAA=&#10;">
              <v:fill on="f" focussize="0,0"/>
              <v:stroke on="f"/>
              <v:imagedata o:title=""/>
              <o:lock v:ext="edit" aspectratio="f"/>
              <v:textbox inset="0mm,0mm,0mm,0mm" style="mso-fit-shape-to-text:t;">
                <w:txbxContent>
                  <w:p w14:paraId="2A95755A">
                    <w:pPr>
                      <w:pStyle w:val="9"/>
                    </w:pPr>
                    <w:r>
                      <w:fldChar w:fldCharType="begin"/>
                    </w:r>
                    <w:r>
                      <w:instrText xml:space="preserve"> PAGE  \* MERGEFORMAT </w:instrText>
                    </w:r>
                    <w:r>
                      <w:fldChar w:fldCharType="separate"/>
                    </w:r>
                    <w:r>
                      <w:t>25</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38FB681"/>
    <w:multiLevelType w:val="singleLevel"/>
    <w:tmpl w:val="E38FB681"/>
    <w:lvl w:ilvl="0" w:tentative="0">
      <w:start w:val="1"/>
      <w:numFmt w:val="bullet"/>
      <w:pStyle w:val="5"/>
      <w:lvlText w:val=""/>
      <w:lvlJc w:val="left"/>
      <w:pPr>
        <w:tabs>
          <w:tab w:val="left" w:pos="2040"/>
        </w:tabs>
        <w:ind w:left="2040" w:hanging="360"/>
      </w:pPr>
      <w:rPr>
        <w:rFonts w:hint="default" w:ascii="Wingdings" w:hAnsi="Wingdings"/>
      </w:rPr>
    </w:lvl>
  </w:abstractNum>
  <w:abstractNum w:abstractNumId="1">
    <w:nsid w:val="02868041"/>
    <w:multiLevelType w:val="singleLevel"/>
    <w:tmpl w:val="02868041"/>
    <w:lvl w:ilvl="0" w:tentative="0">
      <w:start w:val="1"/>
      <w:numFmt w:val="decimal"/>
      <w:lvlText w:val="%1."/>
      <w:lvlJc w:val="left"/>
      <w:pPr>
        <w:tabs>
          <w:tab w:val="left" w:pos="312"/>
        </w:tabs>
      </w:pPr>
    </w:lvl>
  </w:abstractNum>
  <w:abstractNum w:abstractNumId="2">
    <w:nsid w:val="1B2E57FF"/>
    <w:multiLevelType w:val="singleLevel"/>
    <w:tmpl w:val="1B2E57FF"/>
    <w:lvl w:ilvl="0" w:tentative="0">
      <w:start w:val="1"/>
      <w:numFmt w:val="decimal"/>
      <w:suff w:val="nothing"/>
      <w:lvlText w:val="%1、"/>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3"/>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EB51A1E"/>
    <w:rsid w:val="02D606C7"/>
    <w:rsid w:val="040F31B4"/>
    <w:rsid w:val="10BF0E95"/>
    <w:rsid w:val="15565E88"/>
    <w:rsid w:val="17C32668"/>
    <w:rsid w:val="1C1174A8"/>
    <w:rsid w:val="201E02BA"/>
    <w:rsid w:val="214E52F3"/>
    <w:rsid w:val="22117409"/>
    <w:rsid w:val="24027E5B"/>
    <w:rsid w:val="27715F4D"/>
    <w:rsid w:val="28261555"/>
    <w:rsid w:val="290640C2"/>
    <w:rsid w:val="29336B7E"/>
    <w:rsid w:val="2A2378AD"/>
    <w:rsid w:val="2C7864E0"/>
    <w:rsid w:val="31156FF1"/>
    <w:rsid w:val="31B12862"/>
    <w:rsid w:val="357D000B"/>
    <w:rsid w:val="35CC5151"/>
    <w:rsid w:val="37A25627"/>
    <w:rsid w:val="39A559C5"/>
    <w:rsid w:val="47D75D99"/>
    <w:rsid w:val="4B662CDF"/>
    <w:rsid w:val="4E1F5672"/>
    <w:rsid w:val="5659320B"/>
    <w:rsid w:val="5CFF3F21"/>
    <w:rsid w:val="61EB52DD"/>
    <w:rsid w:val="647C219E"/>
    <w:rsid w:val="6AED56BD"/>
    <w:rsid w:val="6D860AA5"/>
    <w:rsid w:val="6EDF4571"/>
    <w:rsid w:val="76626145"/>
    <w:rsid w:val="77EA5F2C"/>
    <w:rsid w:val="793A65FB"/>
    <w:rsid w:val="7B6F5487"/>
    <w:rsid w:val="7EB51A1E"/>
    <w:rsid w:val="7FEB02F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qFormat="1"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19">
    <w:name w:val="Default Paragraph Font"/>
    <w:semiHidden/>
    <w:qFormat/>
    <w:uiPriority w:val="0"/>
  </w:style>
  <w:style w:type="table" w:default="1" w:styleId="17">
    <w:name w:val="Normal Table"/>
    <w:semiHidden/>
    <w:qFormat/>
    <w:uiPriority w:val="0"/>
    <w:tblPr>
      <w:tblCellMar>
        <w:top w:w="0" w:type="dxa"/>
        <w:left w:w="108" w:type="dxa"/>
        <w:bottom w:w="0" w:type="dxa"/>
        <w:right w:w="108" w:type="dxa"/>
      </w:tblCellMar>
    </w:tblPr>
  </w:style>
  <w:style w:type="paragraph" w:styleId="3">
    <w:name w:val="Normal Indent"/>
    <w:basedOn w:val="1"/>
    <w:next w:val="4"/>
    <w:qFormat/>
    <w:uiPriority w:val="0"/>
    <w:pPr>
      <w:spacing w:line="460" w:lineRule="atLeast"/>
      <w:ind w:firstLine="420"/>
    </w:pPr>
    <w:rPr>
      <w:sz w:val="24"/>
      <w:szCs w:val="20"/>
    </w:rPr>
  </w:style>
  <w:style w:type="paragraph" w:styleId="4">
    <w:name w:val="Body Text"/>
    <w:basedOn w:val="1"/>
    <w:next w:val="5"/>
    <w:qFormat/>
    <w:uiPriority w:val="0"/>
    <w:pPr>
      <w:widowControl/>
      <w:snapToGrid w:val="0"/>
      <w:spacing w:before="60" w:after="160" w:line="259" w:lineRule="auto"/>
      <w:ind w:right="113"/>
    </w:pPr>
    <w:rPr>
      <w:kern w:val="0"/>
      <w:sz w:val="18"/>
      <w:szCs w:val="20"/>
    </w:rPr>
  </w:style>
  <w:style w:type="paragraph" w:styleId="5">
    <w:name w:val="List Bullet 5"/>
    <w:basedOn w:val="1"/>
    <w:qFormat/>
    <w:uiPriority w:val="0"/>
    <w:pPr>
      <w:numPr>
        <w:ilvl w:val="0"/>
        <w:numId w:val="1"/>
      </w:numPr>
    </w:pPr>
  </w:style>
  <w:style w:type="paragraph" w:styleId="6">
    <w:name w:val="annotation text"/>
    <w:basedOn w:val="1"/>
    <w:semiHidden/>
    <w:qFormat/>
    <w:uiPriority w:val="0"/>
    <w:pPr>
      <w:jc w:val="left"/>
    </w:pPr>
    <w:rPr>
      <w:kern w:val="0"/>
      <w:sz w:val="24"/>
      <w:szCs w:val="20"/>
    </w:rPr>
  </w:style>
  <w:style w:type="paragraph" w:styleId="7">
    <w:name w:val="Body Text Indent"/>
    <w:basedOn w:val="1"/>
    <w:qFormat/>
    <w:uiPriority w:val="0"/>
    <w:pPr>
      <w:spacing w:after="120"/>
      <w:ind w:left="420" w:leftChars="200"/>
    </w:pPr>
    <w:rPr>
      <w:kern w:val="0"/>
      <w:sz w:val="24"/>
      <w:szCs w:val="20"/>
    </w:rPr>
  </w:style>
  <w:style w:type="paragraph" w:styleId="8">
    <w:name w:val="Body Text Indent 2"/>
    <w:basedOn w:val="1"/>
    <w:qFormat/>
    <w:uiPriority w:val="99"/>
    <w:pPr>
      <w:spacing w:after="120" w:line="480" w:lineRule="auto"/>
      <w:ind w:left="420" w:leftChars="200"/>
    </w:pPr>
  </w:style>
  <w:style w:type="paragraph" w:styleId="9">
    <w:name w:val="footer"/>
    <w:basedOn w:val="1"/>
    <w:qFormat/>
    <w:uiPriority w:val="99"/>
    <w:pPr>
      <w:tabs>
        <w:tab w:val="center" w:pos="4153"/>
        <w:tab w:val="right" w:pos="8306"/>
      </w:tabs>
      <w:snapToGrid w:val="0"/>
      <w:jc w:val="left"/>
    </w:pPr>
    <w:rPr>
      <w:kern w:val="0"/>
      <w:sz w:val="18"/>
      <w:szCs w:val="20"/>
    </w:rPr>
  </w:style>
  <w:style w:type="paragraph" w:styleId="10">
    <w:name w:val="toc 1"/>
    <w:basedOn w:val="1"/>
    <w:next w:val="1"/>
    <w:unhideWhenUsed/>
    <w:qFormat/>
    <w:uiPriority w:val="39"/>
    <w:pPr>
      <w:widowControl/>
      <w:spacing w:after="100" w:line="259" w:lineRule="auto"/>
      <w:jc w:val="left"/>
    </w:pPr>
    <w:rPr>
      <w:rFonts w:asciiTheme="minorHAnsi" w:hAnsiTheme="minorHAnsi" w:eastAsiaTheme="minorEastAsia"/>
      <w:kern w:val="0"/>
      <w:sz w:val="22"/>
      <w:szCs w:val="22"/>
    </w:rPr>
  </w:style>
  <w:style w:type="paragraph" w:styleId="11">
    <w:name w:val="toc 6"/>
    <w:next w:val="1"/>
    <w:qFormat/>
    <w:uiPriority w:val="0"/>
    <w:pPr>
      <w:wordWrap w:val="0"/>
      <w:ind w:left="1700"/>
      <w:jc w:val="both"/>
    </w:pPr>
    <w:rPr>
      <w:rFonts w:ascii="Times New Roman" w:hAnsi="Times New Roman" w:eastAsia="宋体" w:cs="Times New Roman"/>
      <w:sz w:val="21"/>
      <w:lang w:val="en-US" w:eastAsia="zh-CN" w:bidi="ar-SA"/>
    </w:rPr>
  </w:style>
  <w:style w:type="paragraph" w:styleId="12">
    <w:name w:val="toc 2"/>
    <w:basedOn w:val="1"/>
    <w:next w:val="1"/>
    <w:qFormat/>
    <w:uiPriority w:val="39"/>
    <w:pPr>
      <w:ind w:left="210"/>
      <w:jc w:val="left"/>
    </w:pPr>
    <w:rPr>
      <w:smallCaps/>
      <w:sz w:val="20"/>
      <w:szCs w:val="20"/>
    </w:rPr>
  </w:style>
  <w:style w:type="paragraph" w:styleId="13">
    <w:name w:val="Message Header"/>
    <w:basedOn w:val="1"/>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rPr>
  </w:style>
  <w:style w:type="paragraph" w:styleId="14">
    <w:name w:val="Normal (Web)"/>
    <w:basedOn w:val="1"/>
    <w:qFormat/>
    <w:uiPriority w:val="99"/>
    <w:pPr>
      <w:widowControl/>
      <w:spacing w:before="100" w:beforeAutospacing="1" w:after="100" w:afterAutospacing="1"/>
      <w:jc w:val="left"/>
    </w:pPr>
    <w:rPr>
      <w:rFonts w:ascii="宋体" w:hAnsi="宋体"/>
      <w:kern w:val="0"/>
      <w:sz w:val="24"/>
      <w:szCs w:val="20"/>
    </w:rPr>
  </w:style>
  <w:style w:type="paragraph" w:styleId="15">
    <w:name w:val="Body Text First Indent"/>
    <w:basedOn w:val="4"/>
    <w:next w:val="1"/>
    <w:qFormat/>
    <w:uiPriority w:val="0"/>
    <w:pPr>
      <w:ind w:firstLine="420" w:firstLineChars="100"/>
    </w:pPr>
  </w:style>
  <w:style w:type="paragraph" w:styleId="16">
    <w:name w:val="Body Text First Indent 2"/>
    <w:basedOn w:val="7"/>
    <w:next w:val="15"/>
    <w:qFormat/>
    <w:uiPriority w:val="0"/>
    <w:pPr>
      <w:ind w:firstLine="420" w:firstLineChars="200"/>
    </w:pPr>
    <w:rPr>
      <w:rFonts w:ascii="Calibri" w:hAnsi="Calibri" w:cs="Calibri"/>
      <w:kern w:val="2"/>
      <w:sz w:val="21"/>
      <w:szCs w:val="24"/>
    </w:rPr>
  </w:style>
  <w:style w:type="table" w:styleId="18">
    <w:name w:val="Table Grid"/>
    <w:basedOn w:val="1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page number"/>
    <w:basedOn w:val="19"/>
    <w:qFormat/>
    <w:uiPriority w:val="0"/>
  </w:style>
  <w:style w:type="paragraph" w:customStyle="1" w:styleId="21">
    <w:name w:val="Normal (Web)1"/>
    <w:basedOn w:val="1"/>
    <w:next w:val="22"/>
    <w:autoRedefine/>
    <w:qFormat/>
    <w:uiPriority w:val="0"/>
    <w:pPr>
      <w:widowControl/>
      <w:jc w:val="left"/>
    </w:pPr>
    <w:rPr>
      <w:rFonts w:ascii="宋体"/>
      <w:kern w:val="0"/>
      <w:sz w:val="24"/>
      <w:szCs w:val="21"/>
    </w:rPr>
  </w:style>
  <w:style w:type="paragraph" w:customStyle="1" w:styleId="22">
    <w:name w:val="Date1"/>
    <w:basedOn w:val="1"/>
    <w:next w:val="1"/>
    <w:autoRedefine/>
    <w:qFormat/>
    <w:uiPriority w:val="99"/>
    <w:pPr>
      <w:ind w:left="2500" w:leftChars="2500"/>
    </w:pPr>
  </w:style>
  <w:style w:type="paragraph" w:customStyle="1" w:styleId="23">
    <w:name w:val="样式 正文首行缩进 + 首行缩进:  2 字符1"/>
    <w:basedOn w:val="1"/>
    <w:next w:val="10"/>
    <w:autoRedefine/>
    <w:qFormat/>
    <w:uiPriority w:val="0"/>
    <w:pPr>
      <w:spacing w:line="360" w:lineRule="auto"/>
      <w:ind w:firstLine="480" w:firstLineChars="200"/>
    </w:pPr>
    <w:rPr>
      <w:sz w:val="24"/>
    </w:rPr>
  </w:style>
  <w:style w:type="paragraph" w:customStyle="1" w:styleId="24">
    <w:name w:val="Default"/>
    <w:basedOn w:val="25"/>
    <w:next w:val="1"/>
    <w:autoRedefine/>
    <w:qFormat/>
    <w:uiPriority w:val="0"/>
    <w:pPr>
      <w:widowControl w:val="0"/>
      <w:autoSpaceDE w:val="0"/>
      <w:autoSpaceDN w:val="0"/>
    </w:pPr>
    <w:rPr>
      <w:rFonts w:hAnsi="Times New Roman" w:cs="宋体"/>
      <w:color w:val="000000"/>
      <w:szCs w:val="24"/>
    </w:rPr>
  </w:style>
  <w:style w:type="paragraph" w:customStyle="1" w:styleId="25">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26">
    <w:name w:val="【正文】"/>
    <w:basedOn w:val="1"/>
    <w:next w:val="13"/>
    <w:autoRedefine/>
    <w:qFormat/>
    <w:uiPriority w:val="0"/>
    <w:pPr>
      <w:ind w:firstLine="480"/>
    </w:pPr>
    <w:rPr>
      <w:sz w:val="24"/>
    </w:rPr>
  </w:style>
  <w:style w:type="paragraph" w:customStyle="1" w:styleId="27">
    <w:name w:val="内容"/>
    <w:basedOn w:val="1"/>
    <w:autoRedefine/>
    <w:qFormat/>
    <w:uiPriority w:val="0"/>
    <w:pPr>
      <w:spacing w:before="156" w:beforeLines="50" w:after="156" w:afterLines="50"/>
      <w:ind w:firstLine="200" w:firstLineChars="200"/>
    </w:pPr>
    <w:rPr>
      <w:color w:val="000000"/>
      <w:sz w:val="24"/>
    </w:rPr>
  </w:style>
  <w:style w:type="paragraph" w:customStyle="1" w:styleId="28">
    <w:name w:val="首行缩进表格正文"/>
    <w:basedOn w:val="1"/>
    <w:autoRedefine/>
    <w:qFormat/>
    <w:uiPriority w:val="0"/>
    <w:pPr>
      <w:spacing w:line="360" w:lineRule="auto"/>
      <w:ind w:firstLine="720" w:firstLineChars="200"/>
      <w:jc w:val="left"/>
    </w:pPr>
    <w:rPr>
      <w:rFonts w:ascii="Times New Roman" w:hAnsi="Times New Roman" w:eastAsia="宋体"/>
    </w:rPr>
  </w:style>
  <w:style w:type="paragraph" w:customStyle="1" w:styleId="29">
    <w:name w:val="表中字"/>
    <w:autoRedefine/>
    <w:qFormat/>
    <w:uiPriority w:val="0"/>
    <w:pPr>
      <w:jc w:val="center"/>
    </w:pPr>
    <w:rPr>
      <w:rFonts w:ascii="Times New Roman" w:hAnsi="Times New Roman" w:eastAsia="宋体" w:cs="Times New Roman"/>
      <w:kern w:val="2"/>
      <w:sz w:val="21"/>
      <w:szCs w:val="22"/>
      <w:lang w:val="zh-CN" w:eastAsia="zh-CN" w:bidi="ar-SA"/>
    </w:rPr>
  </w:style>
  <w:style w:type="character" w:customStyle="1" w:styleId="30">
    <w:name w:val="NormalCharacter"/>
    <w:autoRedefine/>
    <w:semiHidden/>
    <w:qFormat/>
    <w:uiPriority w:val="0"/>
    <w:rPr>
      <w:rFonts w:ascii="Times New Roman" w:hAnsi="Times New Roman" w:eastAsia="宋体" w:cs="Times New Roman"/>
      <w:kern w:val="2"/>
      <w:sz w:val="21"/>
      <w:szCs w:val="24"/>
      <w:lang w:val="en-US" w:eastAsia="zh-CN" w:bidi="ar-SA"/>
    </w:rPr>
  </w:style>
  <w:style w:type="paragraph" w:customStyle="1" w:styleId="31">
    <w:name w:val="表中文字"/>
    <w:basedOn w:val="1"/>
    <w:autoRedefine/>
    <w:qFormat/>
    <w:uiPriority w:val="0"/>
    <w:pPr>
      <w:jc w:val="center"/>
    </w:pPr>
  </w:style>
  <w:style w:type="paragraph" w:customStyle="1" w:styleId="32">
    <w:name w:val="Table Paragraph"/>
    <w:basedOn w:val="1"/>
    <w:autoRedefine/>
    <w:qFormat/>
    <w:uiPriority w:val="0"/>
    <w:pPr>
      <w:autoSpaceDE w:val="0"/>
      <w:autoSpaceDN w:val="0"/>
      <w:jc w:val="center"/>
    </w:pPr>
    <w:rPr>
      <w:rFonts w:hint="eastAsia" w:ascii="仿宋" w:hAnsi="仿宋" w:eastAsia="仿宋"/>
      <w:kern w:val="0"/>
      <w:sz w:val="22"/>
      <w:szCs w:val="22"/>
    </w:rPr>
  </w:style>
  <w:style w:type="paragraph" w:customStyle="1" w:styleId="33">
    <w:name w:val="正文 New New"/>
    <w:autoRedefine/>
    <w:qFormat/>
    <w:uiPriority w:val="0"/>
    <w:pPr>
      <w:widowControl w:val="0"/>
      <w:jc w:val="both"/>
    </w:pPr>
    <w:rPr>
      <w:rFonts w:ascii="Calibri" w:hAnsi="Calibri" w:eastAsia="宋体" w:cs="Times New Roman"/>
      <w:kern w:val="2"/>
      <w:sz w:val="21"/>
      <w:szCs w:val="24"/>
      <w:lang w:val="en-US" w:eastAsia="zh-CN" w:bidi="ar-SA"/>
    </w:rPr>
  </w:style>
  <w:style w:type="paragraph" w:customStyle="1" w:styleId="34">
    <w:name w:val="样式 正文缩进正文缩进2正文缩进 Char Char正文缩进 Char Char Char Char正文缩进 Char ..."/>
    <w:basedOn w:val="3"/>
    <w:autoRedefine/>
    <w:qFormat/>
    <w:uiPriority w:val="0"/>
    <w:pPr>
      <w:spacing w:line="240" w:lineRule="auto"/>
      <w:ind w:firstLine="0" w:firstLineChars="0"/>
    </w:pPr>
    <w:rPr>
      <w:rFonts w:ascii="Times New Roman" w:hAnsi="Times New Roman" w:eastAsia="宋体" w:cs="Times New Roman"/>
      <w:w w:val="80"/>
      <w:sz w:val="18"/>
      <w:szCs w:val="15"/>
    </w:rPr>
  </w:style>
  <w:style w:type="paragraph" w:customStyle="1" w:styleId="35">
    <w:name w:val="表格内容"/>
    <w:basedOn w:val="36"/>
    <w:next w:val="1"/>
    <w:autoRedefine/>
    <w:qFormat/>
    <w:uiPriority w:val="0"/>
    <w:pPr>
      <w:adjustRightInd w:val="0"/>
      <w:snapToGrid w:val="0"/>
      <w:spacing w:line="360" w:lineRule="exact"/>
      <w:jc w:val="center"/>
    </w:pPr>
    <w:rPr>
      <w:rFonts w:ascii="Times New Roman" w:hAnsi="Times New Roman" w:eastAsia="宋体" w:cs="Times New Roman"/>
      <w:color w:val="000000"/>
      <w:sz w:val="21"/>
      <w:szCs w:val="24"/>
      <w:lang w:val="en-US" w:eastAsia="zh-CN" w:bidi="ar-SA"/>
    </w:rPr>
  </w:style>
  <w:style w:type="paragraph" w:customStyle="1" w:styleId="36">
    <w:name w:val="封皮-证书编号"/>
    <w:basedOn w:val="1"/>
    <w:autoRedefine/>
    <w:qFormat/>
    <w:uiPriority w:val="0"/>
    <w:pPr>
      <w:jc w:val="center"/>
    </w:pPr>
    <w:rPr>
      <w:rFonts w:eastAsia="黑体"/>
      <w:sz w:val="28"/>
    </w:rPr>
  </w:style>
  <w:style w:type="paragraph" w:customStyle="1" w:styleId="37">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 w:type="paragraph" w:customStyle="1" w:styleId="38">
    <w:name w:val="【表头】"/>
    <w:basedOn w:val="39"/>
    <w:next w:val="1"/>
    <w:autoRedefine/>
    <w:qFormat/>
    <w:uiPriority w:val="0"/>
    <w:pPr>
      <w:spacing w:line="500" w:lineRule="atLeast"/>
      <w:ind w:firstLine="425" w:firstLineChars="177"/>
      <w:jc w:val="center"/>
    </w:pPr>
    <w:rPr>
      <w:rFonts w:hAnsi="宋体"/>
      <w:b/>
      <w:szCs w:val="21"/>
    </w:rPr>
  </w:style>
  <w:style w:type="paragraph" w:customStyle="1" w:styleId="39">
    <w:name w:val="0"/>
    <w:basedOn w:val="1"/>
    <w:autoRedefine/>
    <w:qFormat/>
    <w:uiPriority w:val="99"/>
    <w:pPr>
      <w:widowControl/>
      <w:snapToGrid w:val="0"/>
      <w:jc w:val="left"/>
    </w:pPr>
    <w:rPr>
      <w:rFonts w:ascii="宋体"/>
      <w:kern w:val="0"/>
      <w:sz w:val="20"/>
      <w:szCs w:val="20"/>
    </w:rPr>
  </w:style>
  <w:style w:type="paragraph" w:customStyle="1" w:styleId="40">
    <w:name w:val="a正文"/>
    <w:basedOn w:val="41"/>
    <w:autoRedefine/>
    <w:qFormat/>
    <w:uiPriority w:val="0"/>
    <w:pPr>
      <w:spacing w:line="520" w:lineRule="exact"/>
      <w:ind w:firstLine="200" w:firstLineChars="200"/>
    </w:pPr>
    <w:rPr>
      <w:kern w:val="0"/>
      <w:szCs w:val="21"/>
    </w:rPr>
  </w:style>
  <w:style w:type="paragraph" w:customStyle="1" w:styleId="41">
    <w:name w:val="正文格式"/>
    <w:basedOn w:val="1"/>
    <w:next w:val="1"/>
    <w:autoRedefine/>
    <w:qFormat/>
    <w:uiPriority w:val="0"/>
    <w:pPr>
      <w:spacing w:line="360" w:lineRule="auto"/>
      <w:ind w:firstLine="482"/>
    </w:pPr>
  </w:style>
  <w:style w:type="paragraph" w:customStyle="1" w:styleId="42">
    <w:name w:val="..正文"/>
    <w:basedOn w:val="1"/>
    <w:qFormat/>
    <w:uiPriority w:val="0"/>
    <w:pPr>
      <w:spacing w:line="520" w:lineRule="exact"/>
      <w:ind w:firstLine="200" w:firstLineChars="200"/>
    </w:pPr>
    <w:rPr>
      <w:kern w:val="0"/>
      <w:sz w:val="24"/>
    </w:rPr>
  </w:style>
  <w:style w:type="paragraph" w:customStyle="1" w:styleId="43">
    <w:name w:val="- 页码 -"/>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44">
    <w:name w:val="_Style 4"/>
    <w:autoRedefine/>
    <w:qFormat/>
    <w:uiPriority w:val="0"/>
    <w:pPr>
      <w:widowControl w:val="0"/>
      <w:ind w:firstLine="200" w:firstLineChars="200"/>
      <w:jc w:val="both"/>
    </w:pPr>
    <w:rPr>
      <w:rFonts w:ascii="Times New Roman" w:hAnsi="Times New Roman" w:eastAsia="宋体" w:cs="Times New Roman"/>
      <w:kern w:val="2"/>
      <w:sz w:val="24"/>
      <w:szCs w:val="21"/>
      <w:lang w:val="en-US" w:eastAsia="zh-CN" w:bidi="ar-SA"/>
    </w:rPr>
  </w:style>
  <w:style w:type="paragraph" w:customStyle="1" w:styleId="45">
    <w:name w:val="正文1"/>
    <w:autoRedefine/>
    <w:qFormat/>
    <w:uiPriority w:val="99"/>
    <w:pPr>
      <w:widowControl w:val="0"/>
      <w:adjustRightInd w:val="0"/>
      <w:spacing w:line="360" w:lineRule="atLeast"/>
    </w:pPr>
    <w:rPr>
      <w:rFonts w:ascii="宋体" w:hAnsi="Times New Roman" w:eastAsia="宋体" w:cs="Times New Roman"/>
      <w:kern w:val="2"/>
      <w:sz w:val="24"/>
      <w:szCs w:val="22"/>
      <w:lang w:val="en-US" w:eastAsia="zh-CN" w:bidi="ar-SA"/>
    </w:rPr>
  </w:style>
  <w:style w:type="paragraph" w:customStyle="1" w:styleId="46">
    <w:name w:val="表格填充项"/>
    <w:basedOn w:val="1"/>
    <w:autoRedefine/>
    <w:qFormat/>
    <w:uiPriority w:val="0"/>
    <w:pPr>
      <w:spacing w:line="240" w:lineRule="atLeast"/>
      <w:jc w:val="center"/>
    </w:pPr>
    <w:rPr>
      <w:rFonts w:ascii="宋体" w:hAnsi="宋体"/>
      <w:b/>
    </w:rPr>
  </w:style>
  <w:style w:type="paragraph" w:styleId="47">
    <w:name w:val="List Paragraph"/>
    <w:basedOn w:val="1"/>
    <w:qFormat/>
    <w:uiPriority w:val="99"/>
    <w:pPr>
      <w:ind w:firstLine="420" w:firstLineChars="200"/>
    </w:pPr>
  </w:style>
  <w:style w:type="paragraph" w:customStyle="1" w:styleId="48">
    <w:name w:val="表格中文字"/>
    <w:basedOn w:val="1"/>
    <w:qFormat/>
    <w:uiPriority w:val="0"/>
    <w:pPr>
      <w:spacing w:line="360" w:lineRule="exact"/>
      <w:ind w:firstLine="0" w:firstLineChars="0"/>
      <w:jc w:val="center"/>
    </w:pPr>
    <w:rPr>
      <w:kern w:val="0"/>
      <w:sz w:val="21"/>
      <w:szCs w:val="21"/>
    </w:rPr>
  </w:style>
  <w:style w:type="paragraph" w:customStyle="1" w:styleId="49">
    <w:name w:val="【表中文字】"/>
    <w:basedOn w:val="1"/>
    <w:autoRedefine/>
    <w:qFormat/>
    <w:uiPriority w:val="0"/>
    <w:pPr>
      <w:adjustRightInd w:val="0"/>
      <w:snapToGrid w:val="0"/>
      <w:spacing w:line="360" w:lineRule="exact"/>
      <w:jc w:val="center"/>
    </w:pPr>
    <w:rPr>
      <w:rFonts w:ascii="Calibri" w:hAnsi="Calibri"/>
      <w:bCs/>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0" Type="http://schemas.openxmlformats.org/officeDocument/2006/relationships/fontTable" Target="fontTable.xml"/><Relationship Id="rId6" Type="http://schemas.openxmlformats.org/officeDocument/2006/relationships/footer" Target="footer4.xml"/><Relationship Id="rId59" Type="http://schemas.openxmlformats.org/officeDocument/2006/relationships/customXml" Target="../customXml/item2.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jpeg"/><Relationship Id="rId4" Type="http://schemas.openxmlformats.org/officeDocument/2006/relationships/footer" Target="footer2.xml"/><Relationship Id="rId39" Type="http://schemas.openxmlformats.org/officeDocument/2006/relationships/image" Target="media/image27.jpeg"/><Relationship Id="rId38" Type="http://schemas.openxmlformats.org/officeDocument/2006/relationships/image" Target="media/image26.png"/><Relationship Id="rId37" Type="http://schemas.openxmlformats.org/officeDocument/2006/relationships/image" Target="media/image25.jpeg"/><Relationship Id="rId36" Type="http://schemas.openxmlformats.org/officeDocument/2006/relationships/image" Target="media/image24.png"/><Relationship Id="rId35" Type="http://schemas.openxmlformats.org/officeDocument/2006/relationships/image" Target="media/image23.jpe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wmf"/><Relationship Id="rId27" Type="http://schemas.openxmlformats.org/officeDocument/2006/relationships/oleObject" Target="embeddings/oleObject2.bin"/><Relationship Id="rId26" Type="http://schemas.openxmlformats.org/officeDocument/2006/relationships/image" Target="media/image15.wmf"/><Relationship Id="rId25" Type="http://schemas.openxmlformats.org/officeDocument/2006/relationships/oleObject" Target="embeddings/oleObject1.bin"/><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extobjs>
    <extobj name="F360BE8B-6686-4F3D-AEAF-501FE73E4058-1">
      <extobjdata type="F360BE8B-6686-4F3D-AEAF-501FE73E4058" data="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"/>
    </extobj>
  </extobjs>
</s:customData>
</file>

<file path=customXml/item2.xml><?xml version="1.0" encoding="utf-8"?>
<contractReview xmlns="http://schemas.wps.cn/vas-ai-hub/contract-review">
  <reviewItems>
    <reviewItem>
      <errorID>c1620b7c-d3c8-4abc-89b5-f2fdb00b6790</errorID>
      <errorWord>分</errorWord>
      <group>L1_AI</group>
      <groupName>深度校对</groupName>
      <ability>L2_AI_Word</ability>
      <abilityName>字词纠错</abilityName>
      <candidateList>
        <item>′</item>
      </candidateList>
      <explain/>
      <paraID>6EFE4AF7</paraID>
      <start>7</start>
      <end>8</end>
      <status>ignored</status>
      <modifiedWord/>
      <trackRevisions>false</trackRevisions>
    </reviewItem>
    <reviewItem>
      <errorID>3df73505-faa0-464d-b380-7377c2cfe89d</errorID>
      <errorWord>秒</errorWord>
      <group>L1_AI</group>
      <groupName>深度校对</groupName>
      <ability>L2_AI_Word</ability>
      <abilityName>字词纠错</abilityName>
      <candidateList>
        <item>″</item>
      </candidateList>
      <explain/>
      <paraID>6EFE4AF7</paraID>
      <start>14</start>
      <end>15</end>
      <status>ignored</status>
      <modifiedWord/>
      <trackRevisions>false</trackRevisions>
    </reviewItem>
    <reviewItem>
      <errorID>0a3764c1-f6fb-444f-a299-ba68c88addb8</errorID>
      <errorWord>分</errorWord>
      <group>L1_AI</group>
      <groupName>深度校对</groupName>
      <ability>L2_AI_Word</ability>
      <abilityName>字词纠错</abilityName>
      <candidateList>
        <item>′</item>
      </candidateList>
      <explain/>
      <paraID>6EFE4AF7</paraID>
      <start>21</start>
      <end>22</end>
      <status>ignored</status>
      <modifiedWord/>
      <trackRevisions>false</trackRevisions>
    </reviewItem>
    <reviewItem>
      <errorID>3904b624-4216-431f-9175-eb58f8d0fd8b</errorID>
      <errorWord>秒</errorWord>
      <group>L1_AI</group>
      <groupName>深度校对</groupName>
      <ability>L2_AI_Word</ability>
      <abilityName>字词纠错</abilityName>
      <candidateList>
        <item>″</item>
      </candidateList>
      <explain/>
      <paraID>6EFE4AF7</paraID>
      <start>28</start>
      <end>29</end>
      <status>ignored</status>
      <modifiedWord/>
      <trackRevisions>false</trackRevisions>
    </reviewItem>
    <reviewItem>
      <errorID>32d54e8a-d19f-437e-a3bf-07c73a10593f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3246A774</paraID>
      <start>0</start>
      <end>2</end>
      <status>ignored</status>
      <modifiedWord/>
      <trackRevisions>false</trackRevisions>
    </reviewItem>
    <reviewItem>
      <errorID>260525a9-d2af-40af-89fe-80029d2c808a</errorID>
      <errorWord>四、煤炭开采和洗选</errorWord>
      <group>L1_AI</group>
      <groupName>深度校对</groupName>
      <ability>L2_AI_Punc</ability>
      <abilityName>标点纠错</abilityName>
      <candidateList>
        <item>“四、煤炭开采和洗选”</item>
      </candidateList>
      <explain/>
      <paraID>1A069CC5</paraID>
      <start>28</start>
      <end>39</end>
      <status>modified</status>
      <modifiedWord>“四、煤炭开采和洗选”</modifiedWord>
      <trackRevisions>false</trackRevisions>
    </reviewItem>
    <reviewItem>
      <errorID>20693b17-c4ed-4491-b1bf-dc14b68e6f81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17862E9</paraID>
      <start>0</start>
      <end>2</end>
      <status>ignored</status>
      <modifiedWord/>
      <trackRevisions>false</trackRevisions>
    </reviewItem>
    <reviewItem>
      <errorID>e83144a3-54f7-4b91-8296-96a387b3b42a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61F0AF27</paraID>
      <start>0</start>
      <end>2</end>
      <status>ignored</status>
      <modifiedWord/>
      <trackRevisions>false</trackRevisions>
    </reviewItem>
    <reviewItem>
      <errorID>99d68c67-d236-48e0-8b05-ab3d1494926e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5F59A4C8</paraID>
      <start>0</start>
      <end>2</end>
      <status>ignored</status>
      <modifiedWord/>
      <trackRevisions>false</trackRevisions>
    </reviewItem>
    <reviewItem>
      <errorID>0f57ac14-6f46-4a16-887d-2f68d3fa5c82</errorID>
      <errorWord>组织限制排放</errorWord>
      <group>L1_Word</group>
      <groupName>字词问题</groupName>
      <ability>L2_Typo</ability>
      <abilityName>字词错误</abilityName>
      <candidateList>
        <item>公约限制排放</item>
      </candidateList>
      <explain/>
      <paraID>14A3FDF4</paraID>
      <start>89</start>
      <end>95</end>
      <status>ignored</status>
      <modifiedWord/>
      <trackRevisions>false</trackRevisions>
    </reviewItem>
    <reviewItem>
      <errorID>b1eb1a5d-13bc-4bba-81f2-ff89a2c5194b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41732AC3</paraID>
      <start>0</start>
      <end>2</end>
      <status>ignored</status>
      <modifiedWord/>
      <trackRevisions>false</trackRevisions>
    </reviewItem>
    <reviewItem>
      <errorID>8bb00578-ee6c-4abe-bf40-bcd638c50e3d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43B2AA55</paraID>
      <start>0</start>
      <end>2</end>
      <status>ignored</status>
      <modifiedWord/>
      <trackRevisions>false</trackRevisions>
    </reviewItem>
    <reviewItem>
      <errorID>dc9aa726-40cb-4c50-a576-9ae1d4e59f14</errorID>
      <errorWord>上线</errorWord>
      <group>L1_Word</group>
      <groupName>字词问题</groupName>
      <ability>L2_Typo</ability>
      <abilityName>字词错误</abilityName>
      <candidateList>
        <item>上限</item>
      </candidateList>
      <explain/>
      <paraID>26A8FAAB</paraID>
      <start>77</start>
      <end>79</end>
      <status>ignored</status>
      <modifiedWord/>
      <trackRevisions>false</trackRevisions>
    </reviewItem>
    <reviewItem>
      <errorID>9e98bd79-c036-455b-b767-6c84ff0505c3</errorID>
      <errorWord>城乡结合部</errorWord>
      <group>L1_Knowledge</group>
      <groupName>知识性问题</groupName>
      <ability>L2_Knowledge</ability>
      <abilityName>其他知识</abilityName>
      <candidateList>
        <item>城乡接合部</item>
      </candidateList>
      <explain/>
      <paraID>22C405DE</paraID>
      <start>73</start>
      <end>78</end>
      <status>ignored</status>
      <modifiedWord/>
      <trackRevisions>false</trackRevisions>
    </reviewItem>
    <reviewItem>
      <errorID>ae1ccdb1-370f-4037-968b-b8dbed0ff28d</errorID>
      <errorWord>:</errorWord>
      <group>L1_Format</group>
      <groupName>格式问题</groupName>
      <ability>L2_HalfPunc</ability>
      <abilityName>全半角检查</abilityName>
      <candidateList>
        <item>：</item>
      </candidateList>
      <explain>文本全半角错误。</explain>
      <paraID>5B3279B3</paraID>
      <start>6</start>
      <end>7</end>
      <status>ignored</status>
      <modifiedWord/>
      <trackRevisions>false</trackRevisions>
    </reviewItem>
    <reviewItem>
      <errorID>9020bd60-35e3-4ebc-877e-2676037b82b0</errorID>
      <errorWord>:</errorWord>
      <group>L1_Format</group>
      <groupName>格式问题</groupName>
      <ability>L2_HalfPunc</ability>
      <abilityName>全半角检查</abilityName>
      <candidateList>
        <item>：</item>
      </candidateList>
      <explain>文本全半角错误。</explain>
      <paraID>5B3279B3</paraID>
      <start>107</start>
      <end>108</end>
      <status>ignored</status>
      <modifiedWord/>
      <trackRevisions>false</trackRevisions>
    </reviewItem>
    <reviewItem>
      <errorID>58d31445-3a80-40d9-b014-b8913e7ec0bc</errorID>
      <errorWord>:</errorWord>
      <group>L1_Format</group>
      <groupName>格式问题</groupName>
      <ability>L2_HalfPunc</ability>
      <abilityName>全半角检查</abilityName>
      <candidateList>
        <item>：</item>
      </candidateList>
      <explain>文本全半角错误。</explain>
      <paraID>5B3279B3</paraID>
      <start>233</start>
      <end>234</end>
      <status>ignored</status>
      <modifiedWord/>
      <trackRevisions>false</trackRevisions>
    </reviewItem>
    <reviewItem>
      <errorID>fe0b9edb-d4b5-4a71-87a9-937ababb822b</errorID>
      <errorWord>数据交集</errorWord>
      <group>L1_Knowledge</group>
      <groupName>知识性问题</groupName>
      <ability>L2_Term</ability>
      <abilityName>专业术语</abilityName>
      <candidateList>
        <item>数据采集</item>
      </candidateList>
      <explain/>
      <paraID>44C6DA80</paraID>
      <start>12</start>
      <end>16</end>
      <status>ignored</status>
      <modifiedWord/>
      <trackRevisions>false</trackRevisions>
    </reviewItem>
    <reviewItem>
      <errorID>e3a616c6-7224-4b9f-8829-642d1407fb7e</errorID>
      <errorWord>交集</errorWord>
      <group>L1_Word</group>
      <groupName>字词问题</groupName>
      <ability>L2_Typo</ability>
      <abilityName>字词错误</abilityName>
      <candidateList>
        <item>交接</item>
      </candidateList>
      <explain/>
      <paraID>31366073</paraID>
      <start>50</start>
      <end>52</end>
      <status>ignored</status>
      <modifiedWord/>
      <trackRevisions>false</trackRevisions>
    </reviewItem>
    <reviewItem>
      <errorID>bb8cd1f4-d464-44bc-9bb9-ce0c94ed78bc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388E44C8</paraID>
      <start>0</start>
      <end>2</end>
      <status>ignored</status>
      <modifiedWord/>
      <trackRevisions>false</trackRevisions>
    </reviewItem>
    <reviewItem>
      <errorID>dc786840-0818-4447-94bd-2bd3ffebd720</errorID>
      <errorWord>煤厂</errorWord>
      <group>L1_Word</group>
      <groupName>字词问题</groupName>
      <ability>L2_Typo</ability>
      <abilityName>字词错误</abilityName>
      <candidateList>
        <item>煤场</item>
      </candidateList>
      <explain>存在发音相同字词的误用。</explain>
      <paraID>7A037382</paraID>
      <start>1</start>
      <end>3</end>
      <status>ignored</status>
      <modifiedWord/>
      <trackRevisions>false</trackRevisions>
    </reviewItem>
    <reviewItem>
      <errorID>b5d3daa6-c794-40fd-a58e-cf359211b1d8</errorID>
      <errorWord>储煤厂</errorWord>
      <group>L1_Word</group>
      <groupName>字词问题</groupName>
      <ability>L2_Typo</ability>
      <abilityName>字词错误</abilityName>
      <candidateList>
        <item>储煤场</item>
      </candidateList>
      <explain/>
      <paraID>35BAAFD7</paraID>
      <start>0</start>
      <end>3</end>
      <status>ignored</status>
      <modifiedWord/>
      <trackRevisions>false</trackRevisions>
    </reviewItem>
    <reviewItem>
      <errorID>f8524179-e327-4c8c-9a2e-c3eeec6f878f</errorID>
      <errorWord>储煤厂</errorWord>
      <group>L1_Word</group>
      <groupName>字词问题</groupName>
      <ability>L2_Typo</ability>
      <abilityName>字词错误</abilityName>
      <candidateList>
        <item>储煤场</item>
      </candidateList>
      <explain/>
      <paraID>7EEFD97F</paraID>
      <start>0</start>
      <end>3</end>
      <status>ignored</status>
      <modifiedWord/>
      <trackRevisions>false</trackRevisions>
    </reviewItem>
    <reviewItem>
      <errorID>b00d1d13-66e7-447a-b1c8-c8e683aba034</errorID>
      <errorWord>设</errorWord>
      <group>L1_Word</group>
      <groupName>字词问题</groupName>
      <ability>L2_Typo</ability>
      <abilityName>字词错误</abilityName>
      <candidateList>
        <item>设立</item>
      </candidateList>
      <explain/>
      <paraID>73ECBC27</paraID>
      <start>5</start>
      <end>7</end>
      <status>modified</status>
      <modifiedWord>设立</modifiedWord>
      <trackRevisions>false</trackRevisions>
    </reviewItem>
    <reviewItem>
      <errorID>1713925f-d2cc-4edb-b0dd-25cde9736638</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E3C2304</paraID>
      <start>0</start>
      <end>2</end>
      <status>ignored</status>
      <modifiedWord/>
      <trackRevisions>false</trackRevisions>
    </reviewItem>
    <reviewItem>
      <errorID>d563b87a-f51d-46d2-99f7-5ee240f75f6d</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7485D5FF</paraID>
      <start>0</start>
      <end>2</end>
      <status>ignored</status>
      <modifiedWord/>
      <trackRevisions>false</trackRevisions>
    </reviewItem>
    <reviewItem>
      <errorID>249c1738-6e45-490b-a585-4258536ffa3e</errorID>
      <errorWord>黑龙江省大气污染防治条例</errorWord>
      <group>L1_Knowledge</group>
      <groupName>知识性问题</groupName>
      <ability>L2_Knowledge</ability>
      <abilityName>其他知识</abilityName>
      <candidateList>
        <item>《黑龙江省大气污染防治条例》</item>
      </candidateList>
      <explain>完整法律法规名称需要加书名号，请注意检查。</explain>
      <paraID>48A35082</paraID>
      <start>0</start>
      <end>14</end>
      <status>modified</status>
      <modifiedWord>《黑龙江省大气污染防治条例》</modifiedWord>
      <trackRevisions>false</trackRevisions>
    </reviewItem>
    <reviewItem>
      <errorID>9d747edc-905b-4bde-a94a-6272d253aeef</errorID>
      <errorWord>；</errorWord>
      <group>L1_Word</group>
      <groupName>字词问题</groupName>
      <ability>L2_Typo</ability>
      <abilityName>字词错误</abilityName>
      <candidateList>
        <item>；对</item>
      </candidateList>
      <explain/>
      <paraID>329CE84B</paraID>
      <start>104</start>
      <end>106</end>
      <status>modified</status>
      <modifiedWord>；对</modifiedWord>
      <trackRevisions>false</trackRevisions>
    </reviewItem>
    <reviewItem>
      <errorID>e64b5512-ed80-474e-b7e0-3352f0b8885d</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77C89439</paraID>
      <start>0</start>
      <end>2</end>
      <status>ignored</status>
      <modifiedWord/>
      <trackRevisions>false</trackRevisions>
    </reviewItem>
    <reviewItem>
      <errorID>d2029b76-7b41-4dba-9af1-105cfbb65758</errorID>
      <errorWord>城乡结合部</errorWord>
      <group>L1_Knowledge</group>
      <groupName>知识性问题</groupName>
      <ability>L2_Knowledge</ability>
      <abilityName>其他知识</abilityName>
      <candidateList>
        <item>城乡接合部</item>
      </candidateList>
      <explain/>
      <paraID> E833763</paraID>
      <start>89</start>
      <end>94</end>
      <status>ignored</status>
      <modifiedWord/>
      <trackRevisions>false</trackRevisions>
    </reviewItem>
    <reviewItem>
      <errorID>0947e43e-85f0-4902-aebc-00d97a00ac2f</errorID>
      <errorWord>，</errorWord>
      <group>L1_Word</group>
      <groupName>字词问题</groupName>
      <ability>L2_Typo</ability>
      <abilityName>字词错误</abilityName>
      <candidateList>
        <item>，对</item>
      </candidateList>
      <explain/>
      <paraID> E833763</paraID>
      <start>105</start>
      <end>106</end>
      <status>ignored</status>
      <modifiedWord/>
      <trackRevisions>false</trackRevisions>
    </reviewItem>
    <reviewItem>
      <errorID>98dbc227-c0d3-4220-a186-c1952ed74193</errorID>
      <errorWord>，</errorWord>
      <group>L1_Word</group>
      <groupName>字词问题</groupName>
      <ability>L2_Typo</ability>
      <abilityName>字词错误</abilityName>
      <candidateList>
        <item>，对</item>
      </candidateList>
      <explain/>
      <paraID>3E475CE0</paraID>
      <start>148</start>
      <end>149</end>
      <status>ignored</status>
      <modifiedWord/>
      <trackRevisions>false</trackRevisions>
    </reviewItem>
    <reviewItem>
      <errorID>762673b0-9304-4e2e-a2cd-4d61fb7ba181</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6BD40CFB</paraID>
      <start>0</start>
      <end>2</end>
      <status>ignored</status>
      <modifiedWord/>
      <trackRevisions>false</trackRevisions>
    </reviewItem>
    <reviewItem>
      <errorID>342559b3-9db9-4938-9a17-8455be39bf95</errorID>
      <errorWord>城乡结合部</errorWord>
      <group>L1_Knowledge</group>
      <groupName>知识性问题</groupName>
      <ability>L2_Knowledge</ability>
      <abilityName>其他知识</abilityName>
      <candidateList>
        <item>城乡接合部</item>
      </candidateList>
      <explain/>
      <paraID>1340EA70</paraID>
      <start>88</start>
      <end>93</end>
      <status>ignored</status>
      <modifiedWord/>
      <trackRevisions>false</trackRevisions>
    </reviewItem>
    <reviewItem>
      <errorID>3c201a72-d534-49d9-9da1-1eb689355822</errorID>
      <errorWord>，</errorWord>
      <group>L1_Word</group>
      <groupName>字词问题</groupName>
      <ability>L2_Typo</ability>
      <abilityName>字词错误</abilityName>
      <candidateList>
        <item>，对</item>
      </candidateList>
      <explain/>
      <paraID>1340EA70</paraID>
      <start>104</start>
      <end>105</end>
      <status>ignored</status>
      <modifiedWord/>
      <trackRevisions>false</trackRevisions>
    </reviewItem>
    <reviewItem>
      <errorID>a175c34f-f6a1-43fd-bee6-bfff5294a962</errorID>
      <errorWord>；</errorWord>
      <group>L1_Word</group>
      <groupName>字词问题</groupName>
      <ability>L2_Typo</ability>
      <abilityName>字词错误</abilityName>
      <candidateList>
        <item>；对</item>
      </candidateList>
      <explain/>
      <paraID> 30DB332</paraID>
      <start>105</start>
      <end>106</end>
      <status>ignored</status>
      <modifiedWord/>
      <trackRevisions>false</trackRevisions>
    </reviewItem>
    <reviewItem>
      <errorID>1b8614ec-0b69-432a-a53a-bc20acef73cf</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4849DC48</paraID>
      <start>0</start>
      <end>3</end>
      <status>ignored</status>
      <modifiedWord/>
      <trackRevisions>false</trackRevisions>
    </reviewItem>
    <reviewItem>
      <errorID>bc520085-b752-4ef6-9e0b-ac8ee0b7dfa8</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6D94FD6B</paraID>
      <start>0</start>
      <end>3</end>
      <status>ignored</status>
      <modifiedWord/>
      <trackRevisions>false</trackRevisions>
    </reviewItem>
    <reviewItem>
      <errorID>512ecbce-d674-40fb-a977-f7ddca456145</errorID>
      <errorWord>遏止</errorWord>
      <group>L1_Word</group>
      <groupName>字词问题</groupName>
      <ability>L2_Typo</ability>
      <abilityName>字词错误</abilityName>
      <candidateList>
        <item>遏制</item>
      </candidateList>
      <explain>〈动〉制止；控制：～对方的攻势｜～不住的激情。</explain>
      <paraID>10F04E6C</paraID>
      <start>215</start>
      <end>217</end>
      <status>ignored</status>
      <modifiedWord/>
      <trackRevisions>false</trackRevisions>
    </reviewItem>
    <reviewItem>
      <errorID>d91e577e-8b89-45fc-9cc4-ca4d1a36d086</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3AF9AC61</paraID>
      <start>0</start>
      <end>3</end>
      <status>ignored</status>
      <modifiedWord/>
      <trackRevisions>false</trackRevisions>
    </reviewItem>
    <reviewItem>
      <errorID>6ac2af99-d8cc-4fca-b252-f160db55c5d9</errorID>
      <errorWord>13、</errorWord>
      <group>L1_Format</group>
      <groupName>格式问题</groupName>
      <ability>L2_Ordinal</ability>
      <abilityName>序号格式</abilityName>
      <candidateList>
        <item>13.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2D463E72</paraID>
      <start>0</start>
      <end>3</end>
      <status>ignored</status>
      <modifiedWord/>
      <trackRevisions>false</trackRevisions>
    </reviewItem>
    <reviewItem>
      <errorID>1b2cc1b5-00cf-4682-ba9a-d9c8a6ba2323</errorID>
      <errorWord>14、</errorWord>
      <group>L1_Format</group>
      <groupName>格式问题</groupName>
      <ability>L2_Ordinal</ability>
      <abilityName>序号格式</abilityName>
      <candidateList>
        <item>14.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12C9BBC</paraID>
      <start>0</start>
      <end>3</end>
      <status>ignored</status>
      <modifiedWord/>
      <trackRevisions>false</trackRevisions>
    </reviewItem>
    <reviewItem>
      <errorID>efad4cbd-5cde-4a6d-8d13-23c0f28069f5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27530700</paraID>
      <start>0</start>
      <end>2</end>
      <status>ignored</status>
      <modifiedWord/>
      <trackRevisions>false</trackRevisions>
    </reviewItem>
    <reviewItem>
      <errorID>20bc6fe5-4ac1-4403-8820-bcfc0012e1e2</errorID>
      <errorWord>平</errorWord>
      <group>L1_Word</group>
      <groupName>字词问题</groupName>
      <ability>L2_Typo</ability>
      <abilityName>字词错误</abilityName>
      <candidateList>
        <item>平方</item>
      </candidateList>
      <explain/>
      <paraID>4571B55F</paraID>
      <start>49</start>
      <end>51</end>
      <status>modified</status>
      <modifiedWord>平方</modifiedWord>
      <trackRevisions>false</trackRevisions>
    </reviewItem>
    <reviewItem>
      <errorID>3779856f-c6f8-4c18-aaf3-9243d50ca660</errorID>
      <errorWord>,</errorWord>
      <group>L1_Format</group>
      <groupName>格式问题</groupName>
      <ability>L2_HalfPunc</ability>
      <abilityName>全半角检查</abilityName>
      <candidateList>
        <item>，</item>
      </candidateList>
      <explain>文本全半角错误。</explain>
      <paraID>5B2C8189</paraID>
      <start>44</start>
      <end>45</end>
      <status>modified</status>
      <modifiedWord>，</modifiedWord>
      <trackRevisions>false</trackRevisions>
    </reviewItem>
    <reviewItem>
      <errorID>187112c0-3ab4-4a07-a394-49389d35c56d</errorID>
      <errorWord>座</errorWord>
      <group>L1_Knowledge</group>
      <groupName>知识性问题</groupName>
      <ability>L2_Knowledge</ability>
      <abilityName>其他知识</abilityName>
      <candidateList>
        <item>间</item>
      </candidateList>
      <explain>请检查“座”是否为量词使用错误，建议修改为“间”。</explain>
      <paraID>4C44D966</paraID>
      <start>6</start>
      <end>7</end>
      <status>modified</status>
      <modifiedWord>间</modifiedWord>
      <trackRevisions>false</trackRevisions>
    </reviewItem>
    <reviewItem>
      <errorID>43170fc4-db2e-4a18-9014-3c37cd34a04f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1FD5D4E4</paraID>
      <start>110</start>
      <end>111</end>
      <status>ignored</status>
      <modifiedWord/>
      <trackRevisions>false</trackRevisions>
    </reviewItem>
    <reviewItem>
      <errorID>2a17ba72-2acd-4ae6-ba85-3b48914381c8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1FD5D4E4</paraID>
      <start>147</start>
      <end>148</end>
      <status>ignored</status>
      <modifiedWord/>
      <trackRevisions>false</trackRevisions>
    </reviewItem>
    <reviewItem>
      <errorID>747fe3c4-f650-48e8-878a-a55e764bec3b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424EC718</paraID>
      <start>0</start>
      <end>2</end>
      <status>ignored</status>
      <modifiedWord/>
      <trackRevisions>false</trackRevisions>
    </reviewItem>
    <reviewItem>
      <errorID>939a0826-7b15-46a2-b082-12478295ec9d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FD2A75B</paraID>
      <start>0</start>
      <end>2</end>
      <status>ignored</status>
      <modifiedWord/>
      <trackRevisions>false</trackRevisions>
    </reviewItem>
    <reviewItem>
      <errorID>0d82e4ef-7237-4ea8-9c1a-4db52b56fa56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76123F48</paraID>
      <start>0</start>
      <end>2</end>
      <status>ignored</status>
      <modifiedWord/>
      <trackRevisions>false</trackRevisions>
    </reviewItem>
    <reviewItem>
      <errorID>09465242-0470-4c39-8c73-09b8cd0e41f1</errorID>
      <errorWord>~</errorWord>
      <group>L1_Format</group>
      <groupName>格式问题</groupName>
      <ability>L2_HalfPunc</ability>
      <abilityName>全半角检查</abilityName>
      <candidateList>
        <item>～</item>
      </candidateList>
      <explain>文本全半角错误。</explain>
      <paraID>471326A0</paraID>
      <start>65</start>
      <end>66</end>
      <status>modified</status>
      <modifiedWord>～</modifiedWord>
      <trackRevisions>false</trackRevisions>
    </reviewItem>
    <reviewItem>
      <errorID>bcf64695-dd01-4362-b70c-5a4e7fcfb8aa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CB17A9C</paraID>
      <start>37</start>
      <end>38</end>
      <status>modified</status>
      <modifiedWord>—</modifiedWord>
      <trackRevisions>false</trackRevisions>
    </reviewItem>
    <reviewItem>
      <errorID>cd8abfee-db2d-4d9e-b240-a9492a2c6b04</errorID>
      <errorWord>，，</errorWord>
      <group>L1_Punc</group>
      <groupName>标点问题</groupName>
      <ability>L2_Punc</ability>
      <abilityName>标点符号检查</abilityName>
      <candidateList>
        <item>，</item>
      </candidateList>
      <explain/>
      <paraID>6D87CB64</paraID>
      <start>105</start>
      <end>106</end>
      <status>modified</status>
      <modifiedWord>，</modifiedWord>
      <trackRevisions>false</trackRevisions>
    </reviewItem>
    <reviewItem>
      <errorID>293bf926-9f09-46a0-ae22-dccfbd9e63cc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18312621</paraID>
      <start>0</start>
      <end>2</end>
      <status>ignored</status>
      <modifiedWord/>
      <trackRevisions>false</trackRevisions>
    </reviewItem>
    <reviewItem>
      <errorID>adbf17aa-fff6-4d79-b508-5e41684914d1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2603D3E</paraID>
      <start>0</start>
      <end>2</end>
      <status>ignored</status>
      <modifiedWord/>
      <trackRevisions>false</trackRevisions>
    </reviewItem>
    <reviewItem>
      <errorID>3ad7e9e2-5bda-47e8-bb5f-5ea4f16b99fa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4DB80C5D</paraID>
      <start>0</start>
      <end>2</end>
      <status>ignored</status>
      <modifiedWord/>
      <trackRevisions>false</trackRevisions>
    </reviewItem>
    <reviewItem>
      <errorID>ed44023a-9e23-4079-bd55-662cb8ee8452</errorID>
      <errorWord>程</errorWord>
      <group>L1_Word</group>
      <groupName>字词问题</groupName>
      <ability>L2_Typo</ability>
      <abilityName>字词错误</abilityName>
      <candidateList>
        <item>程中</item>
      </candidateList>
      <explain/>
      <paraID>3F5F5FD2</paraID>
      <start>51</start>
      <end>53</end>
      <status>modified</status>
      <modifiedWord>程中</modifiedWord>
      <trackRevisions>false</trackRevisions>
    </reviewItem>
    <reviewItem>
      <errorID>4012140f-e564-4651-a896-b4c5707a737b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44DEBAED</paraID>
      <start>0</start>
      <end>2</end>
      <status>ignored</status>
      <modifiedWord/>
      <trackRevisions>false</trackRevisions>
    </reviewItem>
    <reviewItem>
      <errorID>6393832b-9937-4ca4-9a94-3bf8ea22e414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679CD997</paraID>
      <start>0</start>
      <end>2</end>
      <status>ignored</status>
      <modifiedWord/>
      <trackRevisions>false</trackRevisions>
    </reviewItem>
    <reviewItem>
      <errorID>36d50701-bdea-4e48-81ed-6117840df3b8</errorID>
      <errorWord>达</errorWord>
      <group>L1_Word</group>
      <groupName>字词问题</groupName>
      <ability>L2_Typo</ability>
      <abilityName>字词错误</abilityName>
      <candidateList>
        <item>达到</item>
      </candidateList>
      <explain>〈动〉到（多指抽象事物或程度）：达得到｜达不到｜目的没有～｜～国际水平。</explain>
      <paraID>2E738769</paraID>
      <start>39</start>
      <end>41</end>
      <status>modified</status>
      <modifiedWord>达到</modifiedWord>
      <trackRevisions>false</trackRevisions>
    </reviewItem>
    <reviewItem>
      <errorID>a85e3917-1c3b-4cb0-b905-40ff4aba4f77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547738AB</paraID>
      <start>14</start>
      <end>15</end>
      <status>modified</status>
      <modifiedWord>—</modifiedWord>
      <trackRevisions>false</trackRevisions>
    </reviewItem>
    <reviewItem>
      <errorID>f144b075-7581-4747-a6f2-117fc1f1cc40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7D95559F</paraID>
      <start>0</start>
      <end>2</end>
      <status>ignored</status>
      <modifiedWord/>
      <trackRevisions>false</trackRevisions>
    </reviewItem>
    <reviewItem>
      <errorID>322835e0-4a96-486c-941d-ca891112b254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1B775869</paraID>
      <start>21</start>
      <end>22</end>
      <status>modified</status>
      <modifiedWord>—</modifiedWord>
      <trackRevisions>false</trackRevisions>
    </reviewItem>
    <reviewItem>
      <errorID>ff150170-a7d7-4c66-bbc0-5655a010db8a</errorID>
      <errorWord>-</errorWord>
      <group>L1_Format</group>
      <groupName>格式问题</groupName>
      <ability>L2_HalfPunc</ability>
      <abilityName>全半角检查</abilityName>
      <candidateList>
        <item>－</item>
      </candidateList>
      <explain>文本全半角错误。</explain>
      <paraID>1B775869</paraID>
      <start>122</start>
      <end>123</end>
      <status>modified</status>
      <modifiedWord>－</modifiedWord>
      <trackRevisions>false</trackRevisions>
    </reviewItem>
    <reviewItem>
      <errorID>ddae2ec3-ef49-4140-8e5e-5d9653558546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1D4D0593</paraID>
      <start>0</start>
      <end>2</end>
      <status>ignored</status>
      <modifiedWord/>
      <trackRevisions>false</trackRevisions>
    </reviewItem>
    <reviewItem>
      <errorID>0404f12f-023a-4ea4-b0ac-633ef2ae0109</errorID>
      <errorWord>制标</errorWord>
      <group>L1_Word</group>
      <groupName>字词问题</groupName>
      <ability>L2_Typo</ability>
      <abilityName>字词错误</abilityName>
      <candidateList>
        <item>指标</item>
      </candidateList>
      <explain>存在发音相同字词的误用。</explain>
      <paraID>3654AC37</paraID>
      <start>0</start>
      <end>2</end>
      <status>modified</status>
      <modifiedWord>指标</modifiedWord>
      <trackRevisions>false</trackRevisions>
    </reviewItem>
    <reviewItem>
      <errorID>ebf9eb69-ec82-4c8c-894f-481739c7f8ac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5B03B1B6</paraID>
      <start>0</start>
      <end>2</end>
      <status>ignored</status>
      <modifiedWord/>
      <trackRevisions>false</trackRevisions>
    </reviewItem>
    <reviewItem>
      <errorID>f636daa2-5eca-4f34-804b-d106f5e5b238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789955CA</paraID>
      <start>0</start>
      <end>2</end>
      <status>ignored</status>
      <modifiedWord/>
      <trackRevisions>false</trackRevisions>
    </reviewItem>
    <reviewItem>
      <errorID>ddd598a7-76dd-42fa-8222-5655eb772d38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4E7BAC52</paraID>
      <start>0</start>
      <end>2</end>
      <status>ignored</status>
      <modifiedWord/>
      <trackRevisions>false</trackRevisions>
    </reviewItem>
    <reviewItem>
      <errorID>c9e1db03-e2c7-43f6-a732-18e9284e41b3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56D6E206</paraID>
      <start>0</start>
      <end>2</end>
      <status>ignored</status>
      <modifiedWord/>
      <trackRevisions>false</trackRevisions>
    </reviewItem>
    <reviewItem>
      <errorID>c1495b6f-3755-4ce8-a366-8161e8b8079a</errorID>
      <errorWord>；</errorWord>
      <group>L1_Word</group>
      <groupName>字词问题</groupName>
      <ability>L2_Typo</ability>
      <abilityName>字词错误</abilityName>
      <candidateList>
        <item>；对</item>
      </candidateList>
      <explain/>
      <paraID>6DA4E695</paraID>
      <start>44</start>
      <end>46</end>
      <status>modified</status>
      <modifiedWord>；对</modifiedWord>
      <trackRevisions>false</trackRevisions>
    </reviewItem>
    <reviewItem>
      <errorID>a168cbe7-cfdb-4dbd-a8d3-847c8f32d2df</errorID>
      <errorWord>期</errorWord>
      <group>L1_Word</group>
      <groupName>字词问题</groupName>
      <ability>L2_Typo</ability>
      <abilityName>字词错误</abilityName>
      <candidateList>
        <item>期间</item>
      </candidateList>
      <explain>〈名〉某个时期里面：农忙～｜春节～｜抗战～。</explain>
      <paraID>1021233D</paraID>
      <start>132</start>
      <end>134</end>
      <status>modified</status>
      <modifiedWord>期间</modifiedWord>
      <trackRevisions>false</trackRevisions>
    </reviewItem>
    <reviewItem>
      <errorID>0781f895-3314-4dbd-a9b2-ebcdfc99df1a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66DE102E</paraID>
      <start>0</start>
      <end>2</end>
      <status>ignored</status>
      <modifiedWord/>
      <trackRevisions>false</trackRevisions>
    </reviewItem>
    <reviewItem>
      <errorID>46a6434f-7989-4293-9d5a-6c974607b44f</errorID>
      <errorWord>程</errorWord>
      <group>L1_Word</group>
      <groupName>字词问题</groupName>
      <ability>L2_Typo</ability>
      <abilityName>字词错误</abilityName>
      <candidateList>
        <item>程中</item>
      </candidateList>
      <explain/>
      <paraID>5EA51565</paraID>
      <start>43</start>
      <end>45</end>
      <status>modified</status>
      <modifiedWord>程中</modifiedWord>
      <trackRevisions>false</trackRevisions>
    </reviewItem>
    <reviewItem>
      <errorID>ce94ce51-39c3-4bb1-851f-dec8cc36a9fa</errorID>
      <errorWord>废气污染物</errorWord>
      <group>L1_Knowledge</group>
      <groupName>知识性问题</groupName>
      <ability>L2_Term</ability>
      <abilityName>专业术语</abilityName>
      <candidateList>
        <item>空气污染物</item>
      </candidateList>
      <explain/>
      <paraID>5EA51565</paraID>
      <start>82</start>
      <end>87</end>
      <status>ignored</status>
      <modifiedWord/>
      <trackRevisions>false</trackRevisions>
    </reviewItem>
    <reviewItem>
      <errorID>d3a77919-bd5a-42f3-a956-9feb65d7d218</errorID>
      <errorWord>《扬尘源颗粒物排放清单编制技术指南》（试行）</errorWord>
      <group>L1_Knowledge</group>
      <groupName>知识性问题</groupName>
      <ability>L2_Knowledge</ability>
      <abilityName>其他知识</abilityName>
      <candidateList>
        <item>《扬尘源颗粒物排放清单编制技术指南（试行）》</item>
      </candidateList>
      <explain>疑似政策文件、法律法规名称等书写不规范，请注意检查。</explain>
      <paraID>6B7E9E37</paraID>
      <start>2</start>
      <end>24</end>
      <status>modified</status>
      <modifiedWord>《扬尘源颗粒物排放清单编制技术指南（试行）》</modifiedWord>
      <trackRevisions>false</trackRevisions>
    </reviewItem>
    <reviewItem>
      <errorID>e738f84d-bfa1-46de-9671-7929ac8a0779</errorID>
      <errorWord>《扬尘源颗粒物排放清单编制技术指南》（试行）</errorWord>
      <group>L1_Knowledge</group>
      <groupName>知识性问题</groupName>
      <ability>L2_Knowledge</ability>
      <abilityName>其他知识</abilityName>
      <candidateList>
        <item>《扬尘源颗粒物排放清单编制技术指南（试行）》</item>
      </candidateList>
      <explain>疑似政策文件、法律法规名称等书写不规范，请注意检查。</explain>
      <paraID>6F7B46D1</paraID>
      <start>13</start>
      <end>35</end>
      <status>modified</status>
      <modifiedWord>《扬尘源颗粒物排放清单编制技术指南（试行）》</modifiedWord>
      <trackRevisions>false</trackRevisions>
    </reviewItem>
    <reviewItem>
      <errorID>78e188c1-0d50-4106-9888-6fe881c1bfce</errorID>
      <errorWord>《扬尘源颗粒物排放清单编制技术指南》（试行）</errorWord>
      <group>L1_Knowledge</group>
      <groupName>知识性问题</groupName>
      <ability>L2_Knowledge</ability>
      <abilityName>其他知识</abilityName>
      <candidateList>
        <item>《扬尘源颗粒物排放清单编制技术指南（试行）》</item>
      </candidateList>
      <explain>疑似政策文件、法律法规名称等书写不规范，请注意检查。</explain>
      <paraID>674576AA</paraID>
      <start>12</start>
      <end>34</end>
      <status>modified</status>
      <modifiedWord>《扬尘源颗粒物排放清单编制技术指南（试行）》</modifiedWord>
      <trackRevisions>false</trackRevisions>
    </reviewItem>
    <reviewItem>
      <errorID>5bea608c-3077-4e8e-9475-e2011532d231</errorID>
      <errorWord>《扬尘源颗粒物排放清单编制技术指南》（试行）</errorWord>
      <group>L1_Knowledge</group>
      <groupName>知识性问题</groupName>
      <ability>L2_Knowledge</ability>
      <abilityName>其他知识</abilityName>
      <candidateList>
        <item>《扬尘源颗粒物排放清单编制技术指南（试行）》</item>
      </candidateList>
      <explain>疑似政策文件、法律法规名称等书写不规范，请注意检查。</explain>
      <paraID>625BA8D2</paraID>
      <start>19</start>
      <end>41</end>
      <status>modified</status>
      <modifiedWord>《扬尘源颗粒物排放清单编制技术指南（试行）》</modifiedWord>
      <trackRevisions>false</trackRevisions>
    </reviewItem>
    <reviewItem>
      <errorID>cfb03773-7771-4a22-ac6c-166ea5d484a1</errorID>
      <errorWord>《扬尘源颗粒物排放清单编制技术指南》（试行）</errorWord>
      <group>L1_Knowledge</group>
      <groupName>知识性问题</groupName>
      <ability>L2_Knowledge</ability>
      <abilityName>其他知识</abilityName>
      <candidateList>
        <item>《扬尘源颗粒物排放清单编制技术指南（试行）》</item>
      </candidateList>
      <explain>疑似政策文件、法律法规名称等书写不规范，请注意检查。</explain>
      <paraID>77C8D456</paraID>
      <start>40</start>
      <end>62</end>
      <status>modified</status>
      <modifiedWord>《扬尘源颗粒物排放清单编制技术指南（试行）》</modifiedWord>
      <trackRevisions>false</trackRevisions>
    </reviewItem>
    <reviewItem>
      <errorID>2b103c41-dca3-49b1-8afc-548d779d397b</errorID>
      <errorWord>《扬尘源颗粒物排放清单编制技术指南》（试行）</errorWord>
      <group>L1_Knowledge</group>
      <groupName>知识性问题</groupName>
      <ability>L2_Knowledge</ability>
      <abilityName>其他知识</abilityName>
      <candidateList>
        <item>《扬尘源颗粒物排放清单编制技术指南（试行）》</item>
      </candidateList>
      <explain>疑似政策文件、法律法规名称等书写不规范，请注意检查。</explain>
      <paraID> 311E08F</paraID>
      <start>31</start>
      <end>53</end>
      <status>modified</status>
      <modifiedWord>《扬尘源颗粒物排放清单编制技术指南（试行）》</modifiedWord>
      <trackRevisions>false</trackRevisions>
    </reviewItem>
    <reviewItem>
      <errorID>8961de7b-e275-4087-a2ce-9248ae5c9fb2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35750DC4</paraID>
      <start>0</start>
      <end>2</end>
      <status>ignored</status>
      <modifiedWord/>
      <trackRevisions>false</trackRevisions>
    </reviewItem>
    <reviewItem>
      <errorID>d5839fe4-94dc-49b4-988f-216ff133f456</errorID>
      <errorWord>积</errorWord>
      <group>L1_Word</group>
      <groupName>字词问题</groupName>
      <ability>L2_Typo</ability>
      <abilityName>字词错误</abilityName>
      <candidateList>
        <item>积是</item>
      </candidateList>
      <explain/>
      <paraID>3B28724C</paraID>
      <start>57</start>
      <end>59</end>
      <status>modified</status>
      <modifiedWord>积是</modifiedWord>
      <trackRevisions>false</trackRevisions>
    </reviewItem>
    <reviewItem>
      <errorID>2cfe73e3-4b63-43d5-a5bf-3d2b8dbeac13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3D1E9D0E</paraID>
      <start>0</start>
      <end>2</end>
      <status>ignored</status>
      <modifiedWord/>
      <trackRevisions>false</trackRevisions>
    </reviewItem>
    <reviewItem>
      <errorID>6dfefa10-6cbc-4bd6-a358-7f20a13f3732</errorID>
      <errorWord>减震</errorWord>
      <group>L1_Word</group>
      <groupName>字词问题</groupName>
      <ability>L2_Typo</ability>
      <abilityName>字词错误</abilityName>
      <candidateList>
        <item>减振</item>
      </candidateList>
      <explain>存在发音相同字词的误用。</explain>
      <paraID> 6E3D4A4</paraID>
      <start>73</start>
      <end>75</end>
      <status>modified</status>
      <modifiedWord>减振</modifiedWord>
      <trackRevisions>false</trackRevisions>
    </reviewItem>
    <reviewItem>
      <errorID>df4ad491-f5d8-4624-80cb-efc90cb593d5</errorID>
      <errorWord>源源</errorWord>
      <group>L1_Word</group>
      <groupName>字词问题</groupName>
      <ability>L2_Typo</ability>
      <abilityName>字词错误</abilityName>
      <candidateList>
        <item>源</item>
      </candidateList>
      <explain/>
      <paraID>20C98122</paraID>
      <start>1</start>
      <end>3</end>
      <status>ignored</status>
      <modifiedWord/>
      <trackRevisions>false</trackRevisions>
    </reviewItem>
    <reviewItem>
      <errorID>021f7675-fc24-4649-8988-2d09d3452c3f</errorID>
      <errorWord>车车</errorWord>
      <group>L1_Word</group>
      <groupName>字词问题</groupName>
      <ability>L2_Typo</ability>
      <abilityName>字词错误</abilityName>
      <candidateList>
        <item>车</item>
      </candidateList>
      <explain/>
      <paraID>295BD19A</paraID>
      <start>2</start>
      <end>3</end>
      <status>modified</status>
      <modifiedWord>车</modifiedWord>
      <trackRevisions>false</trackRevisions>
    </reviewItem>
    <reviewItem>
      <errorID>1d6e6285-c785-4b56-bdd9-3f54169b64fa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13591224</paraID>
      <start>0</start>
      <end>2</end>
      <status>ignored</status>
      <modifiedWord/>
      <trackRevisions>false</trackRevisions>
    </reviewItem>
    <reviewItem>
      <errorID>7c170126-41a1-49c1-bf52-962aefb05c84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196A5971</paraID>
      <start>116</start>
      <end>117</end>
      <status>ignored</status>
      <modifiedWord/>
      <trackRevisions>false</trackRevisions>
    </reviewItem>
    <reviewItem>
      <errorID>0a6a4bd7-9d10-4f52-95f6-392ba7775b7a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196A5971</paraID>
      <start>153</start>
      <end>154</end>
      <status>ignored</status>
      <modifiedWord/>
      <trackRevisions>false</trackRevisions>
    </reviewItem>
    <reviewItem>
      <errorID>6a1cfa66-a8cf-473c-b994-a7f1c89c7fac</errorID>
      <errorWord>部</errorWord>
      <group>L1_Word</group>
      <groupName>字词问题</groupName>
      <ability>L2_Typo</ability>
      <abilityName>字词错误</abilityName>
      <candidateList>
        <item/>
      </candidateList>
      <explain/>
      <paraID>45D768B0</paraID>
      <start>48</start>
      <end>49</end>
      <status>ignored</status>
      <modifiedWord/>
      <trackRevisions>false</trackRevisions>
    </reviewItem>
    <reviewItem>
      <errorID>830bb816-7024-4232-be6a-b4bb2aee0ad0</errorID>
      <errorWord>作出</errorWord>
      <group>L1_Word</group>
      <groupName>字词问题</groupName>
      <ability>L2_Typo</ability>
      <abilityName>字词错误</abilityName>
      <candidateList>
        <item>做出</item>
      </candidateList>
      <explain/>
      <paraID>33CFE6EB</paraID>
      <start>100</start>
      <end>102</end>
      <status>modified</status>
      <modifiedWord>做出</modifiedWord>
      <trackRevisions>false</trackRevisions>
    </reviewItem>
    <reviewItem>
      <errorID>4cdb8cbd-09c1-493f-86d5-aee2efaa8a09</errorID>
      <errorWord>泄露</errorWord>
      <group>L1_Word</group>
      <groupName>字词问题</groupName>
      <ability>L2_Typo</ability>
      <abilityName>字词错误</abilityName>
      <candidateList>
        <item>泄漏</item>
      </candidateList>
      <explain/>
      <paraID>33CFE6EB</paraID>
      <start>124</start>
      <end>126</end>
      <status>modified</status>
      <modifiedWord>泄漏</modifiedWord>
      <trackRevisions>false</trackRevisions>
    </reviewItem>
    <reviewItem>
      <errorID>797ed4d6-e369-44b5-b9df-8db907c49fc0</errorID>
      <errorWord>固体废物和</errorWord>
      <group>L1_Word</group>
      <groupName>字词问题</groupName>
      <ability>L2_Typo</ability>
      <abilityName>字词错误</abilityName>
      <candidateList>
        <item>固体废物</item>
      </candidateList>
      <explain/>
      <paraID>59D1B244</paraID>
      <start>18</start>
      <end>22</end>
      <status>modified</status>
      <modifiedWord>固体废物</modifiedWord>
      <trackRevisions>false</trackRevisions>
    </reviewItem>
    <reviewItem>
      <errorID>97ed3e6a-8bd7-486c-82e3-171b95985f05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2EEC96B1</paraID>
      <start>0</start>
      <end>2</end>
      <status>ignored</status>
      <modifiedWord/>
      <trackRevisions>false</trackRevisions>
    </reviewItem>
    <reviewItem>
      <errorID>9c71b07e-f034-4a20-a5a6-883aa4f39fdb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6F9DCC3E</paraID>
      <start>16</start>
      <end>17</end>
      <status>ignored</status>
      <modifiedWord/>
      <trackRevisions>false</trackRevisions>
    </reviewItem>
    <reviewItem>
      <errorID>93b1b405-98d6-4246-b9c0-42387687a07a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6F9DCC3E</paraID>
      <start>53</start>
      <end>54</end>
      <status>ignored</status>
      <modifiedWord/>
      <trackRevisions>false</trackRevisions>
    </reviewItem>
    <reviewItem>
      <errorID>3727c650-5c89-48f6-ac2a-a6d837eea7bd</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1C7224E1</paraID>
      <start>0</start>
      <end>2</end>
      <status>ignored</status>
      <modifiedWord/>
      <trackRevisions>false</trackRevisions>
    </reviewItem>
    <reviewItem>
      <errorID>897efa9a-7a1a-43cd-af2d-5e0cdf896f2b</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253E5DC0</paraID>
      <start>0</start>
      <end>2</end>
      <status>ignored</status>
      <modifiedWord/>
      <trackRevisions>false</trackRevisions>
    </reviewItem>
    <reviewItem>
      <errorID>e7cea39a-7508-445a-b0a0-ed1aac38a496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4B07F906</paraID>
      <start>122</start>
      <end>123</end>
      <status>ignored</status>
      <modifiedWord/>
      <trackRevisions>false</trackRevisions>
    </reviewItem>
    <reviewItem>
      <errorID>adf1e036-e70b-4062-9107-bbcaa51ab89a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4B07F906</paraID>
      <start>159</start>
      <end>160</end>
      <status>ignored</status>
      <modifiedWord/>
      <trackRevisions>false</trackRevisions>
    </reviewItem>
    <reviewItem>
      <errorID>6e699600-b584-46cb-9939-774e48aa7dd7</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54470E4D</paraID>
      <start>0</start>
      <end>2</end>
      <status>ignored</status>
      <modifiedWord/>
      <trackRevisions>false</trackRevisions>
    </reviewItem>
    <reviewItem>
      <errorID>9da1c163-e6ac-40de-bd78-1a3996777a1a</errorID>
      <errorWord>行驶运</errorWord>
      <group>L1_Word</group>
      <groupName>字词问题</groupName>
      <ability>L2_Typo</ability>
      <abilityName>字词错误</abilityName>
      <candidateList>
        <item>行驶</item>
      </candidateList>
      <explain>〈动〉（车、船）行走：列车向南～｜长江下游可以～万吨轮船。</explain>
      <paraID>78B0627D</paraID>
      <start>19</start>
      <end>22</end>
      <status>ignored</status>
      <modifiedWord/>
      <trackRevisions>false</trackRevisions>
    </reviewItem>
    <reviewItem>
      <errorID>3ac96c0e-1813-4326-a3f6-4d960f08ba58</errorID>
      <errorWord>标标</errorWord>
      <group>L1_Word</group>
      <groupName>字词问题</groupName>
      <ability>L2_Typo</ability>
      <abilityName>字词错误</abilityName>
      <candidateList>
        <item>标</item>
      </candidateList>
      <explain/>
      <paraID>78B0627D</paraID>
      <start>52</start>
      <end>53</end>
      <status>modified</status>
      <modifiedWord>标</modifiedWord>
      <trackRevisions>false</trackRevisions>
    </reviewItem>
    <reviewItem>
      <errorID>0a63badb-23c2-45b2-ba6c-002ea5f77d39</errorID>
      <errorWord>境</errorWord>
      <group>L1_Word</group>
      <groupName>字词问题</groupName>
      <ability>L2_Typo</ability>
      <abilityName>字词错误</abilityName>
      <candidateList>
        <item>境对</item>
      </candidateList>
      <explain/>
      <paraID>16FF3A59</paraID>
      <start>81</start>
      <end>82</end>
      <status>ignored</status>
      <modifiedWord/>
      <trackRevisions>false</trackRevisions>
    </reviewItem>
    <reviewItem>
      <errorID>c093a554-1f44-4256-b3ca-7cd237e2b643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32DD4AC2</paraID>
      <start>105</start>
      <end>106</end>
      <status>ignored</status>
      <modifiedWord/>
      <trackRevisions>false</trackRevisions>
    </reviewItem>
    <reviewItem>
      <errorID>3ba71873-b08b-4c0a-b294-7119a27090bc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32DD4AC2</paraID>
      <start>142</start>
      <end>143</end>
      <status>ignored</status>
      <modifiedWord/>
      <trackRevisions>false</trackRevisions>
    </reviewItem>
    <reviewItem>
      <errorID>cdf8c23a-c9ab-4702-95e2-cbc8ead9d4ee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7720E9F2</paraID>
      <start>0</start>
      <end>2</end>
      <status>ignored</status>
      <modifiedWord/>
      <trackRevisions>false</trackRevisions>
    </reviewItem>
    <reviewItem>
      <errorID>90142476-66e0-43a4-a5b1-7625682ab633</errorID>
      <errorWord>，</errorWord>
      <group>L1_Word</group>
      <groupName>字词问题</groupName>
      <ability>L2_Typo</ability>
      <abilityName>字词错误</abilityName>
      <candidateList>
        <item>，以</item>
      </candidateList>
      <explain/>
      <paraID>65557E91</paraID>
      <start>59</start>
      <end>61</end>
      <status>modified</status>
      <modifiedWord>，以</modifiedWord>
      <trackRevisions>false</trackRevisions>
    </reviewItem>
    <reviewItem>
      <errorID>414f5552-85f7-4e47-87ab-5e037550d180</errorID>
      <errorWord>检测报告</errorWord>
      <group>L1_Word</group>
      <groupName>字词问题</groupName>
      <ability>L2_Typo</ability>
      <abilityName>字词错误</abilityName>
      <candidateList>
        <item>监测报告</item>
      </candidateList>
      <explain/>
      <paraID>578B2D1D</paraID>
      <start>8</start>
      <end>12</end>
      <status>ignored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e4b874d-718d-468b-a4a9-87fd52460854}">
  <ds:schemaRefs/>
</ds:datastoreItem>
</file>

<file path=docProps/app.xml><?xml version="1.0" encoding="utf-8"?>
<Properties xmlns="http://schemas.openxmlformats.org/officeDocument/2006/extended-properties" xmlns:vt="http://schemas.openxmlformats.org/officeDocument/2006/docPropsVTypes">
  <Template>Normal.dotm</Template>
  <Pages>68</Pages>
  <Words>13404</Words>
  <Characters>14384</Characters>
  <Lines>0</Lines>
  <Paragraphs>0</Paragraphs>
  <TotalTime>59</TotalTime>
  <ScaleCrop>false</ScaleCrop>
  <LinksUpToDate>false</LinksUpToDate>
  <CharactersWithSpaces>14533</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2025-05-16T08:31:00Z</dcterms:created>
  <dc:creator>小哲</dc:creator>
  <cp:lastModifiedBy>小哲</cp:lastModifiedBy>
  <dcterms:modified xsi:type="dcterms:W3CDTF">2026-01-27T01:00:58Z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3B796AB3E5A7495DB8942610E0962674_13</vt:lpwstr>
  </property>
  <property fmtid="{D5CDD505-2E9C-101B-9397-08002B2CF9AE}" pid="4" name="KSOTemplateDocerSaveRecord">
    <vt:lpwstr>eyJoZGlkIjoiMDYyOTQ3ODRiODJiNjYzY2FmYTYxMjYxMjkwMWRjY2QiLCJ1c2VySWQiOiI0MDE4MjU1MjYifQ==</vt:lpwstr>
  </property>
</Properties>
</file>